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2025-12-29</w:t>
      </w:r>
    </w:p>
    <w:p>
      <w:pPr>
        <w:spacing w:before="160" w:after="80" w:line="240" w:lineRule="auto"/>
      </w:pPr>
      <w:r>
        <w:rPr>
          <w:b/>
        </w:rPr>
        <w:t xml:space="preserve">[1] </w:t>
      </w:r>
      <w:hyperlink r:id="rId9">
        <w:r>
          <w:rPr>
            <w:color w:val="1155CC"/>
            <w:u w:val="single"/>
          </w:rPr>
          <w:t>Nanostructured niobium-doped nickel-rich multiphase positive electrode active material for high-power lithium-based batteries</w:t>
        </w:r>
      </w:hyperlink>
    </w:p>
    <w:p>
      <w:pPr>
        <w:spacing w:before="0" w:after="120" w:line="240" w:lineRule="auto"/>
      </w:pPr>
      <w:r>
        <w:rPr>
          <w:b/>
        </w:rPr>
        <w:t xml:space="preserve">Source: </w:t>
      </w:r>
      <w:r>
        <w:t>Nature Nanotechnology</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Ni-rich layered oxide positive electrode active materials are promising for high-energy non-aqueous lithium-based batteries, but their poor structural stability limits their high-power applications. Here, to address this issue, we propose a two-step doping strategy for the synthesis of Ni-rich positive electrode active materials. This involves an initial lithiation of the hydroxide precursor at an intermediate temperature, followed by cooling, dopant mixing and high-temperature calcination. This approach yields positive electrode active materials with nanoscale primary particles, thereby improving mechanical stability and suppressing intergranular cracking. Moreover, the material prepared via a two-step doping strategy exhibits a layered–rocksalt nanostructured multiphase, which reversibly transforms into a layered-spinel nanostructured multiphase upon cell charging, facilitating lithium-ion diffusion. As a result, the nanostructured Nb-doped Ni-rich multiphase positive electrode active material enables improved high-rate performance when tested in both Li metal coin cell and Li-ion pouch cell configurations, also applying electric vertical take-off and landing testing protocols.</w:t>
      </w:r>
    </w:p>
    <w:p>
      <w:pPr>
        <w:spacing w:before="120" w:after="120"/>
      </w:pPr>
      <w:r>
        <w:rPr>
          <w:sz w:val="18"/>
        </w:rPr>
        <w:t>——————————————————————————————————————————————————————————————————————</w:t>
      </w:r>
    </w:p>
    <w:p>
      <w:pPr>
        <w:spacing w:before="160" w:after="80" w:line="240" w:lineRule="auto"/>
      </w:pPr>
      <w:r>
        <w:rPr>
          <w:b/>
        </w:rPr>
        <w:t xml:space="preserve">[2] </w:t>
      </w:r>
      <w:hyperlink r:id="rId10">
        <w:r>
          <w:rPr>
            <w:color w:val="1155CC"/>
            <w:u w:val="single"/>
          </w:rPr>
          <w:t>Water-Induced Mantle Overturn Explains High Archean Paleointensities</w:t>
        </w:r>
      </w:hyperlink>
    </w:p>
    <w:p>
      <w:pPr>
        <w:spacing w:before="0" w:after="120" w:line="240" w:lineRule="auto"/>
      </w:pPr>
      <w:r>
        <w:rPr>
          <w:b/>
        </w:rPr>
        <w:t xml:space="preserve">Source: </w:t>
      </w:r>
      <w:r>
        <w:t>National Science Review Advance Access</w:t>
      </w:r>
      <w:r>
        <w:t xml:space="preserve">    </w:t>
      </w:r>
      <w:r>
        <w:rPr>
          <w:b/>
        </w:rPr>
        <w:t xml:space="preserve">Pub date: </w:t>
      </w:r>
      <w:r>
        <w:t>2025-12-23 00:00:00+00:00</w:t>
      </w:r>
      <w:r>
        <w:t xml:space="preserve">    </w:t>
      </w:r>
      <w:r>
        <w:rPr>
          <w:b/>
        </w:rPr>
        <w:t xml:space="preserve">DOI: </w:t>
      </w:r>
      <w:hyperlink r:id="rId11">
        <w:r>
          <w:rPr>
            <w:color w:val="1155CC"/>
            <w:u w:val="single"/>
          </w:rPr>
          <w:t>10.1093/nsr/nwaf578/8402922</w:t>
        </w:r>
      </w:hyperlink>
    </w:p>
    <w:p>
      <w:pPr>
        <w:spacing w:before="0" w:after="120"/>
      </w:pPr>
      <w:r>
        <w:rPr>
          <w:b/>
        </w:rPr>
        <w:t xml:space="preserve">Notes: </w:t>
      </w:r>
      <w:r>
        <w:t>abstract_source=rss_oup</w:t>
      </w:r>
    </w:p>
    <w:p>
      <w:pPr>
        <w:spacing w:before="0" w:after="200" w:lineRule="auto" w:line="276"/>
      </w:pPr>
      <w:r>
        <w:rPr>
          <w:b/>
        </w:rPr>
        <w:t xml:space="preserve">Abstract: </w:t>
      </w:r>
      <w:r>
        <w:t>As a consequence of the evolution of the water-bearing basal magma ocean, water-induced mantle overturn can suitably explain many puzzling observations in the Archean, including the formation of continents and the Archean–Proterozoic boundary. The upwelling of the hot basal magma ocean during mantle overturn drastically affects the thermal state of the core–mantle boundary and geomagnetic field. We model the thermal evolution of the core–mantle boundary to investigate the effects of mantle overturn on the geomagnetic field. Our results demonstrate that mantle overturn substantially accelerates core cooling and increases the heat flow across the core–mantle boundary. Such enhanced heat flow would have strengthened the geomagnetic field, which explains well the high paleointensity records from approximately 3.5 to 2.5 Ga. The strong geodynamo and formation of Archean continents generate a concordant picture on the evolution of water-induced mantle overturn.</w:t>
      </w:r>
    </w:p>
    <w:p>
      <w:pPr>
        <w:spacing w:before="120" w:after="120"/>
      </w:pPr>
      <w:r>
        <w:rPr>
          <w:sz w:val="18"/>
        </w:rPr>
        <w:t>——————————————————————————————————————————————————————————————————————</w:t>
      </w:r>
    </w:p>
    <w:p>
      <w:pPr>
        <w:spacing w:before="160" w:after="80" w:line="240" w:lineRule="auto"/>
      </w:pPr>
      <w:r>
        <w:rPr>
          <w:b/>
        </w:rPr>
        <w:t xml:space="preserve">[3] </w:t>
      </w:r>
      <w:hyperlink r:id="rId12">
        <w:r>
          <w:rPr>
            <w:color w:val="1155CC"/>
            <w:u w:val="single"/>
          </w:rPr>
          <w:t>Intrinsic light reflection of conjugated films towards high-performance organic solar cells</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In organic solar cells (OSCs), which represent a quintessential application system for organic conjugated films, the intrinsic light reflection of these films significantly influences the optical performance of the devices through the Fabry–Pérot micro-cavity effect. However, this phenomenon has not been comprehensively investigated. This study demonstrates that the film’s intrinsic reflection arises from the light-matter interaction, which is mainly governed by the polarizability of delocalized electron cloud and the orientation of the conjugated backbone. Furthermore, the multi-level interference within the OSC micro-cavity leads to a dependence of both the reflection properties and the short-circuit current density (JSC) on the active layer thickness. Based on these insights, a strategy for synergistic optimization of device performance through precise tailoring of optical constants and the micro-cavity structure is proposed. By systematically analyzing the intrinsic reflection behavior of organic conjugated films, this study enhances the understanding of the role reflection plays in the performance of photovoltaic devices and provides theoretical support for further optical optimization of organic photovoltaics.</w:t>
      </w:r>
    </w:p>
    <w:p>
      <w:pPr>
        <w:spacing w:before="120" w:after="120"/>
      </w:pPr>
      <w:r>
        <w:rPr>
          <w:sz w:val="18"/>
        </w:rPr>
        <w:t>——————————————————————————————————————————————————————————————————————</w:t>
      </w:r>
    </w:p>
    <w:p>
      <w:pPr>
        <w:spacing w:before="160" w:after="80" w:line="240" w:lineRule="auto"/>
      </w:pPr>
      <w:r>
        <w:rPr>
          <w:b/>
        </w:rPr>
        <w:t xml:space="preserve">[4] </w:t>
      </w:r>
      <w:hyperlink r:id="rId13">
        <w:r>
          <w:rPr>
            <w:color w:val="1155CC"/>
            <w:u w:val="single"/>
          </w:rPr>
          <w:t>Adhesion-guided CEI enables stable 4.6 V LiCoO2 at 45°C</w:t>
        </w:r>
      </w:hyperlink>
    </w:p>
    <w:p>
      <w:pPr>
        <w:spacing w:before="0" w:after="120" w:line="240" w:lineRule="auto"/>
      </w:pPr>
      <w:r>
        <w:rPr>
          <w:b/>
        </w:rPr>
        <w:t xml:space="preserve">Source: </w:t>
      </w:r>
      <w:r>
        <w:t>National Science Review Advance Access</w:t>
      </w:r>
      <w:r>
        <w:t xml:space="preserve">    </w:t>
      </w:r>
      <w:r>
        <w:rPr>
          <w:b/>
        </w:rPr>
        <w:t xml:space="preserve">Pub date: </w:t>
      </w:r>
      <w:r>
        <w:t>2025-12-23 00:00:00+00:00</w:t>
      </w:r>
      <w:r>
        <w:t xml:space="preserve">    </w:t>
      </w:r>
      <w:r>
        <w:rPr>
          <w:b/>
        </w:rPr>
        <w:t xml:space="preserve">DOI: </w:t>
      </w:r>
      <w:hyperlink r:id="rId14">
        <w:r>
          <w:rPr>
            <w:color w:val="1155CC"/>
            <w:u w:val="single"/>
          </w:rPr>
          <w:t>10.1093/nsr/nwaf571/8402818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 </w:t>
      </w:r>
      <w:hyperlink r:id="rId15">
        <w:r>
          <w:rPr>
            <w:color w:val="1155CC"/>
            <w:u w:val="single"/>
          </w:rPr>
          <w:t>Nonpoisoned metal catalysts enabled by concave carbon confinement for durable sulfur conversion in batteries</w:t>
        </w:r>
      </w:hyperlink>
    </w:p>
    <w:p>
      <w:pPr>
        <w:spacing w:before="0" w:after="120" w:line="240" w:lineRule="auto"/>
      </w:pPr>
      <w:r>
        <w:rPr>
          <w:b/>
        </w:rPr>
        <w:t xml:space="preserve">Source: </w:t>
      </w:r>
      <w:r>
        <w:t>RSC - Energy Environ. Sci. latest articles</w:t>
      </w:r>
      <w:r>
        <w:t xml:space="preserve">    </w:t>
      </w:r>
      <w:r>
        <w:rPr>
          <w:b/>
        </w:rPr>
        <w:t xml:space="preserve">Pub date: </w:t>
      </w:r>
      <w:r>
        <w:t>2025-12-23 00:00:00+00:00</w:t>
      </w:r>
    </w:p>
    <w:p>
      <w:pPr>
        <w:spacing w:before="0" w:after="120"/>
      </w:pPr>
      <w:r>
        <w:rPr>
          <w:b/>
        </w:rPr>
        <w:t xml:space="preserve">Notes: </w:t>
      </w:r>
      <w:r>
        <w:t>abstract_source=rsc_html</w:t>
      </w:r>
    </w:p>
    <w:p>
      <w:pPr>
        <w:spacing w:before="0" w:after="200" w:lineRule="auto" w:line="276"/>
      </w:pPr>
      <w:r>
        <w:rPr>
          <w:b/>
        </w:rPr>
        <w:t xml:space="preserve">Abstract: </w:t>
      </w:r>
      <w:r>
        <w:t>Metal-sulfur batteries promise sustainable high-energy storage but are plagued by sulfur-induced catalyst deactivation, which hinders long-term sulfur conversion. Here we present a concave carbon surface confinement strategy as a universal design principle to stabilize metal catalysts against sulfur poisoning. By embedding cobalt nanoparticles within curved carbon cavities, the intimate metal-carbon contact area is dramatically enlarged, triggering strong and reversible electron transfer from cobalt (Co) to the carbon scaffold. This unique interfacial architecture creates a balanced Co2+/Co0 valence state (Co2+/Co0 ratio approaching unity) and maintains it during cycling, effectively outcompeting electron donation to sulfur species and suppressing the formation of strong Co–S bonds. Benefiting from this architecture, the Co catalyst exhibits a persistently low activation energy (0.195 eV) for the rate-determining polysulfide-to-Li2S conversion and avoids the gradual activity loss typically observed with conventional carbon-supported catalysts. Consequently, lithium-sulfur batteries deliver an ultralow capacity decay of 0.044 % per cycle over 1000 cycles, while Ah-level pouch cells achieve gravimetric energy densities up to 505 Wh kg-1 and sustain 457 Wh kg-1 with only 0.32 % per-cycle fading. This carbon confinement not only overcomes sulfur poisoning but also provides a general blueprint for designing durable, high-activity metal catalysts in sulfur-rich electrochemical environments.</w:t>
      </w:r>
    </w:p>
    <w:p>
      <w:pPr>
        <w:spacing w:before="120" w:after="120"/>
      </w:pPr>
      <w:r>
        <w:rPr>
          <w:sz w:val="18"/>
        </w:rPr>
        <w:t>——————————————————————————————————————————————————————————————————————</w:t>
      </w:r>
    </w:p>
    <w:p>
      <w:pPr>
        <w:spacing w:before="160" w:after="80" w:line="240" w:lineRule="auto"/>
      </w:pPr>
      <w:r>
        <w:rPr>
          <w:b/>
        </w:rPr>
        <w:t xml:space="preserve">[6] </w:t>
      </w:r>
      <w:hyperlink r:id="rId16">
        <w:r>
          <w:rPr>
            <w:color w:val="1155CC"/>
            <w:u w:val="single"/>
          </w:rPr>
          <w:t>Formation dynamics of an ethylene carbonate-derived solid–electrolyte-interphase in commercial Li-ion batteries</w:t>
        </w:r>
      </w:hyperlink>
    </w:p>
    <w:p>
      <w:pPr>
        <w:spacing w:before="0" w:after="120" w:line="240" w:lineRule="auto"/>
      </w:pPr>
      <w:r>
        <w:rPr>
          <w:b/>
        </w:rPr>
        <w:t xml:space="preserve">Source: </w:t>
      </w:r>
      <w:r>
        <w:t>RSC - Energy Environ. Sci. latest articles</w:t>
      </w:r>
      <w:r>
        <w:t xml:space="preserve">    </w:t>
      </w:r>
      <w:r>
        <w:rPr>
          <w:b/>
        </w:rPr>
        <w:t xml:space="preserve">Pub date: </w:t>
      </w:r>
      <w:r>
        <w:t>2025-12-23 00:00:00+00:00</w:t>
      </w:r>
    </w:p>
    <w:p>
      <w:pPr>
        <w:spacing w:before="0" w:after="120"/>
      </w:pPr>
      <w:r>
        <w:rPr>
          <w:b/>
        </w:rPr>
        <w:t xml:space="preserve">Notes: </w:t>
      </w:r>
      <w:r>
        <w:t>abstract_source=rsc_html</w:t>
      </w:r>
    </w:p>
    <w:p>
      <w:pPr>
        <w:spacing w:before="0" w:after="200" w:lineRule="auto" w:line="276"/>
      </w:pPr>
      <w:r>
        <w:rPr>
          <w:b/>
        </w:rPr>
        <w:t xml:space="preserve">Abstract: </w:t>
      </w:r>
      <w:r>
        <w:t>The importance of the solid–electrolyte-interphase (SEI) is well-established in lithium-ion (Li-ion) batteries, but the technical story behind its formation remains incomplete. Current research has largely focused on the nature of the deposited layer, while the formation dynamics, particularly those occurring in the solution phase, remain elusive. Here, by employing operando infrared fiber evanescent wave spectroscopy (IR-FEWS) to conduct real-time monitoring of the chemical dynamics of ethylene carbonate-based electrolytes and graphite anodes, we reveal that the assembly of the SEI layer follows a classical heterogeneous nucleation and growth process under appropriate kinetic constraints. Our findings, supported by various other in situ/ex situ techniques, show that during charging, the newly generated species (e.g. lithium ethylene dicarbonate (LEDC) and Li2CO3), that are destined for the SEI, can also diffuse away from the graphite–electrolyte interface into the electrolyte. The deposition of the species occurs via a heterogeneous nucleation process with the low-solubility inorganic species (e.g. Li2CO3) preferentially nucleating on the graphite surface, followed by more-soluble organic species (e.g. LEDC). Limiting diffusion to promote the deposition is crucial for facilitating efficient SEI formation with competitive deposition kinetics depending not only on the charging rate and temperature, but also the electrolyte quantity. When the formation parameter-space is intentionally modified by employing a high current pulse during initial charging followed immediately by an ageing step, a more stable SEI with lower resistance is developed, leading to longer lifetimes for the Li-ion pouch cells prepared with this new protocol. Collectively, these findings deepen our mechanistic understanding of SEI formation from the “solution” phase perspective and offer an enriched framework for defining initial charging protocols for battery manufacturing.</w:t>
      </w:r>
    </w:p>
    <w:p>
      <w:pPr>
        <w:spacing w:before="120" w:after="120"/>
      </w:pPr>
      <w:r>
        <w:rPr>
          <w:sz w:val="18"/>
        </w:rPr>
        <w:t>——————————————————————————————————————————————————————————————————————</w:t>
      </w:r>
    </w:p>
    <w:p>
      <w:pPr>
        <w:spacing w:before="160" w:after="80" w:line="240" w:lineRule="auto"/>
      </w:pPr>
      <w:r>
        <w:rPr>
          <w:b/>
        </w:rPr>
        <w:t xml:space="preserve">[7] </w:t>
      </w:r>
      <w:hyperlink r:id="rId17">
        <w:r>
          <w:rPr>
            <w:color w:val="1155CC"/>
            <w:u w:val="single"/>
          </w:rPr>
          <w:t>Quantum coherent dynamics in photosynthetic protein complexes</w:t>
        </w:r>
      </w:hyperlink>
    </w:p>
    <w:p>
      <w:pPr>
        <w:spacing w:before="0" w:after="120" w:line="240" w:lineRule="auto"/>
      </w:pPr>
      <w:r>
        <w:rPr>
          <w:b/>
        </w:rPr>
        <w:t xml:space="preserve">Source: </w:t>
      </w:r>
      <w:r>
        <w:t>RSC - Chem. Soc. Rev. latest articles</w:t>
      </w:r>
      <w:r>
        <w:t xml:space="preserve">    </w:t>
      </w:r>
      <w:r>
        <w:rPr>
          <w:b/>
        </w:rPr>
        <w:t xml:space="preserve">Pub date: </w:t>
      </w:r>
      <w:r>
        <w:t>2025-12-23 00:00:00+00:00</w:t>
      </w:r>
    </w:p>
    <w:p>
      <w:pPr>
        <w:spacing w:before="0" w:after="120"/>
      </w:pPr>
      <w:r>
        <w:rPr>
          <w:b/>
        </w:rPr>
        <w:t xml:space="preserve">Notes: </w:t>
      </w:r>
      <w:r>
        <w:t>abstract_source=rsc_html</w:t>
      </w:r>
    </w:p>
    <w:p>
      <w:pPr>
        <w:spacing w:before="0" w:after="200" w:lineRule="auto" w:line="276"/>
      </w:pPr>
      <w:r>
        <w:rPr>
          <w:b/>
        </w:rPr>
        <w:t xml:space="preserve">Abstract: </w:t>
      </w:r>
      <w:r>
        <w:t>Since the birth of quantum mechanics, there has been a long fascination of the role of quantum effects in the evolution of biological systems, which has inspired decoding quantum coherence effects in photosynthetic systems. In photosynthetic complexes, the pigments do not exist in isolation; they interact with their surrounding protein environment. However, the strength of this system–bath coupling can vary, and one must be careful in characterizing it (with many complexes actually in an intermediate coupling regime). This review will summarize the studies toward unraveling excitonic energy transfer in photosynthetic systems, examining the influence of electronic and vibronic coherence and system–bath interactions on transfer efficiency in photosynthetic protein complexes. The review first examines the absorption properties of chlorophylls and the structural organization of protein complexes, highlighting their role in facilitating ultrafast-energy and charge-transfer processes. It also introduces the principles of multidimensional coherent spectroscopy (a nonlinear four-wave-mixing technique) and related ultrafast spectroscopic methods, which provide key insights into these processes. We also discuss theoretical approaches and models (quantum master equations and other quantum dissipative models) used to simulate the evolution of electronic coherence in photosynthetic systems. Additionally, the review considers recent advancements in both natural and artificial photosynthetic systems, focusing on the critical role of system–bath interactions and dissipation in protein environments. These dynamics are shown to direct energy transfer effectively, overcoming the fragility of quantum coherence under physiological conditions.</w:t>
      </w:r>
    </w:p>
    <w:p>
      <w:pPr>
        <w:spacing w:before="120" w:after="120"/>
      </w:pPr>
      <w:r>
        <w:rPr>
          <w:sz w:val="18"/>
        </w:rPr>
        <w:t>——————————————————————————————————————————————————————————————————————</w:t>
      </w:r>
    </w:p>
    <w:p>
      <w:pPr>
        <w:spacing w:before="160" w:after="80" w:line="240" w:lineRule="auto"/>
      </w:pPr>
      <w:r>
        <w:rPr>
          <w:b/>
        </w:rPr>
        <w:t xml:space="preserve">[8] </w:t>
      </w:r>
      <w:hyperlink r:id="rId18">
        <w:r>
          <w:rPr>
            <w:color w:val="1155CC"/>
            <w:u w:val="single"/>
          </w:rPr>
          <w:t>Chemical management of phytopathogenic bacteria: emerging compounds, molecular targets and outlook</w:t>
        </w:r>
      </w:hyperlink>
    </w:p>
    <w:p>
      <w:pPr>
        <w:spacing w:before="0" w:after="120" w:line="240" w:lineRule="auto"/>
      </w:pPr>
      <w:r>
        <w:rPr>
          <w:b/>
        </w:rPr>
        <w:t xml:space="preserve">Source: </w:t>
      </w:r>
      <w:r>
        <w:t>RSC - Chem. Soc. Rev. latest articles</w:t>
      </w:r>
      <w:r>
        <w:t xml:space="preserve">    </w:t>
      </w:r>
      <w:r>
        <w:rPr>
          <w:b/>
        </w:rPr>
        <w:t xml:space="preserve">Pub date: </w:t>
      </w:r>
      <w:r>
        <w:t>2025-12-23 00:00:00+00:00</w:t>
      </w:r>
    </w:p>
    <w:p>
      <w:pPr>
        <w:spacing w:before="0" w:after="120"/>
      </w:pPr>
      <w:r>
        <w:rPr>
          <w:b/>
        </w:rPr>
        <w:t xml:space="preserve">Notes: </w:t>
      </w:r>
      <w:r>
        <w:t>abstract_source=rsc_html</w:t>
      </w:r>
    </w:p>
    <w:p>
      <w:pPr>
        <w:spacing w:before="0" w:after="200" w:lineRule="auto" w:line="276"/>
      </w:pPr>
      <w:r>
        <w:rPr>
          <w:b/>
        </w:rPr>
        <w:t xml:space="preserve">Abstract: </w:t>
      </w:r>
      <w:r>
        <w:t>Phytopathogenic bacteria are responsible for devastating agricultural losses globally. However, the chemical control of these pathogens is compromised by escalating resistance, environmental pollution, antibiotic resistance gene transfer, and a scarcity of validated antibacterial targets. To fill this gap, this review provides a critical and chemically-focused discussion of recent breakthroughs, aiming to bridge the gap between synthetic innovation, modern target discovery, and rational, data-driven design. Herein, we delineate emerging antibacterial compounds, emphasizing their structural diversity, structure–activity relationships, novel modes of action, and molecular targets. Furthermore, advanced methodologies for discovering and validating antibacterial targets are thoroughly examined, along with deep mechanistic insights. A forward-looking perspective on transformative approaches is also provided. This review aims to guide interdisciplinary efforts and stimulate the development of effective, sustainable, and environmentally friendly next-generation phytobactericides by offering the analysis urgently required by the field.</w:t>
      </w:r>
    </w:p>
    <w:p>
      <w:pPr>
        <w:spacing w:before="120" w:after="120"/>
      </w:pPr>
      <w:r>
        <w:rPr>
          <w:sz w:val="18"/>
        </w:rPr>
        <w:t>——————————————————————————————————————————————————————————————————————</w:t>
      </w:r>
    </w:p>
    <w:p>
      <w:pPr>
        <w:spacing w:before="160" w:after="80" w:line="240" w:lineRule="auto"/>
      </w:pPr>
      <w:r>
        <w:rPr>
          <w:b/>
        </w:rPr>
        <w:t xml:space="preserve">[9] </w:t>
      </w:r>
      <w:hyperlink r:id="rId19">
        <w:r>
          <w:rPr>
            <w:color w:val="1155CC"/>
            <w:u w:val="single"/>
          </w:rPr>
          <w:t>Machine learning-driven interface material design for high-performance perovskite solar cells with scalability and band-gap universality</w:t>
        </w:r>
      </w:hyperlink>
    </w:p>
    <w:p>
      <w:pPr>
        <w:spacing w:before="0" w:after="120" w:line="240" w:lineRule="auto"/>
      </w:pPr>
      <w:r>
        <w:rPr>
          <w:b/>
        </w:rPr>
        <w:t xml:space="preserve">Source: </w:t>
      </w:r>
      <w:r>
        <w:t>Joule</w:t>
      </w:r>
      <w:r>
        <w:t xml:space="preserve">    </w:t>
      </w:r>
      <w:r>
        <w:rPr>
          <w:b/>
        </w:rPr>
        <w:t xml:space="preserve">Pub date: </w:t>
      </w:r>
      <w:r>
        <w:t>2025-12-23 00:00:00+00:00</w:t>
      </w:r>
    </w:p>
    <w:p>
      <w:pPr>
        <w:spacing w:before="0" w:after="120"/>
      </w:pPr>
      <w:r>
        <w:rPr>
          <w:b/>
        </w:rPr>
        <w:t xml:space="preserve">Notes: </w:t>
      </w:r>
      <w:r>
        <w:t>abstract_source=rss_cell</w:t>
      </w:r>
    </w:p>
    <w:p>
      <w:pPr>
        <w:spacing w:before="0" w:after="200" w:lineRule="auto" w:line="276"/>
      </w:pPr>
      <w:r>
        <w:rPr>
          <w:b/>
        </w:rPr>
        <w:t xml:space="preserve">Abstract: </w:t>
      </w:r>
      <w:r>
        <w:t>Machine learning-driven molecular design integrating correlation analysis, clustering, and LASSO regression discovers BIPA, an efficient interface modifier that concurrently passivates defects, optimizes band alignment, and enhances perovskite crystallinity. This strategy enables high-efficiency, scalable, and stable perovskite solar cells across a wide band-gap range (1.55–1.85 eV).</w:t>
      </w:r>
    </w:p>
    <w:p>
      <w:pPr>
        <w:spacing w:before="120" w:after="120"/>
      </w:pPr>
      <w:r>
        <w:rPr>
          <w:sz w:val="18"/>
        </w:rPr>
        <w:t>——————————————————————————————————————————————————————————————————————</w:t>
      </w:r>
    </w:p>
    <w:p>
      <w:pPr>
        <w:spacing w:before="160" w:after="80" w:line="240" w:lineRule="auto"/>
      </w:pPr>
      <w:r>
        <w:rPr>
          <w:b/>
        </w:rPr>
        <w:t xml:space="preserve">[10] </w:t>
      </w:r>
      <w:hyperlink r:id="rId20">
        <w:r>
          <w:rPr>
            <w:color w:val="1155CC"/>
            <w:u w:val="single"/>
          </w:rPr>
          <w:t>Entropy-guided design of thermoelectric properties in multi-component compounds</w:t>
        </w:r>
      </w:hyperlink>
    </w:p>
    <w:p>
      <w:pPr>
        <w:spacing w:before="0" w:after="120" w:line="240" w:lineRule="auto"/>
      </w:pPr>
      <w:r>
        <w:rPr>
          <w:b/>
        </w:rPr>
        <w:t xml:space="preserve">Source: </w:t>
      </w:r>
      <w:r>
        <w:t>Matter</w:t>
      </w:r>
      <w:r>
        <w:t xml:space="preserve">    </w:t>
      </w:r>
      <w:r>
        <w:rPr>
          <w:b/>
        </w:rPr>
        <w:t xml:space="preserve">Pub date: </w:t>
      </w:r>
      <w:r>
        <w:t>2025-12-23 00:00:00+00:00</w:t>
      </w:r>
    </w:p>
    <w:p>
      <w:pPr>
        <w:spacing w:before="0" w:after="120"/>
      </w:pPr>
      <w:r>
        <w:rPr>
          <w:b/>
        </w:rPr>
        <w:t xml:space="preserve">Notes: </w:t>
      </w:r>
      <w:r>
        <w:t>abstract_source=rss_cell</w:t>
      </w:r>
    </w:p>
    <w:p>
      <w:pPr>
        <w:spacing w:before="0" w:after="200" w:lineRule="auto" w:line="276"/>
      </w:pPr>
      <w:r>
        <w:rPr>
          <w:b/>
        </w:rPr>
        <w:t xml:space="preserve">Abstract: </w:t>
      </w:r>
      <w:r>
        <w:t>(Matter 8, 102410; December 3, 2025)</w:t>
      </w:r>
    </w:p>
    <w:p>
      <w:pPr>
        <w:spacing w:before="120" w:after="120"/>
      </w:pPr>
      <w:r>
        <w:rPr>
          <w:sz w:val="18"/>
        </w:rPr>
        <w:t>——————————————————————————————————————————————————————————————————————</w:t>
      </w:r>
    </w:p>
    <w:p>
      <w:pPr>
        <w:spacing w:before="160" w:after="80" w:line="240" w:lineRule="auto"/>
      </w:pPr>
      <w:r>
        <w:rPr>
          <w:b/>
        </w:rPr>
        <w:t xml:space="preserve">[11] </w:t>
      </w:r>
      <w:hyperlink r:id="rId21">
        <w:r>
          <w:rPr>
            <w:color w:val="1155CC"/>
            <w:u w:val="single"/>
          </w:rPr>
          <w:t>Seeding opportunities for Black atmospheric scientists</w:t>
        </w:r>
      </w:hyperlink>
    </w:p>
    <w:p>
      <w:pPr>
        <w:spacing w:before="0" w:after="120" w:line="240" w:lineRule="auto"/>
      </w:pPr>
      <w:r>
        <w:rPr>
          <w:b/>
        </w:rPr>
        <w:t xml:space="preserve">Source: </w:t>
      </w:r>
      <w:r>
        <w:t>Nature</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 </w:t>
      </w:r>
      <w:hyperlink r:id="rId22">
        <w:r>
          <w:rPr>
            <w:color w:val="1155CC"/>
            <w:u w:val="single"/>
          </w:rPr>
          <w:t>Allocation equality of battery replacement subsidy for electric buses: Evidence from provinces and cities in China</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 </w:t>
      </w:r>
      <w:hyperlink r:id="rId23">
        <w:r>
          <w:rPr>
            <w:color w:val="1155CC"/>
            <w:u w:val="single"/>
          </w:rPr>
          <w:t>Single-cell RNA sequencing reveals a quiescence-senescence continuum and distinct senotypes following chemotherapy</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Quiescence (reversible cell-cycle arrest) and senescence (irreversible arrest) are challenging to distinguish due to a lack of specific biomarkers, yet both arise simultaneously after chemotherapy. While senescence suppresses tumors by limiting proliferation and recruiting the immune system, quiescent cancer cells evade future therapies and may resume proliferation. Here, we pair time-lapse imaging of cell-cycle dynamics with single-cell RNA sequencing after etoposide treatment to differentiate these states, linking heterogeneous cell-cycle phenotypes to the transcriptomic landscape. We identify diverse senescent types (senotypes) and link them to two arrest pathways — a gradual path arising after a standard mitosis-to-G0 transition, and an alternative direct path driven by a mitotic slip. Using pseudotime trajectory analysis, we find that senescent phenotypes begin to manifest early and gradually along the first trajectory, even in shallow quiescent cells. These data support a model wherein, following chemotherapy, quiescence and senescence exist on a continuum of cell-cycle withdrawal at a transcriptome-wide level.</w:t>
      </w:r>
    </w:p>
    <w:p>
      <w:pPr>
        <w:spacing w:before="120" w:after="120"/>
      </w:pPr>
      <w:r>
        <w:rPr>
          <w:sz w:val="18"/>
        </w:rPr>
        <w:t>——————————————————————————————————————————————————————————————————————</w:t>
      </w:r>
    </w:p>
    <w:p>
      <w:pPr>
        <w:spacing w:before="160" w:after="80" w:line="240" w:lineRule="auto"/>
      </w:pPr>
      <w:r>
        <w:rPr>
          <w:b/>
        </w:rPr>
        <w:t xml:space="preserve">[14] </w:t>
      </w:r>
      <w:hyperlink r:id="rId24">
        <w:r>
          <w:rPr>
            <w:color w:val="1155CC"/>
            <w:u w:val="single"/>
          </w:rPr>
          <w:t>Author Correction: Rolling back human pluripotent stem cells to an eight-cell embryo-like stage</w:t>
        </w:r>
      </w:hyperlink>
    </w:p>
    <w:p>
      <w:pPr>
        <w:spacing w:before="0" w:after="120" w:line="240" w:lineRule="auto"/>
      </w:pPr>
      <w:r>
        <w:rPr>
          <w:b/>
        </w:rPr>
        <w:t xml:space="preserve">Source: </w:t>
      </w:r>
      <w:r>
        <w:t>Nature</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[15] </w:t>
      </w:r>
      <w:hyperlink r:id="rId25">
        <w:r>
          <w:rPr>
            <w:color w:val="1155CC"/>
            <w:u w:val="single"/>
          </w:rPr>
          <w:t>Why plastic recycling stalls</w:t>
        </w:r>
      </w:hyperlink>
    </w:p>
    <w:p>
      <w:pPr>
        <w:spacing w:before="0" w:after="120" w:line="240" w:lineRule="auto"/>
      </w:pPr>
      <w:r>
        <w:rPr>
          <w:b/>
        </w:rPr>
        <w:t xml:space="preserve">Source: </w:t>
      </w:r>
      <w:r>
        <w:t>Nature Nanotechnology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[16] </w:t>
      </w:r>
      <w:hyperlink r:id="rId26">
        <w:r>
          <w:rPr>
            <w:color w:val="1155CC"/>
            <w:u w:val="single"/>
          </w:rPr>
          <w:t>Unlocking silicon’s hidden talent for spin quantum photonics</w:t>
        </w:r>
      </w:hyperlink>
    </w:p>
    <w:p>
      <w:pPr>
        <w:spacing w:before="0" w:after="120" w:line="240" w:lineRule="auto"/>
      </w:pPr>
      <w:r>
        <w:rPr>
          <w:b/>
        </w:rPr>
        <w:t xml:space="preserve">Source: </w:t>
      </w:r>
      <w:r>
        <w:t>Nature Nanotechnology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 </w:t>
      </w:r>
      <w:hyperlink r:id="rId27">
        <w:r>
          <w:rPr>
            <w:color w:val="1155CC"/>
            <w:u w:val="single"/>
          </w:rPr>
          <w:t>Nanorobots hold PD-L1 and break membrane of colorectal cancer cells for immunotherapy</w:t>
        </w:r>
      </w:hyperlink>
    </w:p>
    <w:p>
      <w:pPr>
        <w:spacing w:before="0" w:after="120" w:line="240" w:lineRule="auto"/>
      </w:pPr>
      <w:r>
        <w:rPr>
          <w:b/>
        </w:rPr>
        <w:t xml:space="preserve">Source: </w:t>
      </w:r>
      <w:r>
        <w:t>Nature Nanotechnology</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Limited immune cell infiltration is the main reason for poor immunotherapeutic efficacy in colorectal cancer patients. Here we design a peptide-based nanorobot that recognizes PD-L1 and breaks cancer cell membranes by in situ forming fibrils through a pH-responsive module. The nanorobot shows long retention in targeted tumours (&gt;120 h) through interaction with PD-L1 and blocks PD-1/PD-L1 to activate the T cell killing effect. At the same time, in the tumour microenvironment (pH 6.5), it forms fibrils that break the cancer cell membrane, inducing immunogenic cell death with the release of damage-associated molecular patterns and the subsequent infiltration of T cells. The nanorobot shows higher therapeutic efficacy than the regimen of αPD-L1+oxaliplatin in a variety of colorectal-cancer-tumour-bearing mouse models and has good biocompatibility due to the targeted breakage of cancer cells, exhibiting great potential for colorectal cancer immunotherapy in clinic.</w:t>
      </w:r>
    </w:p>
    <w:p>
      <w:pPr>
        <w:spacing w:before="120" w:after="120"/>
      </w:pPr>
      <w:r>
        <w:rPr>
          <w:sz w:val="18"/>
        </w:rPr>
        <w:t>——————————————————————————————————————————————————————————————————————</w:t>
      </w:r>
    </w:p>
    <w:p>
      <w:pPr>
        <w:spacing w:before="160" w:after="80" w:line="240" w:lineRule="auto"/>
      </w:pPr>
      <w:r>
        <w:rPr>
          <w:b/>
        </w:rPr>
        <w:t xml:space="preserve">[18] </w:t>
      </w:r>
      <w:hyperlink r:id="rId28">
        <w:r>
          <w:rPr>
            <w:color w:val="1155CC"/>
            <w:u w:val="single"/>
          </w:rPr>
          <w:t>Portable hand-powered nanocatalysis for water disinfection</w:t>
        </w:r>
      </w:hyperlink>
    </w:p>
    <w:p>
      <w:pPr>
        <w:spacing w:before="0" w:after="120" w:line="240" w:lineRule="auto"/>
      </w:pPr>
      <w:r>
        <w:rPr>
          <w:b/>
        </w:rPr>
        <w:t xml:space="preserve">Source: </w:t>
      </w:r>
      <w:r>
        <w:t>Nature Nanotechnology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[19] </w:t>
      </w:r>
      <w:hyperlink r:id="rId29">
        <w:r>
          <w:rPr>
            <w:color w:val="1155CC"/>
            <w:u w:val="single"/>
          </w:rPr>
          <w:t>Historical and future learning for the new era of multi-terawatt photovoltaics</w:t>
        </w:r>
      </w:hyperlink>
    </w:p>
    <w:p>
      <w:pPr>
        <w:spacing w:before="0" w:after="120" w:line="240" w:lineRule="auto"/>
      </w:pPr>
      <w:r>
        <w:rPr>
          <w:b/>
        </w:rPr>
        <w:t xml:space="preserve">Source: </w:t>
      </w:r>
      <w:r>
        <w:t>Nature Energy</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Solar photovoltaics (PV) is entering a new era of multi-terawatt deployment, with 2 TW already in service and more than 75 TW predicted in many scenarios by 2050. This next era has been enabled by over five decades of cumulative advances in PV module cost reduction, performance and reliability. The current scale of deployment also introduces new needs, opportunities and challenges. In this Perspective we frame a path forwards based on learning, broadly defined as a combination of expansion of knowledge and advances through research and development, experience and collaboration. We discuss historical topics where learning has driven PV deployment until now, and emerging areas that are required to sustain high levels of future deployment. We expect progress to continue in terms of module price, performance and reliability, driven by advances in PV cell and module design, the emergence of tandem devices and increased focus on extending module lifetimes. Large-scale deployment also means large-scale sustainability and responsibility. We therefore posit that additional metrics, such as the impact on global CO2 emissions, resource consumption and design for reuse and recycling, will become increasingly important to the PV industry and provide opportunities for further learning.</w:t>
      </w:r>
    </w:p>
    <w:p>
      <w:pPr>
        <w:spacing w:before="120" w:after="120"/>
      </w:pPr>
      <w:r>
        <w:rPr>
          <w:sz w:val="18"/>
        </w:rPr>
        <w:t>——————————————————————————————————————————————————————————————————————</w:t>
      </w:r>
    </w:p>
    <w:p>
      <w:pPr>
        <w:spacing w:before="160" w:after="80" w:line="240" w:lineRule="auto"/>
      </w:pPr>
      <w:r>
        <w:rPr>
          <w:b/>
        </w:rPr>
        <w:t xml:space="preserve">[20] </w:t>
      </w:r>
      <w:hyperlink r:id="rId30">
        <w:r>
          <w:rPr>
            <w:color w:val="1155CC"/>
            <w:u w:val="single"/>
          </w:rPr>
          <w:t>A brain-to-small intestine circuit mediates morphine-induced constipation in male mice</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Opioid-induced constipation is one of the most common and persistent side effect of opioid analgesics, yet the underlying neural mechanism(s) remain unclear. Here we show morphine-induced constipation is mediated by a neural circuit from glutamatergic neurons in the paraventricular nucleus of hypothalamus (PVNGlu) to acetylcholinergic neurons in the dorsal motor nucleus of the vagus (DMVAch), and subsequently to the small intestine in mice. Microendoscopic calcium imaging revealed morphine inhibits the PVNGlu→DMVAch→small intestine circuit, and this is accompanied by decreased small intestinal motility. Chemogenetic activation of this circuit, as well as pharmacological inhibition or knockdown of the μ-opioid receptor (MOR) in PVNGlu neurons alleviates morphine-induced constipation. Conversely, artificial inhibition of this circuit mimics morphine-induced constipation in naïve mice. Moreover, we show that morphine suppresses tonic NMDA receptor-mediated currents in DMVAch neurons. These findings reveal a brain-gut circuit underlying opioid-induced constipation and suggest potential therapeutic strategies to mitigate this debilitating side effect.</w:t>
      </w:r>
    </w:p>
    <w:p>
      <w:pPr>
        <w:spacing w:before="120" w:after="120"/>
      </w:pPr>
      <w:r>
        <w:rPr>
          <w:sz w:val="18"/>
        </w:rPr>
        <w:t>——————————————————————————————————————————————————————————————————————</w:t>
      </w:r>
    </w:p>
    <w:p>
      <w:pPr>
        <w:spacing w:before="160" w:after="80" w:line="240" w:lineRule="auto"/>
      </w:pPr>
      <w:r>
        <w:rPr>
          <w:b/>
        </w:rPr>
        <w:t xml:space="preserve">[21] </w:t>
      </w:r>
      <w:hyperlink r:id="rId31">
        <w:r>
          <w:rPr>
            <w:color w:val="1155CC"/>
            <w:u w:val="single"/>
          </w:rPr>
          <w:t>Magnetically controlled microrobotic system for programmable stiffness tuning and active steering of microcatheters</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Surgical tasks in small tortuous lumens demand interventional instruments with controllable mechanical adaptability. However, current microcatheters lack a non-disruptive, integration-ready strategy for dynamic stiffness tuning—critical for meeting the divergent mechanical demands for compliant steering and stable advancement. Here, we present a microrobotic system based on a helix-shaped magnetic soft microrobot (Helixoft) that compatibly integrates with commercial microcatheters (down to 300 μm in diameter), enabling continuous stiffness tuning (up to 40-fold) and precise steering, both controlled magnetically, free of any other potentially harmful stimuli. Stiffness tuning and active steering are independently controlled via a decoupled control strategy by the helical motion and torque-driven bending of independent microrobot components. This stiffness and structure reconfiguration allow the integrated microcatheter to perform large-angle navigation, precision payload delivery, and localised tissue biopsy without unintended buckling or tissue damage. We validate the system in both ex-vivo oviduct biopsy and in-vivo drug delivery to the fourth-generation bronchi of live pigs. The Helixoft system provides a minimally disruptive robotic strategy for the mechanical reconfiguration in confined and sensitive luminal environments.</w:t>
      </w:r>
    </w:p>
    <w:p>
      <w:pPr>
        <w:spacing w:before="120" w:after="120"/>
      </w:pPr>
      <w:r>
        <w:rPr>
          <w:sz w:val="18"/>
        </w:rPr>
        <w:t>——————————————————————————————————————————————————————————————————————</w:t>
      </w:r>
    </w:p>
    <w:p>
      <w:pPr>
        <w:spacing w:before="160" w:after="80" w:line="240" w:lineRule="auto"/>
      </w:pPr>
      <w:r>
        <w:rPr>
          <w:b/>
        </w:rPr>
        <w:t xml:space="preserve">[22] </w:t>
      </w:r>
      <w:hyperlink r:id="rId32">
        <w:r>
          <w:rPr>
            <w:color w:val="1155CC"/>
            <w:u w:val="single"/>
          </w:rPr>
          <w:t>The benefits of exploring a large scenario space for future energy systems</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Energy scenario analysis with optimization approaches rarely goes beyond a small number of scenarios. Disadvantages include limited coverage of uncertainties and assumptions, and a limited ability to provide robust policy advice. We present an approach that enables the multi-criterial evaluation of more than 11,000 scenarios and demonstrate it for the German power system. We vary both a wide range of input parameters and method choices. The resulting scenarios are assessed through a number of indicators on affordability, supply-security and sustainability. The most significant impacts on the results stem from considering multiple weather years. Furthermore, we estimate the number of runs required for robust energy systems analyses – well over 100 scenarios are needed. Nevertheless, fewer scenarios may be sufficient for limited scopes. Our analysis also underlines a challenge for future energy system design: cost-efficient decarbonization while conserving natural resources.</w:t>
      </w:r>
    </w:p>
    <w:p>
      <w:pPr>
        <w:spacing w:before="120" w:after="120"/>
      </w:pPr>
      <w:r>
        <w:rPr>
          <w:sz w:val="18"/>
        </w:rPr>
        <w:t>——————————————————————————————————————————————————————————————————————</w:t>
      </w:r>
    </w:p>
    <w:p>
      <w:pPr>
        <w:spacing w:before="160" w:after="80" w:line="240" w:lineRule="auto"/>
      </w:pPr>
      <w:r>
        <w:rPr>
          <w:b/>
        </w:rPr>
        <w:t xml:space="preserve">[23] </w:t>
      </w:r>
      <w:hyperlink r:id="rId33">
        <w:r>
          <w:rPr>
            <w:color w:val="1155CC"/>
            <w:u w:val="single"/>
          </w:rPr>
          <w:t>Mitigating urban‒rural disparities in humid-heat risks in China</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Global warming is intensifying compound humid-heat threats, yet long-term risk assessments accounting for urban‒rural disparities remain scarce. In this study, we develop a comprehensive risk assessment framework by integrating the Intergovernmental Panel on Climate Change risk approach with indicators from the United Nations Sustainable Development Goals related to humid-heat mitigation and adaptation. Applying this framework to China from 2001 to 2020, we find that sustainable development progress substantially reduces vulnerability, particularly in urban areas, leading to a decline in humid-heat risk. In contrast, rural areas show a slower vulnerability reduction compared to urban areas and show no statistically significant change in humid-heat risk, despite a narrowing urban-rural risk gap. Regional disparities in sustainable development are key drivers of risk heterogeneity in both urban and rural settings. Our findings underscore the urgency of coordinated urban-rural development to simultaneously advance sustainable development and climate adaptation.</w:t>
      </w:r>
    </w:p>
    <w:p>
      <w:pPr>
        <w:spacing w:before="120" w:after="120"/>
      </w:pPr>
      <w:r>
        <w:rPr>
          <w:sz w:val="18"/>
        </w:rPr>
        <w:t>——————————————————————————————————————————————————————————————————————</w:t>
      </w:r>
    </w:p>
    <w:p>
      <w:pPr>
        <w:spacing w:before="160" w:after="80" w:line="240" w:lineRule="auto"/>
      </w:pPr>
      <w:r>
        <w:rPr>
          <w:b/>
        </w:rPr>
        <w:t xml:space="preserve">[24] </w:t>
      </w:r>
      <w:hyperlink r:id="rId34">
        <w:r>
          <w:rPr>
            <w:color w:val="1155CC"/>
            <w:u w:val="single"/>
          </w:rPr>
          <w:t>A device of the past and the future</w:t>
        </w:r>
      </w:hyperlink>
    </w:p>
    <w:p>
      <w:pPr>
        <w:spacing w:before="0" w:after="120" w:line="240" w:lineRule="auto"/>
      </w:pPr>
      <w:r>
        <w:rPr>
          <w:b/>
        </w:rPr>
        <w:t xml:space="preserve">Source: </w:t>
      </w:r>
      <w:r>
        <w:t>Nature Electronics</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 </w:t>
      </w:r>
      <w:hyperlink r:id="rId35">
        <w:r>
          <w:rPr>
            <w:color w:val="1155CC"/>
            <w:u w:val="single"/>
          </w:rPr>
          <w:t>Public-private partnership in energy investment and inclusive growth</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 </w:t>
      </w:r>
      <w:hyperlink r:id="rId36">
        <w:r>
          <w:rPr>
            <w:color w:val="1155CC"/>
            <w:u w:val="single"/>
          </w:rPr>
          <w:t>Stretchable hermetic sealing for long-term soft-electronics protection</w:t>
        </w:r>
      </w:hyperlink>
    </w:p>
    <w:p>
      <w:pPr>
        <w:spacing w:before="0" w:after="120" w:line="240" w:lineRule="auto"/>
      </w:pPr>
      <w:r>
        <w:rPr>
          <w:b/>
        </w:rPr>
        <w:t xml:space="preserve">Source: </w:t>
      </w:r>
      <w:r>
        <w:t>National Science Review Advance Access</w:t>
      </w:r>
      <w:r>
        <w:t xml:space="preserve">    </w:t>
      </w:r>
      <w:r>
        <w:rPr>
          <w:b/>
        </w:rPr>
        <w:t xml:space="preserve">Pub date: </w:t>
      </w:r>
      <w:r>
        <w:t>2025-12-23 00:00:00+00:00</w:t>
      </w:r>
      <w:r>
        <w:t xml:space="preserve">    </w:t>
      </w:r>
      <w:r>
        <w:rPr>
          <w:b/>
        </w:rPr>
        <w:t xml:space="preserve">DOI: </w:t>
      </w:r>
      <w:hyperlink r:id="rId37">
        <w:r>
          <w:rPr>
            <w:color w:val="1155CC"/>
            <w:u w:val="single"/>
          </w:rPr>
          <w:t>10.1093/nsr/nwaf576/8402871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 </w:t>
      </w:r>
      <w:hyperlink r:id="rId38">
        <w:r>
          <w:rPr>
            <w:color w:val="1155CC"/>
            <w:u w:val="single"/>
          </w:rPr>
          <w:t>The marketization of green electricity trading and investment decisions of new energy enterprises</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 </w:t>
      </w:r>
      <w:hyperlink r:id="rId39">
        <w:r>
          <w:rPr>
            <w:color w:val="1155CC"/>
            <w:u w:val="single"/>
          </w:rPr>
          <w:t>Demand response optimization incorporating thermal comfort in single-family houses with on-site generation: a systematic review</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 </w:t>
      </w:r>
      <w:hyperlink r:id="rId40">
        <w:r>
          <w:rPr>
            <w:color w:val="1155CC"/>
            <w:u w:val="single"/>
          </w:rPr>
          <w:t>Energy storage capacity planning for cross-regional resource complementarity: a cooperative game framework</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 </w:t>
      </w:r>
      <w:hyperlink r:id="rId41">
        <w:r>
          <w:rPr>
            <w:color w:val="1155CC"/>
            <w:u w:val="single"/>
          </w:rPr>
          <w:t>Enhancing representative photovoltaic scenario extraction for multiple power stations with a shared-weight and adaptively fused graph clustering method</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 </w:t>
      </w:r>
      <w:hyperlink r:id="rId42">
        <w:r>
          <w:rPr>
            <w:color w:val="1155CC"/>
            <w:u w:val="single"/>
          </w:rPr>
          <w:t>Design of integrated renewable energy and recirculating aquaculture systems under uncertainty: a two-stage stochastic optimisation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 </w:t>
      </w:r>
      <w:hyperlink r:id="rId43">
        <w:r>
          <w:rPr>
            <w:color w:val="1155CC"/>
            <w:u w:val="single"/>
          </w:rPr>
          <w:t>Dynamic performance and control of Carnot battery-based combined cooling, heating and power systems with cascaded latent thermal energy stores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 </w:t>
      </w:r>
      <w:hyperlink r:id="rId44">
        <w:r>
          <w:rPr>
            <w:color w:val="1155CC"/>
            <w:u w:val="single"/>
          </w:rPr>
          <w:t>Integrating methane partial oxidation and thermoelectric generation in a Swiss-roll reactor: Hydrogen and electricity dual production and life cycle assessment</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 </w:t>
      </w:r>
      <w:hyperlink r:id="rId45">
        <w:r>
          <w:rPr>
            <w:color w:val="1155CC"/>
            <w:u w:val="single"/>
          </w:rPr>
          <w:t>Assessing the financial viability of PV integration and grid expansion for wind farms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 </w:t>
      </w:r>
      <w:hyperlink r:id="rId46">
        <w:r>
          <w:rPr>
            <w:color w:val="1155CC"/>
            <w:u w:val="single"/>
          </w:rPr>
          <w:t>Rethinking residential energy policy: A review of priorities and directions for effective and equitable demand-side management</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 </w:t>
      </w:r>
      <w:hyperlink r:id="rId47">
        <w:r>
          <w:rPr>
            <w:color w:val="1155CC"/>
            <w:u w:val="single"/>
          </w:rPr>
          <w:t>Dynamic seasonal energy management of borehole thermal energy storage and smart heat pump synergies in fossil-free, ultra-efficient buildings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 </w:t>
      </w:r>
      <w:hyperlink r:id="rId48">
        <w:r>
          <w:rPr>
            <w:color w:val="1155CC"/>
            <w:u w:val="single"/>
          </w:rPr>
          <w:t>Multi-objective optimization and techno-economic assessment of solar-assisted medium-deep borehole seasonal thermal energy storage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[38] </w:t>
      </w:r>
      <w:hyperlink r:id="rId49">
        <w:r>
          <w:rPr>
            <w:color w:val="1155CC"/>
            <w:u w:val="single"/>
          </w:rPr>
          <w:t>Privacy-preserving economic dispatch for multi-energy virtual power plants: A distributed approach against Sybil attacks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[39] </w:t>
      </w:r>
      <w:hyperlink r:id="rId50">
        <w:r>
          <w:rPr>
            <w:color w:val="1155CC"/>
            <w:u w:val="single"/>
          </w:rPr>
          <w:t>Applications of graphene in energy storage devices: From fundamental research to engineering practice</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[40] </w:t>
      </w:r>
      <w:hyperlink r:id="rId51">
        <w:r>
          <w:rPr>
            <w:color w:val="1155CC"/>
            <w:u w:val="single"/>
          </w:rPr>
          <w:t>Optimism, pessimism, and chaos worldwide: A comparative study of energy management performance with robust benchmarking methods</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[41] </w:t>
      </w:r>
      <w:hyperlink r:id="rId52">
        <w:r>
          <w:rPr>
            <w:color w:val="1155CC"/>
            <w:u w:val="single"/>
          </w:rPr>
          <w:t>Advanced technology and applications of small-scale, modular, and distributed biomass direct air capture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 </w:t>
      </w:r>
      <w:hyperlink r:id="rId53">
        <w:r>
          <w:rPr>
            <w:color w:val="1155CC"/>
            <w:u w:val="single"/>
          </w:rPr>
          <w:t>Pomeranchuk instability from electronic correlations in CsTi3Bi5 kagome metal</w:t>
        </w:r>
      </w:hyperlink>
    </w:p>
    <w:p>
      <w:pPr>
        <w:spacing w:before="0" w:after="120" w:line="240" w:lineRule="auto"/>
      </w:pPr>
      <w:r>
        <w:rPr>
          <w:b/>
        </w:rPr>
        <w:t xml:space="preserve">Source: </w:t>
      </w:r>
      <w:r>
        <w:t>Nature Communications</w:t>
      </w:r>
      <w:r>
        <w:t xml:space="preserve">    </w:t>
      </w:r>
      <w:r>
        <w:rPr>
          <w:b/>
        </w:rPr>
        <w:t xml:space="preserve">Pub date: </w:t>
      </w:r>
      <w:r>
        <w:t>2025-12-23 00:00:00+00:00</w:t>
      </w:r>
    </w:p>
    <w:p>
      <w:pPr>
        <w:spacing w:before="0" w:after="120"/>
      </w:pPr>
      <w:r>
        <w:rPr>
          <w:b/>
        </w:rPr>
        <w:t xml:space="preserve">Notes: </w:t>
      </w:r>
      <w:r>
        <w:t>abstract_source=nature_html</w:t>
      </w:r>
    </w:p>
    <w:p>
      <w:pPr>
        <w:spacing w:before="0" w:after="200" w:lineRule="auto" w:line="276"/>
      </w:pPr>
      <w:r>
        <w:rPr>
          <w:b/>
        </w:rPr>
        <w:t xml:space="preserve">Abstract: </w:t>
      </w:r>
      <w:r>
        <w:t>Electronic nematicity, the spontaneous breaking of rotational symmetry, has emerged as a key instability in correlated quantum systems. CsTi3Bi5, a kagome metal of the AV3Sb5 (A = K, Rb, Cs) family, hosts rich unconventional electronic phases, yet the origin of its nematicity remains unsettled. Here, we combine polarization-dependent angle-resolved photoemission spectroscopy with functional renormalization group calculations on a fully interacting ab initio model. We reveal an orbital-selective nematic deformation in the low-energy band structure and identify a finite angular momentum (d-wave) Pomeranchuk instability driven by electronic correlations in specific orbital channels and detuning from Van Hove singularities. Our results establish a direct link between orbital selectivity and symmetry-breaking instabilities in CsTi3Bi5, providing a microscopic framework for nematic order in kagome systems.</w:t>
      </w:r>
    </w:p>
    <w:p>
      <w:pPr>
        <w:spacing w:before="120" w:after="120"/>
      </w:pPr>
      <w:r>
        <w:rPr>
          <w:sz w:val="18"/>
        </w:rPr>
        <w:t>——————————————————————————————————————————————————————————————————————</w:t>
      </w:r>
    </w:p>
    <w:p>
      <w:pPr>
        <w:spacing w:before="160" w:after="80" w:line="240" w:lineRule="auto"/>
      </w:pPr>
      <w:r>
        <w:rPr>
          <w:b/>
        </w:rPr>
        <w:t xml:space="preserve">[43] </w:t>
      </w:r>
      <w:hyperlink r:id="rId54">
        <w:r>
          <w:rPr>
            <w:color w:val="1155CC"/>
            <w:u w:val="single"/>
          </w:rPr>
          <w:t>A cross-regional analysis of policies, regulations, and incentives from the United States, the European Union, China, and Australia for shaping hydrogen economy</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 </w:t>
      </w:r>
      <w:hyperlink r:id="rId55">
        <w:r>
          <w:rPr>
            <w:color w:val="1155CC"/>
            <w:u w:val="single"/>
          </w:rPr>
          <w:t>Technology-society nexus in post-COP 27 era: How digital innovation, energy transition, and green finance drive net-zero pathways in OECD countries</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[45] </w:t>
      </w:r>
      <w:hyperlink r:id="rId56">
        <w:r>
          <w:rPr>
            <w:color w:val="1155CC"/>
            <w:u w:val="single"/>
          </w:rPr>
          <w:t>Barrier or driver: Patent thickets in the path of technological transition</w:t>
        </w:r>
      </w:hyperlink>
    </w:p>
    <w:p>
      <w:pPr>
        <w:spacing w:before="0" w:after="120" w:line="240" w:lineRule="auto"/>
      </w:pPr>
      <w:r>
        <w:rPr>
          <w:b/>
        </w:rPr>
        <w:t xml:space="preserve">Source: </w:t>
      </w:r>
      <w:r>
        <w:t>ScienceDirect Publication: Energy Policy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 </w:t>
      </w:r>
      <w:hyperlink r:id="rId57">
        <w:r>
          <w:rPr>
            <w:color w:val="1155CC"/>
            <w:u w:val="single"/>
          </w:rPr>
          <w:t>Pricing CO2 as a dual commodity: Engineering-driven market design for CCUS deployment</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 </w:t>
      </w:r>
      <w:hyperlink r:id="rId58">
        <w:r>
          <w:rPr>
            <w:color w:val="1155CC"/>
            <w:u w:val="single"/>
          </w:rPr>
          <w:t>Deep reinforcement learning-based multi-objective energy management system for microgrids under flexible energy market</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 </w:t>
      </w:r>
      <w:hyperlink r:id="rId59">
        <w:r>
          <w:rPr>
            <w:color w:val="1155CC"/>
            <w:u w:val="single"/>
          </w:rPr>
          <w:t>Attention-enhanced residual networks for real-time multi-label power quality disturbance classification with fast iterative filtering</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 </w:t>
      </w:r>
      <w:hyperlink r:id="rId60">
        <w:r>
          <w:rPr>
            <w:color w:val="1155CC"/>
            <w:u w:val="single"/>
          </w:rPr>
          <w:t>Transforming adverse effect into beneficial outcome: A design strategy leveraging non-uniform flow for enhanced performance of PEM fuel cells</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 </w:t>
      </w:r>
      <w:hyperlink r:id="rId61">
        <w:r>
          <w:rPr>
            <w:color w:val="1155CC"/>
            <w:u w:val="single"/>
          </w:rPr>
          <w:t>Resilience-driven planning in smart distribution systems: A multi-stage stochastic robust optimization framework for solar farm and battery integration</w:t>
        </w:r>
      </w:hyperlink>
    </w:p>
    <w:p>
      <w:pPr>
        <w:spacing w:before="0" w:after="120" w:line="240" w:lineRule="auto"/>
      </w:pPr>
      <w:r>
        <w:rPr>
          <w:b/>
        </w:rPr>
        <w:t xml:space="preserve">Source: </w:t>
      </w:r>
      <w:r>
        <w:t>ScienceDirect Publication: Applied Energy</w:t>
      </w:r>
      <w:r>
        <w:t xml:space="preserve">    </w:t>
      </w:r>
      <w:r>
        <w:rPr>
          <w:b/>
        </w:rPr>
        <w:t xml:space="preserve">Pub date: </w:t>
      </w:r>
      <w:r>
        <w:t>2025-12-23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 </w:t>
      </w:r>
      <w:hyperlink r:id="rId62">
        <w:r>
          <w:rPr>
            <w:color w:val="1155CC"/>
            <w:u w:val="single"/>
          </w:rPr>
          <w:t>A Universal Polyelectrolyte‐Locking Strategy: From Common Proteins to Stable Unfolded Protein‐Based Adhesives for Rapid and Robust Tissue Sealing</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07:02:13+00:00</w:t>
      </w:r>
      <w:r>
        <w:t xml:space="preserve">    </w:t>
      </w:r>
      <w:r>
        <w:rPr>
          <w:b/>
        </w:rPr>
        <w:t xml:space="preserve">DOI: </w:t>
      </w:r>
      <w:hyperlink r:id="rId63">
        <w:r>
          <w:rPr>
            <w:color w:val="1155CC"/>
            <w:u w:val="single"/>
          </w:rPr>
          <w:t>10.1002/adma.202511921</w:t>
        </w:r>
      </w:hyperlink>
    </w:p>
    <w:p>
      <w:pPr>
        <w:spacing w:before="0" w:after="120"/>
      </w:pPr>
      <w:r>
        <w:rPr>
          <w:b/>
        </w:rPr>
        <w:t xml:space="preserve">Notes: </w:t>
      </w:r>
      <w:r>
        <w:t>abstract_source=crossref</w:t>
      </w:r>
    </w:p>
    <w:p>
      <w:pPr>
        <w:spacing w:before="0" w:after="200" w:lineRule="auto" w:line="276"/>
      </w:pPr>
      <w:r>
        <w:rPr>
          <w:b/>
        </w:rPr>
        <w:t xml:space="preserve">Abstract: </w:t>
      </w:r>
      <w:r>
        <w:t>Marine protein adhesives present robust wet adhesion by mediating interfacial interactions through surface‐exposed hydrophobic domains/adhesive groups and maintaining cohesive networks via intrinsically disordered protein structures. Replicating these capabilities in common protein systems remains challenging, especially in stabilizing hydrophobic residues at interface and improving cohesive properties. Here, we developed unfolded protein‐based adhesives via a universal strategy of locking with polyelectrolytes that have flexible long chains and high charge density. These polyelectrolytes simultaneously stabilize exposed hydrophobic residues on the unfolded proteins and reinforce cohesion properties via chain entanglement with electrostatic/hydrogen bonding interactions. The unfolded bovine serum albumin (UBSA) and polyacrylic acid (PAA) are integrated to prepare a representative tissue adhesive (UBSA‐PAA), exemplifying the polyelectrolyte‐locking strategy. The UBSA‐PAA adhesive demonstrated interfacial hydrophobicity (water contact angles &amp;gt;90°) and excellent adhesion performance on wet tissue. In severe liver and femoral artery hemorrhage models, this adhesive significantly reduced blood loss compared to commercial fibrin glue, while maintaining comparable biocompatibility. This polyelectrolyte‐locking molecular engineering strategy provides a universal framework for designing protein‐based adhesives with excellent wet adhesion performance.</w:t>
      </w:r>
    </w:p>
    <w:p>
      <w:pPr>
        <w:spacing w:before="120" w:after="120"/>
      </w:pPr>
      <w:r>
        <w:rPr>
          <w:sz w:val="18"/>
        </w:rPr>
        <w:t>——————————————————————————————————————————————————————————————————————</w:t>
      </w:r>
    </w:p>
    <w:p>
      <w:pPr>
        <w:spacing w:before="160" w:after="80" w:line="240" w:lineRule="auto"/>
      </w:pPr>
      <w:r>
        <w:rPr>
          <w:b/>
        </w:rPr>
        <w:t xml:space="preserve">[52] </w:t>
      </w:r>
      <w:hyperlink r:id="rId64">
        <w:r>
          <w:rPr>
            <w:color w:val="1155CC"/>
            <w:u w:val="single"/>
          </w:rPr>
          <w:t>Surface Avidity of Anionic Polypeptide Coatings on Layer‐by‐Layer Nanoparticles Target Cancer‐Associated Amino Acid Transporters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07:02:15+00:00</w:t>
      </w:r>
      <w:r>
        <w:t xml:space="preserve">    </w:t>
      </w:r>
      <w:r>
        <w:rPr>
          <w:b/>
        </w:rPr>
        <w:t xml:space="preserve">DOI: </w:t>
      </w:r>
      <w:hyperlink r:id="rId65">
        <w:r>
          <w:rPr>
            <w:color w:val="1155CC"/>
            <w:u w:val="single"/>
          </w:rPr>
          <w:t>10.1002/anie.202519203</w:t>
        </w:r>
      </w:hyperlink>
    </w:p>
    <w:p>
      <w:pPr>
        <w:spacing w:before="0" w:after="120"/>
      </w:pPr>
      <w:r>
        <w:rPr>
          <w:b/>
        </w:rPr>
        <w:t xml:space="preserve">Notes: </w:t>
      </w:r>
      <w:r>
        <w:t>abstract_source=crossref</w:t>
      </w:r>
    </w:p>
    <w:p>
      <w:pPr>
        <w:spacing w:before="0" w:after="200" w:lineRule="auto" w:line="276"/>
      </w:pPr>
      <w:r>
        <w:rPr>
          <w:b/>
        </w:rPr>
        <w:t xml:space="preserve">Abstract: </w:t>
      </w:r>
      <w:r>
        <w:t>Tumor‐targeted drug delivery enhances therapeutic efficacy while minimizing toxicity. Layer‐by‐layer nanoparticles (LbL‐NPs) coated with anionic polypeptides selectively bind to cancer cells, though the mechanisms have been unclear. Here, we integrated in silico and in vitro approaches—including gene expression analysis, receptor inhibition, and AI‐based protein modeling—to show that poly(L‐glutamate) (PLE)‐coated LbL‐NPs bind with high avidity to SLC1A5, a glutamine transporter overexpressed in cancer. We also discovered that PLE clusters SLC1A5 on the cell membrane, promoting prolonged cell surface retention. Poly(L‐aspartate) (PLD)‐coated NPs similarly bind SLC1A5 but also interact with faster internalizing transporters of anionic amino acids. Correlation analyses across cancer cell lines confirmed a strong link between transporter expression and nanoparticle (NP) association. These findings demonstrate that dense glutamate or aspartate presentation through electrostatically adsorbed polypeptides enables selective targeting of overexpressed transporters, providing a mechanistic framework for receptor‐targeted delivery that leverages metabolic characteristics of a range of solid tumor types.</w:t>
      </w:r>
    </w:p>
    <w:p>
      <w:pPr>
        <w:spacing w:before="120" w:after="120"/>
      </w:pPr>
      <w:r>
        <w:rPr>
          <w:sz w:val="18"/>
        </w:rPr>
        <w:t>——————————————————————————————————————————————————————————————————————</w:t>
      </w:r>
    </w:p>
    <w:p>
      <w:pPr>
        <w:spacing w:before="160" w:after="80" w:line="240" w:lineRule="auto"/>
      </w:pPr>
      <w:r>
        <w:rPr>
          <w:b/>
        </w:rPr>
        <w:t xml:space="preserve">[53] </w:t>
      </w:r>
      <w:hyperlink r:id="rId66">
        <w:r>
          <w:rPr>
            <w:color w:val="1155CC"/>
            <w:u w:val="single"/>
          </w:rPr>
          <w:t>Stereodivergent Synthesis of Three Contiguous Stereogenic Centers by Cu/Ir‐Catalyzed Borylallylation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07:03:38+00:00</w:t>
      </w:r>
      <w:r>
        <w:t xml:space="preserve">    </w:t>
      </w:r>
      <w:r>
        <w:rPr>
          <w:b/>
        </w:rPr>
        <w:t xml:space="preserve">DOI: </w:t>
      </w:r>
      <w:hyperlink r:id="rId67">
        <w:r>
          <w:rPr>
            <w:color w:val="1155CC"/>
            <w:u w:val="single"/>
          </w:rPr>
          <w:t>10.1002/anie.202523140</w:t>
        </w:r>
      </w:hyperlink>
    </w:p>
    <w:p>
      <w:pPr>
        <w:spacing w:before="0" w:after="120"/>
      </w:pPr>
      <w:r>
        <w:rPr>
          <w:b/>
        </w:rPr>
        <w:t xml:space="preserve">Notes: </w:t>
      </w:r>
      <w:r>
        <w:t>abstract_source=crossref</w:t>
      </w:r>
    </w:p>
    <w:p>
      <w:pPr>
        <w:spacing w:before="0" w:after="200" w:lineRule="auto" w:line="276"/>
      </w:pPr>
      <w:r>
        <w:rPr>
          <w:b/>
        </w:rPr>
        <w:t xml:space="preserve">Abstract: </w:t>
      </w:r>
      <w:r>
        <w:t>Polyfunctional compounds bearing multiple stereogenic centers are synthetically valuable and important for complex molecule preparation. Herein, a Cu/Ir‐catalyzed borylallylation of electron deficient alkenes is presented. The reaction operates by the cooperative function of a chiral Cu‐complex and a chiral Ir‐complex to generate products with high levels of stereocontrol. The method also allows for the stereodivergent synthesis of acyclic products with control of three stereogenic centers. Importantly, the products contain C─B, ester, and alkene functionalities, which allows for a diverse range of products to be generated. Finally, the highly functional nature of the products has been exploited in an efficient formal synthesis of the complex natural product (+)‐(β)‐Lycorane.</w:t>
      </w:r>
    </w:p>
    <w:p>
      <w:pPr>
        <w:spacing w:before="120" w:after="120"/>
      </w:pPr>
      <w:r>
        <w:rPr>
          <w:sz w:val="18"/>
        </w:rPr>
        <w:t>——————————————————————————————————————————————————————————————————————</w:t>
      </w:r>
    </w:p>
    <w:p>
      <w:pPr>
        <w:spacing w:before="160" w:after="80" w:line="240" w:lineRule="auto"/>
      </w:pPr>
      <w:r>
        <w:rPr>
          <w:b/>
        </w:rPr>
        <w:t xml:space="preserve">[54] </w:t>
      </w:r>
      <w:hyperlink r:id="rId68">
        <w:r>
          <w:rPr>
            <w:color w:val="1155CC"/>
            <w:u w:val="single"/>
          </w:rPr>
          <w:t>In Situ Dual‐Interface Modulation for Homogeneous Sn─Pb Perovskites and Efficient Tandem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07:03:56+00:00</w:t>
      </w:r>
      <w:r>
        <w:t xml:space="preserve">    </w:t>
      </w:r>
      <w:r>
        <w:rPr>
          <w:b/>
        </w:rPr>
        <w:t xml:space="preserve">DOI: </w:t>
      </w:r>
      <w:hyperlink r:id="rId69">
        <w:r>
          <w:rPr>
            <w:color w:val="1155CC"/>
            <w:u w:val="single"/>
          </w:rPr>
          <w:t>10.1002/adma.202519486</w:t>
        </w:r>
      </w:hyperlink>
    </w:p>
    <w:p>
      <w:pPr>
        <w:spacing w:before="0" w:after="120"/>
      </w:pPr>
      <w:r>
        <w:rPr>
          <w:b/>
        </w:rPr>
        <w:t xml:space="preserve">Notes: </w:t>
      </w:r>
      <w:r>
        <w:t>abstract_source=crossref</w:t>
      </w:r>
    </w:p>
    <w:p>
      <w:pPr>
        <w:spacing w:before="0" w:after="200" w:lineRule="auto" w:line="276"/>
      </w:pPr>
      <w:r>
        <w:rPr>
          <w:b/>
        </w:rPr>
        <w:t xml:space="preserve">Abstract: </w:t>
      </w:r>
      <w:r>
        <w:t>All‐perovskite tandem solar cells (TSCs) show great promise as the next‐generation photovoltaic technology with high theoretical efficiency and low fabrication cost. However, further progress in the TSCs is critically hampered by the subpar performance of mixed tin‐lead narrow‐bandgap bottom subcells, which arises from the uncontrolled crystallization, unbalanced Sn</w:t>
      </w:r>
      <w:r>
        <w:t xml:space="preserve"> </w:t>
      </w:r>
      <w:r>
        <w:t>2+</w:t>
      </w:r>
      <w:r>
        <w:t xml:space="preserve"> </w:t>
      </w:r>
      <w:r>
        <w:t>oxidation, and undesirable band alignment. Here, we develop an in situ dual‐interface modulation strategy for tin‐lead (Sn─Pb) perovskite solar cells (PSCs) by incorporating planar rigid tetrathiafulvalene (TTF) into the precursor solution. The interactions between electron donor TTF and Sn─Pb perovskite precursor constituents, coupled with the in situ self‐assembled dual‐interface enrichment of TTF, collectively regulate the crystallization dynamics, homogenize the Sn oxidation states, facilitate the carrier extraction and transport in the perovskite bulk and dual interfaces, and stabilize the perovskite structure. Such improvements enable homogeneous single‐junction Sn─Pb PSCs to achieve a champion power conversion efficiency (PCE) of 24.30%, together with a record‐high fill factor of 83.59% and excellent stability. Furthermore, we obtained a high PCE of 29.14% (certified 29.07%) in all‐perovskite TSCs. Encapsulated tandem retains 80% of its initial efficiency following 964 h of maximum power point tracking under simulated 1‐sun illumination in ambient air.</w:t>
      </w:r>
    </w:p>
    <w:p>
      <w:pPr>
        <w:spacing w:before="120" w:after="120"/>
      </w:pPr>
      <w:r>
        <w:rPr>
          <w:sz w:val="18"/>
        </w:rPr>
        <w:t>——————————————————————————————————————————————————————————————————————</w:t>
      </w:r>
    </w:p>
    <w:p>
      <w:pPr>
        <w:spacing w:before="160" w:after="80" w:line="240" w:lineRule="auto"/>
      </w:pPr>
      <w:r>
        <w:rPr>
          <w:b/>
        </w:rPr>
        <w:t xml:space="preserve">[55] </w:t>
      </w:r>
      <w:hyperlink r:id="rId70">
        <w:r>
          <w:rPr>
            <w:color w:val="1155CC"/>
            <w:u w:val="single"/>
          </w:rPr>
          <w:t>An Inter‐Locking Quasi‐Solid Cathode for Zinc‐Bromine Batteries with Stable 32000 Cycles</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07:03:59+00:00</w:t>
      </w:r>
      <w:r>
        <w:t xml:space="preserve">    </w:t>
      </w:r>
      <w:r>
        <w:rPr>
          <w:b/>
        </w:rPr>
        <w:t xml:space="preserve">DOI: </w:t>
      </w:r>
      <w:hyperlink r:id="rId71">
        <w:r>
          <w:rPr>
            <w:color w:val="1155CC"/>
            <w:u w:val="single"/>
          </w:rPr>
          <w:t>10.1002/adma.202517292</w:t>
        </w:r>
      </w:hyperlink>
    </w:p>
    <w:p>
      <w:pPr>
        <w:spacing w:before="0" w:after="120"/>
      </w:pPr>
      <w:r>
        <w:rPr>
          <w:b/>
        </w:rPr>
        <w:t xml:space="preserve">Notes: </w:t>
      </w:r>
      <w:r>
        <w:t>abstract_source=crossref</w:t>
      </w:r>
    </w:p>
    <w:p>
      <w:pPr>
        <w:spacing w:before="0" w:after="200" w:lineRule="auto" w:line="276"/>
      </w:pPr>
      <w:r>
        <w:rPr>
          <w:b/>
        </w:rPr>
        <w:t xml:space="preserve">Abstract: </w:t>
      </w:r>
      <w:r>
        <w:t>Zinc‐bromine static batteries employing solid bromine cathodes present compelling advantages of low‐cost, high‐safety, and extended‐lifespan for large‐scale energy storage applications. However, solid‐state bromine cathodes suffer from polybromide‐induced shuttle effects and substantial volume variations, leading to poor reversibility and severe self‐discharge. Herein, an inter‐locking, quasi‐solid bromine cathode enabling energetic static zinc‐bromine batteries are developed. Theoretical calculation and characterizations confirm that polyacrylamide (PAM) effectively encapsulates tribromide molecules within the charged bromine cathode, suppressing bromine dissolution and mitigating self‐discharge. Meanwhile, its flexibility accommodates volume changes and maintains conductive integrity. The resultant zinc‐bromine battery achieves ≈32000 cycles at 1 mAh cm</w:t>
      </w:r>
      <w:r>
        <w:t xml:space="preserve"> </w:t>
      </w:r>
      <w:r>
        <w:t>−2</w:t>
      </w:r>
      <w:r>
        <w:t xml:space="preserve"> </w:t>
      </w:r>
      <w:r>
        <w:t>, with an ultralow decay rate of 0.00016% per cycle. Meanwhile, it delivers scalable areal capacity up to 50 mAh cm</w:t>
      </w:r>
      <w:r>
        <w:t xml:space="preserve"> </w:t>
      </w:r>
      <w:r>
        <w:t>−2</w:t>
      </w:r>
      <w:r>
        <w:t xml:space="preserve"> </w:t>
      </w:r>
      <w:r>
        <w:t>. Pouch cell with 200 mAh demonstrates remarkable stability of 3500 cycles, while displays capacity retention of ≈93% after 48 h resting. The 1.5 Ah pouch cell delivers a practical energy density of 70 Wh kg</w:t>
      </w:r>
      <w:r>
        <w:t xml:space="preserve"> </w:t>
      </w:r>
      <w:r>
        <w:t>−1</w:t>
      </w:r>
      <w:r>
        <w:t xml:space="preserve"> </w:t>
      </w:r>
      <w:r>
        <w:t>based on the total mass of pouch cell, while its modular integration (≈18 Wh) enables storage of hybrid energy harvesting from solar and wind sources, demonstrating versatile applicability in multi‐scenario energy systems. This strategy establishes a viable pathway for developing practical zinc‐bromine batteries toward grid‐scale energy storage applications.</w:t>
      </w:r>
    </w:p>
    <w:p>
      <w:pPr>
        <w:spacing w:before="120" w:after="120"/>
      </w:pPr>
      <w:r>
        <w:rPr>
          <w:sz w:val="18"/>
        </w:rPr>
        <w:t>——————————————————————————————————————————————————————————————————————</w:t>
      </w:r>
    </w:p>
    <w:p>
      <w:pPr>
        <w:spacing w:before="160" w:after="80" w:line="240" w:lineRule="auto"/>
      </w:pPr>
      <w:r>
        <w:rPr>
          <w:b/>
        </w:rPr>
        <w:t xml:space="preserve">[56] </w:t>
      </w:r>
      <w:hyperlink r:id="rId72">
        <w:r>
          <w:rPr>
            <w:color w:val="1155CC"/>
            <w:u w:val="single"/>
          </w:rPr>
          <w:t>Ion Highway Regulator Enables Highly Reversible Zinc Metal Anode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2025-12-23 07:04:29+00:00</w:t>
      </w:r>
      <w:r>
        <w:t xml:space="preserve">    </w:t>
      </w:r>
      <w:r>
        <w:rPr>
          <w:b/>
        </w:rPr>
        <w:t xml:space="preserve">DOI: </w:t>
      </w:r>
      <w:hyperlink r:id="rId73">
        <w:r>
          <w:rPr>
            <w:color w:val="1155CC"/>
            <w:u w:val="single"/>
          </w:rPr>
          <w:t>10.1002/aenm.202505244</w:t>
        </w:r>
      </w:hyperlink>
    </w:p>
    <w:p>
      <w:pPr>
        <w:spacing w:before="0" w:after="120"/>
      </w:pPr>
      <w:r>
        <w:rPr>
          <w:b/>
        </w:rPr>
        <w:t xml:space="preserve">Notes: </w:t>
      </w:r>
      <w:r>
        <w:t>abstract_source=crossref</w:t>
      </w:r>
    </w:p>
    <w:p>
      <w:pPr>
        <w:spacing w:before="0" w:after="200" w:lineRule="auto" w:line="276"/>
      </w:pPr>
      <w:r>
        <w:rPr>
          <w:b/>
        </w:rPr>
        <w:t xml:space="preserve">Abstract: </w:t>
      </w:r>
      <w:r>
        <w:t>The issue of zinc dendrites and chaotic Zn</w:t>
      </w:r>
      <w:r>
        <w:t xml:space="preserve"> </w:t>
      </w:r>
      <w:r>
        <w:t>2+</w:t>
      </w:r>
      <w:r>
        <w:t xml:space="preserve"> </w:t>
      </w:r>
      <w:r>
        <w:t>deposition at electrode/electrolyte interface significantly hindered commercialization of aqueous zinc metal batteries (AZMBs). Therefore, we propose a Zn</w:t>
      </w:r>
      <w:r>
        <w:t xml:space="preserve"> </w:t>
      </w:r>
      <w:r>
        <w:t>2+</w:t>
      </w:r>
      <w:r>
        <w:t xml:space="preserve"> </w:t>
      </w:r>
      <w:r>
        <w:t>highway regulator strategy by introducing nano‐zirconium silicate interphase (ZSP) to address the above issues. ZSP with low Zn</w:t>
      </w:r>
      <w:r>
        <w:t xml:space="preserve"> </w:t>
      </w:r>
      <w:r>
        <w:t>2+</w:t>
      </w:r>
      <w:r>
        <w:t xml:space="preserve"> </w:t>
      </w:r>
      <w:r>
        <w:t>migration energy barrier of ZrSiO</w:t>
      </w:r>
      <w:r>
        <w:rPr>
          <w:vertAlign w:val="subscript"/>
        </w:rPr>
        <w:t>4</w:t>
      </w:r>
      <w:r>
        <w:t>can facilitate Zn</w:t>
      </w:r>
      <w:r>
        <w:t xml:space="preserve"> </w:t>
      </w:r>
      <w:r>
        <w:t>2+</w:t>
      </w:r>
      <w:r>
        <w:t xml:space="preserve"> </w:t>
      </w:r>
      <w:r>
        <w:t>transport efficiency and inhibit dendrite growth, thereby achieving highly reversible zinc metal anode. The featured ZSP@Zn//ZSP@Zn symmetric cell demonstrates an ultra‐long cycle life exceeding 4700 h at 0.25 mA cm</w:t>
      </w:r>
      <w:r>
        <w:t xml:space="preserve"> </w:t>
      </w:r>
      <w:r>
        <w:t>−2</w:t>
      </w:r>
      <w:r>
        <w:t xml:space="preserve"> </w:t>
      </w:r>
      <w:r>
        <w:t>(0.25 mAh cm</w:t>
      </w:r>
      <w:r>
        <w:t xml:space="preserve"> </w:t>
      </w:r>
      <w:r>
        <w:t>−2</w:t>
      </w:r>
      <w:r>
        <w:t xml:space="preserve"> </w:t>
      </w:r>
      <w:r>
        <w:t>). Even under a deep depth of discharge ≈85.4%, it still maintains stable operation for over 400 h. Furthermore, the advanced NH</w:t>
      </w:r>
      <w:r>
        <w:rPr>
          <w:vertAlign w:val="subscript"/>
        </w:rPr>
        <w:t>4</w:t>
      </w:r>
      <w:r>
        <w:t>V</w:t>
      </w:r>
      <w:r>
        <w:rPr>
          <w:vertAlign w:val="subscript"/>
        </w:rPr>
        <w:t>4</w:t>
      </w:r>
      <w:r>
        <w:t>O</w:t>
      </w:r>
      <w:r>
        <w:rPr>
          <w:vertAlign w:val="subscript"/>
        </w:rPr>
        <w:t>10</w:t>
      </w:r>
      <w:r>
        <w:t>//ZSP@Zn full cell, featuring a high mass loading of 15.25 mg cm</w:t>
      </w:r>
      <w:r>
        <w:t xml:space="preserve"> </w:t>
      </w:r>
      <w:r>
        <w:t>−2</w:t>
      </w:r>
      <w:r>
        <w:t xml:space="preserve"> </w:t>
      </w:r>
      <w:r>
        <w:t>(N/P = 2.1), exhibited stable performance over 520 cycles (1 A g</w:t>
      </w:r>
      <w:r>
        <w:t xml:space="preserve"> </w:t>
      </w:r>
      <w:r>
        <w:t>−1</w:t>
      </w:r>
      <w:r>
        <w:t xml:space="preserve"> </w:t>
      </w:r>
      <w:r>
        <w:t>), retaining 80.48% of initial capacity (187.32 mAh g</w:t>
      </w:r>
      <w:r>
        <w:t xml:space="preserve"> </w:t>
      </w:r>
      <w:r>
        <w:t>−1</w:t>
      </w:r>
      <w:r>
        <w:t xml:space="preserve"> </w:t>
      </w:r>
      <w:r>
        <w:t>). More surprisingly, the feature pouch cell with a loading of 11.96 mg cm</w:t>
      </w:r>
      <w:r>
        <w:t xml:space="preserve"> </w:t>
      </w:r>
      <w:r>
        <w:t>−2</w:t>
      </w:r>
      <w:r>
        <w:t xml:space="preserve"> </w:t>
      </w:r>
      <w:r>
        <w:t>(N/P = 2.3) demonstrated excellent performance (maximum capacity of 209.22 mAh g</w:t>
      </w:r>
      <w:r>
        <w:t xml:space="preserve"> </w:t>
      </w:r>
      <w:r>
        <w:t>−1</w:t>
      </w:r>
      <w:r>
        <w:t xml:space="preserve"> </w:t>
      </w:r>
      <w:r>
        <w:t>), maintaining a capacity retention rate of 81.14% after 150 cycles at 0.8 A g</w:t>
      </w:r>
      <w:r>
        <w:t xml:space="preserve"> </w:t>
      </w:r>
      <w:r>
        <w:t>−1</w:t>
      </w:r>
      <w:r>
        <w:t xml:space="preserve"> </w:t>
      </w:r>
      <w:r>
        <w:t>. This strategy provides a new avenue for highly reversible AZMBs.</w:t>
      </w:r>
    </w:p>
    <w:p>
      <w:pPr>
        <w:spacing w:before="120" w:after="120"/>
      </w:pPr>
      <w:r>
        <w:rPr>
          <w:sz w:val="18"/>
        </w:rPr>
        <w:t>——————————————————————————————————————————————————————————————————————</w:t>
      </w:r>
    </w:p>
    <w:p>
      <w:pPr>
        <w:spacing w:before="160" w:after="80" w:line="240" w:lineRule="auto"/>
      </w:pPr>
      <w:r>
        <w:rPr>
          <w:b/>
        </w:rPr>
        <w:t xml:space="preserve">[57] </w:t>
      </w:r>
      <w:hyperlink r:id="rId74">
        <w:r>
          <w:rPr>
            <w:color w:val="1155CC"/>
            <w:u w:val="single"/>
          </w:rPr>
          <w:t>Enabling Dynamic 3D Windmill Evaporator for Continuous Water Desalination, Localized Point Salt Crystallization and Harvesting, and Power 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07:04:56+00:00</w:t>
      </w:r>
      <w:r>
        <w:t xml:space="preserve">    </w:t>
      </w:r>
      <w:r>
        <w:rPr>
          <w:b/>
        </w:rPr>
        <w:t xml:space="preserve">DOI: </w:t>
      </w:r>
      <w:hyperlink r:id="rId75">
        <w:r>
          <w:rPr>
            <w:color w:val="1155CC"/>
            <w:u w:val="single"/>
          </w:rPr>
          <w:t>10.1002/adma.202514033</w:t>
        </w:r>
      </w:hyperlink>
    </w:p>
    <w:p>
      <w:pPr>
        <w:spacing w:before="0" w:after="120"/>
      </w:pPr>
      <w:r>
        <w:rPr>
          <w:b/>
        </w:rPr>
        <w:t xml:space="preserve">Notes: </w:t>
      </w:r>
      <w:r>
        <w:t>abstract_source=crossref</w:t>
      </w:r>
    </w:p>
    <w:p>
      <w:pPr>
        <w:spacing w:before="0" w:after="200" w:lineRule="auto" w:line="276"/>
      </w:pPr>
      <w:r>
        <w:rPr>
          <w:b/>
        </w:rPr>
        <w:t xml:space="preserve">Abstract: </w:t>
      </w:r>
      <w:r>
        <w:t>Solar steam generation is an eco‐friendly desalination method, but salt crystallization within the evaporator workspace decreases system efficiency and lifespan. We report an enabling dynamic 3D windmill evaporator that achieves continuous water desalination, localized point salt crystallization and harvesting. By adjusting the structure of the windmill evaporator and the position of the water transport point, the salt solution transport and backflow pathway can be controlled to produce different salt crystallization behaviors. Salt crystallization localized solely at the evaporator blade edge apex, spatially isolated from the water evaporation surface, ensuring steady steam generation and salt collection. The system maintained high evaporation rates of 2.25 kg m</w:t>
      </w:r>
      <w:r>
        <w:t xml:space="preserve"> </w:t>
      </w:r>
      <w:r>
        <w:t>−2</w:t>
      </w:r>
      <w:r>
        <w:t xml:space="preserve"> </w:t>
      </w:r>
      <w:r>
        <w:t>h</w:t>
      </w:r>
      <w:r>
        <w:t xml:space="preserve"> </w:t>
      </w:r>
      <w:r>
        <w:t>−1</w:t>
      </w:r>
      <w:r>
        <w:t xml:space="preserve"> </w:t>
      </w:r>
      <w:r>
        <w:t>and salt collection rates of 41.2 g m</w:t>
      </w:r>
      <w:r>
        <w:t xml:space="preserve"> </w:t>
      </w:r>
      <w:r>
        <w:t>−2</w:t>
      </w:r>
      <w:r>
        <w:t xml:space="preserve"> </w:t>
      </w:r>
      <w:r>
        <w:t>h</w:t>
      </w:r>
      <w:r>
        <w:t xml:space="preserve"> </w:t>
      </w:r>
      <w:r>
        <w:t>−1</w:t>
      </w:r>
      <w:r>
        <w:t xml:space="preserve"> </w:t>
      </w:r>
      <w:r>
        <w:t>over 420 h at 20 wt.% NaCl solution. Furthermore, the windmill evaporator combined with microgenerators can convert wind energy into electricity, one 3D dynamic system can generate peak voltage of 12 V and evaporation rate of 12.9 kg m</w:t>
      </w:r>
      <w:r>
        <w:t xml:space="preserve"> </w:t>
      </w:r>
      <w:r>
        <w:t>−2</w:t>
      </w:r>
      <w:r>
        <w:t xml:space="preserve"> </w:t>
      </w:r>
      <w:r>
        <w:t>h</w:t>
      </w:r>
      <w:r>
        <w:t xml:space="preserve"> </w:t>
      </w:r>
      <w:r>
        <w:t>−1</w:t>
      </w:r>
      <w:r>
        <w:t xml:space="preserve"> </w:t>
      </w:r>
      <w:r>
        <w:t>in outdoor testing. Finally, this study demonstrated an integrated “desalination‐wind electricity‐irrigation” system that utilized solar, terrestrial, and wind energy, which brings new hope for future energy conservation and sustainable development.</w:t>
      </w:r>
    </w:p>
    <w:p>
      <w:pPr>
        <w:spacing w:before="120" w:after="120"/>
      </w:pPr>
      <w:r>
        <w:rPr>
          <w:sz w:val="18"/>
        </w:rPr>
        <w:t>——————————————————————————————————————————————————————————————————————</w:t>
      </w:r>
    </w:p>
    <w:p>
      <w:pPr>
        <w:spacing w:before="160" w:after="80" w:line="240" w:lineRule="auto"/>
      </w:pPr>
      <w:r>
        <w:rPr>
          <w:b/>
        </w:rPr>
        <w:t xml:space="preserve">[58] </w:t>
      </w:r>
      <w:hyperlink r:id="rId76">
        <w:r>
          <w:rPr>
            <w:color w:val="1155CC"/>
            <w:u w:val="single"/>
          </w:rPr>
          <w:t>Structural Exploration of Zirconium Metal–Organic Frameworks Through Linker Desymmetrization and Modulator Compensation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07:04:59+00:00</w:t>
      </w:r>
      <w:r>
        <w:t xml:space="preserve">    </w:t>
      </w:r>
      <w:r>
        <w:rPr>
          <w:b/>
        </w:rPr>
        <w:t xml:space="preserve">DOI: </w:t>
      </w:r>
      <w:hyperlink r:id="rId77">
        <w:r>
          <w:rPr>
            <w:color w:val="1155CC"/>
            <w:u w:val="single"/>
          </w:rPr>
          <w:t>10.1002/adma.202514373</w:t>
        </w:r>
      </w:hyperlink>
    </w:p>
    <w:p>
      <w:pPr>
        <w:spacing w:before="0" w:after="120"/>
      </w:pPr>
      <w:r>
        <w:rPr>
          <w:b/>
        </w:rPr>
        <w:t xml:space="preserve">Notes: </w:t>
      </w:r>
      <w:r>
        <w:t>abstract_source=crossref</w:t>
      </w:r>
    </w:p>
    <w:p>
      <w:pPr>
        <w:spacing w:before="0" w:after="200" w:lineRule="auto" w:line="276"/>
      </w:pPr>
      <w:r>
        <w:rPr>
          <w:b/>
        </w:rPr>
        <w:t xml:space="preserve">Abstract: </w:t>
      </w:r>
      <w:r>
        <w:t>Zirconium‐based metal‐organic frameworks (Zr‐MOFs) feature exceptional thermal/chemical stability among various MOFs, enabling diverse applications. Their material properties are highly dependent on molecular structures consisting of Zr‐clusters and organic linkers. However, structural diversity in Zr‐MOFs remains constrained by the limited variety of known Zr‐clusters and the predominance of high‐symmetry linkers, which stems from the inherent symmetry constraints presented by Zr‐clusters. In this work, we develop a linker‐desymmetrization‐modulator‐compensation (LDMC) strategy to construct Zr‐MOFs with enhanced structural diversity. This approach reduces linker symmetry to create structural defects in Zr‐clusters, while such a thermodynamically unfavorable process can be compensated for by the coordination of modulators, such as benzoic acid and formic acid. As a result, two MOFs, PCN‐1005 and PCN‐1006, with unprecedented Zr‐clusters have been constructed. PCN‐1005 features an asymmetric Zr</w:t>
      </w:r>
      <w:r>
        <w:rPr>
          <w:vertAlign w:val="subscript"/>
        </w:rPr>
        <w:t>6</w:t>
      </w:r>
      <w:r>
        <w:t>cluster stabilized by mono‐ and capping benzoates. In PCN‐1006, a rare pentacarboxylate linker enables the formation of a dual‐node network comprised of both Zr</w:t>
      </w:r>
      <w:r>
        <w:rPr>
          <w:vertAlign w:val="subscript"/>
        </w:rPr>
        <w:t>6</w:t>
      </w:r>
      <w:r>
        <w:t>and Zr</w:t>
      </w:r>
      <w:r>
        <w:rPr>
          <w:vertAlign w:val="subscript"/>
        </w:rPr>
        <w:t>6</w:t>
      </w:r>
      <w:r>
        <w:t>‐f‐Zr</w:t>
      </w:r>
      <w:r>
        <w:rPr>
          <w:vertAlign w:val="subscript"/>
        </w:rPr>
        <w:t>6</w:t>
      </w:r>
      <w:r>
        <w:t>clusters, resulting in one‐dimensional channels with exceptional adsorption performance for methane and carbon dioxide, affording high selectivity over hydrogen. These findings underscore the advancement of the LDMC strategy in promoting the structural complexity and functionality of Zr‐MOFs, providing a versatile platform for energy and environmental applications.</w:t>
      </w:r>
    </w:p>
    <w:p>
      <w:pPr>
        <w:spacing w:before="120" w:after="120"/>
      </w:pPr>
      <w:r>
        <w:rPr>
          <w:sz w:val="18"/>
        </w:rPr>
        <w:t>——————————————————————————————————————————————————————————————————————</w:t>
      </w:r>
    </w:p>
    <w:p>
      <w:pPr>
        <w:spacing w:before="160" w:after="80" w:line="240" w:lineRule="auto"/>
      </w:pPr>
      <w:r>
        <w:rPr>
          <w:b/>
        </w:rPr>
        <w:t xml:space="preserve">[59] </w:t>
      </w:r>
      <w:hyperlink r:id="rId78">
        <w:r>
          <w:rPr>
            <w:color w:val="1155CC"/>
            <w:u w:val="single"/>
          </w:rPr>
          <w:t>Pb(Zr0.52Ti0.48)O3 Ferroelectric Ceramic X‐Ray Detectors with High‐Temperature Self‐Driven Sensitivity and Low Detection Limit</w:t>
        </w:r>
      </w:hyperlink>
    </w:p>
    <w:p>
      <w:pPr>
        <w:spacing w:before="0" w:after="120" w:line="240" w:lineRule="auto"/>
      </w:pPr>
      <w:r>
        <w:rPr>
          <w:b/>
        </w:rPr>
        <w:t xml:space="preserve">Source: </w:t>
      </w:r>
      <w:r>
        <w:t>Wiley: Advanced Materials: Table of Contents</w:t>
      </w:r>
      <w:r>
        <w:t xml:space="preserve">    </w:t>
      </w:r>
      <w:r>
        <w:rPr>
          <w:b/>
        </w:rPr>
        <w:t xml:space="preserve">Pub date: </w:t>
      </w:r>
      <w:r>
        <w:t>2025-12-23 07:14:50+00:00</w:t>
      </w:r>
      <w:r>
        <w:t xml:space="preserve">    </w:t>
      </w:r>
      <w:r>
        <w:rPr>
          <w:b/>
        </w:rPr>
        <w:t xml:space="preserve">DOI: </w:t>
      </w:r>
      <w:hyperlink r:id="rId79">
        <w:r>
          <w:rPr>
            <w:color w:val="1155CC"/>
            <w:u w:val="single"/>
          </w:rPr>
          <w:t>10.1002/adma.202517846</w:t>
        </w:r>
      </w:hyperlink>
    </w:p>
    <w:p>
      <w:pPr>
        <w:spacing w:before="0" w:after="120"/>
      </w:pPr>
      <w:r>
        <w:rPr>
          <w:b/>
        </w:rPr>
        <w:t xml:space="preserve">Notes: </w:t>
      </w:r>
      <w:r>
        <w:t>abstract_source=crossref</w:t>
      </w:r>
    </w:p>
    <w:p>
      <w:pPr>
        <w:spacing w:before="0" w:after="200" w:lineRule="auto" w:line="276"/>
      </w:pPr>
      <w:r>
        <w:rPr>
          <w:b/>
        </w:rPr>
        <w:t xml:space="preserve">Abstract: </w:t>
      </w:r>
      <w:r>
        <w:t>Advancing X‐ray detection technology hinges on creating next‐generation direct‐detection semiconductors that unite high sensitivity, exceptional stability, and self‐powered functionality. Here, Pb(Zr</w:t>
      </w:r>
      <w:r>
        <w:t xml:space="preserve"> </w:t>
      </w:r>
      <w:r>
        <w:t>0.52</w:t>
      </w:r>
      <w:r>
        <w:t xml:space="preserve"> </w:t>
      </w:r>
      <w:r>
        <w:t>Ti</w:t>
      </w:r>
      <w:r>
        <w:t xml:space="preserve"> </w:t>
      </w:r>
      <w:r>
        <w:t>0.48</w:t>
      </w:r>
      <w:r>
        <w:t xml:space="preserve"> </w:t>
      </w:r>
      <w:r>
        <w:t>)O</w:t>
      </w:r>
      <w:r>
        <w:rPr>
          <w:vertAlign w:val="subscript"/>
        </w:rPr>
        <w:t>3</w:t>
      </w:r>
      <w:r>
        <w:t>(PZT) ceramic is developed as a novel self‐powered X‐ray detection material due to its huge internal electrostatic field. Under 70 keV X‐ray radiation, the PZT ceramic detector shows a high sensitivity of 1196.82 µC Gy</w:t>
      </w:r>
      <w:r>
        <w:t xml:space="preserve"> </w:t>
      </w:r>
      <w:r>
        <w:t>air</w:t>
      </w:r>
      <w:r>
        <w:t xml:space="preserve"> </w:t>
      </w:r>
      <w:r>
        <w:t>−1</w:t>
      </w:r>
      <w:r>
        <w:t xml:space="preserve"> </w:t>
      </w:r>
      <w:r>
        <w:t>cm</w:t>
      </w:r>
      <w:r>
        <w:t xml:space="preserve"> </w:t>
      </w:r>
      <w:r>
        <w:t>−2</w:t>
      </w:r>
      <w:r>
        <w:t xml:space="preserve"> </w:t>
      </w:r>
      <w:r>
        <w:t>at room temperature, which is about 60 times larger than commercial</w:t>
      </w:r>
      <w:r>
        <w:t xml:space="preserve"> </w:t>
      </w:r>
      <w:r>
        <w:t>α</w:t>
      </w:r>
      <w:r>
        <w:t xml:space="preserve"> </w:t>
      </w:r>
      <w:r>
        <w:t>‐Se. Meanwhile, the minimum detectable limit reaches 7.31 nGy</w:t>
      </w:r>
      <w:r>
        <w:t xml:space="preserve"> </w:t>
      </w:r>
      <w:r>
        <w:t>air</w:t>
      </w:r>
      <w:r>
        <w:t xml:space="preserve"> </w:t>
      </w:r>
      <w:r>
        <w:t>s</w:t>
      </w:r>
      <w:r>
        <w:t xml:space="preserve"> </w:t>
      </w:r>
      <w:r>
        <w:t>−1</w:t>
      </w:r>
      <w:r>
        <w:t xml:space="preserve"> </w:t>
      </w:r>
      <w:r>
        <w:t>under 40 keV X‐ray. Interestingly, the self‐powered PZT ceramic detection properties can be regulated by temperature. At 125°C, the PZT detector exhibits a record self‐powered sensitivity of 544.69 µC Gy</w:t>
      </w:r>
      <w:r>
        <w:t xml:space="preserve"> </w:t>
      </w:r>
      <w:r>
        <w:t>air</w:t>
      </w:r>
      <w:r>
        <w:t xml:space="preserve"> </w:t>
      </w:r>
      <w:r>
        <w:t>−1</w:t>
      </w:r>
      <w:r>
        <w:t xml:space="preserve"> </w:t>
      </w:r>
      <w:r>
        <w:t>cm</w:t>
      </w:r>
      <w:r>
        <w:t xml:space="preserve"> </w:t>
      </w:r>
      <w:r>
        <w:t>−2</w:t>
      </w:r>
      <w:r>
        <w:t xml:space="preserve"> </w:t>
      </w:r>
      <w:r>
        <w:t>and an ultralow detection limit of 10.71 nGy</w:t>
      </w:r>
      <w:r>
        <w:t xml:space="preserve"> </w:t>
      </w:r>
      <w:r>
        <w:t>air</w:t>
      </w:r>
      <w:r>
        <w:t xml:space="preserve"> </w:t>
      </w:r>
      <w:r>
        <w:t>s</w:t>
      </w:r>
      <w:r>
        <w:t xml:space="preserve"> </w:t>
      </w:r>
      <w:r>
        <w:t>−1</w:t>
      </w:r>
      <w:r>
        <w:t xml:space="preserve"> </w:t>
      </w:r>
      <w:r>
        <w:t>under 70 keV X‐ray radiation. Moreover, the imaging capability of the self‐powered PZT ceramic detector is successfully demonstrated at 125°C. This first demonstration of heavy‐metal‐containing ferroelectric ceramics as excellent self‐powered X‐ray detection materials marks a breakthrough, revealing their potential for future high‐temperature applications and significantly advancing the use of ferroelectrics in this field.</w:t>
      </w:r>
    </w:p>
    <w:p>
      <w:pPr>
        <w:spacing w:before="120" w:after="120"/>
      </w:pPr>
      <w:r>
        <w:rPr>
          <w:sz w:val="18"/>
        </w:rPr>
        <w:t>——————————————————————————————————————————————————————————————————————</w:t>
      </w:r>
    </w:p>
    <w:p>
      <w:pPr>
        <w:spacing w:before="160" w:after="80" w:line="240" w:lineRule="auto"/>
      </w:pPr>
      <w:r>
        <w:rPr>
          <w:b/>
        </w:rPr>
        <w:t xml:space="preserve">[60] </w:t>
      </w:r>
      <w:hyperlink r:id="rId80">
        <w:r>
          <w:rPr>
            <w:color w:val="1155CC"/>
            <w:u w:val="single"/>
          </w:rPr>
          <w:t>Behavioral, experiential, and physiological signatures of mind blanking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81">
        <w:r>
          <w:rPr>
            <w:color w:val="1155CC"/>
            <w:u w:val="single"/>
          </w:rPr>
          <w:t>10.1073/pnas.2510262122</w:t>
        </w:r>
      </w:hyperlink>
    </w:p>
    <w:p>
      <w:pPr>
        <w:spacing w:before="0" w:after="120"/>
      </w:pPr>
      <w:r>
        <w:rPr>
          <w:b/>
        </w:rPr>
        <w:t xml:space="preserve">Notes: </w:t>
      </w:r>
      <w:r>
        <w:t>abstract_source=crossref</w:t>
      </w:r>
    </w:p>
    <w:p>
      <w:pPr>
        <w:spacing w:before="0" w:after="200" w:lineRule="auto" w:line="276"/>
      </w:pPr>
      <w:r>
        <w:rPr>
          <w:b/>
        </w:rPr>
        <w:t xml:space="preserve">Abstract: </w:t>
      </w:r>
      <w:r>
        <w:t>Does being awake necessarily mean being conscious of something? This study investigates the phenomenon of mind blanking (MB), characterized by an “emptiness of mind,” comparing it with mind wandering (MW) and on-task (ON) states. Using a sustained attention task and electroencephalogram monitoring, behavioral, and neurophysiological signatures of MB were examined in 62 participants. MB exhibited a specific pattern of behavioral lapses, as well as decreased fast oscillatory activity and complexity over posterior electrodes compared to MW. Functional connectivity analyses revealed decreased long-range interareal connectivity during MB, compared to both ON and MW states. Event-related potentials with source reconstruction and temporal decoding techniques indicated a significant disruption in visual processing during MB, starting from 200 ms post stimulus and echoing into the late-stage of visual processing, suggesting a disruption of conscious access to sensory information during MB. Electroencephalogram-derived markers allowed the prediction of mental states at the trial level, offering a finer view of conscious dynamics than subjective reports alone. Overall, these findings challenge the notion of the wakeful conscious mind as inherently content-oriented, suggesting that MB reflects genuine gaps in the stream of conscious thoughts, arising from disruptions in the generation or accessibility of thought content.</w:t>
      </w:r>
    </w:p>
    <w:p>
      <w:pPr>
        <w:spacing w:before="120" w:after="120"/>
      </w:pPr>
      <w:r>
        <w:rPr>
          <w:sz w:val="18"/>
        </w:rPr>
        <w:t>——————————————————————————————————————————————————————————————————————</w:t>
      </w:r>
    </w:p>
    <w:p>
      <w:pPr>
        <w:spacing w:before="160" w:after="80" w:line="240" w:lineRule="auto"/>
      </w:pPr>
      <w:r>
        <w:rPr>
          <w:b/>
        </w:rPr>
        <w:t xml:space="preserve">[61] </w:t>
      </w:r>
      <w:hyperlink r:id="rId82">
        <w:r>
          <w:rPr>
            <w:color w:val="1155CC"/>
            <w:u w:val="single"/>
          </w:rPr>
          <w:t>Competition between glycine and GABAA receptors for gephyrin controls their equilibrium populations at inhibitory synapses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83">
        <w:r>
          <w:rPr>
            <w:color w:val="1155CC"/>
            <w:u w:val="single"/>
          </w:rPr>
          <w:t>10.1073/pnas.2500226122</w:t>
        </w:r>
      </w:hyperlink>
    </w:p>
    <w:p>
      <w:pPr>
        <w:spacing w:before="0" w:after="120"/>
      </w:pPr>
      <w:r>
        <w:rPr>
          <w:b/>
        </w:rPr>
        <w:t xml:space="preserve">Notes: </w:t>
      </w:r>
      <w:r>
        <w:t>abstract_source=crossref</w:t>
      </w:r>
    </w:p>
    <w:p>
      <w:pPr>
        <w:spacing w:before="0" w:after="200" w:lineRule="auto" w:line="276"/>
      </w:pPr>
      <w:r>
        <w:rPr>
          <w:b/>
        </w:rPr>
        <w:t xml:space="preserve">Abstract: </w:t>
      </w:r>
      <w:r>
        <w:t>Glycine receptors (GlyR) and γ-aminobutyric acid type A receptors (GABA</w:t>
      </w:r>
      <w:r>
        <w:t xml:space="preserve"> </w:t>
      </w:r>
      <w:r>
        <w:t>A</w:t>
      </w:r>
      <w:r>
        <w:t xml:space="preserve"> </w:t>
      </w:r>
      <w:r>
        <w:t>R) are ligand-gated chloride channels that mediate inhibitory neurotransmission throughout the central nervous system. The receptors colocalize widely at inhibitory synapses in the spinal cord and in the brainstem due to their interaction with an overlapping binding site of the synaptic scaffold protein gephyrin, pointing to a direct competition between the different receptor types. We have put this hypothesis to the test using single-molecule approaches to measure receptor–gephyrin interactions in cells and in vitro. We explored the effects of receptor competition at inhibitory synapses in living neurons by measuring the change in the accumulation and effective stabilization energy of glycine receptors in the presence of interfering GABA receptor complexes through single-molecule tracking and diffusion analysis. Second, using molecular tweezers, we quantified the thermodynamic properties of receptor–gephyrin binding, demonstrating direct and reversible competition through the addition of interacting peptides in solution. The relatively low affinity of GABA receptor subunits for gephyrin compared to the glycine receptor raises interesting questions about the role of this competition in synaptic plasticity. We hypothesize that GABA and glycine receptor competition constitutes a molecular system designed to reconcile synapse stability and plasticity at mixed inhibitory synapses.</w:t>
      </w:r>
    </w:p>
    <w:p>
      <w:pPr>
        <w:spacing w:before="120" w:after="120"/>
      </w:pPr>
      <w:r>
        <w:rPr>
          <w:sz w:val="18"/>
        </w:rPr>
        <w:t>——————————————————————————————————————————————————————————————————————</w:t>
      </w:r>
    </w:p>
    <w:p>
      <w:pPr>
        <w:spacing w:before="160" w:after="80" w:line="240" w:lineRule="auto"/>
      </w:pPr>
      <w:r>
        <w:rPr>
          <w:b/>
        </w:rPr>
        <w:t xml:space="preserve">[62] </w:t>
      </w:r>
      <w:hyperlink r:id="rId84">
        <w:r>
          <w:rPr>
            <w:color w:val="1155CC"/>
            <w:u w:val="single"/>
          </w:rPr>
          <w:t>Arabidopsis kinesins KCH3 and KCH7 promote root gravitropism through actin bundling in the stele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85">
        <w:r>
          <w:rPr>
            <w:color w:val="1155CC"/>
            <w:u w:val="single"/>
          </w:rPr>
          <w:t>10.1073/pnas.2517012122</w:t>
        </w:r>
      </w:hyperlink>
    </w:p>
    <w:p>
      <w:pPr>
        <w:spacing w:before="0" w:after="120"/>
      </w:pPr>
      <w:r>
        <w:rPr>
          <w:b/>
        </w:rPr>
        <w:t xml:space="preserve">Notes: </w:t>
      </w:r>
      <w:r>
        <w:t>abstract_source=crossref</w:t>
      </w:r>
    </w:p>
    <w:p>
      <w:pPr>
        <w:spacing w:before="0" w:after="200" w:lineRule="auto" w:line="276"/>
      </w:pPr>
      <w:r>
        <w:rPr>
          <w:b/>
        </w:rPr>
        <w:t xml:space="preserve">Abstract: </w:t>
      </w:r>
      <w:r>
        <w:t>Root gravitropism is essential for plant adaptation to the environment. The cytoskeleton is known to play a critical role in gravitropism, but the underlying mechanisms remain unclear. In this study, we demonstrate that the</w:t>
      </w:r>
      <w:r>
        <w:t xml:space="preserve"> </w:t>
      </w:r>
      <w:r>
        <w:t>Arabidopsis</w:t>
      </w:r>
      <w:r>
        <w:t xml:space="preserve"> </w:t>
      </w:r>
      <w:r>
        <w:t>kinesins KCH3 and KCH7 (KCH3/7) are expressed and functionally active in the root stele. The</w:t>
      </w:r>
      <w:r>
        <w:t xml:space="preserve"> </w:t>
      </w:r>
      <w:r>
        <w:t>kch3 kch7</w:t>
      </w:r>
      <w:r>
        <w:t xml:space="preserve"> </w:t>
      </w:r>
      <w:r>
        <w:t>(</w:t>
      </w:r>
      <w:r>
        <w:t xml:space="preserve"> </w:t>
      </w:r>
      <w:r>
        <w:t>kch37</w:t>
      </w:r>
      <w:r>
        <w:t xml:space="preserve"> </w:t>
      </w:r>
      <w:r>
        <w:t>) double mutant exhibits delayed gravitropic responses, while stele-specific expression of either</w:t>
      </w:r>
      <w:r>
        <w:t xml:space="preserve"> </w:t>
      </w:r>
      <w:r>
        <w:t>KCH3</w:t>
      </w:r>
      <w:r>
        <w:t xml:space="preserve"> </w:t>
      </w:r>
      <w:r>
        <w:t>or</w:t>
      </w:r>
      <w:r>
        <w:t xml:space="preserve"> </w:t>
      </w:r>
      <w:r>
        <w:t>KCH7</w:t>
      </w:r>
      <w:r>
        <w:t xml:space="preserve"> </w:t>
      </w:r>
      <w:r>
        <w:t>rescues this defect. Both the calponin homology (CH) and motor domains of KCH3/7 are essential for mediating gravitropism. In vitro and in vivo assays reveal that KCH3/7 promotes actin filament (F-actin) bundling and its turnover in the root stele. Mutation of KCH3/7 results in altered PIN protein abundance and polarity in the root stele, leading to impaired acropetal auxin transport within the stele and reduced auxin accumulation in the root tip’s columella cells. This ultimately causes defective auxin redistribution during gravistimulation. Collectively, our findings highlight the importance of cytoskeletal organization and dynamics in the root stele for maintaining the auxin gradient in the root tip and for gravistimulation-induced auxin asymmetry.</w:t>
      </w:r>
    </w:p>
    <w:p>
      <w:pPr>
        <w:spacing w:before="120" w:after="120"/>
      </w:pPr>
      <w:r>
        <w:rPr>
          <w:sz w:val="18"/>
        </w:rPr>
        <w:t>——————————————————————————————————————————————————————————————————————</w:t>
      </w:r>
    </w:p>
    <w:p>
      <w:pPr>
        <w:spacing w:before="160" w:after="80" w:line="240" w:lineRule="auto"/>
      </w:pPr>
      <w:r>
        <w:rPr>
          <w:b/>
        </w:rPr>
        <w:t xml:space="preserve">[63] </w:t>
      </w:r>
      <w:hyperlink r:id="rId86">
        <w:r>
          <w:rPr>
            <w:color w:val="1155CC"/>
            <w:u w:val="single"/>
          </w:rPr>
          <w:t>In This Issue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87">
        <w:r>
          <w:rPr>
            <w:color w:val="1155CC"/>
            <w:u w:val="single"/>
          </w:rPr>
          <w:t>10.1073/iti5125122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 </w:t>
      </w:r>
      <w:hyperlink r:id="rId88">
        <w:r>
          <w:rPr>
            <w:color w:val="1155CC"/>
            <w:u w:val="single"/>
          </w:rPr>
          <w:t>A SynB1-conjugated antibody cocktail crosses the blood–brain barrier to produce a therapeutic effect on rabies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89">
        <w:r>
          <w:rPr>
            <w:color w:val="1155CC"/>
            <w:u w:val="single"/>
          </w:rPr>
          <w:t>10.1073/pnas.2516465122</w:t>
        </w:r>
      </w:hyperlink>
    </w:p>
    <w:p>
      <w:pPr>
        <w:spacing w:before="0" w:after="120"/>
      </w:pPr>
      <w:r>
        <w:rPr>
          <w:b/>
        </w:rPr>
        <w:t xml:space="preserve">Notes: </w:t>
      </w:r>
      <w:r>
        <w:t>abstract_source=crossref</w:t>
      </w:r>
    </w:p>
    <w:p>
      <w:pPr>
        <w:spacing w:before="0" w:after="200" w:lineRule="auto" w:line="276"/>
      </w:pPr>
      <w:r>
        <w:rPr>
          <w:b/>
        </w:rPr>
        <w:t xml:space="preserve">Abstract: </w:t>
      </w:r>
      <w:r>
        <w:t>Rabies, caused by the neurotropic</w:t>
      </w:r>
      <w:r>
        <w:t xml:space="preserve"> </w:t>
      </w:r>
      <w:r>
        <w:t>lyssavirus</w:t>
      </w:r>
      <w:r>
        <w:t xml:space="preserve"> </w:t>
      </w:r>
      <w:r>
        <w:t>rabies virus (RABV), is nearly 100% fatal after symptom onset. A fundamental challenge for rabies therapy is that the blood–brain barrier (BBB) prevents peripherally administered neutralizing antibodies from entering the central nervous system (CNS) to clear the infection. In this study, we initially generated four human–mouse chimeric antibodies with preserved neutralizing potency against RABV to increase its translational potential. To achieve brain antibody delivery, we conjugated a lead chimeric antibody (7A3-H) to different cell-penetrating peptides with potential BBB-penetrating capacity (RVG, TGN, THR, and SynB1). In vivo fluorescence imaging revealed that SynB1 conjugation significantly outperformed conjugation with the other peptides in terms of BBB penetration for brain antibody delivery. Furthermore, a triple-antibody cocktail (targeting epitopes II/III/IV of RABV-G) conjugated to SynB1 resulted in 80% survival in mice infected with lethal challenge virus standard (CVS) or dog-originated rabies virus (DRV) strains when it was administered at 5 dpi (when CNS invasion and symptoms were evident). In contrast, the unconjugated cocktail provided only 20% (CVS) or 0% (DRV) survival. Together, these data demonstrated that SynB1-mediated BBB penetration dramatically improved the therapeutic efficacy of anti-RABV antibodies, enabling post-symptom rescue of rabies. This antibody–peptide conjugation strategy provides a proof of concept for advancing rabies therapy, specifically by leveraging peptide-mediated enhancement of BBB penetration.</w:t>
      </w:r>
    </w:p>
    <w:p>
      <w:pPr>
        <w:spacing w:before="120" w:after="120"/>
      </w:pPr>
      <w:r>
        <w:rPr>
          <w:sz w:val="18"/>
        </w:rPr>
        <w:t>——————————————————————————————————————————————————————————————————————</w:t>
      </w:r>
    </w:p>
    <w:p>
      <w:pPr>
        <w:spacing w:before="160" w:after="80" w:line="240" w:lineRule="auto"/>
      </w:pPr>
      <w:r>
        <w:rPr>
          <w:b/>
        </w:rPr>
        <w:t xml:space="preserve">[65] </w:t>
      </w:r>
      <w:hyperlink r:id="rId90">
        <w:r>
          <w:rPr>
            <w:color w:val="1155CC"/>
            <w:u w:val="single"/>
          </w:rPr>
          <w:t>Anellovirus protein encoded by ORF2/3 functions as the viral replication initiation protein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91">
        <w:r>
          <w:rPr>
            <w:color w:val="1155CC"/>
            <w:u w:val="single"/>
          </w:rPr>
          <w:t>10.1073/pnas.2516306122</w:t>
        </w:r>
      </w:hyperlink>
    </w:p>
    <w:p>
      <w:pPr>
        <w:spacing w:before="0" w:after="120"/>
      </w:pPr>
      <w:r>
        <w:rPr>
          <w:b/>
        </w:rPr>
        <w:t xml:space="preserve">Notes: </w:t>
      </w:r>
      <w:r>
        <w:t>abstract_source=crossref</w:t>
      </w:r>
    </w:p>
    <w:p>
      <w:pPr>
        <w:spacing w:before="0" w:after="200" w:lineRule="auto" w:line="276"/>
      </w:pPr>
      <w:r>
        <w:rPr>
          <w:b/>
        </w:rPr>
        <w:t xml:space="preserve">Abstract: </w:t>
      </w:r>
      <w:r>
        <w:t>Anelloviridae</w:t>
      </w:r>
      <w:r>
        <w:t xml:space="preserve"> </w:t>
      </w:r>
      <w:r>
        <w:t>is a family of single-stranded DNA viruses that are thought to be nonpathogenic and commensal. Despite their ubiquitous presence in human populations, little is known about the anellovirus mechanism of replication in host cells. We identified the protein coded by ORF2/3 as necessary and sufficient to initiate replication from the minimal origin of replication for viruses of both the</w:t>
      </w:r>
      <w:r>
        <w:t xml:space="preserve"> </w:t>
      </w:r>
      <w:r>
        <w:t>Beta-</w:t>
      </w:r>
      <w:r>
        <w:t>and</w:t>
      </w:r>
      <w:r>
        <w:t xml:space="preserve"> </w:t>
      </w:r>
      <w:r>
        <w:t>Alphatorquevirus</w:t>
      </w:r>
      <w:r>
        <w:t xml:space="preserve"> </w:t>
      </w:r>
      <w:r>
        <w:t>genera. Supporting this observation, we identified components of the polymerase alpha and BTR (Bloom’s syndrome helicase (BLM), topoisomerase IIIα, RMI1, and RMI2) complexes as interacting with the viral replication initiation protein (Rip) during DNA replication, suggesting a recombination-dependent mechanism of replication that uses host cell machinery to mediate dissolution of replication intermediates. Furthermore, we mapped a 92-bp minimal origin of replication sequence for the</w:t>
      </w:r>
      <w:r>
        <w:t xml:space="preserve"> </w:t>
      </w:r>
      <w:r>
        <w:t>Betatorquevirus</w:t>
      </w:r>
      <w:r>
        <w:t xml:space="preserve"> </w:t>
      </w:r>
      <w:r>
        <w:t>genus composed of an adenine and thymine (AT)-rich stretch and a portion of the guanine and cytosine (GC)-rich region. Altogether, this study provides insight into the mechanism by which anelloviruses manipulate host cell machinery to facilitate viral genome replication and represents a significant step forward in understanding the complex processes underlying anellovirus replication and persistent infection of these important commensal viruses.</w:t>
      </w:r>
    </w:p>
    <w:p>
      <w:pPr>
        <w:spacing w:before="120" w:after="120"/>
      </w:pPr>
      <w:r>
        <w:rPr>
          <w:sz w:val="18"/>
        </w:rPr>
        <w:t>——————————————————————————————————————————————————————————————————————</w:t>
      </w:r>
    </w:p>
    <w:p>
      <w:pPr>
        <w:spacing w:before="160" w:after="80" w:line="240" w:lineRule="auto"/>
      </w:pPr>
      <w:r>
        <w:rPr>
          <w:b/>
        </w:rPr>
        <w:t xml:space="preserve">[66] </w:t>
      </w:r>
      <w:hyperlink r:id="rId92">
        <w:r>
          <w:rPr>
            <w:color w:val="1155CC"/>
            <w:u w:val="single"/>
          </w:rPr>
          <w:t>Early emergence of perceptual biases in the secondary somatosensory cortex</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93">
        <w:r>
          <w:rPr>
            <w:color w:val="1155CC"/>
            <w:u w:val="single"/>
          </w:rPr>
          <w:t>10.1073/pnas.2519255122</w:t>
        </w:r>
      </w:hyperlink>
    </w:p>
    <w:p>
      <w:pPr>
        <w:spacing w:before="0" w:after="120"/>
      </w:pPr>
      <w:r>
        <w:rPr>
          <w:b/>
        </w:rPr>
        <w:t xml:space="preserve">Notes: </w:t>
      </w:r>
      <w:r>
        <w:t>abstract_source=crossref</w:t>
      </w:r>
    </w:p>
    <w:p>
      <w:pPr>
        <w:spacing w:before="0" w:after="200" w:lineRule="auto" w:line="276"/>
      </w:pPr>
      <w:r>
        <w:rPr>
          <w:b/>
        </w:rPr>
        <w:t xml:space="preserve">Abstract: </w:t>
      </w:r>
      <w:r>
        <w:t>Working memory (WM) is distributed across multiple cortical areas, suggesting that behaviors relying on WM arise from interactions between these regions. In a recent study, we found that during delayed comparison tasks, the first stimulus is not represented veridically in the prefrontal cortex (PFC), but instead is encoded in a systematically warped manner–biased toward the mean of the stimulus distribution. This neural distortion, which emerges already during the stimulus presentation and persists throughout the delay period, closely mirrors a contraction bias observed in behavior. Furthermore, the behavioral responses could be explained by a Bayesian observer model, in which the observer integrates prior expectations with noisy sensory inputs. These results suggest that the geometry of PFC neural trajectories embodies Bayesian estimates that underlie biased decisions. Here, we investigate whether the secondary somatosensory cortex (S2)–a lower-level sensory area also implicated in tactile WM–exhibits a similar encoding structure. Our analyses reveal that although WM-related signals in S2 are less robust than in PFC, the neural state space in S2 shares key geometric features with that of PFC, including a similarly warped representation of stimulus values. These findings suggest that perceptual biases may originate early in the cortical processing stream and are not exclusively shaped by higher-order associative areas. More broadly, our results support a distributed organization of representational warping, in which even sensory areas contribute to the formation of bias-prone representations that guide behavior.</w:t>
      </w:r>
    </w:p>
    <w:p>
      <w:pPr>
        <w:spacing w:before="120" w:after="120"/>
      </w:pPr>
      <w:r>
        <w:rPr>
          <w:sz w:val="18"/>
        </w:rPr>
        <w:t>——————————————————————————————————————————————————————————————————————</w:t>
      </w:r>
    </w:p>
    <w:p>
      <w:pPr>
        <w:spacing w:before="160" w:after="80" w:line="240" w:lineRule="auto"/>
      </w:pPr>
      <w:r>
        <w:rPr>
          <w:b/>
        </w:rPr>
        <w:t xml:space="preserve">[67] </w:t>
      </w:r>
      <w:hyperlink r:id="rId94">
        <w:r>
          <w:rPr>
            <w:color w:val="1155CC"/>
            <w:u w:val="single"/>
          </w:rPr>
          <w:t>Loss of vitamin C biosynthesis protects from the pathology of a parasitic infection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95">
        <w:r>
          <w:rPr>
            <w:color w:val="1155CC"/>
            <w:u w:val="single"/>
          </w:rPr>
          <w:t>10.1073/pnas.2517730122</w:t>
        </w:r>
      </w:hyperlink>
    </w:p>
    <w:p>
      <w:pPr>
        <w:spacing w:before="0" w:after="120"/>
      </w:pPr>
      <w:r>
        <w:rPr>
          <w:b/>
        </w:rPr>
        <w:t xml:space="preserve">Notes: </w:t>
      </w:r>
      <w:r>
        <w:t>abstract_source=crossref</w:t>
      </w:r>
    </w:p>
    <w:p>
      <w:pPr>
        <w:spacing w:before="0" w:after="200" w:lineRule="auto" w:line="276"/>
      </w:pPr>
      <w:r>
        <w:rPr>
          <w:b/>
        </w:rPr>
        <w:t xml:space="preserve">Abstract: </w:t>
      </w:r>
      <w:r>
        <w:t>The ability to synthesize essential molecules is sometimes lost in evolution. A classic example is ascorbate (vitamin C), which is synthesized in most animals by L-gulonolactone oxidase (GULO), an enzyme lost multiple independent times in animal evolution. This event is thought to be evolutionarily neutral; however,</w:t>
      </w:r>
      <w:r>
        <w:t xml:space="preserve"> </w:t>
      </w:r>
      <w:r>
        <w:t>GULO-</w:t>
      </w:r>
      <w:r>
        <w:t>deficient animals including humans need to obtain ascorbate from their diet and are prone to ascorbate deficiency and scurvy. We therefore hypothesized that this disadvantage of GULO loss is offset by physiological benefits. Here, we show that ascorbate deficiency benefits mice infected with schistosome parasites, which cause schistosomiasis, a debilitating parasitic disease that afflicts 250 million people.</w:t>
      </w:r>
      <w:r>
        <w:t xml:space="preserve"> </w:t>
      </w:r>
      <w:r>
        <w:t>Schistosoma mansoni</w:t>
      </w:r>
      <w:r>
        <w:t xml:space="preserve"> </w:t>
      </w:r>
      <w:r>
        <w:t>worms required host ascorbate to produce eggs in vivo. Consequently, ascorbate-deficient mice were protected from schistosomiasis pathologies and transmission. Intermittent ascorbate deficiency protected</w:t>
      </w:r>
      <w:r>
        <w:t xml:space="preserve"> </w:t>
      </w:r>
      <w:r>
        <w:t>Gulo</w:t>
      </w:r>
      <w:r>
        <w:t xml:space="preserve"> </w:t>
      </w:r>
      <w:r>
        <w:t>-deficient mice from both scurvy and schistosomiasis mortality. The effects of ascorbate on schistosome reproduction were mediated by ascorbate-dependent histone demethylation which promoted vitellocyte development in female schistosomes. We propose that vitamin deficiencies are not always detrimental but can protect animals from pathogens which need to obtain vitamins from their host.</w:t>
      </w:r>
    </w:p>
    <w:p>
      <w:pPr>
        <w:spacing w:before="120" w:after="120"/>
      </w:pPr>
      <w:r>
        <w:rPr>
          <w:sz w:val="18"/>
        </w:rPr>
        <w:t>——————————————————————————————————————————————————————————————————————</w:t>
      </w:r>
    </w:p>
    <w:p>
      <w:pPr>
        <w:spacing w:before="160" w:after="80" w:line="240" w:lineRule="auto"/>
      </w:pPr>
      <w:r>
        <w:rPr>
          <w:b/>
        </w:rPr>
        <w:t xml:space="preserve">[68] </w:t>
      </w:r>
      <w:hyperlink r:id="rId96">
        <w:r>
          <w:rPr>
            <w:color w:val="1155CC"/>
            <w:u w:val="single"/>
          </w:rPr>
          <w:t>MicroRNA164d suppresses the HvNAC92-HvHKT1;5 module to enhance salinity tolerance in barley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97">
        <w:r>
          <w:rPr>
            <w:color w:val="1155CC"/>
            <w:u w:val="single"/>
          </w:rPr>
          <w:t>10.1073/pnas.2514555122</w:t>
        </w:r>
      </w:hyperlink>
    </w:p>
    <w:p>
      <w:pPr>
        <w:spacing w:before="0" w:after="120"/>
      </w:pPr>
      <w:r>
        <w:rPr>
          <w:b/>
        </w:rPr>
        <w:t xml:space="preserve">Notes: </w:t>
      </w:r>
      <w:r>
        <w:t>abstract_source=crossref</w:t>
      </w:r>
    </w:p>
    <w:p>
      <w:pPr>
        <w:spacing w:before="0" w:after="200" w:lineRule="auto" w:line="276"/>
      </w:pPr>
      <w:r>
        <w:rPr>
          <w:b/>
        </w:rPr>
        <w:t xml:space="preserve">Abstract: </w:t>
      </w:r>
      <w:r>
        <w:t>Cereal crops (e.g., rice, wheat, maize, and barley) constituted the major component of global human diet and fundamentally changed human society since the dawn of agriculture around 12,000 y ago. Originated and domesticated in different continents and environments, cereal crops vary significantly in their salt tolerance. The High-Affinity K</w:t>
      </w:r>
      <w:r>
        <w:t xml:space="preserve"> </w:t>
      </w:r>
      <w:r>
        <w:t>+</w:t>
      </w:r>
      <w:r>
        <w:t xml:space="preserve"> </w:t>
      </w:r>
      <w:r>
        <w:t>Transporter1;5s (HKT1;5s) predominately regulate Na</w:t>
      </w:r>
      <w:r>
        <w:t xml:space="preserve"> </w:t>
      </w:r>
      <w:r>
        <w:t>+</w:t>
      </w:r>
      <w:r>
        <w:t xml:space="preserve"> </w:t>
      </w:r>
      <w:r>
        <w:t>accumulation and salt tolerance in salt-sensitive cereal crops by mediating shoot-to-root Na</w:t>
      </w:r>
      <w:r>
        <w:t xml:space="preserve"> </w:t>
      </w:r>
      <w:r>
        <w:t>+</w:t>
      </w:r>
      <w:r>
        <w:t xml:space="preserve"> </w:t>
      </w:r>
      <w:r>
        <w:t>exclusion. However, HvHKT1;5 paradoxically promotes root-to-shoot Na</w:t>
      </w:r>
      <w:r>
        <w:t xml:space="preserve"> </w:t>
      </w:r>
      <w:r>
        <w:t>+</w:t>
      </w:r>
      <w:r>
        <w:t xml:space="preserve"> </w:t>
      </w:r>
      <w:r>
        <w:t>translocation in salt-tolerant barley. Therefore, unravelling the regulatory mechanisms of HvHKT1;5 is critical to understanding the molecular basis of salt tolerance in barley. Here, we demonstrated that a microRNA164d-HvNAC92-HvHKT1;5 module improves salt tolerance via reduced shoot Na</w:t>
      </w:r>
      <w:r>
        <w:t xml:space="preserve"> </w:t>
      </w:r>
      <w:r>
        <w:t>+</w:t>
      </w:r>
      <w:r>
        <w:t xml:space="preserve"> </w:t>
      </w:r>
      <w:r>
        <w:t>accumulation and increased K</w:t>
      </w:r>
      <w:r>
        <w:t xml:space="preserve"> </w:t>
      </w:r>
      <w:r>
        <w:t>+</w:t>
      </w:r>
      <w:r>
        <w:t xml:space="preserve"> </w:t>
      </w:r>
      <w:r>
        <w:t>retention in barley, whereas miR164d suppresses HvNAC92 transcription factor to directly downregulate</w:t>
      </w:r>
      <w:r>
        <w:t xml:space="preserve"> </w:t>
      </w:r>
      <w:r>
        <w:t>HvHKT1;5</w:t>
      </w:r>
      <w:r>
        <w:t xml:space="preserve"> </w:t>
      </w:r>
      <w:r>
        <w:t>expression. Under salinity condition, the</w:t>
      </w:r>
      <w:r>
        <w:t xml:space="preserve"> </w:t>
      </w:r>
      <w:r>
        <w:t>MIR164d</w:t>
      </w:r>
      <w:r>
        <w:t xml:space="preserve"> </w:t>
      </w:r>
      <w:r>
        <w:t>-OE,</w:t>
      </w:r>
      <w:r>
        <w:t xml:space="preserve"> </w:t>
      </w:r>
      <w:r>
        <w:t>Hvnac92</w:t>
      </w:r>
      <w:r>
        <w:t xml:space="preserve"> </w:t>
      </w:r>
      <w:r>
        <w:t>, and</w:t>
      </w:r>
      <w:r>
        <w:t xml:space="preserve"> </w:t>
      </w:r>
      <w:r>
        <w:t>Hvhkt1;5</w:t>
      </w:r>
      <w:r>
        <w:t xml:space="preserve"> </w:t>
      </w:r>
      <w:r>
        <w:t>lines showed significantly reduced root-to-shoot Na</w:t>
      </w:r>
      <w:r>
        <w:t xml:space="preserve"> </w:t>
      </w:r>
      <w:r>
        <w:t>+</w:t>
      </w:r>
      <w:r>
        <w:t xml:space="preserve"> </w:t>
      </w:r>
      <w:r>
        <w:t>translocation and shoot Na</w:t>
      </w:r>
      <w:r>
        <w:t xml:space="preserve"> </w:t>
      </w:r>
      <w:r>
        <w:t>+</w:t>
      </w:r>
      <w:r>
        <w:t xml:space="preserve"> </w:t>
      </w:r>
      <w:r>
        <w:t>content compared with the wild-type. In conclusion, we resolve the species-specific function of HKT1;5s in cereal crops by establishing miRNA-guided Na</w:t>
      </w:r>
      <w:r>
        <w:t xml:space="preserve"> </w:t>
      </w:r>
      <w:r>
        <w:t>+</w:t>
      </w:r>
      <w:r>
        <w:t xml:space="preserve"> </w:t>
      </w:r>
      <w:r>
        <w:t>and K</w:t>
      </w:r>
      <w:r>
        <w:t xml:space="preserve"> </w:t>
      </w:r>
      <w:r>
        <w:t>+</w:t>
      </w:r>
      <w:r>
        <w:t xml:space="preserve"> </w:t>
      </w:r>
      <w:r>
        <w:t>transport regulation as a regulatory framework for engineering salt-tolerant crops.</w:t>
      </w:r>
    </w:p>
    <w:p>
      <w:pPr>
        <w:spacing w:before="120" w:after="120"/>
      </w:pPr>
      <w:r>
        <w:rPr>
          <w:sz w:val="18"/>
        </w:rPr>
        <w:t>——————————————————————————————————————————————————————————————————————</w:t>
      </w:r>
    </w:p>
    <w:p>
      <w:pPr>
        <w:spacing w:before="160" w:after="80" w:line="240" w:lineRule="auto"/>
      </w:pPr>
      <w:r>
        <w:rPr>
          <w:b/>
        </w:rPr>
        <w:t xml:space="preserve">[69] </w:t>
      </w:r>
      <w:hyperlink r:id="rId98">
        <w:r>
          <w:rPr>
            <w:color w:val="1155CC"/>
            <w:u w:val="single"/>
          </w:rPr>
          <w:t>Neural crest cell recruitment and reprogramming as central drivers of embryonic limb regeneration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99">
        <w:r>
          <w:rPr>
            <w:color w:val="1155CC"/>
            <w:u w:val="single"/>
          </w:rPr>
          <w:t>10.1073/pnas.2519994122</w:t>
        </w:r>
      </w:hyperlink>
    </w:p>
    <w:p>
      <w:pPr>
        <w:spacing w:before="0" w:after="120"/>
      </w:pPr>
      <w:r>
        <w:rPr>
          <w:b/>
        </w:rPr>
        <w:t xml:space="preserve">Notes: </w:t>
      </w:r>
      <w:r>
        <w:t>abstract_source=crossref</w:t>
      </w:r>
    </w:p>
    <w:p>
      <w:pPr>
        <w:spacing w:before="0" w:after="200" w:lineRule="auto" w:line="276"/>
      </w:pPr>
      <w:r>
        <w:rPr>
          <w:b/>
        </w:rPr>
        <w:t xml:space="preserve">Abstract: </w:t>
      </w:r>
      <w:r>
        <w:t>Unlike regeneration-competent species, mammals lack epimorphic regeneration capacity, except for the most distal part of their digits. Here, we show that E10.5 mouse embryos can initiate regeneration of their forelimb bud (FB), but this capacity is lost by E12.5. Using comparative transcriptomics and in vivo lineage tracing approaches in the mouse embryo, we were able to identify a population of neural crest–derived cells (NCdCs) reexpressing early NC lineage molecular markers,</w:t>
      </w:r>
      <w:r>
        <w:t xml:space="preserve"> </w:t>
      </w:r>
      <w:r>
        <w:t>Wnt1</w:t>
      </w:r>
      <w:r>
        <w:t xml:space="preserve"> </w:t>
      </w:r>
      <w:r>
        <w:t>and</w:t>
      </w:r>
      <w:r>
        <w:t xml:space="preserve"> </w:t>
      </w:r>
      <w:r>
        <w:t>Foxd3</w:t>
      </w:r>
      <w:r>
        <w:t xml:space="preserve"> </w:t>
      </w:r>
      <w:r>
        <w:t>, specifically associated with regeneration at E10.5. Functional studies further reveal that these cells are required for FB regeneration and that the regenerative capacity lost in limb buds lacking NCdCs can be restored by exogenous transplantation of neural crest cells at E10.5. This work provides valuable information on the potential and prerequisites for regeneration in mammals.</w:t>
      </w:r>
    </w:p>
    <w:p>
      <w:pPr>
        <w:spacing w:before="120" w:after="120"/>
      </w:pPr>
      <w:r>
        <w:rPr>
          <w:sz w:val="18"/>
        </w:rPr>
        <w:t>——————————————————————————————————————————————————————————————————————</w:t>
      </w:r>
    </w:p>
    <w:p>
      <w:pPr>
        <w:spacing w:before="160" w:after="80" w:line="240" w:lineRule="auto"/>
      </w:pPr>
      <w:r>
        <w:rPr>
          <w:b/>
        </w:rPr>
        <w:t xml:space="preserve">[70] </w:t>
      </w:r>
      <w:hyperlink r:id="rId100">
        <w:r>
          <w:rPr>
            <w:color w:val="1155CC"/>
            <w:u w:val="single"/>
          </w:rPr>
          <w:t>PIP2 corrects an endothelial Piezo1 channelopathy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01">
        <w:r>
          <w:rPr>
            <w:color w:val="1155CC"/>
            <w:u w:val="single"/>
          </w:rPr>
          <w:t>10.1073/pnas.2522750122</w:t>
        </w:r>
      </w:hyperlink>
    </w:p>
    <w:p>
      <w:pPr>
        <w:spacing w:before="0" w:after="120"/>
      </w:pPr>
      <w:r>
        <w:rPr>
          <w:b/>
        </w:rPr>
        <w:t xml:space="preserve">Notes: </w:t>
      </w:r>
      <w:r>
        <w:t>abstract_source=crossref</w:t>
      </w:r>
    </w:p>
    <w:p>
      <w:pPr>
        <w:spacing w:before="0" w:after="200" w:lineRule="auto" w:line="276"/>
      </w:pPr>
      <w:r>
        <w:rPr>
          <w:b/>
        </w:rPr>
        <w:t xml:space="preserve">Abstract: </w:t>
      </w:r>
      <w:r>
        <w:t>Brain capillaries are sensors of neural activity. When a brain region is active, capillary endothelial cells (ECs) sense neuron-derived mediators and elicit a local increase in blood flow (functional hyperemia) to support the rise in metabolic needs. This hyperemic response involves a rapid electrical component and a slower chemical component that involves Gαq PCR (G</w:t>
      </w:r>
      <w:r>
        <w:t xml:space="preserve"> </w:t>
      </w:r>
      <w:r>
        <w:t>q</w:t>
      </w:r>
      <w:r>
        <w:t xml:space="preserve"> </w:t>
      </w:r>
      <w:r>
        <w:t>PCR) activation by agonists released from neurons. The intravascular forces associated with hyperemia engage mechanosensitive Piezo1-mediated signaling that serves a mechano-feedback control function to facilitate the return of elevated blood flow to basal levels. Whether G</w:t>
      </w:r>
      <w:r>
        <w:t xml:space="preserve"> </w:t>
      </w:r>
      <w:r>
        <w:t>q</w:t>
      </w:r>
      <w:r>
        <w:t xml:space="preserve"> </w:t>
      </w:r>
      <w:r>
        <w:t>PCR activity influences Piezo1 mechanosensitive signaling has not been explored, despite the potential significant implications of such crosstalk. Using patch-clamp electrophysiology and freshly isolated brain capillary ECs, we demonstrate that prostanoid or muscarinic G</w:t>
      </w:r>
      <w:r>
        <w:t xml:space="preserve"> </w:t>
      </w:r>
      <w:r>
        <w:t>q</w:t>
      </w:r>
      <w:r>
        <w:t xml:space="preserve"> </w:t>
      </w:r>
      <w:r>
        <w:t>PCR activation facilitates Piezo1 activity. Pharmacological studies revealed the involvement of Gαq and phospholipase C stimulation, as well as downstream phosphatidylinositol-4,5-bisphosphate (PIP</w:t>
      </w:r>
      <w:r>
        <w:rPr>
          <w:vertAlign w:val="subscript"/>
        </w:rPr>
        <w:t>2</w:t>
      </w:r>
      <w:r>
        <w:t>) hydrolysis in Piezo1 activation, but not signaling triggered by metabolites of PIP</w:t>
      </w:r>
      <w:r>
        <w:rPr>
          <w:vertAlign w:val="subscript"/>
        </w:rPr>
        <w:t>2</w:t>
      </w:r>
      <w:r>
        <w:t>hydrolysis. Exogenous application of nanomolar-to-micromolar PIP</w:t>
      </w:r>
      <w:r>
        <w:rPr>
          <w:vertAlign w:val="subscript"/>
        </w:rPr>
        <w:t>2</w:t>
      </w:r>
      <w:r>
        <w:t>suppressed Piezo1 open probability. Brain capillary ECs from mouse models of Alzheimer’s disease, cerebral small vessel disease, or Piezo1 gain-of-function mutation exhibited higher Piezo1 activity, that was corrected by exogenous ex vivo PIP</w:t>
      </w:r>
      <w:r>
        <w:rPr>
          <w:vertAlign w:val="subscript"/>
        </w:rPr>
        <w:t>2</w:t>
      </w:r>
      <w:r>
        <w:t>application. We finally tested in vivo the hypothesis that systemic PIP</w:t>
      </w:r>
      <w:r>
        <w:rPr>
          <w:vertAlign w:val="subscript"/>
        </w:rPr>
        <w:t>2</w:t>
      </w:r>
      <w:r>
        <w:t>administration restores functional hyperemia in EC-specific Piezo1 gain-of-function mutant mice suffering impaired blood flow. Our findings provide insights into Piezo1 channel regulation and how it affects neurovascular coupling and cerebral blood flow.</w:t>
      </w:r>
    </w:p>
    <w:p>
      <w:pPr>
        <w:spacing w:before="120" w:after="120"/>
      </w:pPr>
      <w:r>
        <w:rPr>
          <w:sz w:val="18"/>
        </w:rPr>
        <w:t>——————————————————————————————————————————————————————————————————————</w:t>
      </w:r>
    </w:p>
    <w:p>
      <w:pPr>
        <w:spacing w:before="160" w:after="80" w:line="240" w:lineRule="auto"/>
      </w:pPr>
      <w:r>
        <w:rPr>
          <w:b/>
        </w:rPr>
        <w:t xml:space="preserve">[71] </w:t>
      </w:r>
      <w:hyperlink r:id="rId102">
        <w:r>
          <w:rPr>
            <w:color w:val="1155CC"/>
            <w:u w:val="single"/>
          </w:rPr>
          <w:t>Neural synchrony links sensorimotor cortices in a network for facial motor control</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03">
        <w:r>
          <w:rPr>
            <w:color w:val="1155CC"/>
            <w:u w:val="single"/>
          </w:rPr>
          <w:t>10.1073/pnas.2512604122</w:t>
        </w:r>
      </w:hyperlink>
    </w:p>
    <w:p>
      <w:pPr>
        <w:spacing w:before="0" w:after="120"/>
      </w:pPr>
      <w:r>
        <w:rPr>
          <w:b/>
        </w:rPr>
        <w:t xml:space="preserve">Notes: </w:t>
      </w:r>
      <w:r>
        <w:t>abstract_source=crossref</w:t>
      </w:r>
    </w:p>
    <w:p>
      <w:pPr>
        <w:spacing w:before="0" w:after="200" w:lineRule="auto" w:line="276"/>
      </w:pPr>
      <w:r>
        <w:rPr>
          <w:b/>
        </w:rPr>
        <w:t xml:space="preserve">Abstract: </w:t>
      </w:r>
      <w:r>
        <w:t>Primate societies rely on the production and interpretation of social signals, in particular those displayed by the face. Facial movements are controlled, according to the dominant neuropsychological schema, by two separate circuits, one originating in medial frontal cortex controlling emotional expressions, and a second one originating in lateral motor and premotor areas controlling voluntary facial movements. Despite this functional dichotomy, cortical anatomy suggests that medial and lateral areas are directly connected and may thus operate as a single network. Here, we test these contrasting hypotheses through structural and functional MRI (fMRI) guided electrical stimulation and simultaneous multichannel recordings from key facial motor areas in the macaque monkey brain. These areas include medial facial motor area M3 (located in the anterior cingulate cortex); two lateral face-related motor areas: M1 (primary motor) and PMv (ventrolateral premotor); and S1 (primary somatosensory cortex). Cortical responses evoked by intracortical stimulation revealed that medial and lateral areas can exert significant functional impact on each other. Simultaneous recordings of local field potentials in all facial motor areas further confirm that during facial expressions, medial and lateral facial motor areas significantly interact, primarily in the alpha and beta frequency ranges, whereas during voluntary chewing, coupling occurs at lower frequencies. These functional interactions varied across facial movement types. Thus, at the cortical level, the control of facial movements is not mediated through independent (medial/lateral) functional streams, but results from an interacting sensorimotor network.</w:t>
      </w:r>
    </w:p>
    <w:p>
      <w:pPr>
        <w:spacing w:before="120" w:after="120"/>
      </w:pPr>
      <w:r>
        <w:rPr>
          <w:sz w:val="18"/>
        </w:rPr>
        <w:t>——————————————————————————————————————————————————————————————————————</w:t>
      </w:r>
    </w:p>
    <w:p>
      <w:pPr>
        <w:spacing w:before="160" w:after="80" w:line="240" w:lineRule="auto"/>
      </w:pPr>
      <w:r>
        <w:rPr>
          <w:b/>
        </w:rPr>
        <w:t xml:space="preserve">[72] </w:t>
      </w:r>
      <w:hyperlink r:id="rId104">
        <w:r>
          <w:rPr>
            <w:color w:val="1155CC"/>
            <w:u w:val="single"/>
          </w:rPr>
          <w:t>Energetic and structural control of polyspecificity in a multidrug transporter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05">
        <w:r>
          <w:rPr>
            <w:color w:val="1155CC"/>
            <w:u w:val="single"/>
          </w:rPr>
          <w:t>10.1073/pnas.2511892122</w:t>
        </w:r>
      </w:hyperlink>
    </w:p>
    <w:p>
      <w:pPr>
        <w:spacing w:before="0" w:after="120"/>
      </w:pPr>
      <w:r>
        <w:rPr>
          <w:b/>
        </w:rPr>
        <w:t xml:space="preserve">Notes: </w:t>
      </w:r>
      <w:r>
        <w:t>abstract_source=crossref</w:t>
      </w:r>
    </w:p>
    <w:p>
      <w:pPr>
        <w:spacing w:before="0" w:after="200" w:lineRule="auto" w:line="276"/>
      </w:pPr>
      <w:r>
        <w:rPr>
          <w:b/>
        </w:rPr>
        <w:t xml:space="preserve">Abstract: </w:t>
      </w:r>
      <w:r>
        <w:t>Multidrug efflux pumps are dynamic molecular machines that drive antibiotic resistance by harnessing ion gradients to export chemically diverse substrates. Despite their clinical importance, the molecular principles underlying multidrug promiscuity and energy efficiency remain poorly understood. Using multiparametric deep mutational scanning across eight substrates and two energy conditions, we deconvolute the contributions of substrate recognition, energetic coupling, and protein stability, providing an integrated, high-resolution view of multidrug transport. We find that substrate specificity arises from a distributed network of residues extending beyond the binding site, with mutations that reshape binding, coupling, conformational flexibility, and membrane interactions. Further, we apply a pH-based selection scheme to measure the effect of mutation on pH-dependent transport efficiency. By integrating these data, we reveal a fundamental relationship between efficiency and promiscuity: Highly efficient variants exhibit broad substrate profiles, while inefficient variants are narrower. These findings establish a direct link between energy coupling and polyspecificity, uncovering the biochemical logic underlying multidrug transport.</w:t>
      </w:r>
    </w:p>
    <w:p>
      <w:pPr>
        <w:spacing w:before="120" w:after="120"/>
      </w:pPr>
      <w:r>
        <w:rPr>
          <w:sz w:val="18"/>
        </w:rPr>
        <w:t>——————————————————————————————————————————————————————————————————————</w:t>
      </w:r>
    </w:p>
    <w:p>
      <w:pPr>
        <w:spacing w:before="160" w:after="80" w:line="240" w:lineRule="auto"/>
      </w:pPr>
      <w:r>
        <w:rPr>
          <w:b/>
        </w:rPr>
        <w:t xml:space="preserve">[73] </w:t>
      </w:r>
      <w:hyperlink r:id="rId106">
        <w:r>
          <w:rPr>
            <w:color w:val="1155CC"/>
            <w:u w:val="single"/>
          </w:rPr>
          <w:t>Arg–Tyr cation–π interactions drive phase separation and β-sheet assembly in native spider dragline silk</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07">
        <w:r>
          <w:rPr>
            <w:color w:val="1155CC"/>
            <w:u w:val="single"/>
          </w:rPr>
          <w:t>10.1073/pnas.2523198122</w:t>
        </w:r>
      </w:hyperlink>
    </w:p>
    <w:p>
      <w:pPr>
        <w:spacing w:before="0" w:after="120"/>
      </w:pPr>
      <w:r>
        <w:rPr>
          <w:b/>
        </w:rPr>
        <w:t xml:space="preserve">Notes: </w:t>
      </w:r>
      <w:r>
        <w:t>abstract_source=crossref</w:t>
      </w:r>
    </w:p>
    <w:p>
      <w:pPr>
        <w:spacing w:before="0" w:after="200" w:lineRule="auto" w:line="276"/>
      </w:pPr>
      <w:r>
        <w:rPr>
          <w:b/>
        </w:rPr>
        <w:t xml:space="preserve">Abstract: </w:t>
      </w:r>
      <w:r>
        <w:t>Liquid–liquid phase separation (LLPS) is a fundamental principle of protein organization in intrinsically disordered proteins (IDPs) and biomaterials, yet the residue-level interactions that link condensation to structural ordering remain poorly defined. In spider dragline silk, LLPS is believed to initiate the transition from soluble spidroin dope into β-sheet–rich fibers that provide exceptional toughness, yet how sequence-specific motifs govern this process has been unclear. Here, we combine isotope-edited solution NMR, dynamic nuclear polarization (DNP)–enhanced solid-state NMR, molecular dynamics simulations, and AlphaFold3 modeling to define the molecular role of arginine and tyrosine in</w:t>
      </w:r>
      <w:r>
        <w:t xml:space="preserve"> </w:t>
      </w:r>
      <w:r>
        <w:t>Latrodectus hesperus</w:t>
      </w:r>
      <w:r>
        <w:t xml:space="preserve"> </w:t>
      </w:r>
      <w:r>
        <w:t>dragline silk. Phosphate triggers LLPS while preserving intrinsic disorder, with arginine exhibiting the largest chemical shift perturbations. Simulations reveal that phosphate displaces hydration water to promote Arg–Tyr cation–π interactions and weaken Arg–poly(Ala) contacts. Solid-state NMR directly detects Arg–Tyr contacts in spun fibers, demonstrating that arginine is partially incorporated into β-sheet interfaces while tyrosine frequently adopts β-turn conformations. AlphaFold3 models corroborate these interfacial geometries and reproduce experimental chemical shifts, supporting persistent Arg–Tyr interactions at structured–unstructured boundaries. Together, these results identify Arg–Tyr contacts as critical “sticker” interactions that mediate condensation, nucleate local order, and stabilize fiber architecture. More broadly, this work establishes a mechanistic link between residue-specific chemistry, LLPS, and hierarchical assembly in a structural protein. These insights highlight how weak multivalent interactions bridge disordered and ordered states, providing a general framework for condensate-driven assembly in biology and guiding biomimetic material design.</w:t>
      </w:r>
    </w:p>
    <w:p>
      <w:pPr>
        <w:spacing w:before="120" w:after="120"/>
      </w:pPr>
      <w:r>
        <w:rPr>
          <w:sz w:val="18"/>
        </w:rPr>
        <w:t>——————————————————————————————————————————————————————————————————————</w:t>
      </w:r>
    </w:p>
    <w:p>
      <w:pPr>
        <w:spacing w:before="160" w:after="80" w:line="240" w:lineRule="auto"/>
      </w:pPr>
      <w:r>
        <w:rPr>
          <w:b/>
        </w:rPr>
        <w:t xml:space="preserve">[74] </w:t>
      </w:r>
      <w:hyperlink r:id="rId108">
        <w:r>
          <w:rPr>
            <w:color w:val="1155CC"/>
            <w:u w:val="single"/>
          </w:rPr>
          <w:t>Heterogeneous conditions and power law robustness in intergenerational resource transfers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09">
        <w:r>
          <w:rPr>
            <w:color w:val="1155CC"/>
            <w:u w:val="single"/>
          </w:rPr>
          <w:t>10.1073/pnas.2514196122</w:t>
        </w:r>
      </w:hyperlink>
    </w:p>
    <w:p>
      <w:pPr>
        <w:spacing w:before="0" w:after="120"/>
      </w:pPr>
      <w:r>
        <w:rPr>
          <w:b/>
        </w:rPr>
        <w:t xml:space="preserve">Notes: </w:t>
      </w:r>
      <w:r>
        <w:t>abstract_source=crossref</w:t>
      </w:r>
    </w:p>
    <w:p>
      <w:pPr>
        <w:spacing w:before="0" w:after="200" w:lineRule="auto" w:line="276"/>
      </w:pPr>
      <w:r>
        <w:rPr>
          <w:b/>
        </w:rPr>
        <w:t xml:space="preserve">Abstract: </w:t>
      </w:r>
      <w:r>
        <w:t>Organisms in nature and humans in socioeconomic systems alike face tradeoffs between selfish consumption of resources and investment in the welfare of their offspring. Previous work across the disciplines of biology and economics has sought to elucidate this process, develop a theoretical framework to solve for the optimal life history strategy, and deduce implications of these microscopic interactions for the distribution of resources at the macroscopic level. Such theory, however, has failed to account for heterogeneous conditions that various individuals and groupings of kin enjoy, like growth rate advantages for those with greater resource abundance. Furthermore, such emergent trends at the macroeconomic scale lack reconciliation with observations of power law distributions of wealth and income in vivo. We modify and extend an analytical framework here to allow for heterogeneity, and consider the long-term consequences for resource distributions with Pareto initial values. We find that power law phenomena are robust to such processes and, due to sensitivity to the form of the utility curve, higher-order uncertainty may not affect the optimal tradeoff. This stresses the impact of mechanistic choices when translating sociological findings to ecological and economic theory, and suggests future work must consider how social norms and other microscopic complexity can explain emergent patterns or disrupt trends of inequality at the macrolevel.</w:t>
      </w:r>
    </w:p>
    <w:p>
      <w:pPr>
        <w:spacing w:before="120" w:after="120"/>
      </w:pPr>
      <w:r>
        <w:rPr>
          <w:sz w:val="18"/>
        </w:rPr>
        <w:t>——————————————————————————————————————————————————————————————————————</w:t>
      </w:r>
    </w:p>
    <w:p>
      <w:pPr>
        <w:spacing w:before="160" w:after="80" w:line="240" w:lineRule="auto"/>
      </w:pPr>
      <w:r>
        <w:rPr>
          <w:b/>
        </w:rPr>
        <w:t xml:space="preserve">[75] </w:t>
      </w:r>
      <w:hyperlink r:id="rId110">
        <w:r>
          <w:rPr>
            <w:color w:val="1155CC"/>
            <w:u w:val="single"/>
          </w:rPr>
          <w:t>Controllable gap junctions by vitamin B12 and light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2025-12-23 08:00:00+00:00</w:t>
      </w:r>
      <w:r>
        <w:t xml:space="preserve">    </w:t>
      </w:r>
      <w:r>
        <w:rPr>
          <w:b/>
        </w:rPr>
        <w:t xml:space="preserve">DOI: </w:t>
      </w:r>
      <w:hyperlink r:id="rId111">
        <w:r>
          <w:rPr>
            <w:color w:val="1155CC"/>
            <w:u w:val="single"/>
          </w:rPr>
          <w:t>10.1073/pnas.2518037122</w:t>
        </w:r>
      </w:hyperlink>
    </w:p>
    <w:p>
      <w:pPr>
        <w:spacing w:before="0" w:after="120"/>
      </w:pPr>
      <w:r>
        <w:rPr>
          <w:b/>
        </w:rPr>
        <w:t xml:space="preserve">Notes: </w:t>
      </w:r>
      <w:r>
        <w:t>abstract_source=crossref</w:t>
      </w:r>
    </w:p>
    <w:p>
      <w:pPr>
        <w:spacing w:before="0" w:after="200" w:lineRule="auto" w:line="276"/>
      </w:pPr>
      <w:r>
        <w:rPr>
          <w:b/>
        </w:rPr>
        <w:t xml:space="preserve">Abstract: </w:t>
      </w:r>
      <w:r>
        <w:t>Gap junctions mediate rapid signal transduction between contiguous cells, which are indispensable for multicellular organisms to coordinate cellular activities across numerous physiological processes. However, precise control of gap junctions remains elusive. Herein, we present CarGAP, a single-component chemo-optogenetic tool that utilizes the C-terminal adenosylcobalamin (AdoB</w:t>
      </w:r>
      <w:r>
        <w:rPr>
          <w:vertAlign w:val="subscript"/>
        </w:rPr>
        <w:t>12</w:t>
      </w:r>
      <w:r>
        <w:t>) binding domain of a photoreceptor protein (i.e., CarH</w:t>
      </w:r>
      <w:r>
        <w:t xml:space="preserve"> </w:t>
      </w:r>
      <w:r>
        <w:t>C</w:t>
      </w:r>
      <w:r>
        <w:t xml:space="preserve"> </w:t>
      </w:r>
      <w:r>
        <w:t>) to achieve reversible control over both vertebrate and invertebrate gap junctions with spatiotemporal precision. The vertebrate CarGAP (i.e., Cx-CarGAP), created by genetically fusing connexins with CarH</w:t>
      </w:r>
      <w:r>
        <w:t xml:space="preserve"> </w:t>
      </w:r>
      <w:r>
        <w:t>C</w:t>
      </w:r>
      <w:r>
        <w:t xml:space="preserve"> </w:t>
      </w:r>
      <w:r>
        <w:t>in mammalian cells, can efficiently block the gap junction channels through AdoB</w:t>
      </w:r>
      <w:r>
        <w:rPr>
          <w:vertAlign w:val="subscript"/>
        </w:rPr>
        <w:t>12</w:t>
      </w:r>
      <w:r>
        <w:t>-induced protein oligomerization and subsequently reinstate them via green light–induced protein disassembly. We further introduced the CarGAP system (i.e., Inx-CarGAP) to the</w:t>
      </w:r>
      <w:r>
        <w:t xml:space="preserve"> </w:t>
      </w:r>
      <w:r>
        <w:t>Drosophila</w:t>
      </w:r>
      <w:r>
        <w:t xml:space="preserve"> </w:t>
      </w:r>
      <w:r>
        <w:t>ovary, enabling reversible control over the heterotypic gap junctions formed by innexin2 (Inx2) and innexin4 (Inx4, also known as zero population growth, Zpg), thereby uncovering the roles of gap junctions in stem cell–niche interactions. This study illustrates CarGAP as a generalizable chemo-optogenetic tool for interrogating the functions of gap junctions in various biological contexts.</w:t>
      </w:r>
    </w:p>
    <w:p>
      <w:pPr>
        <w:spacing w:before="120" w:after="120"/>
      </w:pPr>
      <w:r>
        <w:rPr>
          <w:sz w:val="18"/>
        </w:rPr>
        <w:t>——————————————————————————————————————————————————————————————————————</w:t>
      </w:r>
    </w:p>
    <w:p>
      <w:pPr>
        <w:spacing w:before="160" w:after="80" w:line="240" w:lineRule="auto"/>
      </w:pPr>
      <w:r>
        <w:rPr>
          <w:b/>
        </w:rPr>
        <w:t xml:space="preserve">[76] </w:t>
      </w:r>
      <w:hyperlink r:id="rId112">
        <w:r>
          <w:rPr>
            <w:color w:val="1155CC"/>
            <w:u w:val="single"/>
          </w:rPr>
          <w:t>Flow‐Enabled, Modular Access to α,α‐Difluoromethylene Amines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13">
        <w:r>
          <w:rPr>
            <w:color w:val="1155CC"/>
            <w:u w:val="single"/>
          </w:rPr>
          <w:t>10.1002/anie.202517282</w:t>
        </w:r>
      </w:hyperlink>
    </w:p>
    <w:p>
      <w:pPr>
        <w:spacing w:before="0" w:after="120"/>
      </w:pPr>
      <w:r>
        <w:rPr>
          <w:b/>
        </w:rPr>
        <w:t xml:space="preserve">Notes: </w:t>
      </w:r>
      <w:r>
        <w:t>abstract_source=crossref</w:t>
      </w:r>
    </w:p>
    <w:p>
      <w:pPr>
        <w:spacing w:before="0" w:after="200" w:lineRule="auto" w:line="276"/>
      </w:pPr>
      <w:r>
        <w:rPr>
          <w:b/>
        </w:rPr>
        <w:t xml:space="preserve">Abstract: </w:t>
      </w:r>
      <w:r>
        <w:t>The α,α‐difluoromethylene amine (NCF</w:t>
      </w:r>
      <w:r>
        <w:rPr>
          <w:vertAlign w:val="subscript"/>
        </w:rPr>
        <w:t>2</w:t>
      </w:r>
      <w:r>
        <w:t>R) motif represents a useful functionality in medicinal chemistry, yet practical and modular methods to access this class of compounds are lacking. Here, we report a safe and scalable flow‐based strategy for the on‐demand generation of NCF</w:t>
      </w:r>
      <w:r>
        <w:rPr>
          <w:vertAlign w:val="subscript"/>
        </w:rPr>
        <w:t>2</w:t>
      </w:r>
      <w:r>
        <w:t>R anions using a packed‐bed microreactor containing caesium fluoride. This protocol enables the late‐stage installation of the CF</w:t>
      </w:r>
      <w:r>
        <w:rPr>
          <w:vertAlign w:val="subscript"/>
        </w:rPr>
        <w:t>2</w:t>
      </w:r>
      <w:r>
        <w:t>group under mild conditions, avoiding the use of hazardous fluorinating agents and minimizing fluorinated waste. This fully modular strategy features three points of diversification (carboxylic acid, sulfonamide, and electrophile), allowing efficient access to a broad range of α,α‐difluoromethylene amines. The method tolerates a variety of functional groups, supports late‐stage functionalization of pharmaceutically relevant scaffolds, and is compatible with downstream cross‐coupling reactions, demonstrating the robustness of the reaction protocol. This work provides a versatile platform for the streamlined incorporation of NCF</w:t>
      </w:r>
      <w:r>
        <w:rPr>
          <w:vertAlign w:val="subscript"/>
        </w:rPr>
        <w:t>2</w:t>
      </w:r>
      <w:r>
        <w:t>motifs, expanding the range of synthetic strategies available in medicinal and fluorine chemistry.</w:t>
      </w:r>
    </w:p>
    <w:p>
      <w:pPr>
        <w:spacing w:before="120" w:after="120"/>
      </w:pPr>
      <w:r>
        <w:rPr>
          <w:sz w:val="18"/>
        </w:rPr>
        <w:t>——————————————————————————————————————————————————————————————————————</w:t>
      </w:r>
    </w:p>
    <w:p>
      <w:pPr>
        <w:spacing w:before="160" w:after="80" w:line="240" w:lineRule="auto"/>
      </w:pPr>
      <w:r>
        <w:rPr>
          <w:b/>
        </w:rPr>
        <w:t xml:space="preserve">[77] </w:t>
      </w:r>
      <w:hyperlink r:id="rId114">
        <w:r>
          <w:rPr>
            <w:color w:val="1155CC"/>
            <w:u w:val="single"/>
          </w:rPr>
          <w:t>High‐Performance Lithium‐Sulfur Batteries: Medium‐Entropy Alloys Embedded in CeO2 for Polysulfide/Sulfide Bidirectional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15">
        <w:r>
          <w:rPr>
            <w:color w:val="1155CC"/>
            <w:u w:val="single"/>
          </w:rPr>
          <w:t>10.1002/anie.202517145</w:t>
        </w:r>
      </w:hyperlink>
    </w:p>
    <w:p>
      <w:pPr>
        <w:spacing w:before="0" w:after="120"/>
      </w:pPr>
      <w:r>
        <w:rPr>
          <w:b/>
        </w:rPr>
        <w:t xml:space="preserve">Notes: </w:t>
      </w:r>
      <w:r>
        <w:t>abstract_source=crossref</w:t>
      </w:r>
    </w:p>
    <w:p>
      <w:pPr>
        <w:spacing w:before="0" w:after="200" w:lineRule="auto" w:line="276"/>
      </w:pPr>
      <w:r>
        <w:rPr>
          <w:b/>
        </w:rPr>
        <w:t xml:space="preserve">Abstract: </w:t>
      </w:r>
      <w:r>
        <w:t>The slow kinetics of the sulfur reduction reaction (SRR) and Li</w:t>
      </w:r>
      <w:r>
        <w:rPr>
          <w:vertAlign w:val="subscript"/>
        </w:rPr>
        <w:t>2</w:t>
      </w:r>
      <w:r>
        <w:t>S oxidation reaction (SOR) in lithium‐sulfur batteries (LSBs) seriously affect their practical applications. Herein, we prepared a functional interlayer for LSBs consisting of hydroxylated carbon nanotubes dispersed with NiCoMoIr medium‐entropy alloys embedded in CeO</w:t>
      </w:r>
      <w:r>
        <w:rPr>
          <w:vertAlign w:val="subscript"/>
        </w:rPr>
        <w:t>2</w:t>
      </w:r>
      <w:r>
        <w:t>surface materials. Experimental results revealed a bidirectional catalytic mechanism involving different elements, verifying that Ir and Ni promote the SRR of Li</w:t>
      </w:r>
      <w:r>
        <w:rPr>
          <w:vertAlign w:val="subscript"/>
        </w:rPr>
        <w:t>2</w:t>
      </w:r>
      <w:r>
        <w:t>S</w:t>
      </w:r>
      <w:r>
        <w:rPr>
          <w:vertAlign w:val="subscript"/>
        </w:rPr>
        <w:t>6</w:t>
      </w:r>
      <w:r>
        <w:t>to Li</w:t>
      </w:r>
      <w:r>
        <w:rPr>
          <w:vertAlign w:val="subscript"/>
        </w:rPr>
        <w:t>2</w:t>
      </w:r>
      <w:r>
        <w:t>S. Meanwhile, Co and Mo were found to primarily promote the conversion process of Li</w:t>
      </w:r>
      <w:r>
        <w:rPr>
          <w:vertAlign w:val="subscript"/>
        </w:rPr>
        <w:t>2</w:t>
      </w:r>
      <w:r>
        <w:t>S to Li</w:t>
      </w:r>
      <w:r>
        <w:rPr>
          <w:vertAlign w:val="subscript"/>
        </w:rPr>
        <w:t>2</w:t>
      </w:r>
      <w:r>
        <w:t>S</w:t>
      </w:r>
      <w:r>
        <w:rPr>
          <w:vertAlign w:val="subscript"/>
        </w:rPr>
        <w:t>6</w:t>
      </w:r>
      <w:r>
        <w:t>. CeO</w:t>
      </w:r>
      <w:r>
        <w:rPr>
          <w:vertAlign w:val="subscript"/>
        </w:rPr>
        <w:t>2</w:t>
      </w:r>
      <w:r>
        <w:t>exhibits a bidirectional synergistic effect on enhancing the kinetics of the SRR and SOR. The battery exhibits a specific capacity of 1535.7 mAh g</w:t>
      </w:r>
      <w:r>
        <w:t xml:space="preserve"> </w:t>
      </w:r>
      <w:r>
        <w:t>−1</w:t>
      </w:r>
      <w:r>
        <w:t xml:space="preserve"> </w:t>
      </w:r>
      <w:r>
        <w:t>at 0.2 C, and the decay rate is only 0.051% for per‐cycle of 1000 cycles at 1 C. More importantly, a 2 Ah‐level pouch cell with an energy density of 436.4 Wh kg</w:t>
      </w:r>
      <w:r>
        <w:t xml:space="preserve"> </w:t>
      </w:r>
      <w:r>
        <w:t>−1</w:t>
      </w:r>
      <w:r>
        <w:t xml:space="preserve"> </w:t>
      </w:r>
      <w:r>
        <w:t>and the capacity decay rate was 0.039% per‐cycle after 800 cycles.</w:t>
      </w:r>
    </w:p>
    <w:p>
      <w:pPr>
        <w:spacing w:before="120" w:after="120"/>
      </w:pPr>
      <w:r>
        <w:rPr>
          <w:sz w:val="18"/>
        </w:rPr>
        <w:t>——————————————————————————————————————————————————————————————————————</w:t>
      </w:r>
    </w:p>
    <w:p>
      <w:pPr>
        <w:spacing w:before="160" w:after="80" w:line="240" w:lineRule="auto"/>
      </w:pPr>
      <w:r>
        <w:rPr>
          <w:b/>
        </w:rPr>
        <w:t xml:space="preserve">[78] </w:t>
      </w:r>
      <w:hyperlink r:id="rId116">
        <w:r>
          <w:rPr>
            <w:color w:val="1155CC"/>
            <w:u w:val="single"/>
          </w:rPr>
          <w:t>Optical Switching of Catalytic Pathways for Hydrogen Generation via Light‐Handedness Control on Chiral Nanostructures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17">
        <w:r>
          <w:rPr>
            <w:color w:val="1155CC"/>
            <w:u w:val="single"/>
          </w:rPr>
          <w:t>10.1002/anie.202517047</w:t>
        </w:r>
      </w:hyperlink>
    </w:p>
    <w:p>
      <w:pPr>
        <w:spacing w:before="0" w:after="120"/>
      </w:pPr>
      <w:r>
        <w:rPr>
          <w:b/>
        </w:rPr>
        <w:t xml:space="preserve">Notes: </w:t>
      </w:r>
      <w:r>
        <w:t>abstract_source=crossref</w:t>
      </w:r>
    </w:p>
    <w:p>
      <w:pPr>
        <w:spacing w:before="0" w:after="200" w:lineRule="auto" w:line="276"/>
      </w:pPr>
      <w:r>
        <w:rPr>
          <w:b/>
        </w:rPr>
        <w:t xml:space="preserve">Abstract: </w:t>
      </w:r>
      <w:r>
        <w:t>Precise optical control over catalytic pathways remains a major challenge in solar‐driven hydrogen production. Here, we report a reversible light‐handedness‐dependent switching mechanism between photocatalysis and photothermal catalysis using a standard Au@CdS nanocatalyst functionalized with chiral cysteine ligands. The switching behavior is governed by the interplay of chemical chirality and circularly polarized light, mediated by the chirality‐induced spin selectivity effect. When the handedness of circularly polarized light matches the catalyst's chirality, spin‐polarized carriers are efficiently transferred, favoring photocatalysis. In contrast, mismatched conditions suppress charge transfer, enhance recombination, and induce localized heating, shifting the reaction toward photothermal catalysis. Tuning the handedness of circularly polarized light to mismatch the catalyst chirality induces a significant photothermal effect, with temperatures reaching 343 K and hydrogen evolution rates of up to 4.8 mmol g</w:t>
      </w:r>
      <w:r>
        <w:t xml:space="preserve"> </w:t>
      </w:r>
      <w:r>
        <w:t>−1</w:t>
      </w:r>
      <w:r>
        <w:t xml:space="preserve"> </w:t>
      </w:r>
      <w:r>
        <w:t>h</w:t>
      </w:r>
      <w:r>
        <w:t xml:space="preserve"> </w:t>
      </w:r>
      <w:r>
        <w:t>−1</w:t>
      </w:r>
      <w:r>
        <w:t xml:space="preserve"> </w:t>
      </w:r>
      <w:r>
        <w:t>, doubling the performance in the matched case. This study introduces a light‐handedness‐controlled catalytic switch that enables dynamic modulation between two reaction modes using the same chiral catalyst, advancing our mechanistic understanding of spin‐dependent photothermal phenomena and establishing a versatile platform for optically tunable solar fuel production. The interaction of chemical and optical chirality offers a novel approach to designing next‐generation photocatalysts that can be tailored for energy conversion.</w:t>
      </w:r>
    </w:p>
    <w:p>
      <w:pPr>
        <w:spacing w:before="120" w:after="120"/>
      </w:pPr>
      <w:r>
        <w:rPr>
          <w:sz w:val="18"/>
        </w:rPr>
        <w:t>——————————————————————————————————————————————————————————————————————</w:t>
      </w:r>
    </w:p>
    <w:p>
      <w:pPr>
        <w:spacing w:before="160" w:after="80" w:line="240" w:lineRule="auto"/>
      </w:pPr>
      <w:r>
        <w:rPr>
          <w:b/>
        </w:rPr>
        <w:t xml:space="preserve">[79] </w:t>
      </w:r>
      <w:hyperlink r:id="rId118">
        <w:r>
          <w:rPr>
            <w:color w:val="1155CC"/>
            <w:u w:val="single"/>
          </w:rPr>
          <w:t>A Smart Self‐Immobilization Magnetic Resonance Contrast Agent for Delayed Tumor Imaging In Vivo</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19">
        <w:r>
          <w:rPr>
            <w:color w:val="1155CC"/>
            <w:u w:val="single"/>
          </w:rPr>
          <w:t>10.1002/anie.202516998</w:t>
        </w:r>
      </w:hyperlink>
    </w:p>
    <w:p>
      <w:pPr>
        <w:spacing w:before="0" w:after="120"/>
      </w:pPr>
      <w:r>
        <w:rPr>
          <w:b/>
        </w:rPr>
        <w:t xml:space="preserve">Notes: </w:t>
      </w:r>
      <w:r>
        <w:t>abstract_source=crossref</w:t>
      </w:r>
    </w:p>
    <w:p>
      <w:pPr>
        <w:spacing w:before="0" w:after="200" w:lineRule="auto" w:line="276"/>
      </w:pPr>
      <w:r>
        <w:rPr>
          <w:b/>
        </w:rPr>
        <w:t xml:space="preserve">Abstract: </w:t>
      </w:r>
      <w:r>
        <w:t>Achieving tumor‐specific accumulation and high relaxivity remains critical yet challenging for improving magnetic resonance imaging (MRI) probe sensitivity. Here, we present</w:t>
      </w:r>
      <w:r>
        <w:t xml:space="preserve"> </w:t>
      </w:r>
      <w:r>
        <w:t>P‐QM‐Gd</w:t>
      </w:r>
      <w:r>
        <w:t xml:space="preserve"> </w:t>
      </w:r>
      <w:r>
        <w:t>, an enzyme‐responsive, self‐immobilizing small‐molecule MRI probe designed for high‐sensitivity tumor imaging. Upon activation by membrane‐bound alkaline phosphatase (ALP),</w:t>
      </w:r>
      <w:r>
        <w:t xml:space="preserve"> </w:t>
      </w:r>
      <w:r>
        <w:t>P‐QM‐Gd</w:t>
      </w:r>
      <w:r>
        <w:t xml:space="preserve"> </w:t>
      </w:r>
      <w:r>
        <w:t>is enzymatically converted to generate reactive quinone methide intermediates. These intermediates readily undergo nucleophilic addition with proximal protein residues, enabling the covalent conjugation of paramagnetic gadolinium complexes directly onto tumor cell membranes. This enzymatic self‐immobilization markedly increased the longitudinal relaxivity (</w:t>
      </w:r>
      <w:r>
        <w:t xml:space="preserve"> </w:t>
      </w:r>
      <w:r>
        <w:t>r</w:t>
      </w:r>
      <w:r>
        <w:rPr>
          <w:vertAlign w:val="subscript"/>
        </w:rPr>
        <w:t>1</w:t>
      </w:r>
      <w:r>
        <w:t>) from 7.35 to 13.15 mM</w:t>
      </w:r>
      <w:r>
        <w:t xml:space="preserve"> </w:t>
      </w:r>
      <w:r>
        <w:t>−1</w:t>
      </w:r>
      <w:r>
        <w:t xml:space="preserve"> </w:t>
      </w:r>
      <w:r>
        <w:t>s</w:t>
      </w:r>
      <w:r>
        <w:t xml:space="preserve"> </w:t>
      </w:r>
      <w:r>
        <w:t>−1</w:t>
      </w:r>
      <w:r>
        <w:t xml:space="preserve"> </w:t>
      </w:r>
      <w:r>
        <w:t>(0.5 T, 21.3 MHz, 32 °C) and effectively “traps” the probe at the tumor site.</w:t>
      </w:r>
      <w:r>
        <w:t xml:space="preserve"> </w:t>
      </w:r>
      <w:r>
        <w:t>P‐QM‐Gd</w:t>
      </w:r>
      <w:r>
        <w:t xml:space="preserve"> </w:t>
      </w:r>
      <w:r>
        <w:t>showed rapid tumor uptake and efficient covalent labeling, achieving distinct MR contrast enhancement (&amp;gt; 60%). The imaging window was extended for up to 24 h in subcutaneous HeLa and orthotopic K7M2 tumor models. Notably, delayed MRI with</w:t>
      </w:r>
      <w:r>
        <w:t xml:space="preserve"> </w:t>
      </w:r>
      <w:r>
        <w:t>P‐QM‐Gd</w:t>
      </w:r>
      <w:r>
        <w:t xml:space="preserve"> </w:t>
      </w:r>
      <w:r>
        <w:t>enabled precision visualization of ∼1.3 mm orthotopic K7M2 tumors in mice. By overcoming the rapid washout and low sensitivity inherent to traditional small‐molecule MRI probes through this enzymatic self‐immobilization strategy,</w:t>
      </w:r>
      <w:r>
        <w:t xml:space="preserve"> </w:t>
      </w:r>
      <w:r>
        <w:t>P‐QM‐Gd</w:t>
      </w:r>
      <w:r>
        <w:t xml:space="preserve"> </w:t>
      </w:r>
      <w:r>
        <w:t>offers a promising approach for high‐sensitivity, high‐spatial resolution delayed tumor MRI, making it particularly effective for early‐stage lesion detection.</w:t>
      </w:r>
    </w:p>
    <w:p>
      <w:pPr>
        <w:spacing w:before="120" w:after="120"/>
      </w:pPr>
      <w:r>
        <w:rPr>
          <w:sz w:val="18"/>
        </w:rPr>
        <w:t>——————————————————————————————————————————————————————————————————————</w:t>
      </w:r>
    </w:p>
    <w:p>
      <w:pPr>
        <w:spacing w:before="160" w:after="80" w:line="240" w:lineRule="auto"/>
      </w:pPr>
      <w:r>
        <w:rPr>
          <w:b/>
        </w:rPr>
        <w:t xml:space="preserve">[80] </w:t>
      </w:r>
      <w:hyperlink r:id="rId120">
        <w:r>
          <w:rPr>
            <w:color w:val="1155CC"/>
            <w:u w:val="single"/>
          </w:rPr>
          <w:t>From Pharmacophore to Warhead: NAD+‐Targeting Triazoles as Mechanism‐Based Sirtuin Inhibitors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21">
        <w:r>
          <w:rPr>
            <w:color w:val="1155CC"/>
            <w:u w:val="single"/>
          </w:rPr>
          <w:t>10.1002/anie.202516782</w:t>
        </w:r>
      </w:hyperlink>
    </w:p>
    <w:p>
      <w:pPr>
        <w:spacing w:before="0" w:after="120"/>
      </w:pPr>
      <w:r>
        <w:rPr>
          <w:b/>
        </w:rPr>
        <w:t xml:space="preserve">Notes: </w:t>
      </w:r>
      <w:r>
        <w:t>abstract_source=crossref</w:t>
      </w:r>
    </w:p>
    <w:p>
      <w:pPr>
        <w:spacing w:before="0" w:after="200" w:lineRule="auto" w:line="276"/>
      </w:pPr>
      <w:r>
        <w:rPr>
          <w:b/>
        </w:rPr>
        <w:t xml:space="preserve">Abstract: </w:t>
      </w:r>
      <w:r>
        <w:t>Sirtuins (SIRTs) are nicotinamide adenine dinucleotide (NAD</w:t>
      </w:r>
      <w:r>
        <w:t xml:space="preserve"> </w:t>
      </w:r>
      <w:r>
        <w:t>+</w:t>
      </w:r>
      <w:r>
        <w:t xml:space="preserve"> </w:t>
      </w:r>
      <w:r>
        <w:t>)‐dependent lysine deacylases linked to key physiological and disease processes. Here, we report a new class of mechanism‐based 1,2,3‐triazole inhibitors that hijack SIRT catalysis by forming stalled triazolium– or triazole–ADP‐ribose (ADPR) adducts derived from the cofactor NAD</w:t>
      </w:r>
      <w:r>
        <w:t xml:space="preserve"> </w:t>
      </w:r>
      <w:r>
        <w:t>+</w:t>
      </w:r>
      <w:r>
        <w:t xml:space="preserve"> </w:t>
      </w:r>
      <w:r>
        <w:t>. These trapped adducts inhibit the enzyme without covalent protein modification, prompting us to term the compounds “Sirtuin Trapping Ligands” (SirTraps). X‐ray crystallography and kinetics, together with mass spectrometry confirming adduct formation both in vitro and in cellulo, reveal that the triazole N3 of peptide‐ and small‐molecule‐based SirTraps triggers nucleophilic attack at C1’ of the nicotinamide riboside moiety of NAD⁺, mimicking the first deacylation step. Adduct formation critically depends on precise triazole positioning within the acyl‐lysine channel and can be tuned through scaffold design, enabling potent and isoform‐selective inhibition. Unlike thiocarbonyl‐based NAD⁺‐targeting SIRT inhibitors, which may suffer from instability and off‐target effects, SirTraps combine high stability, synthetic accessibility, and structural tunability, while demonstrating nanomolar cellular target engagement confirmed by NanoBRET assays. Beyond SIRTs, this inhibition strategy may extend to other NAD⁺‐dependent enzymes, including ADP‐ribosyltransferases, opening new avenues for mechanism‐driven drug discovery.</w:t>
      </w:r>
    </w:p>
    <w:p>
      <w:pPr>
        <w:spacing w:before="120" w:after="120"/>
      </w:pPr>
      <w:r>
        <w:rPr>
          <w:sz w:val="18"/>
        </w:rPr>
        <w:t>——————————————————————————————————————————————————————————————————————</w:t>
      </w:r>
    </w:p>
    <w:p>
      <w:pPr>
        <w:spacing w:before="160" w:after="80" w:line="240" w:lineRule="auto"/>
      </w:pPr>
      <w:r>
        <w:rPr>
          <w:b/>
        </w:rPr>
        <w:t xml:space="preserve">[81] </w:t>
      </w:r>
      <w:hyperlink r:id="rId122">
        <w:r>
          <w:rPr>
            <w:color w:val="1155CC"/>
            <w:u w:val="single"/>
          </w:rPr>
          <w:t>Elucidating Highly Activated Transition Metal Redox Chemistry in Low‐Nickel O3‐Type Layered Oxide Cathodes for Sodium‐Ion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23">
        <w:r>
          <w:rPr>
            <w:color w:val="1155CC"/>
            <w:u w:val="single"/>
          </w:rPr>
          <w:t>10.1002/anie.202516746</w:t>
        </w:r>
      </w:hyperlink>
    </w:p>
    <w:p>
      <w:pPr>
        <w:spacing w:before="0" w:after="120"/>
      </w:pPr>
      <w:r>
        <w:rPr>
          <w:b/>
        </w:rPr>
        <w:t xml:space="preserve">Notes: </w:t>
      </w:r>
      <w:r>
        <w:t>abstract_source=crossref</w:t>
      </w:r>
    </w:p>
    <w:p>
      <w:pPr>
        <w:spacing w:before="0" w:after="200" w:lineRule="auto" w:line="276"/>
      </w:pPr>
      <w:r>
        <w:rPr>
          <w:b/>
        </w:rPr>
        <w:t xml:space="preserve">Abstract: </w:t>
      </w:r>
      <w:r>
        <w:t>Low‐nickel O3‐type layered oxides have emerged as cost‐effective cathode candidates for sodium‐ion batteries (SIBs). However, their practical viability is challenged by rapid capacity decay and insufficient redox activity within safe voltage windows. Here, we report a multi‐cationic compositional regulation strategy for Na</w:t>
      </w:r>
      <w:r>
        <w:t xml:space="preserve"> </w:t>
      </w:r>
      <w:r>
        <w:t>0.96</w:t>
      </w:r>
      <w:r>
        <w:t xml:space="preserve"> </w:t>
      </w:r>
      <w:r>
        <w:t>Ni</w:t>
      </w:r>
      <w:r>
        <w:t xml:space="preserve"> </w:t>
      </w:r>
      <w:r>
        <w:t>0.2</w:t>
      </w:r>
      <w:r>
        <w:t xml:space="preserve"> </w:t>
      </w:r>
      <w:r>
        <w:t>Mn</w:t>
      </w:r>
      <w:r>
        <w:t xml:space="preserve"> </w:t>
      </w:r>
      <w:r>
        <w:t>0.32</w:t>
      </w:r>
      <w:r>
        <w:t xml:space="preserve"> </w:t>
      </w:r>
      <w:r>
        <w:t>Fe</w:t>
      </w:r>
      <w:r>
        <w:t xml:space="preserve"> </w:t>
      </w:r>
      <w:r>
        <w:t>0.4</w:t>
      </w:r>
      <w:r>
        <w:t xml:space="preserve"> </w:t>
      </w:r>
      <w:r>
        <w:t>Mg</w:t>
      </w:r>
      <w:r>
        <w:t xml:space="preserve"> </w:t>
      </w:r>
      <w:r>
        <w:t>0.04</w:t>
      </w:r>
      <w:r>
        <w:t xml:space="preserve"> </w:t>
      </w:r>
      <w:r>
        <w:t>Cu</w:t>
      </w:r>
      <w:r>
        <w:t xml:space="preserve"> </w:t>
      </w:r>
      <w:r>
        <w:t>0.04</w:t>
      </w:r>
      <w:r>
        <w:t xml:space="preserve"> </w:t>
      </w:r>
      <w:r>
        <w:t>O</w:t>
      </w:r>
      <w:r>
        <w:rPr>
          <w:vertAlign w:val="subscript"/>
        </w:rPr>
        <w:t>2</w:t>
      </w:r>
      <w:r>
        <w:t>(NMFMC), which tunes the energy levels of transition metal (TM) 3d orbitals to enhance two‐electron Ni</w:t>
      </w:r>
      <w:r>
        <w:t xml:space="preserve"> </w:t>
      </w:r>
      <w:r>
        <w:t>2+</w:t>
      </w:r>
      <w:r>
        <w:t xml:space="preserve"> </w:t>
      </w:r>
      <w:r>
        <w:t>/Ni</w:t>
      </w:r>
      <w:r>
        <w:t xml:space="preserve"> </w:t>
      </w:r>
      <w:r>
        <w:t>4+</w:t>
      </w:r>
      <w:r>
        <w:t xml:space="preserve"> </w:t>
      </w:r>
      <w:r>
        <w:t>redox activity and facilitate cooperative Fe</w:t>
      </w:r>
      <w:r>
        <w:t xml:space="preserve"> </w:t>
      </w:r>
      <w:r>
        <w:t>3+</w:t>
      </w:r>
      <w:r>
        <w:t xml:space="preserve"> </w:t>
      </w:r>
      <w:r>
        <w:t>oxidation. This approach unlocks a 17% capacity enhancement (2.0–4.0 V) over conventional low‐Ni cathodes while maintaining structural integrity. Operando measurements and theoretical calculations demonstrate that the reinforced TM─O bonding upon Mg/Cu co‐doping mitigates structural distortion and suppresses multiphase transitions, thereby enabling superior cycling stability. A 2.65 Ah NMFMC||hard carbon pouch cell maintains 80% capacity after 1600 cycles at 1C and preserves 94% capacity when cycled from 0.5C to 4C, demonstrating practical potential for grid‐scale storage. By elucidating the interplay between orbital hybridization, redox chemistry, and structural evolution, this work establishes fundamental design principles for high‐energy, durable SIB's cathodes while advancing sustainable large‐scale energy storage solutions.</w:t>
      </w:r>
    </w:p>
    <w:p>
      <w:pPr>
        <w:spacing w:before="120" w:after="120"/>
      </w:pPr>
      <w:r>
        <w:rPr>
          <w:sz w:val="18"/>
        </w:rPr>
        <w:t>——————————————————————————————————————————————————————————————————————</w:t>
      </w:r>
    </w:p>
    <w:p>
      <w:pPr>
        <w:spacing w:before="160" w:after="80" w:line="240" w:lineRule="auto"/>
      </w:pPr>
      <w:r>
        <w:rPr>
          <w:b/>
        </w:rPr>
        <w:t xml:space="preserve">[82] </w:t>
      </w:r>
      <w:hyperlink r:id="rId124">
        <w:r>
          <w:rPr>
            <w:color w:val="1155CC"/>
            <w:u w:val="single"/>
          </w:rPr>
          <w:t>Topological Duality: Constructing High‐Nuclearity Metal Clusters with Unleashed Active Sites for Efficient and Durable CO2 Electroreduction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25">
        <w:r>
          <w:rPr>
            <w:color w:val="1155CC"/>
            <w:u w:val="single"/>
          </w:rPr>
          <w:t>10.1002/anie.202516704</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of active sites with atomic resolution in metal nanoclusters (MNCs) presents a promising avenue for catalyst engineering towards CO</w:t>
      </w:r>
      <w:r>
        <w:rPr>
          <w:vertAlign w:val="subscript"/>
        </w:rPr>
        <w:t>2</w:t>
      </w:r>
      <w:r>
        <w:t>electroreduction. However, effective strategies to construct high‐nuclearity MNCs while balancing catalytic stability and active‐site exposure remain scarce. Herein, we propose a “topological‐duality‐driven” strategy to construct a high‐nuclearity</w:t>
      </w:r>
      <w:r>
        <w:t xml:space="preserve"> </w:t>
      </w:r>
      <w:r>
        <w:t>Cu</w:t>
      </w:r>
      <w:r>
        <w:rPr>
          <w:vertAlign w:val="subscript"/>
        </w:rPr>
        <w:t>24</w:t>
      </w:r>
      <w:r>
        <w:t>Ag</w:t>
      </w:r>
      <w:r>
        <w:rPr>
          <w:vertAlign w:val="subscript"/>
        </w:rPr>
        <w:t>54</w:t>
      </w:r>
      <w:r>
        <w:t xml:space="preserve"> </w:t>
      </w:r>
      <w:r>
        <w:t>nanocluster, featuring an octahedral {Cu</w:t>
      </w:r>
      <w:r>
        <w:rPr>
          <w:vertAlign w:val="subscript"/>
        </w:rPr>
        <w:t>24</w:t>
      </w:r>
      <w:r>
        <w:t>} shell and a double‐truncated cubic {Ag</w:t>
      </w:r>
      <w:r>
        <w:rPr>
          <w:vertAlign w:val="subscript"/>
        </w:rPr>
        <w:t>54</w:t>
      </w:r>
      <w:r>
        <w:t>} core with exposed {Ag</w:t>
      </w:r>
      <w:r>
        <w:rPr>
          <w:vertAlign w:val="subscript"/>
        </w:rPr>
        <w:t>3</w:t>
      </w:r>
      <w:r>
        <w:t>} vertices on {111} facets. Notably, the double‐truncated cubic is a previously unexplored concave polyhedron with over twice the number of {111} facets compared to conventional structures. As a catalyst for CO</w:t>
      </w:r>
      <w:r>
        <w:rPr>
          <w:vertAlign w:val="subscript"/>
        </w:rPr>
        <w:t>2</w:t>
      </w:r>
      <w:r>
        <w:t>electroreduction,</w:t>
      </w:r>
      <w:r>
        <w:t xml:space="preserve"> </w:t>
      </w:r>
      <w:r>
        <w:t>Cu</w:t>
      </w:r>
      <w:r>
        <w:rPr>
          <w:vertAlign w:val="subscript"/>
        </w:rPr>
        <w:t>24</w:t>
      </w:r>
      <w:r>
        <w:t>Ag</w:t>
      </w:r>
      <w:r>
        <w:rPr>
          <w:vertAlign w:val="subscript"/>
        </w:rPr>
        <w:t>54</w:t>
      </w:r>
      <w:r>
        <w:t xml:space="preserve"> </w:t>
      </w:r>
      <w:r>
        <w:t>delivers exceptional performance including a Faradaic efficiency for CO of ∼98%, catalytic stability exceeding 100 h, and current densities up to 750 mA cm</w:t>
      </w:r>
      <w:r>
        <w:t xml:space="preserve"> </w:t>
      </w:r>
      <w:r>
        <w:t>−2</w:t>
      </w:r>
      <w:r>
        <w:t xml:space="preserve"> </w:t>
      </w:r>
      <w:r>
        <w:t>(total current 3 A), ranking among the highest values of the reported MNCs. Dedicated studies show the nested structure and increased electron delocalization underpin the catalyst durability. The facilitated electron transfer from Ag to the key intermediate *COOH and electron delocalization effect significantly reduce the energy barrier for *COOH formation by 50%. This work provides a new perspective on the potential of topological geometries in designing high‐nuclearity MNCs for highly efficient and robust CO</w:t>
      </w:r>
      <w:r>
        <w:rPr>
          <w:vertAlign w:val="subscript"/>
        </w:rPr>
        <w:t>2</w:t>
      </w:r>
      <w:r>
        <w:t>electroreduction at industrial current density.</w:t>
      </w:r>
    </w:p>
    <w:p>
      <w:pPr>
        <w:spacing w:before="120" w:after="120"/>
      </w:pPr>
      <w:r>
        <w:rPr>
          <w:sz w:val="18"/>
        </w:rPr>
        <w:t>——————————————————————————————————————————————————————————————————————</w:t>
      </w:r>
    </w:p>
    <w:p>
      <w:pPr>
        <w:spacing w:before="160" w:after="80" w:line="240" w:lineRule="auto"/>
      </w:pPr>
      <w:r>
        <w:rPr>
          <w:b/>
        </w:rPr>
        <w:t xml:space="preserve">[83] </w:t>
      </w:r>
      <w:hyperlink r:id="rId126">
        <w:r>
          <w:rPr>
            <w:color w:val="1155CC"/>
            <w:u w:val="single"/>
          </w:rPr>
          <w:t>Etter Revised: Graph‐Set Analysis for Supramolecular Patterns in Molecular Crystals*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27">
        <w:r>
          <w:rPr>
            <w:color w:val="1155CC"/>
            <w:u w:val="single"/>
          </w:rPr>
          <w:t>10.1002/anie.202516614</w:t>
        </w:r>
      </w:hyperlink>
    </w:p>
    <w:p>
      <w:pPr>
        <w:spacing w:before="0" w:after="120"/>
      </w:pPr>
      <w:r>
        <w:rPr>
          <w:b/>
        </w:rPr>
        <w:t xml:space="preserve">Notes: </w:t>
      </w:r>
      <w:r>
        <w:t>abstract_source=crossref</w:t>
      </w:r>
    </w:p>
    <w:p>
      <w:pPr>
        <w:spacing w:before="0" w:after="200" w:lineRule="auto" w:line="276"/>
      </w:pPr>
      <w:r>
        <w:rPr>
          <w:b/>
        </w:rPr>
        <w:t xml:space="preserve">Abstract: </w:t>
      </w:r>
      <w:r>
        <w:t>A modification to Etter's graph‐set notation for hydrogen‐bond patterns in molecular crystals is proposed to enable the classification of supramolecular patterns based on any type of non‐covalent interaction (such as hydrogen, halogen, chalcogen, pnictogen, and tetrel bonding). It is recommended that the modified notation be applied to supramolecular patterns based on interactions other than hydrogen bonds, while retaining the original notation for patterns based solely on hydrogen bonds.</w:t>
      </w:r>
    </w:p>
    <w:p>
      <w:pPr>
        <w:spacing w:before="120" w:after="120"/>
      </w:pPr>
      <w:r>
        <w:rPr>
          <w:sz w:val="18"/>
        </w:rPr>
        <w:t>——————————————————————————————————————————————————————————————————————</w:t>
      </w:r>
    </w:p>
    <w:p>
      <w:pPr>
        <w:spacing w:before="160" w:after="80" w:line="240" w:lineRule="auto"/>
      </w:pPr>
      <w:r>
        <w:rPr>
          <w:b/>
        </w:rPr>
        <w:t xml:space="preserve">[84] </w:t>
      </w:r>
      <w:hyperlink r:id="rId128">
        <w:r>
          <w:rPr>
            <w:color w:val="1155CC"/>
            <w:u w:val="single"/>
          </w:rPr>
          <w:t>Shape‐Matched Nonpolar Pore Surfaces Enhance Alkane Recognition Toward Natural Gas Upgrading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29">
        <w:r>
          <w:rPr>
            <w:color w:val="1155CC"/>
            <w:u w:val="single"/>
          </w:rPr>
          <w:t>10.1002/anie.202517133</w:t>
        </w:r>
      </w:hyperlink>
    </w:p>
    <w:p>
      <w:pPr>
        <w:spacing w:before="0" w:after="120"/>
      </w:pPr>
      <w:r>
        <w:rPr>
          <w:b/>
        </w:rPr>
        <w:t xml:space="preserve">Notes: </w:t>
      </w:r>
      <w:r>
        <w:t>abstract_source=crossref</w:t>
      </w:r>
    </w:p>
    <w:p>
      <w:pPr>
        <w:spacing w:before="0" w:after="200" w:lineRule="auto" w:line="276"/>
      </w:pPr>
      <w:r>
        <w:rPr>
          <w:b/>
        </w:rPr>
        <w:t xml:space="preserve">Abstract: </w:t>
      </w:r>
      <w:r>
        <w:t>Efficiently removing C</w:t>
      </w:r>
      <w:r>
        <w:rPr>
          <w:vertAlign w:val="subscript"/>
        </w:rPr>
        <w:t>3</w:t>
      </w:r>
      <w:r>
        <w:t>H</w:t>
      </w:r>
      <w:r>
        <w:rPr>
          <w:vertAlign w:val="subscript"/>
        </w:rPr>
        <w:t>8</w:t>
      </w:r>
      <w:r>
        <w:t>and C</w:t>
      </w:r>
      <w:r>
        <w:rPr>
          <w:vertAlign w:val="subscript"/>
        </w:rPr>
        <w:t>2</w:t>
      </w:r>
      <w:r>
        <w:t>H</w:t>
      </w:r>
      <w:r>
        <w:rPr>
          <w:vertAlign w:val="subscript"/>
        </w:rPr>
        <w:t>6</w:t>
      </w:r>
      <w:r>
        <w:t>from natural gas remains a formidable challenge in meeting industrial purification demands. Traditional strategies have primarily focused on subtle polarizability differences among alkane molecules, there have been no reported efforts that exploit their substantial shape disparities for separation purposes. Hence, we customized a two‐dimensional (2D) metal‐organic framework (MOF), Zn‐BPDP, featuring zigzag aromatic pore channels. Zn‐BPDP achieves specific capture of V‐shaped C</w:t>
      </w:r>
      <w:r>
        <w:rPr>
          <w:vertAlign w:val="subscript"/>
        </w:rPr>
        <w:t>3</w:t>
      </w:r>
      <w:r>
        <w:t>H</w:t>
      </w:r>
      <w:r>
        <w:rPr>
          <w:vertAlign w:val="subscript"/>
        </w:rPr>
        <w:t>8</w:t>
      </w:r>
      <w:r>
        <w:t>and linear C</w:t>
      </w:r>
      <w:r>
        <w:rPr>
          <w:vertAlign w:val="subscript"/>
        </w:rPr>
        <w:t>2</w:t>
      </w:r>
      <w:r>
        <w:t>H</w:t>
      </w:r>
      <w:r>
        <w:rPr>
          <w:vertAlign w:val="subscript"/>
        </w:rPr>
        <w:t>6</w:t>
      </w:r>
      <w:r>
        <w:t>through the synergistic effect of shape‐matched and nonpolar pore surfaces. Ultimately, Zn‐BPDP exhibits considerable C</w:t>
      </w:r>
      <w:r>
        <w:rPr>
          <w:vertAlign w:val="subscript"/>
        </w:rPr>
        <w:t>3</w:t>
      </w:r>
      <w:r>
        <w:t>/C</w:t>
      </w:r>
      <w:r>
        <w:rPr>
          <w:vertAlign w:val="subscript"/>
        </w:rPr>
        <w:t>2</w:t>
      </w:r>
      <w:r>
        <w:t>adsorption capacities, along with outstanding C</w:t>
      </w:r>
      <w:r>
        <w:rPr>
          <w:vertAlign w:val="subscript"/>
        </w:rPr>
        <w:t>3</w:t>
      </w:r>
      <w:r>
        <w:t>H</w:t>
      </w:r>
      <w:r>
        <w:rPr>
          <w:vertAlign w:val="subscript"/>
        </w:rPr>
        <w:t>8</w:t>
      </w:r>
      <w:r>
        <w:t>/CH</w:t>
      </w:r>
      <w:r>
        <w:rPr>
          <w:vertAlign w:val="subscript"/>
        </w:rPr>
        <w:t>4</w:t>
      </w:r>
      <w:r>
        <w:t>and C</w:t>
      </w:r>
      <w:r>
        <w:rPr>
          <w:vertAlign w:val="subscript"/>
        </w:rPr>
        <w:t>2</w:t>
      </w:r>
      <w:r>
        <w:t>H</w:t>
      </w:r>
      <w:r>
        <w:rPr>
          <w:vertAlign w:val="subscript"/>
        </w:rPr>
        <w:t>6</w:t>
      </w:r>
      <w:r>
        <w:t>/CH</w:t>
      </w:r>
      <w:r>
        <w:rPr>
          <w:vertAlign w:val="subscript"/>
        </w:rPr>
        <w:t>4</w:t>
      </w:r>
      <w:r>
        <w:t>ideal adsorbed solution theory (IAST) selectivities. Under harsh simulated industrial conditions, including high flow rate (4 mL min</w:t>
      </w:r>
      <w:r>
        <w:t xml:space="preserve"> </w:t>
      </w:r>
      <w:r>
        <w:t>−1</w:t>
      </w:r>
      <w:r>
        <w:t xml:space="preserve"> </w:t>
      </w:r>
      <w:r>
        <w:t>), elevated temperature (318 K), and saturated humidity (RH = 100%), Zn‐BPDP demonstrates superior separation performance for C</w:t>
      </w:r>
      <w:r>
        <w:rPr>
          <w:vertAlign w:val="subscript"/>
        </w:rPr>
        <w:t>3</w:t>
      </w:r>
      <w:r>
        <w:t>H</w:t>
      </w:r>
      <w:r>
        <w:rPr>
          <w:vertAlign w:val="subscript"/>
        </w:rPr>
        <w:t>8</w:t>
      </w:r>
      <w:r>
        <w:t>/C</w:t>
      </w:r>
      <w:r>
        <w:rPr>
          <w:vertAlign w:val="subscript"/>
        </w:rPr>
        <w:t>2</w:t>
      </w:r>
      <w:r>
        <w:t>H</w:t>
      </w:r>
      <w:r>
        <w:rPr>
          <w:vertAlign w:val="subscript"/>
        </w:rPr>
        <w:t>6</w:t>
      </w:r>
      <w:r>
        <w:t>/CH</w:t>
      </w:r>
      <w:r>
        <w:rPr>
          <w:vertAlign w:val="subscript"/>
        </w:rPr>
        <w:t>4</w:t>
      </w:r>
      <w:r>
        <w:t>mixtures. Theoretical calculations further indicate that shape‐matched aromatic surfaces provide enlarged contact interfaces with both C</w:t>
      </w:r>
      <w:r>
        <w:rPr>
          <w:vertAlign w:val="subscript"/>
        </w:rPr>
        <w:t>3</w:t>
      </w:r>
      <w:r>
        <w:t>H</w:t>
      </w:r>
      <w:r>
        <w:rPr>
          <w:vertAlign w:val="subscript"/>
        </w:rPr>
        <w:t>8</w:t>
      </w:r>
      <w:r>
        <w:t>and C</w:t>
      </w:r>
      <w:r>
        <w:rPr>
          <w:vertAlign w:val="subscript"/>
        </w:rPr>
        <w:t>2</w:t>
      </w:r>
      <w:r>
        <w:t>H</w:t>
      </w:r>
      <w:r>
        <w:rPr>
          <w:vertAlign w:val="subscript"/>
        </w:rPr>
        <w:t>6</w:t>
      </w:r>
      <w:r>
        <w:t>through multiple C─H</w:t>
      </w:r>
      <w:r>
        <w:t xml:space="preserve"> </w:t>
      </w:r>
      <w:r>
        <w:t>···</w:t>
      </w:r>
      <w:r>
        <w:t xml:space="preserve"> </w:t>
      </w:r>
      <w:r>
        <w:t>π interactions, thereby presenting an innovative approach for natural gas upgrading.</w:t>
      </w:r>
    </w:p>
    <w:p>
      <w:pPr>
        <w:spacing w:before="120" w:after="120"/>
      </w:pPr>
      <w:r>
        <w:rPr>
          <w:sz w:val="18"/>
        </w:rPr>
        <w:t>——————————————————————————————————————————————————————————————————————</w:t>
      </w:r>
    </w:p>
    <w:p>
      <w:pPr>
        <w:spacing w:before="160" w:after="80" w:line="240" w:lineRule="auto"/>
      </w:pPr>
      <w:r>
        <w:rPr>
          <w:b/>
        </w:rPr>
        <w:t xml:space="preserve">[85] </w:t>
      </w:r>
      <w:hyperlink r:id="rId130">
        <w:r>
          <w:rPr>
            <w:color w:val="1155CC"/>
            <w:u w:val="single"/>
          </w:rPr>
          <w:t>Phase‐Transition Intervention Engineered Amorphous Vanadium Oxide for High‐Performance Aqueous Zinc‐Ion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31">
        <w:r>
          <w:rPr>
            <w:color w:val="1155CC"/>
            <w:u w:val="single"/>
          </w:rPr>
          <w:t>10.1002/anie.202517305</w:t>
        </w:r>
      </w:hyperlink>
    </w:p>
    <w:p>
      <w:pPr>
        <w:spacing w:before="0" w:after="120"/>
      </w:pPr>
      <w:r>
        <w:rPr>
          <w:b/>
        </w:rPr>
        <w:t xml:space="preserve">Notes: </w:t>
      </w:r>
      <w:r>
        <w:t>abstract_source=crossref</w:t>
      </w:r>
    </w:p>
    <w:p>
      <w:pPr>
        <w:spacing w:before="0" w:after="200" w:lineRule="auto" w:line="276"/>
      </w:pPr>
      <w:r>
        <w:rPr>
          <w:b/>
        </w:rPr>
        <w:t xml:space="preserve">Abstract: </w:t>
      </w:r>
      <w:r>
        <w:t>Amorphous vanadium oxide (AVO) has emerged as a promising cathode material for aqueous zinc‐ion batteries (AZIBs), combining the high theoretical capacity and low cost of crystalline vanadium oxides with improved kinetics and structural tolerance. However, AVO still faces critical challenges, including thermodynamic instability, poor electrical conductivity, and severe dissolution in aqueous electrolytes, which limit its practical application. Herein, we propose a novel “phase‐transition intervention” strategy for the synthesis of AVO. In this approach, polyaniline molecules are first intercalated into layered V</w:t>
      </w:r>
      <w:r>
        <w:rPr>
          <w:vertAlign w:val="subscript"/>
        </w:rPr>
        <w:t>2</w:t>
      </w:r>
      <w:r>
        <w:t>O</w:t>
      </w:r>
      <w:r>
        <w:rPr>
          <w:vertAlign w:val="subscript"/>
        </w:rPr>
        <w:t>5</w:t>
      </w:r>
      <w:r>
        <w:t>·1.6H</w:t>
      </w:r>
      <w:r>
        <w:rPr>
          <w:vertAlign w:val="subscript"/>
        </w:rPr>
        <w:t>2</w:t>
      </w:r>
      <w:r>
        <w:t>O, followed by high‐temperature treatment. During the thermally induced phase transition of V</w:t>
      </w:r>
      <w:r>
        <w:rPr>
          <w:vertAlign w:val="subscript"/>
        </w:rPr>
        <w:t>2</w:t>
      </w:r>
      <w:r>
        <w:t>O</w:t>
      </w:r>
      <w:r>
        <w:rPr>
          <w:vertAlign w:val="subscript"/>
        </w:rPr>
        <w:t>5</w:t>
      </w:r>
      <w:r>
        <w:t>·1.6H</w:t>
      </w:r>
      <w:r>
        <w:rPr>
          <w:vertAlign w:val="subscript"/>
        </w:rPr>
        <w:t>2</w:t>
      </w:r>
      <w:r>
        <w:t>O, the intercalated polyaniline molecules undergo in situ carbonization and form nitrogen‐doped carbon layers, which simultaneously disrupt long‐range crystallinity and promote the formation of AVO confined in nitrogen‐doped carbon layers. The carbon layers provide the AVO with suppressed dissolution, enhanced electrical conductivity, and improved thermodynamic stability. The resulting composite exhibits excellent AZIB performance, delivering high capacities of 390.5 and 329.9 mAh g</w:t>
      </w:r>
      <w:r>
        <w:t xml:space="preserve"> </w:t>
      </w:r>
      <w:r>
        <w:t>−1</w:t>
      </w:r>
      <w:r>
        <w:t xml:space="preserve"> </w:t>
      </w:r>
      <w:r>
        <w:t>at 0.1 and 20.0 A g</w:t>
      </w:r>
      <w:r>
        <w:t xml:space="preserve"> </w:t>
      </w:r>
      <w:r>
        <w:t>−1</w:t>
      </w:r>
      <w:r>
        <w:t xml:space="preserve"> </w:t>
      </w:r>
      <w:r>
        <w:t>, respectively, and outstanding cycling stability. This work offers a versatile strategy for designing amorphous electrode materials and opens new directions for high‐energy aqueous zinc‐ion batteries.</w:t>
      </w:r>
    </w:p>
    <w:p>
      <w:pPr>
        <w:spacing w:before="120" w:after="120"/>
      </w:pPr>
      <w:r>
        <w:rPr>
          <w:sz w:val="18"/>
        </w:rPr>
        <w:t>——————————————————————————————————————————————————————————————————————</w:t>
      </w:r>
    </w:p>
    <w:p>
      <w:pPr>
        <w:spacing w:before="160" w:after="80" w:line="240" w:lineRule="auto"/>
      </w:pPr>
      <w:r>
        <w:rPr>
          <w:b/>
        </w:rPr>
        <w:t xml:space="preserve">[86] </w:t>
      </w:r>
      <w:hyperlink r:id="rId132">
        <w:r>
          <w:rPr>
            <w:color w:val="1155CC"/>
            <w:u w:val="single"/>
          </w:rPr>
          <w:t>Fully Locked Conjugated Backbones in Simple‐Structured Polymer Donors Enabling High‐Performance Organic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33">
        <w:r>
          <w:rPr>
            <w:color w:val="1155CC"/>
            <w:u w:val="single"/>
          </w:rPr>
          <w:t>10.1002/anie.202518567</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wide‐bandgap polymer donors with cost‐effectiveness is pivotal for advancing the commercialization of organic solar cells (OSCs). However, these materials often suffer from conformational disorder and distortion, due to the presence of multiple rotatable σ‐bonds within their conjugated backbones. This study presents a series of simple‐structured polymer donors PBDT‐TBT‐X (X = H, F, and Cl), and systematically investigates the role of the type and strength of noncovalent conformational locks (NoCLs) in regulating backbone conformations, optoelectronic properties, pre‐aggregation behavior, and charge transport properties. Remarkably, the dual‐locking strategy involving S···O and S···Cl NoCLs achieves the most highly planar conformation with a fully locked backbone. As a result, the binary OSC device based on PBDT‐TBT‐Cl achieves a power conversion efficiency (PCE) of 16.11%, much higher than its PBDT‐TBT‐H (6.35%) and PBDT‐TBT‐F (12.69%) counterparts. Notably, when utilized as a third component, PBDT‐TBT‐Cl enables a ternary OSC device with a PCE exceeding 20%. This work establishes a clear conformation−property−performance relationship, underscoring the critical role of fully locked conformations in designing high‐performance and cost‐effective polymer donors.</w:t>
      </w:r>
    </w:p>
    <w:p>
      <w:pPr>
        <w:spacing w:before="120" w:after="120"/>
      </w:pPr>
      <w:r>
        <w:rPr>
          <w:sz w:val="18"/>
        </w:rPr>
        <w:t>——————————————————————————————————————————————————————————————————————</w:t>
      </w:r>
    </w:p>
    <w:p>
      <w:pPr>
        <w:spacing w:before="160" w:after="80" w:line="240" w:lineRule="auto"/>
      </w:pPr>
      <w:r>
        <w:rPr>
          <w:b/>
        </w:rPr>
        <w:t xml:space="preserve">[87] </w:t>
      </w:r>
      <w:hyperlink r:id="rId134">
        <w:r>
          <w:rPr>
            <w:color w:val="1155CC"/>
            <w:u w:val="single"/>
          </w:rPr>
          <w:t>Thermally Activated Stereoinversion in Benzotrithiophene‐Based Supramolecular Polymers with Water as the Effector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35">
        <w:r>
          <w:rPr>
            <w:color w:val="1155CC"/>
            <w:u w:val="single"/>
          </w:rPr>
          <w:t>10.1002/anie.202517603</w:t>
        </w:r>
      </w:hyperlink>
    </w:p>
    <w:p>
      <w:pPr>
        <w:spacing w:before="0" w:after="120"/>
      </w:pPr>
      <w:r>
        <w:rPr>
          <w:b/>
        </w:rPr>
        <w:t xml:space="preserve">Notes: </w:t>
      </w:r>
      <w:r>
        <w:t>abstract_source=crossref</w:t>
      </w:r>
    </w:p>
    <w:p>
      <w:pPr>
        <w:spacing w:before="0" w:after="200" w:lineRule="auto" w:line="276"/>
      </w:pPr>
      <w:r>
        <w:rPr>
          <w:b/>
        </w:rPr>
        <w:t xml:space="preserve">Abstract: </w:t>
      </w:r>
      <w:r>
        <w:t>We report the synthesis of the chiral benzotrithiophene (BTT) derivative</w:t>
      </w:r>
      <w:r>
        <w:rPr>
          <w:vertAlign w:val="subscript"/>
        </w:rPr>
        <w:t>1</w:t>
      </w:r>
      <w:r>
        <w:t>, which self‐assembles into helical supramolecular polymers. The</w:t>
      </w:r>
      <w:r>
        <w:t xml:space="preserve"> </w:t>
      </w:r>
      <w:r>
        <w:t>C</w:t>
      </w:r>
      <w:r>
        <w:rPr>
          <w:vertAlign w:val="subscript"/>
        </w:rPr>
        <w:t>3</w:t>
      </w:r>
      <w:r>
        <w:t>symmetry of BTT</w:t>
      </w:r>
      <w:r>
        <w:rPr>
          <w:vertAlign w:val="subscript"/>
        </w:rPr>
        <w:t>1</w:t>
      </w:r>
      <w:r>
        <w:t>enables a unique temperature‐dependent stereomutation process in which water acts as a key effector. Circular dichroism measurements reveal that a higher water content induces a double stereomutation, ultimately restoring the original helicity. In contrast, reducing the water content leads to a single, stable stereomutation, which duration depends on the amount of water in solution. To elucidate the stereomutation mechanism, we conducted a multi‐level computational study, identifying two main conformations for the monomeric species that lead to diastereomeric helices with different preferred handedness, thus resulting in opposite dichroic patterns. The transition between these aggregates involves rotation of the BTT cores and amide groups, a process significantly facilitated by water molecules via triple hydrogen bonding within the helical stack. These findings exhibit the crucial role of the solvent in modulating chiral supramolecular polymer structures and provide unprecedented insights into the influence of water on self‐assembly and stereomutation processes.</w:t>
      </w:r>
    </w:p>
    <w:p>
      <w:pPr>
        <w:spacing w:before="120" w:after="120"/>
      </w:pPr>
      <w:r>
        <w:rPr>
          <w:sz w:val="18"/>
        </w:rPr>
        <w:t>——————————————————————————————————————————————————————————————————————</w:t>
      </w:r>
    </w:p>
    <w:p>
      <w:pPr>
        <w:spacing w:before="160" w:after="80" w:line="240" w:lineRule="auto"/>
      </w:pPr>
      <w:r>
        <w:rPr>
          <w:b/>
        </w:rPr>
        <w:t xml:space="preserve">[88] </w:t>
      </w:r>
      <w:hyperlink r:id="rId136">
        <w:r>
          <w:rPr>
            <w:color w:val="1155CC"/>
            <w:u w:val="single"/>
          </w:rPr>
          <w:t>Homoterpene Biosynthesis in Fungi</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37">
        <w:r>
          <w:rPr>
            <w:color w:val="1155CC"/>
            <w:u w:val="single"/>
          </w:rPr>
          <w:t>10.1002/anie.202517837</w:t>
        </w:r>
      </w:hyperlink>
    </w:p>
    <w:p>
      <w:pPr>
        <w:spacing w:before="0" w:after="120"/>
      </w:pPr>
      <w:r>
        <w:rPr>
          <w:b/>
        </w:rPr>
        <w:t xml:space="preserve">Notes: </w:t>
      </w:r>
      <w:r>
        <w:t>abstract_source=crossref</w:t>
      </w:r>
    </w:p>
    <w:p>
      <w:pPr>
        <w:spacing w:before="0" w:after="200" w:lineRule="auto" w:line="276"/>
      </w:pPr>
      <w:r>
        <w:rPr>
          <w:b/>
        </w:rPr>
        <w:t xml:space="preserve">Abstract: </w:t>
      </w:r>
      <w:r>
        <w:t>Homoterpenes carrying an additional methyl group in their carbon backbones are an emerging class of natural products that challenge the biogenic isoprene rule, stating that terpenes are composed of integer multiples of C</w:t>
      </w:r>
      <w:r>
        <w:rPr>
          <w:vertAlign w:val="subscript"/>
        </w:rPr>
        <w:t>5</w:t>
      </w:r>
      <w:r>
        <w:t>units. We and others have recently shown that biosynthetic pathways to homoterpenes are widespread in bacteria, leading either to specialized scaffolds such as the “Greek philosophers homoterpenes” in Pseudomonadota or to simple methyl analogs of central eudesmanes and germacranes (“humanists homoterpenes”) in Actinomycetota. Here we report the discovery of the first homoterpene biosynthetic pathway in the fungal kingdom using targeted genomic data mining in combination with in vitro pathway reconstitution. Functional analyses of a fungal methyltransferase (NdiMT) and terpene cyclase (NdiTC) pair from the plant‐pathogenic fungus</w:t>
      </w:r>
      <w:r>
        <w:t xml:space="preserve"> </w:t>
      </w:r>
      <w:r>
        <w:t>Neonectria ditissima</w:t>
      </w:r>
      <w:r>
        <w:t xml:space="preserve"> </w:t>
      </w:r>
      <w:r>
        <w:t>, the causative agent of apple canker, led to the discovery of a novel homosesquiterpene featuring an intriguing heptamethylbicyclo[3.3.1]nonane scaffold. Phylogenetic analyses indicate that the fungus acquired the key methyltransferase via horizontal gene transfer from bacteria, whereas the terpene cyclase appears to have evolved from a fungal ancestor. The discovery raises fundamental questions about the evolutionary rationale and functional consequences of terpene methylation in nature.</w:t>
      </w:r>
    </w:p>
    <w:p>
      <w:pPr>
        <w:spacing w:before="120" w:after="120"/>
      </w:pPr>
      <w:r>
        <w:rPr>
          <w:sz w:val="18"/>
        </w:rPr>
        <w:t>——————————————————————————————————————————————————————————————————————</w:t>
      </w:r>
    </w:p>
    <w:p>
      <w:pPr>
        <w:spacing w:before="160" w:after="80" w:line="240" w:lineRule="auto"/>
      </w:pPr>
      <w:r>
        <w:rPr>
          <w:b/>
        </w:rPr>
        <w:t xml:space="preserve">[89] </w:t>
      </w:r>
      <w:hyperlink r:id="rId138">
        <w:r>
          <w:rPr>
            <w:color w:val="1155CC"/>
            <w:u w:val="single"/>
          </w:rPr>
          <w:t>Selective Electrocatalytic CO2 Reduction to Methanol: A Roadmap toward Practical Implementation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39">
        <w:r>
          <w:rPr>
            <w:color w:val="1155CC"/>
            <w:u w:val="single"/>
          </w:rPr>
          <w:t>10.1002/anie.202517916</w:t>
        </w:r>
      </w:hyperlink>
    </w:p>
    <w:p>
      <w:pPr>
        <w:spacing w:before="0" w:after="120"/>
      </w:pPr>
      <w:r>
        <w:rPr>
          <w:b/>
        </w:rPr>
        <w:t xml:space="preserve">Notes: </w:t>
      </w:r>
      <w:r>
        <w:t>abstract_source=crossref</w:t>
      </w:r>
    </w:p>
    <w:p>
      <w:pPr>
        <w:spacing w:before="0" w:after="200" w:lineRule="auto" w:line="276"/>
      </w:pPr>
      <w:r>
        <w:rPr>
          <w:b/>
        </w:rPr>
        <w:t xml:space="preserve">Abstract: </w:t>
      </w:r>
      <w:r>
        <w:t>Electrocatalytic CO</w:t>
      </w:r>
      <w:r>
        <w:rPr>
          <w:vertAlign w:val="subscript"/>
        </w:rPr>
        <w:t>2</w:t>
      </w:r>
      <w:r>
        <w:t>reduction to methanol (MeOH) unites two urgent global needs, carbon recycling and renewable energy storage, into a single, compelling chemical transformation. According to recent techno‐economic analyses, commercially competitive MeOH production (at ≈$190 per ton) can be achieved via electroreduction by meeting practical targets for current density, Faradaic efficiency (FE), and stability. Moreover, MeOH's high energy density (16 MJ L</w:t>
      </w:r>
      <w:r>
        <w:t xml:space="preserve"> </w:t>
      </w:r>
      <w:r>
        <w:t>−1</w:t>
      </w:r>
      <w:r>
        <w:t xml:space="preserve"> </w:t>
      </w:r>
      <w:r>
        <w:t>), substantial hydrogen content (100 g H</w:t>
      </w:r>
      <w:r>
        <w:rPr>
          <w:vertAlign w:val="subscript"/>
        </w:rPr>
        <w:t>2</w:t>
      </w:r>
      <w:r>
        <w:t>per L), and low storage and transport costs further underscore its strong economic potential. Yet, the complexity of the six‐electron–proton transfer (ET–PT) process that governs its formation remains intrinsically complex, with competing pathways threatening selectivity at every stage. This review critically examines current mechanistic insights, highlighting key intermediates such as CO and OCH</w:t>
      </w:r>
      <w:r>
        <w:rPr>
          <w:vertAlign w:val="subscript"/>
        </w:rPr>
        <w:t>3</w:t>
      </w:r>
      <w:r>
        <w:t>, and demonstrating how catalyst surfaces and reaction conditions profoundly influence pathway divergence. We highlight recent advances in catalyst development that exploit a fundamental, molecular‐level understanding of intermediate stabilization to deliver unprecedented MeOH selectivity and activity. Through detailed analysis of operational parameters—including mass transport dynamics, electrolyte composition, and applied potentials—this work provides a comprehensive framework for rational catalyst development. Together, these insights converge design principles for next‐generation electrocatalysts capable of selectively converting CO</w:t>
      </w:r>
      <w:r>
        <w:rPr>
          <w:vertAlign w:val="subscript"/>
        </w:rPr>
        <w:t>2</w:t>
      </w:r>
      <w:r>
        <w:t>‐to‐MeOH at scale, advancing economically viable and environmentally sustainable MeOH production.</w:t>
      </w:r>
    </w:p>
    <w:p>
      <w:pPr>
        <w:spacing w:before="120" w:after="120"/>
      </w:pPr>
      <w:r>
        <w:rPr>
          <w:sz w:val="18"/>
        </w:rPr>
        <w:t>——————————————————————————————————————————————————————————————————————</w:t>
      </w:r>
    </w:p>
    <w:p>
      <w:pPr>
        <w:spacing w:before="160" w:after="80" w:line="240" w:lineRule="auto"/>
      </w:pPr>
      <w:r>
        <w:rPr>
          <w:b/>
        </w:rPr>
        <w:t xml:space="preserve">[90] </w:t>
      </w:r>
      <w:hyperlink r:id="rId140">
        <w:r>
          <w:rPr>
            <w:color w:val="1155CC"/>
            <w:u w:val="single"/>
          </w:rPr>
          <w:t>Integrative Ni1–Px Catalytic Pairs for Low‐Concentration CO2 Electroreduction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41">
        <w:r>
          <w:rPr>
            <w:color w:val="1155CC"/>
            <w:u w:val="single"/>
          </w:rPr>
          <w:t>10.1002/anie.202518003</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CO</w:t>
      </w:r>
      <w:r>
        <w:rPr>
          <w:vertAlign w:val="subscript"/>
        </w:rPr>
        <w:t>2</w:t>
      </w:r>
      <w:r>
        <w:t>reduction reaction (CO</w:t>
      </w:r>
      <w:r>
        <w:rPr>
          <w:vertAlign w:val="subscript"/>
        </w:rPr>
        <w:t>2</w:t>
      </w:r>
      <w:r>
        <w:t>RR) powered by renewable electricity offers a promising approach for sustainable carbon utilization. However, under industrially relevant low CO</w:t>
      </w:r>
      <w:r>
        <w:rPr>
          <w:vertAlign w:val="subscript"/>
        </w:rPr>
        <w:t>2</w:t>
      </w:r>
      <w:r>
        <w:t>concentrations (5–15 vol.%), the efficiency and selectivity of electrochemical CO</w:t>
      </w:r>
      <w:r>
        <w:rPr>
          <w:vertAlign w:val="subscript"/>
        </w:rPr>
        <w:t>2</w:t>
      </w:r>
      <w:r>
        <w:t>RR are significantly constrained by the limited CO</w:t>
      </w:r>
      <w:r>
        <w:rPr>
          <w:vertAlign w:val="subscript"/>
        </w:rPr>
        <w:t>2</w:t>
      </w:r>
      <w:r>
        <w:t>supply and the competitive hydrogen evolution reaction (HER). Herein, we report integrative Ni</w:t>
      </w:r>
      <w:r>
        <w:rPr>
          <w:vertAlign w:val="subscript"/>
        </w:rPr>
        <w:t>1</w:t>
      </w:r>
      <w:r>
        <w:t>–P</w:t>
      </w:r>
      <w:r>
        <w:t xml:space="preserve"> </w:t>
      </w:r>
      <w:r>
        <w:t>x</w:t>
      </w:r>
      <w:r>
        <w:t xml:space="preserve"> </w:t>
      </w:r>
      <w:r>
        <w:t>catalytic pairs (Ni</w:t>
      </w:r>
      <w:r>
        <w:rPr>
          <w:vertAlign w:val="subscript"/>
        </w:rPr>
        <w:t>1</w:t>
      </w:r>
      <w:r>
        <w:t>–P</w:t>
      </w:r>
      <w:r>
        <w:t xml:space="preserve"> </w:t>
      </w:r>
      <w:r>
        <w:t>x</w:t>
      </w:r>
      <w:r>
        <w:t xml:space="preserve"> </w:t>
      </w:r>
      <w:r>
        <w:t>/ICPs) that exhibit super CO</w:t>
      </w:r>
      <w:r>
        <w:rPr>
          <w:vertAlign w:val="subscript"/>
        </w:rPr>
        <w:t>2</w:t>
      </w:r>
      <w:r>
        <w:t>‐to‐CO conversion efficiency under low‐concentration CO</w:t>
      </w:r>
      <w:r>
        <w:rPr>
          <w:vertAlign w:val="subscript"/>
        </w:rPr>
        <w:t>2</w:t>
      </w:r>
      <w:r>
        <w:t>conditions. In situ attenuated total reflectance surface‐enhanced infrared absorption spectroscopy (ATR‐SEIRAS) and X‐ray absorption spectroscopy (XAS) measurements show that P incorporation modulates the electrochemical microenvironment and accelerates reaction kinetics. H/D isotopic substitution experiments and theoretical calculations unveil a mechanistic transition from an Eley–Rideal to Langmuir–Hinshelwood pathway, enabled by cooperative adsorption on adjacent Ni and P sites. Notably, a hydrogen‐bonded six‐membered Ni–C–O–H–O–P–Ni ring forms between adsorbed CO</w:t>
      </w:r>
      <w:r>
        <w:rPr>
          <w:vertAlign w:val="subscript"/>
        </w:rPr>
        <w:t>2</w:t>
      </w:r>
      <w:r>
        <w:t>and H</w:t>
      </w:r>
      <w:r>
        <w:rPr>
          <w:vertAlign w:val="subscript"/>
        </w:rPr>
        <w:t>2</w:t>
      </w:r>
      <w:r>
        <w:t>O, facilitating proton‐coupled electron transfer and lowering the reaction barrier. This unique adsorption motif enhances CO</w:t>
      </w:r>
      <w:r>
        <w:rPr>
          <w:vertAlign w:val="subscript"/>
        </w:rPr>
        <w:t>2</w:t>
      </w:r>
      <w:r>
        <w:t>activation, suppresses HER, and enables efficient CO generation at low CO</w:t>
      </w:r>
      <w:r>
        <w:rPr>
          <w:vertAlign w:val="subscript"/>
        </w:rPr>
        <w:t>2</w:t>
      </w:r>
      <w:r>
        <w:t>concentrations. Our findings show the importance of atomically dispersed catalytic pairs for advancing carbon utilization and overcoming selectivity challenges in electrochemical hydrogenation.</w:t>
      </w:r>
    </w:p>
    <w:p>
      <w:pPr>
        <w:spacing w:before="120" w:after="120"/>
      </w:pPr>
      <w:r>
        <w:rPr>
          <w:sz w:val="18"/>
        </w:rPr>
        <w:t>——————————————————————————————————————————————————————————————————————</w:t>
      </w:r>
    </w:p>
    <w:p>
      <w:pPr>
        <w:spacing w:before="160" w:after="80" w:line="240" w:lineRule="auto"/>
      </w:pPr>
      <w:r>
        <w:rPr>
          <w:b/>
        </w:rPr>
        <w:t xml:space="preserve">[91] </w:t>
      </w:r>
      <w:hyperlink r:id="rId142">
        <w:r>
          <w:rPr>
            <w:color w:val="1155CC"/>
            <w:u w:val="single"/>
          </w:rPr>
          <w:t>Mirror‐Symmetric Nanoarray Networks of Atomic Ni‐Incorporated Tungsten Oxynitride for Efficient and Robust Alkaline Hydrogen Evolution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43">
        <w:r>
          <w:rPr>
            <w:color w:val="1155CC"/>
            <w:u w:val="single"/>
          </w:rPr>
          <w:t>10.1002/anie.202518043</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alkali‐efficient hydrogen evolution reaction (HER) electrocatalysts is essential for future deployment of anion‐exchange membrane water electrolysis technology. Herein, we report a novel heteroatom‐induced strategy to construct the mirror‐symmetric nanoarray networks of Ni‐doped WO</w:t>
      </w:r>
      <w:r>
        <w:rPr>
          <w:vertAlign w:val="subscript"/>
        </w:rPr>
        <w:t>3</w:t>
      </w:r>
      <w:r>
        <w:t>on carbon cloth and design a corresponding new type of atomic Ni‐incorporated tungsten oxynitride (Ni‐WNO) electrocatalyst for alkaline HER. Impressively, the Ni‐WNO shows high activity (−35 mV at −10 mA cm</w:t>
      </w:r>
      <w:r>
        <w:t xml:space="preserve"> </w:t>
      </w:r>
      <w:r>
        <w:t>−2</w:t>
      </w:r>
      <w:r>
        <w:t xml:space="preserve"> </w:t>
      </w:r>
      <w:r>
        <w:t>), small Tafel slope (32 mV dec</w:t>
      </w:r>
      <w:r>
        <w:t xml:space="preserve"> </w:t>
      </w:r>
      <w:r>
        <w:t>−1</w:t>
      </w:r>
      <w:r>
        <w:t xml:space="preserve"> </w:t>
      </w:r>
      <w:r>
        <w:t>) and excellent stability (&amp;gt;1200 h at −1.0 A cm</w:t>
      </w:r>
      <w:r>
        <w:t xml:space="preserve"> </w:t>
      </w:r>
      <w:r>
        <w:t>−2</w:t>
      </w:r>
      <w:r>
        <w:t xml:space="preserve"> </w:t>
      </w:r>
      <w:r>
        <w:t>), representing the best‐performing W‐based electrocatalyst for alkaline HER. Multiple spectroscopy characterizations reveal that Ni‐WNO is highly active for adsorbing aggressive OH</w:t>
      </w:r>
      <w:r>
        <w:t xml:space="preserve"> </w:t>
      </w:r>
      <w:r>
        <w:t>−</w:t>
      </w:r>
      <w:r>
        <w:t>/H</w:t>
      </w:r>
      <w:r>
        <w:rPr>
          <w:vertAlign w:val="subscript"/>
        </w:rPr>
        <w:t>2</w:t>
      </w:r>
      <w:r>
        <w:t>O groups, resulting in the in situ formation of lattice hydroxyl (i.e., W−OH) species with Brønsted acidity, which, we disclose for the first time, can serve as a mediator to alter the generation of metal−H intermediates from a conventional sequential to a concerted proton−electron transfer (CPET) pathway, thus breaking the pH‐dependent limitations in proton‐deficient alkalies. Further isotope experiments demonstrate that the surface‐mediated H−H coupling can be feasibly accelerated on atomic W−Ni units, thereby enabling Ni‐WNO catalyzing alkaline HER via a new kinetically fast CPET–Tafel pathway.</w:t>
      </w:r>
    </w:p>
    <w:p>
      <w:pPr>
        <w:spacing w:before="120" w:after="120"/>
      </w:pPr>
      <w:r>
        <w:rPr>
          <w:sz w:val="18"/>
        </w:rPr>
        <w:t>——————————————————————————————————————————————————————————————————————</w:t>
      </w:r>
    </w:p>
    <w:p>
      <w:pPr>
        <w:spacing w:before="160" w:after="80" w:line="240" w:lineRule="auto"/>
      </w:pPr>
      <w:r>
        <w:rPr>
          <w:b/>
        </w:rPr>
        <w:t xml:space="preserve">[92] </w:t>
      </w:r>
      <w:hyperlink r:id="rId144">
        <w:r>
          <w:rPr>
            <w:color w:val="1155CC"/>
            <w:u w:val="single"/>
          </w:rPr>
          <w:t>Fluoride‐Engineered Electrolyte for Highly Stable and Efficient Alkaline Seawater Electrolysis at 2 A cm−2</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45">
        <w:r>
          <w:rPr>
            <w:color w:val="1155CC"/>
            <w:u w:val="single"/>
          </w:rPr>
          <w:t>10.1002/anie.202518106</w:t>
        </w:r>
      </w:hyperlink>
    </w:p>
    <w:p>
      <w:pPr>
        <w:spacing w:before="0" w:after="120"/>
      </w:pPr>
      <w:r>
        <w:rPr>
          <w:b/>
        </w:rPr>
        <w:t xml:space="preserve">Notes: </w:t>
      </w:r>
      <w:r>
        <w:t>abstract_source=crossref</w:t>
      </w:r>
    </w:p>
    <w:p>
      <w:pPr>
        <w:spacing w:before="0" w:after="200" w:lineRule="auto" w:line="276"/>
      </w:pPr>
      <w:r>
        <w:rPr>
          <w:b/>
        </w:rPr>
        <w:t xml:space="preserve">Abstract: </w:t>
      </w:r>
      <w:r>
        <w:t>Seawater electrolysis offers an energy‐efficient route for hydrogen production while alleviating freshwater scarcity. However, the presence of Cl</w:t>
      </w:r>
      <w:r>
        <w:t xml:space="preserve"> </w:t>
      </w:r>
      <w:r>
        <w:t>−</w:t>
      </w:r>
      <w:r>
        <w:t>in seawater compromises anode activity and induces severe corrosion, requiring constructing complex electrode architectures that hinder large‐scale application. In this work, we demonstrate that incorporating F</w:t>
      </w:r>
      <w:r>
        <w:t xml:space="preserve"> </w:t>
      </w:r>
      <w:r>
        <w:t>−</w:t>
      </w:r>
      <w:r>
        <w:t>as an electrolyte additive significantly enhances the performance of NiFe layered double hydroxide (NiFe‐LDH) anodes. Upon optimizing the F</w:t>
      </w:r>
      <w:r>
        <w:t xml:space="preserve"> </w:t>
      </w:r>
      <w:r>
        <w:t>−</w:t>
      </w:r>
      <w:r>
        <w:t>concentration, benchmark NiFe‐LDH showed the lower overpotential than that of the F</w:t>
      </w:r>
      <w:r>
        <w:t xml:space="preserve"> </w:t>
      </w:r>
      <w:r>
        <w:t>−</w:t>
      </w:r>
      <w:r>
        <w:t>‐free system, and achieved stable operation at 2 A cm</w:t>
      </w:r>
      <w:r>
        <w:t xml:space="preserve"> </w:t>
      </w:r>
      <w:r>
        <w:t>−2</w:t>
      </w:r>
      <w:r>
        <w:t xml:space="preserve"> </w:t>
      </w:r>
      <w:r>
        <w:t>for 1000 h in seawater electrolyte, representing an approximately 500‐fold improvement over the control set of experiment. The consistency between spectroscopic characterization and multi‐scale simulation results revealed that F</w:t>
      </w:r>
      <w:r>
        <w:t xml:space="preserve"> </w:t>
      </w:r>
      <w:r>
        <w:t>−</w:t>
      </w:r>
      <w:r>
        <w:t>, by virtue of its high electronegativity and charge density, modulates the electronic environment of Ni and Fe sites, enhances the adsorption of OH</w:t>
      </w:r>
      <w:r>
        <w:t xml:space="preserve"> </w:t>
      </w:r>
      <w:r>
        <w:t>−</w:t>
      </w:r>
      <w:r>
        <w:t>, and thereby improves OER activity. Moreover, the introduction of F</w:t>
      </w:r>
      <w:r>
        <w:t xml:space="preserve"> </w:t>
      </w:r>
      <w:r>
        <w:t>−</w:t>
      </w:r>
      <w:r>
        <w:t>increases free water content and modulates the hydrogen bond network to promote OH</w:t>
      </w:r>
      <w:r>
        <w:t xml:space="preserve"> </w:t>
      </w:r>
      <w:r>
        <w:t>−</w:t>
      </w:r>
      <w:r>
        <w:t>transportation while repelling Cl</w:t>
      </w:r>
      <w:r>
        <w:t xml:space="preserve"> </w:t>
      </w:r>
      <w:r>
        <w:t>−</w:t>
      </w:r>
      <w:r>
        <w:t>at the electrode‐electrolyte interface by polarizing the O─H bonds of water molecules on NiFe‐LDH surface. This straightforward electrolyte engineering strategy provides a practical and scalable solution for seawater electrolysis.</w:t>
      </w:r>
    </w:p>
    <w:p>
      <w:pPr>
        <w:spacing w:before="120" w:after="120"/>
      </w:pPr>
      <w:r>
        <w:rPr>
          <w:sz w:val="18"/>
        </w:rPr>
        <w:t>——————————————————————————————————————————————————————————————————————</w:t>
      </w:r>
    </w:p>
    <w:p>
      <w:pPr>
        <w:spacing w:before="160" w:after="80" w:line="240" w:lineRule="auto"/>
      </w:pPr>
      <w:r>
        <w:rPr>
          <w:b/>
        </w:rPr>
        <w:t xml:space="preserve">[93] </w:t>
      </w:r>
      <w:hyperlink r:id="rId146">
        <w:r>
          <w:rPr>
            <w:color w:val="1155CC"/>
            <w:u w:val="single"/>
          </w:rPr>
          <w:t>Directing the Electrochemical C─N Coupling Toward Efficient Amide Synthesis via Ammonia Activation‐Mediated Pathway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47">
        <w:r>
          <w:rPr>
            <w:color w:val="1155CC"/>
            <w:u w:val="single"/>
          </w:rPr>
          <w:t>10.1002/anie.202518108</w:t>
        </w:r>
      </w:hyperlink>
    </w:p>
    <w:p>
      <w:pPr>
        <w:spacing w:before="0" w:after="120"/>
      </w:pPr>
      <w:r>
        <w:rPr>
          <w:b/>
        </w:rPr>
        <w:t xml:space="preserve">Notes: </w:t>
      </w:r>
      <w:r>
        <w:t>abstract_source=crossref</w:t>
      </w:r>
    </w:p>
    <w:p>
      <w:pPr>
        <w:spacing w:before="0" w:after="200" w:lineRule="auto" w:line="276"/>
      </w:pPr>
      <w:r>
        <w:rPr>
          <w:b/>
        </w:rPr>
        <w:t xml:space="preserve">Abstract: </w:t>
      </w:r>
      <w:r>
        <w:t>Electrochemically oxidative C─N coupling using alcohol and ammonia as feedstocks offers a sustainable alternative for the chemosynthesis of amide organonitrogens. The achievements of high activity and selectivity yet remains challenging via the conventional alcohol oxidation pathway. Here, we present an alternative ammonia‐activation mediated pathway to favor the electrochemical C─N coupling necessary. Spectroscopic and theoretical investigations untangle that this manipulated process begins with the oxidation of ammonia to endow active *NH</w:t>
      </w:r>
      <w:r>
        <w:rPr>
          <w:vertAlign w:val="subscript"/>
        </w:rPr>
        <w:t>2</w:t>
      </w:r>
      <w:r>
        <w:t>species, which then efficiently couple with alcohol species to form C─N bonds. This alternative C─N coupling pathway exhibits accelerated kinetics and, more importantly, bypasses the formation of aldehyde intermediate, thereby preventing unfavorable overoxidation. As a result, this pathway achieves a high Faradaic efficiency of 50.1% and a carbon selectivity of 87.6% for efficient formamide electrosynthesis over a NiCuRu‐based (oxy)hydroxide catalyst, with a productivity of 557.2 µmol cm</w:t>
      </w:r>
      <w:r>
        <w:t xml:space="preserve"> </w:t>
      </w:r>
      <w:r>
        <w:t>−2</w:t>
      </w:r>
      <w:r>
        <w:t xml:space="preserve"> </w:t>
      </w:r>
      <w:r>
        <w:t>h</w:t>
      </w:r>
      <w:r>
        <w:t xml:space="preserve"> </w:t>
      </w:r>
      <w:r>
        <w:t>−1</w:t>
      </w:r>
      <w:r>
        <w:t xml:space="preserve"> </w:t>
      </w:r>
      <w:r>
        <w:t>. Such electrosynthetic approach further exhibit the universality of waste biomass/plastics‐driven carbon feedstocks, achieving considerable Faradaic efficiencies of 32%–60%. Techno‐economic analysis confirms the potential profitability of using renewable electricity input, highlighting the significant advantages of green chemical manufacturing for sustainable development.</w:t>
      </w:r>
    </w:p>
    <w:p>
      <w:pPr>
        <w:spacing w:before="120" w:after="120"/>
      </w:pPr>
      <w:r>
        <w:rPr>
          <w:sz w:val="18"/>
        </w:rPr>
        <w:t>——————————————————————————————————————————————————————————————————————</w:t>
      </w:r>
    </w:p>
    <w:p>
      <w:pPr>
        <w:spacing w:before="160" w:after="80" w:line="240" w:lineRule="auto"/>
      </w:pPr>
      <w:r>
        <w:rPr>
          <w:b/>
        </w:rPr>
        <w:t xml:space="preserve">[94] </w:t>
      </w:r>
      <w:hyperlink r:id="rId148">
        <w:r>
          <w:rPr>
            <w:color w:val="1155CC"/>
            <w:u w:val="single"/>
          </w:rPr>
          <w:t>An Intrinsically Conductive Cross‐Conjugated Polymer with a Quinhydrone‐Like Donor–Acceptor Charge‐Transfer Network</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49">
        <w:r>
          <w:rPr>
            <w:color w:val="1155CC"/>
            <w:u w:val="single"/>
          </w:rPr>
          <w:t>10.1002/anie.202518109</w:t>
        </w:r>
      </w:hyperlink>
    </w:p>
    <w:p>
      <w:pPr>
        <w:spacing w:before="0" w:after="120"/>
      </w:pPr>
      <w:r>
        <w:rPr>
          <w:b/>
        </w:rPr>
        <w:t xml:space="preserve">Notes: </w:t>
      </w:r>
      <w:r>
        <w:t>abstract_source=crossref</w:t>
      </w:r>
    </w:p>
    <w:p>
      <w:pPr>
        <w:spacing w:before="0" w:after="200" w:lineRule="auto" w:line="276"/>
      </w:pPr>
      <w:r>
        <w:rPr>
          <w:b/>
        </w:rPr>
        <w:t xml:space="preserve">Abstract: </w:t>
      </w:r>
      <w:r>
        <w:t>Intrinsically conductive polymers free of unstable mobile dopants are highly sought after for stable and reliable electronic performance, yet remain scarce due to synthetic challenges. Here we report poly(3,4‐dihydroxythiophene‐</w:t>
      </w:r>
      <w:r>
        <w:t xml:space="preserve"> </w:t>
      </w:r>
      <w:r>
        <w:t>alt</w:t>
      </w:r>
      <w:r>
        <w:t xml:space="preserve"> </w:t>
      </w:r>
      <w:r>
        <w:t>‐thiophene‐3,4‐dione) (HOT‐DOT), a novel cross‐conjugated polymer and the first polymeric analogue of a quinhydrone‐like charge‐transfer complex with intrinsic conductivity. HOT‐DOT is synthesized through a straightforward three‐step route, in which the final air oxidation step spontaneously generates a perfectly balanced 1:1 donor–acceptor architecture that promotes self‐doping and stabilizes polarons. The polymer exhibits a narrow bandgap (1.38 eV), broad near‐infrared absorption, and high conductivity (∼0.29 S cm</w:t>
      </w:r>
      <w:r>
        <w:t xml:space="preserve"> </w:t>
      </w:r>
      <w:r>
        <w:t>−1</w:t>
      </w:r>
      <w:r>
        <w:t xml:space="preserve"> </w:t>
      </w:r>
      <w:r>
        <w:t>), enabled by an ultrasmall π–π stacking distance (3.25 Å) despite its cross‐conjugated backbone. Spectroscopic and computational analyses reveal that strong interchain donor–acceptor interactions, reinforced by ammonia coordination, stabilize the self‐doped state. HOT‐DOT further displays rare positive temperature coefficient (PTC) behavior and long‐term ambient stability. As a proof of concept, flexible temperature sensors fabricated from HOT‐DOT films show reproducible and linear thermal responses over multiple cycles. This study establishes polymeric charge‐transfer complexes as a new design paradigm for intrinsically conductive, dopant‐free polymers with distinctive transport and sensing properties.</w:t>
      </w:r>
    </w:p>
    <w:p>
      <w:pPr>
        <w:spacing w:before="120" w:after="120"/>
      </w:pPr>
      <w:r>
        <w:rPr>
          <w:sz w:val="18"/>
        </w:rPr>
        <w:t>——————————————————————————————————————————————————————————————————————</w:t>
      </w:r>
    </w:p>
    <w:p>
      <w:pPr>
        <w:spacing w:before="160" w:after="80" w:line="240" w:lineRule="auto"/>
      </w:pPr>
      <w:r>
        <w:rPr>
          <w:b/>
        </w:rPr>
        <w:t xml:space="preserve">[95] </w:t>
      </w:r>
      <w:hyperlink r:id="rId150">
        <w:r>
          <w:rPr>
            <w:color w:val="1155CC"/>
            <w:u w:val="single"/>
          </w:rPr>
          <w:t>Knoevenagel Condensation Enables a High‐Dipole Interfacial Molecule for Efficient Wide‐Bandgap Perovskite and Tandem Photovoltaics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51">
        <w:r>
          <w:rPr>
            <w:color w:val="1155CC"/>
            <w:u w:val="single"/>
          </w:rPr>
          <w:t>10.1002/anie.202518169</w:t>
        </w:r>
      </w:hyperlink>
    </w:p>
    <w:p>
      <w:pPr>
        <w:spacing w:before="0" w:after="120"/>
      </w:pPr>
      <w:r>
        <w:rPr>
          <w:b/>
        </w:rPr>
        <w:t xml:space="preserve">Notes: </w:t>
      </w:r>
      <w:r>
        <w:t>abstract_source=crossref</w:t>
      </w:r>
    </w:p>
    <w:p>
      <w:pPr>
        <w:spacing w:before="0" w:after="200" w:lineRule="auto" w:line="276"/>
      </w:pPr>
      <w:r>
        <w:rPr>
          <w:b/>
        </w:rPr>
        <w:t xml:space="preserve">Abstract: </w:t>
      </w:r>
      <w:r>
        <w:t>The rational molecular design of interfacial modifiers is critical for optimizing charge transport and defect passivation in wide‐bandgap (WBG) perovskite solar cells (PSCs). Herein, we introduce a novel multifunctional molecule, (</w:t>
      </w:r>
      <w:r>
        <w:t xml:space="preserve"> </w:t>
      </w:r>
      <w:r>
        <w:t>Z</w:t>
      </w:r>
      <w:r>
        <w:t xml:space="preserve"> </w:t>
      </w:r>
      <w:r>
        <w:t>)‐4‐(2‐(4‐bromophenyl)‐2‐cyanovinyl) phenylamine (BCPA), synthesized via Knoevenagel condensation reaction, featuring a highly polar architecture with a ground‐state dipole moment of 18.16 Debye, significantly exceeding that of the benchmark Me‐4PACz (1.60 Debye). This pronounced polarity stems from a synergistic combination of an electropositive ammonium group (─NH</w:t>
      </w:r>
      <w:r>
        <w:rPr>
          <w:vertAlign w:val="subscript"/>
        </w:rPr>
        <w:t>3</w:t>
      </w:r>
      <w:r>
        <w:t>⁺) and electronegative cyano (─CN) and bromine (─Br) substituents, which collectively foster strong interfacial dipole–substrate interactions. The ─CN moiety coordinates with Niˣ⁺ in NiO</w:t>
      </w:r>
      <w:r>
        <w:t xml:space="preserve"> </w:t>
      </w:r>
      <w:r>
        <w:t>X</w:t>
      </w:r>
      <w:r>
        <w:t xml:space="preserve"> </w:t>
      </w:r>
      <w:r>
        <w:t>and Pb</w:t>
      </w:r>
      <w:r>
        <w:rPr>
          <w:vertAlign w:val="subscript"/>
        </w:rPr>
        <w:t>2</w:t>
      </w:r>
      <w:r>
        <w:t>⁺ in perovskites, effectively passivating electronic defects and modulating self‐assembled molecules (SAM) anchoring. Meanwhile, the ─NH</w:t>
      </w:r>
      <w:r>
        <w:rPr>
          <w:vertAlign w:val="subscript"/>
        </w:rPr>
        <w:t>3</w:t>
      </w:r>
      <w:r>
        <w:t>⁺ group forms stable bonds with perovskite lattice, modulating crystal growth kinetics, and improving interfacial contact. The Br atom ensures intrinsic compatibility with bromine‐rich wide‐bandgap perovskites. Notably, the rigid, planar structure of BCPA facilitates ordered SAM packing via π–π interactions, enhancing interfacial charge extraction. BCPA‐modified hole transport layers significantly improve the buried perovskite/substrate interface by reducing trap densities, enhancing crystallinity, and aligning energy levels. As a result, modified WBG PSCs realized a champion efficiency of 19.08% with reinforced durability. Furthermore, when applied in perovskite‐organic tandem configurations, the devices reach a remarkable PCE of 26.10%, highlighting the importance of interfacial modifier for next‐generation high‐efficiency photovoltaics.</w:t>
      </w:r>
    </w:p>
    <w:p>
      <w:pPr>
        <w:spacing w:before="120" w:after="120"/>
      </w:pPr>
      <w:r>
        <w:rPr>
          <w:sz w:val="18"/>
        </w:rPr>
        <w:t>——————————————————————————————————————————————————————————————————————</w:t>
      </w:r>
    </w:p>
    <w:p>
      <w:pPr>
        <w:spacing w:before="160" w:after="80" w:line="240" w:lineRule="auto"/>
      </w:pPr>
      <w:r>
        <w:rPr>
          <w:b/>
        </w:rPr>
        <w:t xml:space="preserve">[96] </w:t>
      </w:r>
      <w:hyperlink r:id="rId152">
        <w:r>
          <w:rPr>
            <w:color w:val="1155CC"/>
            <w:u w:val="single"/>
          </w:rPr>
          <w:t>Precise Pore Engineering at Picometer Scale on Nanofluidic Membrane for Efficient Hydrogen Purification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53">
        <w:r>
          <w:rPr>
            <w:color w:val="1155CC"/>
            <w:u w:val="single"/>
          </w:rPr>
          <w:t>10.1002/anie.202518187</w:t>
        </w:r>
      </w:hyperlink>
    </w:p>
    <w:p>
      <w:pPr>
        <w:spacing w:before="0" w:after="120"/>
      </w:pPr>
      <w:r>
        <w:rPr>
          <w:b/>
        </w:rPr>
        <w:t xml:space="preserve">Notes: </w:t>
      </w:r>
      <w:r>
        <w:t>abstract_source=crossref</w:t>
      </w:r>
    </w:p>
    <w:p>
      <w:pPr>
        <w:spacing w:before="0" w:after="200" w:lineRule="auto" w:line="276"/>
      </w:pPr>
      <w:r>
        <w:rPr>
          <w:b/>
        </w:rPr>
        <w:t xml:space="preserve">Abstract: </w:t>
      </w:r>
      <w:r>
        <w:t>Hydrogen, a carbon‐free energy carrier is mainly produced through methane steam reforming, generating CO</w:t>
      </w:r>
      <w:r>
        <w:rPr>
          <w:vertAlign w:val="subscript"/>
        </w:rPr>
        <w:t>2</w:t>
      </w:r>
      <w:r>
        <w:t>as the primary byproduct alongside H</w:t>
      </w:r>
      <w:r>
        <w:rPr>
          <w:vertAlign w:val="subscript"/>
        </w:rPr>
        <w:t>2</w:t>
      </w:r>
      <w:r>
        <w:t>O and CH</w:t>
      </w:r>
      <w:r>
        <w:rPr>
          <w:vertAlign w:val="subscript"/>
        </w:rPr>
        <w:t>4</w:t>
      </w:r>
      <w:r>
        <w:t>, complicating efficient hydrogen purification. Nanofluidic Hydrogen‐bonded framework (HBF) membranes are promising for gas separation, while methods to precisely tailor pores for enhance performance remain scarce. Herein, a series of HBF membranes (SIFHBF‐Cu, GeFHBF‐Cu and TIFHBF‐Cu) are successfully fabricated for H</w:t>
      </w:r>
      <w:r>
        <w:rPr>
          <w:vertAlign w:val="subscript"/>
        </w:rPr>
        <w:t>2</w:t>
      </w:r>
      <w:r>
        <w:t>purification. Pore size is precisely tuned at the picometer scale (&amp;lt; 1 Å) by altering the anion linkers (SiF</w:t>
      </w:r>
      <w:r>
        <w:rPr>
          <w:vertAlign w:val="subscript"/>
        </w:rPr>
        <w:t>6</w:t>
      </w:r>
      <w:r>
        <w:t>2−</w:t>
      </w:r>
      <w:r>
        <w:t>, GeF</w:t>
      </w:r>
      <w:r>
        <w:rPr>
          <w:vertAlign w:val="subscript"/>
        </w:rPr>
        <w:t>6</w:t>
      </w:r>
      <w:r>
        <w:t>2−</w:t>
      </w:r>
      <w:r>
        <w:t>and TiF</w:t>
      </w:r>
      <w:r>
        <w:rPr>
          <w:vertAlign w:val="subscript"/>
        </w:rPr>
        <w:t>6</w:t>
      </w:r>
      <w:r>
        <w:t>2−</w:t>
      </w:r>
      <w:r>
        <w:t>), enabling efficient H</w:t>
      </w:r>
      <w:r>
        <w:rPr>
          <w:vertAlign w:val="subscript"/>
        </w:rPr>
        <w:t>2</w:t>
      </w:r>
      <w:r>
        <w:t>purification through the synergy between subtle window adjustments and F‐site‐enhanced CO</w:t>
      </w:r>
      <w:r>
        <w:rPr>
          <w:vertAlign w:val="subscript"/>
        </w:rPr>
        <w:t>2</w:t>
      </w:r>
      <w:r>
        <w:t>affinity. The SIFHBF‐Cu membrane combines the optimal size‐exclusion and strongest HBF‐CO</w:t>
      </w:r>
      <w:r>
        <w:rPr>
          <w:vertAlign w:val="subscript"/>
        </w:rPr>
        <w:t>2</w:t>
      </w:r>
      <w:r>
        <w:t>interactions, exhibiting excellent H</w:t>
      </w:r>
      <w:r>
        <w:rPr>
          <w:vertAlign w:val="subscript"/>
        </w:rPr>
        <w:t>2</w:t>
      </w:r>
      <w:r>
        <w:t>/CO</w:t>
      </w:r>
      <w:r>
        <w:rPr>
          <w:vertAlign w:val="subscript"/>
        </w:rPr>
        <w:t>2</w:t>
      </w:r>
      <w:r>
        <w:t>selectivity (501) and ternary gas separation (H</w:t>
      </w:r>
      <w:r>
        <w:rPr>
          <w:vertAlign w:val="subscript"/>
        </w:rPr>
        <w:t>2</w:t>
      </w:r>
      <w:r>
        <w:t>/CO</w:t>
      </w:r>
      <w:r>
        <w:rPr>
          <w:vertAlign w:val="subscript"/>
        </w:rPr>
        <w:t>2</w:t>
      </w:r>
      <w:r>
        <w:t>: 477, H</w:t>
      </w:r>
      <w:r>
        <w:rPr>
          <w:vertAlign w:val="subscript"/>
        </w:rPr>
        <w:t>2</w:t>
      </w:r>
      <w:r>
        <w:t>/CH</w:t>
      </w:r>
      <w:r>
        <w:rPr>
          <w:vertAlign w:val="subscript"/>
        </w:rPr>
        <w:t>4</w:t>
      </w:r>
      <w:r>
        <w:t>: 557), with stable performance under dry/wet conditions. This study provides a strategy for ultra‐precise pore engineering, showing potential for other challenging separations like seawater desalination and isomer separation.</w:t>
      </w:r>
    </w:p>
    <w:p>
      <w:pPr>
        <w:spacing w:before="120" w:after="120"/>
      </w:pPr>
      <w:r>
        <w:rPr>
          <w:sz w:val="18"/>
        </w:rPr>
        <w:t>——————————————————————————————————————————————————————————————————————</w:t>
      </w:r>
    </w:p>
    <w:p>
      <w:pPr>
        <w:spacing w:before="160" w:after="80" w:line="240" w:lineRule="auto"/>
      </w:pPr>
      <w:r>
        <w:rPr>
          <w:b/>
        </w:rPr>
        <w:t xml:space="preserve">[97] </w:t>
      </w:r>
      <w:hyperlink r:id="rId154">
        <w:r>
          <w:rPr>
            <w:color w:val="1155CC"/>
            <w:u w:val="single"/>
          </w:rPr>
          <w:t>High‐Capacity Metastable LixCoO2 Cathode Enabled by Coherent Intergrowth of T#2 and O2 Phases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55">
        <w:r>
          <w:rPr>
            <w:color w:val="1155CC"/>
            <w:u w:val="single"/>
          </w:rPr>
          <w:t>10.1002/anie.202518217</w:t>
        </w:r>
      </w:hyperlink>
    </w:p>
    <w:p>
      <w:pPr>
        <w:spacing w:before="0" w:after="120"/>
      </w:pPr>
      <w:r>
        <w:rPr>
          <w:b/>
        </w:rPr>
        <w:t xml:space="preserve">Notes: </w:t>
      </w:r>
      <w:r>
        <w:t>abstract_source=crossref</w:t>
      </w:r>
    </w:p>
    <w:p>
      <w:pPr>
        <w:spacing w:before="0" w:after="200" w:lineRule="auto" w:line="276"/>
      </w:pPr>
      <w:r>
        <w:rPr>
          <w:b/>
        </w:rPr>
        <w:t xml:space="preserve">Abstract: </w:t>
      </w:r>
      <w:r>
        <w:t>O2‐type Li</w:t>
      </w:r>
      <w:r>
        <w:t xml:space="preserve"> </w:t>
      </w:r>
      <w:r>
        <w:t>x</w:t>
      </w:r>
      <w:r>
        <w:t xml:space="preserve"> </w:t>
      </w:r>
      <w:r>
        <w:t>CoO</w:t>
      </w:r>
      <w:r>
        <w:rPr>
          <w:vertAlign w:val="subscript"/>
        </w:rPr>
        <w:t>2</w:t>
      </w:r>
      <w:r>
        <w:t>(O2‐LCO) has recently attracted significant attention as a promising cathode material with superior electrochemical performance compared to its conventional O3‐type counterpart. Due to its metastable nature, O2‐LCO is typically synthesized via ion exchange under relatively mild thermal conditions; however, the structural evolution and resultant phase composition during this process, which critically affect the material's performance, remain insufficiently understood. Here, we systematically elucidate the interplay between composition, structure, and electrochemical performance in metastable LiCoO</w:t>
      </w:r>
      <w:r>
        <w:rPr>
          <w:vertAlign w:val="subscript"/>
        </w:rPr>
        <w:t>2</w:t>
      </w:r>
      <w:r>
        <w:t>synthesized via molten‐salt ion exchange. We show that the Na content in the precursor not only dictates the final Li content in the product but also thermodynamically governs the phase transition pathway. Comprehensive long‐range and local structural characterizations reveal the composite nature of ion‐exchanged LCO, comprising T</w:t>
      </w:r>
      <w:r>
        <w:t xml:space="preserve"> </w:t>
      </w:r>
      <w:r>
        <w:t>#</w:t>
      </w:r>
      <w:r>
        <w:t xml:space="preserve"> </w:t>
      </w:r>
      <w:r>
        <w:t>2, O2, and O3 phases, with their relative fractions determined by the initial Na content. Electrochemical measurements, supported by theoretical calculations, indicate that the optimal phase composite maximizes both Li content and T</w:t>
      </w:r>
      <w:r>
        <w:t xml:space="preserve"> </w:t>
      </w:r>
      <w:r>
        <w:t>#</w:t>
      </w:r>
      <w:r>
        <w:t xml:space="preserve"> </w:t>
      </w:r>
      <w:r>
        <w:t>2 fraction while suppressing O3 formation, thereby enhancing Li</w:t>
      </w:r>
      <w:r>
        <w:t xml:space="preserve"> </w:t>
      </w:r>
      <w:r>
        <w:t>+</w:t>
      </w:r>
      <w:r>
        <w:t xml:space="preserve"> </w:t>
      </w:r>
      <w:r>
        <w:t>diffusion kinetics and structural compatibility. These insights provide a fundamental basis for phase engineering in metastable cathode materials and practical guidelines for designing high‐performance layered oxide cathodes.</w:t>
      </w:r>
    </w:p>
    <w:p>
      <w:pPr>
        <w:spacing w:before="120" w:after="120"/>
      </w:pPr>
      <w:r>
        <w:rPr>
          <w:sz w:val="18"/>
        </w:rPr>
        <w:t>——————————————————————————————————————————————————————————————————————</w:t>
      </w:r>
    </w:p>
    <w:p>
      <w:pPr>
        <w:spacing w:before="160" w:after="80" w:line="240" w:lineRule="auto"/>
      </w:pPr>
      <w:r>
        <w:rPr>
          <w:b/>
        </w:rPr>
        <w:t xml:space="preserve">[98] </w:t>
      </w:r>
      <w:hyperlink r:id="rId156">
        <w:r>
          <w:rPr>
            <w:color w:val="1155CC"/>
            <w:u w:val="single"/>
          </w:rPr>
          <w:t>Iron/NHC‐Catalyzed Regio‐ and Stereoselective 1,6‐Additions of Aliphatic Grignard Reagents to α,β,γ,δ‐Unsaturated Carbonyl Compounds: Asymmetric Variants with Chiral NHCs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57">
        <w:r>
          <w:rPr>
            <w:color w:val="1155CC"/>
            <w:u w:val="single"/>
          </w:rPr>
          <w:t>10.1002/anie.202518346</w:t>
        </w:r>
      </w:hyperlink>
    </w:p>
    <w:p>
      <w:pPr>
        <w:spacing w:before="0" w:after="120"/>
      </w:pPr>
      <w:r>
        <w:rPr>
          <w:b/>
        </w:rPr>
        <w:t xml:space="preserve">Notes: </w:t>
      </w:r>
      <w:r>
        <w:t>abstract_source=crossref</w:t>
      </w:r>
    </w:p>
    <w:p>
      <w:pPr>
        <w:spacing w:before="0" w:after="200" w:lineRule="auto" w:line="276"/>
      </w:pPr>
      <w:r>
        <w:rPr>
          <w:b/>
        </w:rPr>
        <w:t xml:space="preserve">Abstract: </w:t>
      </w:r>
      <w:r>
        <w:t>Although conjugate addition to an α,β‐unsaturated carbonyl compound is a well‐established method in synthetic organic chemistry, controlling regioselectivity, olefin geometry, and positional isomerism in analogous 1,6‐addition chemistry, which provides a powerful approach for constructing molecular complexity, remains a key challenge. Herein, we report the iron‐catalyzed regio‐, stereo‐, and enantioselective 1,6‐additions of aliphatic Grignard reagents to α,β,γ,δ‐unsaturated carbonyl compounds. The incorporation of an</w:t>
      </w:r>
      <w:r>
        <w:t xml:space="preserve"> </w:t>
      </w:r>
      <w:r>
        <w:t>N</w:t>
      </w:r>
      <w:r>
        <w:t xml:space="preserve"> </w:t>
      </w:r>
      <w:r>
        <w:t>‐heterocyclic carbene (NHC) ligand effectively suppresses undesired β‐hydride elimination, thereby enabling the highly</w:t>
      </w:r>
      <w:r>
        <w:t xml:space="preserve"> </w:t>
      </w:r>
      <w:r>
        <w:t>cis</w:t>
      </w:r>
      <w:r>
        <w:t xml:space="preserve"> </w:t>
      </w:r>
      <w:r>
        <w:t>‐selective installation of the aliphatic group. Remarkably, the use of a rigid tetracyclic chiral NHC ligand afforded the corresponding adducts with enantioselectivities of up to 99%. The developed reaction shows broad substrate scope, accommodating various aliphatic Grignard reagents and unsaturated carbonyl compounds, thereby providing direct access to optically active 1,6‐adducts bearing</w:t>
      </w:r>
      <w:r>
        <w:t xml:space="preserve"> </w:t>
      </w:r>
      <w:r>
        <w:t>cis</w:t>
      </w:r>
      <w:r>
        <w:t xml:space="preserve"> </w:t>
      </w:r>
      <w:r>
        <w:t>‐configured olefins. Mechanistic investigations, including deuterium‐labeling experiments, support the involvement of magnesium enolates and an iron–NHC catalytic cycle. The developed transformation provides a powerful strategy for the remote functionalization of extended conjugated carbonyl frameworks.</w:t>
      </w:r>
    </w:p>
    <w:p>
      <w:pPr>
        <w:spacing w:before="120" w:after="120"/>
      </w:pPr>
      <w:r>
        <w:rPr>
          <w:sz w:val="18"/>
        </w:rPr>
        <w:t>——————————————————————————————————————————————————————————————————————</w:t>
      </w:r>
    </w:p>
    <w:p>
      <w:pPr>
        <w:spacing w:before="160" w:after="80" w:line="240" w:lineRule="auto"/>
      </w:pPr>
      <w:r>
        <w:rPr>
          <w:b/>
        </w:rPr>
        <w:t xml:space="preserve">[99] </w:t>
      </w:r>
      <w:hyperlink r:id="rId158">
        <w:r>
          <w:rPr>
            <w:color w:val="1155CC"/>
            <w:u w:val="single"/>
          </w:rPr>
          <w:t>Mechanistic Characterisation of Bacterial Terpene Synthases from Chitinophagaceae Producing Marine‐Type Diterpenes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59">
        <w:r>
          <w:rPr>
            <w:color w:val="1155CC"/>
            <w:u w:val="single"/>
          </w:rPr>
          <w:t>10.1002/anie.202517373</w:t>
        </w:r>
      </w:hyperlink>
    </w:p>
    <w:p>
      <w:pPr>
        <w:spacing w:before="0" w:after="120"/>
      </w:pPr>
      <w:r>
        <w:rPr>
          <w:b/>
        </w:rPr>
        <w:t xml:space="preserve">Notes: </w:t>
      </w:r>
      <w:r>
        <w:t>abstract_source=crossref</w:t>
      </w:r>
    </w:p>
    <w:p>
      <w:pPr>
        <w:spacing w:before="0" w:after="200" w:lineRule="auto" w:line="276"/>
      </w:pPr>
      <w:r>
        <w:rPr>
          <w:b/>
        </w:rPr>
        <w:t xml:space="preserve">Abstract: </w:t>
      </w:r>
      <w:r>
        <w:t>Two neodolabellane‐type diterpene synthases from</w:t>
      </w:r>
      <w:r>
        <w:t xml:space="preserve"> </w:t>
      </w:r>
      <w:r>
        <w:t>Chitinophaga japonensis</w:t>
      </w:r>
      <w:r>
        <w:t xml:space="preserve"> </w:t>
      </w:r>
      <w:r>
        <w:t>(CjCsS and CjNdtS) in addition to one enzyme from</w:t>
      </w:r>
      <w:r>
        <w:t xml:space="preserve"> </w:t>
      </w:r>
      <w:r>
        <w:t>Dinghuibacter silviterrae</w:t>
      </w:r>
      <w:r>
        <w:t xml:space="preserve"> </w:t>
      </w:r>
      <w:r>
        <w:t>(DsJS) were investigated. CjCsS produces the instable diterpene alcohol chitinosphaerol, which degrades upon chromatographic purification on silica gel to known presphaerol and isosphaerodienes I and II. Despite seemingly solid evidence in the literature, for all three compounds a structural revision is presented. Treatment of chitinosphaerol with</w:t>
      </w:r>
      <w:r>
        <w:t xml:space="preserve"> </w:t>
      </w:r>
      <w:r>
        <w:t>N</w:t>
      </w:r>
      <w:r>
        <w:t xml:space="preserve"> </w:t>
      </w:r>
      <w:r>
        <w:t>‐bromosuccinimide resulted in the formation of the stable compounds bromosphaerols A and B. Phylogenetically unrelated CjNdtS catalyses the formation of neodolabella‐1(14),2,7‐triene, a compound that undergoes a remarkable thermal three‐step sequence by Diels–Alder reaction to thermocyclene A, followed by a water‐mediated rearrangement to thermocyclene B and double‐bond isomerisation to thermocyclene C. Japonene A was identified as a side product, but is the main product of DsJS, where it is accompanied by japonene B and anaerol B. The good production of anaerol B by DsJS allowed reinvestigation of its recently addressed biosynthesis as a trace product of peyssonnosol B synthase AbPS2. All structure elucidations in this study were secured through stereoselective deuteration experiments, and special isotopic labelling experiments in conjunction with density functional theory (DFT) calculations revealed the cyclisation mechanisms of the investigated enzymes.</w:t>
      </w:r>
    </w:p>
    <w:p>
      <w:pPr>
        <w:spacing w:before="120" w:after="120"/>
      </w:pPr>
      <w:r>
        <w:rPr>
          <w:sz w:val="18"/>
        </w:rPr>
        <w:t>——————————————————————————————————————————————————————————————————————</w:t>
      </w:r>
    </w:p>
    <w:p>
      <w:pPr>
        <w:spacing w:before="160" w:after="80" w:line="240" w:lineRule="auto"/>
      </w:pPr>
      <w:r>
        <w:rPr>
          <w:b/>
        </w:rPr>
        <w:t xml:space="preserve">[100] </w:t>
      </w:r>
      <w:hyperlink r:id="rId160">
        <w:r>
          <w:rPr>
            <w:color w:val="1155CC"/>
            <w:u w:val="single"/>
          </w:rPr>
          <w:t>Harnessing Deaminated DNA to Modulate mRNA Translation for Controlled and Sequential Protein Expression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61">
        <w:r>
          <w:rPr>
            <w:color w:val="1155CC"/>
            <w:u w:val="single"/>
          </w:rPr>
          <w:t>10.1002/anie.202516389</w:t>
        </w:r>
      </w:hyperlink>
    </w:p>
    <w:p>
      <w:pPr>
        <w:spacing w:before="0" w:after="120"/>
      </w:pPr>
      <w:r>
        <w:rPr>
          <w:b/>
        </w:rPr>
        <w:t xml:space="preserve">Notes: </w:t>
      </w:r>
      <w:r>
        <w:t>abstract_source=crossref</w:t>
      </w:r>
    </w:p>
    <w:p>
      <w:pPr>
        <w:spacing w:before="0" w:after="200" w:lineRule="auto" w:line="276"/>
      </w:pPr>
      <w:r>
        <w:rPr>
          <w:b/>
        </w:rPr>
        <w:t xml:space="preserve">Abstract: </w:t>
      </w:r>
      <w:r>
        <w:t>Messenger RNA (mRNA) offers transformative potential in vaccines and therapeutics for a range of intractable diseases. While considerable efforts have focused on enhancing protein expression levels to improve efficacy, comparatively little attention has been given to regulating the rate and timing of protein expression. Given that sudden antigen bursts can overstimulate immune responses and pose serious risks in susceptible individuals, precise control over translation kinetics is essential for safe and personalized mRNA therapies. Herein, we describe the use of “damaged” DNA to modulate translation rates of mRNAs. Hybridization of deoxyuridine‐containing DNA to the 5′‐end of mRNA inhibits translation initiation, which is subsequently displaced via base excision repair (BER), enabling controlled expression. DNA strand lengths determine the rate and onset of translation (e.g., a 52‐nt DNA induces a 20‐fold slower expression with a 200‐min delay). This also enables the sequential expression of multiple mRNAs from a single cocktail. This strategy requires no chemical modification of the mRNA and produces no toxic byproducts, but only recyclable DNA fragments—offering a broadly applicable and biocompatible adjuvant for controlled mRNA translation.</w:t>
      </w:r>
    </w:p>
    <w:p>
      <w:pPr>
        <w:spacing w:before="120" w:after="120"/>
      </w:pPr>
      <w:r>
        <w:rPr>
          <w:sz w:val="18"/>
        </w:rPr>
        <w:t>——————————————————————————————————————————————————————————————————————</w:t>
      </w:r>
    </w:p>
    <w:p>
      <w:pPr>
        <w:spacing w:before="160" w:after="80" w:line="240" w:lineRule="auto"/>
      </w:pPr>
      <w:r>
        <w:rPr>
          <w:b/>
        </w:rPr>
        <w:t xml:space="preserve">[101] </w:t>
      </w:r>
      <w:hyperlink r:id="rId162">
        <w:r>
          <w:rPr>
            <w:color w:val="1155CC"/>
            <w:u w:val="single"/>
          </w:rPr>
          <w:t>Engineering Proton Clamp Traps in Covalent Organic Frameworks for Boosting CO2 Capture and Photoreduction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63">
        <w:r>
          <w:rPr>
            <w:color w:val="1155CC"/>
            <w:u w:val="single"/>
          </w:rPr>
          <w:t>10.1002/anie.202515511</w:t>
        </w:r>
      </w:hyperlink>
    </w:p>
    <w:p>
      <w:pPr>
        <w:spacing w:before="0" w:after="120"/>
      </w:pPr>
      <w:r>
        <w:rPr>
          <w:b/>
        </w:rPr>
        <w:t xml:space="preserve">Notes: </w:t>
      </w:r>
      <w:r>
        <w:t>abstract_source=crossref</w:t>
      </w:r>
    </w:p>
    <w:p>
      <w:pPr>
        <w:spacing w:before="0" w:after="200" w:lineRule="auto" w:line="276"/>
      </w:pPr>
      <w:r>
        <w:rPr>
          <w:b/>
        </w:rPr>
        <w:t xml:space="preserve">Abstract: </w:t>
      </w:r>
      <w:r>
        <w:t>The targeted construction of efficient CO</w:t>
      </w:r>
      <w:r>
        <w:rPr>
          <w:vertAlign w:val="subscript"/>
        </w:rPr>
        <w:t>2</w:t>
      </w:r>
      <w:r>
        <w:t>capture platforms for photocatalysis remains a significant challenge. Herein, we precisely engineered a proton clamp within a series of covalent organic frameworks (COFs) to function as CO</w:t>
      </w:r>
      <w:r>
        <w:rPr>
          <w:vertAlign w:val="subscript"/>
        </w:rPr>
        <w:t>2</w:t>
      </w:r>
      <w:r>
        <w:t>traps, thereby significantly enhancing the photocatalytic reduction of CO</w:t>
      </w:r>
      <w:r>
        <w:rPr>
          <w:vertAlign w:val="subscript"/>
        </w:rPr>
        <w:t>2</w:t>
      </w:r>
      <w:r>
        <w:t>to CO. The proton clamp was rationally designed by using an S‐shaped molecular motif featuring appropriate interatomic distances and strategically positioned protonation sites. Remarkably, the protonated COFs exhibited a superior CO production rate of 109 µmol g</w:t>
      </w:r>
      <w:r>
        <w:t xml:space="preserve"> </w:t>
      </w:r>
      <w:r>
        <w:t>−1</w:t>
      </w:r>
      <w:r>
        <w:t xml:space="preserve"> </w:t>
      </w:r>
      <w:r>
        <w:t>h</w:t>
      </w:r>
      <w:r>
        <w:t xml:space="preserve"> </w:t>
      </w:r>
      <w:r>
        <w:t>−1</w:t>
      </w:r>
      <w:r>
        <w:t xml:space="preserve"> </w:t>
      </w:r>
      <w:r>
        <w:t>in a gas‐solid reaction condition. The experimental and theoretical investigations confirmed that the proton clamp not only facilitated efficient CO</w:t>
      </w:r>
      <w:r>
        <w:rPr>
          <w:vertAlign w:val="subscript"/>
        </w:rPr>
        <w:t>2</w:t>
      </w:r>
      <w:r>
        <w:t>trapping but also rapidly delivered protons to the active sites, accelerating the reaction kinetics. This work provides molecular‐level insights into protonation strategies for optimizing photocatalytic CO</w:t>
      </w:r>
      <w:r>
        <w:rPr>
          <w:vertAlign w:val="subscript"/>
        </w:rPr>
        <w:t>2</w:t>
      </w:r>
      <w:r>
        <w:t>reduction, offering a new design principle for advanced COF‐based photocatalysts.</w:t>
      </w:r>
    </w:p>
    <w:p>
      <w:pPr>
        <w:spacing w:before="120" w:after="120"/>
      </w:pPr>
      <w:r>
        <w:rPr>
          <w:sz w:val="18"/>
        </w:rPr>
        <w:t>——————————————————————————————————————————————————————————————————————</w:t>
      </w:r>
    </w:p>
    <w:p>
      <w:pPr>
        <w:spacing w:before="160" w:after="80" w:line="240" w:lineRule="auto"/>
      </w:pPr>
      <w:r>
        <w:rPr>
          <w:b/>
        </w:rPr>
        <w:t xml:space="preserve">[102] </w:t>
      </w:r>
      <w:hyperlink r:id="rId164">
        <w:r>
          <w:rPr>
            <w:color w:val="1155CC"/>
            <w:u w:val="single"/>
          </w:rPr>
          <w:t>Small‐Molecule Probes Enhance in Vivo Field‐Effect Transistor‐Based Biosensing by Overcoming Debye Length Limitations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65">
        <w:r>
          <w:rPr>
            <w:color w:val="1155CC"/>
            <w:u w:val="single"/>
          </w:rPr>
          <w:t>10.1002/anie.202516351</w:t>
        </w:r>
      </w:hyperlink>
    </w:p>
    <w:p>
      <w:pPr>
        <w:spacing w:before="0" w:after="120"/>
      </w:pPr>
      <w:r>
        <w:rPr>
          <w:b/>
        </w:rPr>
        <w:t xml:space="preserve">Notes: </w:t>
      </w:r>
      <w:r>
        <w:t>abstract_source=crossref</w:t>
      </w:r>
    </w:p>
    <w:p>
      <w:pPr>
        <w:spacing w:before="0" w:after="200" w:lineRule="auto" w:line="276"/>
      </w:pPr>
      <w:r>
        <w:rPr>
          <w:b/>
        </w:rPr>
        <w:t xml:space="preserve">Abstract: </w:t>
      </w:r>
      <w:r>
        <w:t>Field‐effect transistor (FET) biosensors have garnered extensive interest in biomedical detection, while their high sensitivity is maintained only when the targets are within the Debye length. In high‐ionic‐strength biological environments, the Debye length could be reduced to</w:t>
      </w:r>
      <w:r>
        <w:t xml:space="preserve"> </w:t>
      </w:r>
      <w:r>
        <w:t>ca</w:t>
      </w:r>
      <w:r>
        <w:t xml:space="preserve"> </w:t>
      </w:r>
      <w:r>
        <w:t>. 1 nm, but the size of traditional recognition probes such as antibodies and aptamers far exceeds the Debye length, therefore significantly compromising the sensitivity. Here, inspired by fluorescent probes, we designed and synthesized small molecules (approximately 1 nm in size) as the recognition probes to overcome the Debye length limitation and maintain the sensor's sensitivity in biological environments. Upon binding to target molecules, the probe triggers a change in the surface charge of the FET sensing channel and generate a quantifiable electronic signal. As a proof of concept, an ATP‐responsive</w:t>
      </w:r>
      <w:r>
        <w:t xml:space="preserve"> </w:t>
      </w:r>
      <w:r>
        <w:t>S</w:t>
      </w:r>
      <w:r>
        <w:t xml:space="preserve"> </w:t>
      </w:r>
      <w:r>
        <w:t>mall</w:t>
      </w:r>
      <w:r>
        <w:t xml:space="preserve"> </w:t>
      </w:r>
      <w:r>
        <w:t>M</w:t>
      </w:r>
      <w:r>
        <w:t xml:space="preserve"> </w:t>
      </w:r>
      <w:r>
        <w:t>olecules probe functional</w:t>
      </w:r>
      <w:r>
        <w:t xml:space="preserve"> </w:t>
      </w:r>
      <w:r>
        <w:t>I</w:t>
      </w:r>
      <w:r>
        <w:t xml:space="preserve"> </w:t>
      </w:r>
      <w:r>
        <w:t>zed need</w:t>
      </w:r>
      <w:r>
        <w:t xml:space="preserve"> </w:t>
      </w:r>
      <w:r>
        <w:t>LE</w:t>
      </w:r>
      <w:r>
        <w:t xml:space="preserve"> </w:t>
      </w:r>
      <w:r>
        <w:t>(SMILE) FET biosensor was developed, which exhibited excellent affinity, selectivity and sensitivity with a detection limit of 82 fM toward detection of ATP in physiological solution. This allowed real‐time monitoring of ATP level and its dynamic variations in both normal and depressed mice, providing a new solution of FET sensor for in vivo applications.</w:t>
      </w:r>
    </w:p>
    <w:p>
      <w:pPr>
        <w:spacing w:before="120" w:after="120"/>
      </w:pPr>
      <w:r>
        <w:rPr>
          <w:sz w:val="18"/>
        </w:rPr>
        <w:t>——————————————————————————————————————————————————————————————————————</w:t>
      </w:r>
    </w:p>
    <w:p>
      <w:pPr>
        <w:spacing w:before="160" w:after="80" w:line="240" w:lineRule="auto"/>
      </w:pPr>
      <w:r>
        <w:rPr>
          <w:b/>
        </w:rPr>
        <w:t xml:space="preserve">[103] </w:t>
      </w:r>
      <w:hyperlink r:id="rId166">
        <w:r>
          <w:rPr>
            <w:color w:val="1155CC"/>
            <w:u w:val="single"/>
          </w:rPr>
          <w:t>Resonant Dative Bonds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67">
        <w:r>
          <w:rPr>
            <w:color w:val="1155CC"/>
            <w:u w:val="single"/>
          </w:rPr>
          <w:t>10.1002/anie.202515336</w:t>
        </w:r>
      </w:hyperlink>
    </w:p>
    <w:p>
      <w:pPr>
        <w:spacing w:before="0" w:after="120"/>
      </w:pPr>
      <w:r>
        <w:rPr>
          <w:b/>
        </w:rPr>
        <w:t xml:space="preserve">Notes: </w:t>
      </w:r>
      <w:r>
        <w:t>abstract_source=crossref</w:t>
      </w:r>
    </w:p>
    <w:p>
      <w:pPr>
        <w:spacing w:before="0" w:after="200" w:lineRule="auto" w:line="276"/>
      </w:pPr>
      <w:r>
        <w:rPr>
          <w:b/>
        </w:rPr>
        <w:t xml:space="preserve">Abstract: </w:t>
      </w:r>
      <w:r>
        <w:t>The dative bond is an often underappreciated entity in the theory of chemical interactions, despite its explanatory and predictive potential. In this work, the concept is recovered to computationally design a novel resonant dative bonding pattern in ring molecules, which would be formally considered to be composed of multiple hypervalent and hypovalent atoms. Starting with the (HCPO)</w:t>
      </w:r>
      <w:r>
        <w:rPr>
          <w:vertAlign w:val="subscript"/>
        </w:rPr>
        <w:t>3</w:t>
      </w:r>
      <w:r>
        <w:t>ring arranged as alternating carbons and phosphorus, we propose that the major Lewis structure is composed of P═O double bonds and “semi‐dative‐semi‐covalent” P─C bonds. The three carbons technically are a rare case of σ</w:t>
      </w:r>
      <w:r>
        <w:rPr>
          <w:vertAlign w:val="subscript"/>
        </w:rPr>
        <w:t>0</w:t>
      </w:r>
      <w:r>
        <w:t>π</w:t>
      </w:r>
      <w:r>
        <w:rPr>
          <w:vertAlign w:val="subscript"/>
        </w:rPr>
        <w:t>2</w:t>
      </w:r>
      <w:r>
        <w:t>carbenes; however, due to the stability granted by the delocalized, resonant dative bonds, we termed them “</w:t>
      </w:r>
      <w:r>
        <w:t xml:space="preserve"> </w:t>
      </w:r>
      <w:r>
        <w:t>pseudo‐carbenes</w:t>
      </w:r>
      <w:r>
        <w:t xml:space="preserve"> </w:t>
      </w:r>
      <w:r>
        <w:t>”. By experimenting with isoelectronic systems with other elements but with the same bonding pattern, we also observed pseudo‐nitrenes, pseudo‐silylenes, and dicoordinated halogens, among other unusual structures. Surprisingly, the isomeric rings with normal valence and traditional covalent bonds were found to be of much higher energy, suggesting that the resonant dative bonds can potentially be a source of highly stable molecular entities.</w:t>
      </w:r>
    </w:p>
    <w:p>
      <w:pPr>
        <w:spacing w:before="120" w:after="120"/>
      </w:pPr>
      <w:r>
        <w:rPr>
          <w:sz w:val="18"/>
        </w:rPr>
        <w:t>——————————————————————————————————————————————————————————————————————</w:t>
      </w:r>
    </w:p>
    <w:p>
      <w:pPr>
        <w:spacing w:before="160" w:after="80" w:line="240" w:lineRule="auto"/>
      </w:pPr>
      <w:r>
        <w:rPr>
          <w:b/>
        </w:rPr>
        <w:t xml:space="preserve">[104] </w:t>
      </w:r>
      <w:hyperlink r:id="rId168">
        <w:r>
          <w:rPr>
            <w:color w:val="1155CC"/>
            <w:u w:val="single"/>
          </w:rPr>
          <w:t>Strong, Yet Split Hydrogen Bonding with Ice Rules in Delafossite (H/D)RhO2</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69">
        <w:r>
          <w:rPr>
            <w:color w:val="1155CC"/>
            <w:u w:val="single"/>
          </w:rPr>
          <w:t>10.1002/anie.202515471</w:t>
        </w:r>
      </w:hyperlink>
    </w:p>
    <w:p>
      <w:pPr>
        <w:spacing w:before="0" w:after="120"/>
      </w:pPr>
      <w:r>
        <w:rPr>
          <w:b/>
        </w:rPr>
        <w:t xml:space="preserve">Notes: </w:t>
      </w:r>
      <w:r>
        <w:t>abstract_source=crossref</w:t>
      </w:r>
    </w:p>
    <w:p>
      <w:pPr>
        <w:spacing w:before="0" w:after="200" w:lineRule="auto" w:line="276"/>
      </w:pPr>
      <w:r>
        <w:rPr>
          <w:b/>
        </w:rPr>
        <w:t xml:space="preserve">Abstract: </w:t>
      </w:r>
      <w:r>
        <w:t>Despite remaining enigmatic, strong hydrogen bonding provides an advanced design handle for tailoring the properties of functional materials. Here, 3</w:t>
      </w:r>
      <w:r>
        <w:t xml:space="preserve"> </w:t>
      </w:r>
      <w:r>
        <w:t>R</w:t>
      </w:r>
      <w:r>
        <w:t xml:space="preserve"> </w:t>
      </w:r>
      <w:r>
        <w:t>–(H/D)RhO</w:t>
      </w:r>
      <w:r>
        <w:rPr>
          <w:vertAlign w:val="subscript"/>
        </w:rPr>
        <w:t>2</w:t>
      </w:r>
      <w:r>
        <w:t>delafossites (prepared by ion exchange of Na</w:t>
      </w:r>
      <w:r>
        <w:t xml:space="preserve"> </w:t>
      </w:r>
      <w:r>
        <w:t>+</w:t>
      </w:r>
      <w:r>
        <w:t xml:space="preserve"> </w:t>
      </w:r>
      <w:r>
        <w:t>from NaRhO</w:t>
      </w:r>
      <w:r>
        <w:rPr>
          <w:vertAlign w:val="subscript"/>
        </w:rPr>
        <w:t>2</w:t>
      </w:r>
      <w:r>
        <w:t>) contain H/D in linear coordination with O, linking Rh</w:t>
      </w:r>
      <w:r>
        <w:t xml:space="preserve"> </w:t>
      </w:r>
      <w:r>
        <w:t>III</w:t>
      </w:r>
      <w:r>
        <w:t xml:space="preserve"> </w:t>
      </w:r>
      <w:r>
        <w:t>O</w:t>
      </w:r>
      <w:r>
        <w:rPr>
          <w:vertAlign w:val="subscript"/>
        </w:rPr>
        <w:t>2</w:t>
      </w:r>
      <w:r>
        <w:t>layers. Bragg and real‐space X‐ray and neutron scattering analysis, vibrational and solid‐state NMR spectroscopy, and density functional theory (DFT)–based electronic structure calculations have been employed to understand the nature of the hydrogen bonding. Despite short distances between H/D and the two O to which they are bonded, a clear double‐minimum corresponding to a shorter and longer (H/D)–O distance is established. The triangular lattices formed by H/D appear to display ice‐like disorder, corroborated by low‐temperature heat capacity measurements.</w:t>
      </w:r>
    </w:p>
    <w:p>
      <w:pPr>
        <w:spacing w:before="120" w:after="120"/>
      </w:pPr>
      <w:r>
        <w:rPr>
          <w:sz w:val="18"/>
        </w:rPr>
        <w:t>——————————————————————————————————————————————————————————————————————</w:t>
      </w:r>
    </w:p>
    <w:p>
      <w:pPr>
        <w:spacing w:before="160" w:after="80" w:line="240" w:lineRule="auto"/>
      </w:pPr>
      <w:r>
        <w:rPr>
          <w:b/>
        </w:rPr>
        <w:t xml:space="preserve">[105] </w:t>
      </w:r>
      <w:hyperlink r:id="rId170">
        <w:r>
          <w:rPr>
            <w:color w:val="1155CC"/>
            <w:u w:val="single"/>
          </w:rPr>
          <w:t>All‐Nido‐Carborane‐Protected Copper Clusters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71">
        <w:r>
          <w:rPr>
            <w:color w:val="1155CC"/>
            <w:u w:val="single"/>
          </w:rPr>
          <w:t>10.1002/anie.202515175</w:t>
        </w:r>
      </w:hyperlink>
    </w:p>
    <w:p>
      <w:pPr>
        <w:spacing w:before="0" w:after="120"/>
      </w:pPr>
      <w:r>
        <w:rPr>
          <w:b/>
        </w:rPr>
        <w:t xml:space="preserve">Notes: </w:t>
      </w:r>
      <w:r>
        <w:t>abstract_source=crossref</w:t>
      </w:r>
    </w:p>
    <w:p>
      <w:pPr>
        <w:spacing w:before="0" w:after="200" w:lineRule="auto" w:line="276"/>
      </w:pPr>
      <w:r>
        <w:rPr>
          <w:b/>
        </w:rPr>
        <w:t xml:space="preserve">Abstract: </w:t>
      </w:r>
      <w:r>
        <w:t>Peripheral ligands of metal nanoclusters play a crucial role in determining their structures and modulating their physicochemical properties. Therefore, expanding the diversity of ligands is of paramount importance for advancing metal cluster science. In this work, we report for the first time the synthesis and characterization of two all‐</w:t>
      </w:r>
      <w:r>
        <w:t xml:space="preserve"> </w:t>
      </w:r>
      <w:r>
        <w:t>nido</w:t>
      </w:r>
      <w:r>
        <w:t xml:space="preserve"> </w:t>
      </w:r>
      <w:r>
        <w:t>‐carborane‐protected copper nanoclusters: an octahedral [Cu</w:t>
      </w:r>
      <w:r>
        <w:rPr>
          <w:vertAlign w:val="subscript"/>
        </w:rPr>
        <w:t>6</w:t>
      </w:r>
      <w:r>
        <w:t>(C</w:t>
      </w:r>
      <w:r>
        <w:rPr>
          <w:vertAlign w:val="subscript"/>
        </w:rPr>
        <w:t>2</w:t>
      </w:r>
      <w:r>
        <w:t>B</w:t>
      </w:r>
      <w:r>
        <w:rPr>
          <w:vertAlign w:val="subscript"/>
        </w:rPr>
        <w:t>9</w:t>
      </w:r>
      <w:r>
        <w:t>H</w:t>
      </w:r>
      <w:r>
        <w:rPr>
          <w:vertAlign w:val="subscript"/>
        </w:rPr>
        <w:t>11</w:t>
      </w:r>
      <w:r>
        <w:t>)</w:t>
      </w:r>
      <w:r>
        <w:rPr>
          <w:vertAlign w:val="subscript"/>
        </w:rPr>
        <w:t>4</w:t>
      </w:r>
      <w:r>
        <w:t>](Et</w:t>
      </w:r>
      <w:r>
        <w:rPr>
          <w:vertAlign w:val="subscript"/>
        </w:rPr>
        <w:t>4</w:t>
      </w:r>
      <w:r>
        <w:t>N)</w:t>
      </w:r>
      <w:r>
        <w:rPr>
          <w:vertAlign w:val="subscript"/>
        </w:rPr>
        <w:t>2</w:t>
      </w:r>
      <w:r>
        <w:t>(</w:t>
      </w:r>
      <w:r>
        <w:t xml:space="preserve"> </w:t>
      </w:r>
      <w:r>
        <w:t>Cu</w:t>
      </w:r>
      <w:r>
        <w:rPr>
          <w:vertAlign w:val="subscript"/>
        </w:rPr>
        <w:t>6</w:t>
      </w:r>
      <w:r>
        <w:t xml:space="preserve"> </w:t>
      </w:r>
      <w:r>
        <w:t>) and an icosahedral [Cu</w:t>
      </w:r>
      <w:r>
        <w:rPr>
          <w:vertAlign w:val="subscript"/>
        </w:rPr>
        <w:t>13</w:t>
      </w:r>
      <w:r>
        <w:t>(C</w:t>
      </w:r>
      <w:r>
        <w:rPr>
          <w:vertAlign w:val="subscript"/>
        </w:rPr>
        <w:t>2</w:t>
      </w:r>
      <w:r>
        <w:t>B</w:t>
      </w:r>
      <w:r>
        <w:rPr>
          <w:vertAlign w:val="subscript"/>
        </w:rPr>
        <w:t>9</w:t>
      </w:r>
      <w:r>
        <w:t>H</w:t>
      </w:r>
      <w:r>
        <w:rPr>
          <w:vertAlign w:val="subscript"/>
        </w:rPr>
        <w:t>11</w:t>
      </w:r>
      <w:r>
        <w:t>)</w:t>
      </w:r>
      <w:r>
        <w:rPr>
          <w:vertAlign w:val="subscript"/>
        </w:rPr>
        <w:t>6</w:t>
      </w:r>
      <w:r>
        <w:t>](Et</w:t>
      </w:r>
      <w:r>
        <w:rPr>
          <w:vertAlign w:val="subscript"/>
        </w:rPr>
        <w:t>4</w:t>
      </w:r>
      <w:r>
        <w:t>N)</w:t>
      </w:r>
      <w:r>
        <w:rPr>
          <w:vertAlign w:val="subscript"/>
        </w:rPr>
        <w:t>3</w:t>
      </w:r>
      <w:r>
        <w:t>(</w:t>
      </w:r>
      <w:r>
        <w:t xml:space="preserve"> </w:t>
      </w:r>
      <w:r>
        <w:t>Cu</w:t>
      </w:r>
      <w:r>
        <w:rPr>
          <w:vertAlign w:val="subscript"/>
        </w:rPr>
        <w:t>13</w:t>
      </w:r>
      <w:r>
        <w:t xml:space="preserve"> </w:t>
      </w:r>
      <w:r>
        <w:t>) (Et</w:t>
      </w:r>
      <w:r>
        <w:rPr>
          <w:vertAlign w:val="subscript"/>
        </w:rPr>
        <w:t>4</w:t>
      </w:r>
      <w:r>
        <w:t>N = tetraethylammonium). As confirmed by ESI‐MS and time‐dependent UV–vis absorption spectroscopy,</w:t>
      </w:r>
      <w:r>
        <w:t xml:space="preserve"> </w:t>
      </w:r>
      <w:r>
        <w:t>Cu</w:t>
      </w:r>
      <w:r>
        <w:rPr>
          <w:vertAlign w:val="subscript"/>
        </w:rPr>
        <w:t>6</w:t>
      </w:r>
      <w:r>
        <w:t xml:space="preserve"> </w:t>
      </w:r>
      <w:r>
        <w:t>undergoes spontaneous transformation into</w:t>
      </w:r>
      <w:r>
        <w:t xml:space="preserve"> </w:t>
      </w:r>
      <w:r>
        <w:t>Cu</w:t>
      </w:r>
      <w:r>
        <w:rPr>
          <w:vertAlign w:val="subscript"/>
        </w:rPr>
        <w:t>13</w:t>
      </w:r>
      <w:r>
        <w:t xml:space="preserve"> </w:t>
      </w:r>
      <w:r>
        <w:t>in acetone solution. Theoretical computations reveal that the superatomic cluster</w:t>
      </w:r>
      <w:r>
        <w:t xml:space="preserve"> </w:t>
      </w:r>
      <w:r>
        <w:t>Cu</w:t>
      </w:r>
      <w:r>
        <w:rPr>
          <w:vertAlign w:val="subscript"/>
        </w:rPr>
        <w:t>13</w:t>
      </w:r>
      <w:r>
        <w:t xml:space="preserve"> </w:t>
      </w:r>
      <w:r>
        <w:t>possesses an open‐shell electronic structure of 1S</w:t>
      </w:r>
      <w:r>
        <w:rPr>
          <w:vertAlign w:val="subscript"/>
        </w:rPr>
        <w:t>2</w:t>
      </w:r>
      <w:r>
        <w:t>1P</w:t>
      </w:r>
      <w:r>
        <w:rPr>
          <w:vertAlign w:val="subscript"/>
        </w:rPr>
        <w:t>2</w:t>
      </w:r>
      <w:r>
        <w:t>. Moreover,</w:t>
      </w:r>
      <w:r>
        <w:t xml:space="preserve"> </w:t>
      </w:r>
      <w:r>
        <w:t>Cu</w:t>
      </w:r>
      <w:r>
        <w:rPr>
          <w:vertAlign w:val="subscript"/>
        </w:rPr>
        <w:t>13</w:t>
      </w:r>
      <w:r>
        <w:t xml:space="preserve"> </w:t>
      </w:r>
      <w:r>
        <w:t>solution exhibits prominent near‐infrared luminescence at 880 nm and demonstrates superior performance in bioimaging with 4T1 cells, showcasing significant potential for biomedical applications. This study not only enriches the ligand library for metal clusters but also provides new impetus for the exploration of carborane chemistry.</w:t>
      </w:r>
    </w:p>
    <w:p>
      <w:pPr>
        <w:spacing w:before="120" w:after="120"/>
      </w:pPr>
      <w:r>
        <w:rPr>
          <w:sz w:val="18"/>
        </w:rPr>
        <w:t>——————————————————————————————————————————————————————————————————————</w:t>
      </w:r>
    </w:p>
    <w:p>
      <w:pPr>
        <w:spacing w:before="160" w:after="80" w:line="240" w:lineRule="auto"/>
      </w:pPr>
      <w:r>
        <w:rPr>
          <w:b/>
        </w:rPr>
        <w:t xml:space="preserve">[106] </w:t>
      </w:r>
      <w:hyperlink r:id="rId172">
        <w:r>
          <w:rPr>
            <w:color w:val="1155CC"/>
            <w:u w:val="single"/>
          </w:rPr>
          <w:t>Zn2+ Storage via Conversion Chemistry of α‐MnO2 in an Organic Electrolyte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73">
        <w:r>
          <w:rPr>
            <w:color w:val="1155CC"/>
            <w:u w:val="single"/>
          </w:rPr>
          <w:t>10.1002/anie.202515055</w:t>
        </w:r>
      </w:hyperlink>
    </w:p>
    <w:p>
      <w:pPr>
        <w:spacing w:before="0" w:after="120"/>
      </w:pPr>
      <w:r>
        <w:rPr>
          <w:b/>
        </w:rPr>
        <w:t xml:space="preserve">Notes: </w:t>
      </w:r>
      <w:r>
        <w:t>abstract_source=crossref</w:t>
      </w:r>
    </w:p>
    <w:p>
      <w:pPr>
        <w:spacing w:before="0" w:after="200" w:lineRule="auto" w:line="276"/>
      </w:pPr>
      <w:r>
        <w:rPr>
          <w:b/>
        </w:rPr>
        <w:t xml:space="preserve">Abstract: </w:t>
      </w:r>
      <w:r>
        <w:t>Aqueous zinc–manganese oxide batteries have attracted considerable attention for energy storage applications due to their low cost, high safety, and environmental friendliness. However, unavoidable proton‐involved electrode reactions in mild aqueous electrolytes often lead to significant pH fluctuations and accelerated Zn corrosion, resulting in limited operational lifespans (typically less than 1000 h) for most reported Zn//MnO</w:t>
      </w:r>
      <w:r>
        <w:rPr>
          <w:vertAlign w:val="subscript"/>
        </w:rPr>
        <w:t>2</w:t>
      </w:r>
      <w:r>
        <w:t>cells. Herein, we investigate the Zn</w:t>
      </w:r>
      <w:r>
        <w:t xml:space="preserve"> </w:t>
      </w:r>
      <w:r>
        <w:t>2+</w:t>
      </w:r>
      <w:r>
        <w:t xml:space="preserve"> </w:t>
      </w:r>
      <w:r>
        <w:t>storage behavior of α‐MnO</w:t>
      </w:r>
      <w:r>
        <w:rPr>
          <w:vertAlign w:val="subscript"/>
        </w:rPr>
        <w:t>2</w:t>
      </w:r>
      <w:r>
        <w:t>in 1 M zinc trifluoromethanesulfonate (Zn(OTf)</w:t>
      </w:r>
      <w:r>
        <w:rPr>
          <w:vertAlign w:val="subscript"/>
        </w:rPr>
        <w:t>2</w:t>
      </w:r>
      <w:r>
        <w:t>)/</w:t>
      </w:r>
      <w:r>
        <w:t>N,N</w:t>
      </w:r>
      <w:r>
        <w:t xml:space="preserve"> </w:t>
      </w:r>
      <w:r>
        <w:t>‐dimethylformamide (DMF) electrolyte, which delivers negligible capacity due to sluggish Zn</w:t>
      </w:r>
      <w:r>
        <w:t xml:space="preserve"> </w:t>
      </w:r>
      <w:r>
        <w:t>2+</w:t>
      </w:r>
      <w:r>
        <w:t xml:space="preserve"> </w:t>
      </w:r>
      <w:r>
        <w:t>de‐solvation. Remarkably, introducing a small amount (2 vol%) of water into the DMF‐based electrolyte substantially improves Zn</w:t>
      </w:r>
      <w:r>
        <w:t xml:space="preserve"> </w:t>
      </w:r>
      <w:r>
        <w:t>2+</w:t>
      </w:r>
      <w:r>
        <w:t xml:space="preserve"> </w:t>
      </w:r>
      <w:r>
        <w:t>de‐solvation kinetics, thereby enhancing the storage performance of the α‐MnO</w:t>
      </w:r>
      <w:r>
        <w:rPr>
          <w:vertAlign w:val="subscript"/>
        </w:rPr>
        <w:t>2</w:t>
      </w:r>
      <w:r>
        <w:t>electrode without proton participation. We reveal that in this electrolyte, the α‐MnO</w:t>
      </w:r>
      <w:r>
        <w:rPr>
          <w:vertAlign w:val="subscript"/>
        </w:rPr>
        <w:t>2</w:t>
      </w:r>
      <w:r>
        <w:t>undergoes initial dissolution and ZnO formation during discharge, followed by a highly reversible conversion between Mn</w:t>
      </w:r>
      <w:r>
        <w:t xml:space="preserve"> </w:t>
      </w:r>
      <w:r>
        <w:t>2+</w:t>
      </w:r>
      <w:r>
        <w:t xml:space="preserve"> </w:t>
      </w:r>
      <w:r>
        <w:t>+ ZnO and layered ZnMn</w:t>
      </w:r>
      <w:r>
        <w:rPr>
          <w:vertAlign w:val="subscript"/>
        </w:rPr>
        <w:t>3</w:t>
      </w:r>
      <w:r>
        <w:t>O</w:t>
      </w:r>
      <w:r>
        <w:rPr>
          <w:vertAlign w:val="subscript"/>
        </w:rPr>
        <w:t>7</w:t>
      </w:r>
      <w:r>
        <w:t>. Benefiting from the reversible Zn</w:t>
      </w:r>
      <w:r>
        <w:t xml:space="preserve"> </w:t>
      </w:r>
      <w:r>
        <w:t>2+</w:t>
      </w:r>
      <w:r>
        <w:t xml:space="preserve"> </w:t>
      </w:r>
      <w:r>
        <w:t>storage mechanism and suppressed Zn corrosion, the Zn//α‐MnO</w:t>
      </w:r>
      <w:r>
        <w:rPr>
          <w:vertAlign w:val="subscript"/>
        </w:rPr>
        <w:t>2</w:t>
      </w:r>
      <w:r>
        <w:t>cell operates stably for 132 days at 0.1 A g</w:t>
      </w:r>
      <w:r>
        <w:t xml:space="preserve"> </w:t>
      </w:r>
      <w:r>
        <w:t>−1</w:t>
      </w:r>
      <w:r>
        <w:t xml:space="preserve"> </w:t>
      </w:r>
      <w:r>
        <w:t>and retains 87.1% of its capacity after 1200 cycles. This work offers a new proton‐free conversion reaction pathway for constructing stable Zn–Mn batteries based on organic electrolytes.</w:t>
      </w:r>
    </w:p>
    <w:p>
      <w:pPr>
        <w:spacing w:before="120" w:after="120"/>
      </w:pPr>
      <w:r>
        <w:rPr>
          <w:sz w:val="18"/>
        </w:rPr>
        <w:t>——————————————————————————————————————————————————————————————————————</w:t>
      </w:r>
    </w:p>
    <w:p>
      <w:pPr>
        <w:spacing w:before="160" w:after="80" w:line="240" w:lineRule="auto"/>
      </w:pPr>
      <w:r>
        <w:rPr>
          <w:b/>
        </w:rPr>
        <w:t xml:space="preserve">[107] </w:t>
      </w:r>
      <w:hyperlink r:id="rId174">
        <w:r>
          <w:rPr>
            <w:color w:val="1155CC"/>
            <w:u w:val="single"/>
          </w:rPr>
          <w:t>Dynamic Kinetic Resolution Approach to Chiral Sulfur‐Containing Aza‐[5]helicenes via Chiral Lewis Base Catalyzed C─H Sulfenylation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75">
        <w:r>
          <w:rPr>
            <w:color w:val="1155CC"/>
            <w:u w:val="single"/>
          </w:rPr>
          <w:t>10.1002/anie.202515017</w:t>
        </w:r>
      </w:hyperlink>
    </w:p>
    <w:p>
      <w:pPr>
        <w:spacing w:before="0" w:after="120"/>
      </w:pPr>
      <w:r>
        <w:rPr>
          <w:b/>
        </w:rPr>
        <w:t xml:space="preserve">Notes: </w:t>
      </w:r>
      <w:r>
        <w:t>abstract_source=crossref</w:t>
      </w:r>
    </w:p>
    <w:p>
      <w:pPr>
        <w:spacing w:before="0" w:after="200" w:lineRule="auto" w:line="276"/>
      </w:pPr>
      <w:r>
        <w:rPr>
          <w:b/>
        </w:rPr>
        <w:t xml:space="preserve">Abstract: </w:t>
      </w:r>
      <w:r>
        <w:t>A chiral sulfide‐catalyzed C─H sulfenylation reaction for the efficient synthesis of chiral sulfur‐containing aza‐[5]helicenes has been developed for the first time. The chiral 1,1′‐binaphthyl‐2,2′‐diamine (BINAM)‐derived sulfide, bearing a</w:t>
      </w:r>
      <w:r>
        <w:t xml:space="preserve"> </w:t>
      </w:r>
      <w:r>
        <w:t>tert</w:t>
      </w:r>
      <w:r>
        <w:t xml:space="preserve"> </w:t>
      </w:r>
      <w:r>
        <w:t>‐butyl group, was identified as the optimal catalyst. The transformation proceeds via a dynamic kinetic resolution (DKR) process, attributed to the low rotational energy barrier of the indole substrates. This approach features simple and mild reaction conditions, good functional group tolerance, and broad substrate scope (41 examples). A diverse range of chiral sulfur‐containing aza‐[5]helicenes were obtained in high to excellent yields with high to excellent enantioselectivities (up to 99% yield and 97% ee). Furthermore, this catalytic system demonstrates applicability for the modification of drug molecules and aggregation‐induced emission (AIE) molecules. Density functional theory (DFT) calculations reveal that π⋯π and C─H⋯π interactions play a critical role in determining the observed enantioselectivity.</w:t>
      </w:r>
    </w:p>
    <w:p>
      <w:pPr>
        <w:spacing w:before="120" w:after="120"/>
      </w:pPr>
      <w:r>
        <w:rPr>
          <w:sz w:val="18"/>
        </w:rPr>
        <w:t>——————————————————————————————————————————————————————————————————————</w:t>
      </w:r>
    </w:p>
    <w:p>
      <w:pPr>
        <w:spacing w:before="160" w:after="80" w:line="240" w:lineRule="auto"/>
      </w:pPr>
      <w:r>
        <w:rPr>
          <w:b/>
        </w:rPr>
        <w:t xml:space="preserve">[108] </w:t>
      </w:r>
      <w:hyperlink r:id="rId176">
        <w:r>
          <w:rPr>
            <w:color w:val="1155CC"/>
            <w:u w:val="single"/>
          </w:rPr>
          <w:t>Atomic Coordination Engineering of Sub‐Nanometer Cu Clusters for Selective CO2 Electroreduction to Multi‐Carbon Alcohols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77">
        <w:r>
          <w:rPr>
            <w:color w:val="1155CC"/>
            <w:u w:val="single"/>
          </w:rPr>
          <w:t>10.1002/anie.202518377</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conversion of CO</w:t>
      </w:r>
      <w:r>
        <w:rPr>
          <w:vertAlign w:val="subscript"/>
        </w:rPr>
        <w:t>2</w:t>
      </w:r>
      <w:r>
        <w:t>to multi‐carbon (C</w:t>
      </w:r>
      <w:r>
        <w:t xml:space="preserve"> </w:t>
      </w:r>
      <w:r>
        <w:t>2+</w:t>
      </w:r>
      <w:r>
        <w:t xml:space="preserve"> </w:t>
      </w:r>
      <w:r>
        <w:t>) alcohols remains a substantial challenge due to the competing ethylene pathway. Precisely tuning the bond energy of key intermediates plays an essential role in dictating the alcohol and ethylene pathway. Herein, we demonstrate that S and N coordinated Cu sub‐nanometer clusters (Cu/SNC) can achieve targeted modulation of the bond energy (Cu─C, C─O, and Cu─O) of multiple key intermediates (*CO and *OCHCH</w:t>
      </w:r>
      <w:r>
        <w:rPr>
          <w:vertAlign w:val="subscript"/>
        </w:rPr>
        <w:t>2</w:t>
      </w:r>
      <w:r>
        <w:t>), thus leading to preferential production of C</w:t>
      </w:r>
      <w:r>
        <w:t xml:space="preserve"> </w:t>
      </w:r>
      <w:r>
        <w:t>2+</w:t>
      </w:r>
      <w:r>
        <w:t xml:space="preserve"> </w:t>
      </w:r>
      <w:r>
        <w:t>alcohols rather than ethylene. Notably, Cu/SNC exhibited a C</w:t>
      </w:r>
      <w:r>
        <w:t xml:space="preserve"> </w:t>
      </w:r>
      <w:r>
        <w:t>2+</w:t>
      </w:r>
      <w:r>
        <w:t xml:space="preserve"> </w:t>
      </w:r>
      <w:r>
        <w:t>alcohols selectivity of 59.1% and a high alcohol‐to‐ethylene ratio of 7.21, which is 19 times larger than that without S and N coordination. Mechanistic studies reveal that N and S dopants individually facilitate CO</w:t>
      </w:r>
      <w:r>
        <w:rPr>
          <w:vertAlign w:val="subscript"/>
        </w:rPr>
        <w:t>2</w:t>
      </w:r>
      <w:r>
        <w:t>activation and lower the *CO adsorption energy barrier, synergistically steering the asymmetric C─C coupling pathway to promote C</w:t>
      </w:r>
      <w:r>
        <w:t xml:space="preserve"> </w:t>
      </w:r>
      <w:r>
        <w:t>2+</w:t>
      </w:r>
      <w:r>
        <w:t xml:space="preserve"> </w:t>
      </w:r>
      <w:r>
        <w:t>species formation. Moreover, N and S co‐coordination enables precise modulation of the adsorption behavior of oxygen‐containing intermediates. This electronic restructuring weakens Cu─O interactions while strengthening the C─O bond, thereby preferentially stabilizing alcohol‐forming pathways. This work provides a framework for precisely regulating the reaction pathway toward the highly selective electroreduction of CO</w:t>
      </w:r>
      <w:r>
        <w:rPr>
          <w:vertAlign w:val="subscript"/>
        </w:rPr>
        <w:t>2</w:t>
      </w:r>
      <w:r>
        <w:t>to C</w:t>
      </w:r>
      <w:r>
        <w:t xml:space="preserve"> </w:t>
      </w:r>
      <w:r>
        <w:t>2+</w:t>
      </w:r>
      <w:r>
        <w:t xml:space="preserve"> </w:t>
      </w:r>
      <w:r>
        <w:t>alcohols.</w:t>
      </w:r>
    </w:p>
    <w:p>
      <w:pPr>
        <w:spacing w:before="120" w:after="120"/>
      </w:pPr>
      <w:r>
        <w:rPr>
          <w:sz w:val="18"/>
        </w:rPr>
        <w:t>——————————————————————————————————————————————————————————————————————</w:t>
      </w:r>
    </w:p>
    <w:p>
      <w:pPr>
        <w:spacing w:before="160" w:after="80" w:line="240" w:lineRule="auto"/>
      </w:pPr>
      <w:r>
        <w:rPr>
          <w:b/>
        </w:rPr>
        <w:t xml:space="preserve">[109] </w:t>
      </w:r>
      <w:hyperlink r:id="rId178">
        <w:r>
          <w:rPr>
            <w:color w:val="1155CC"/>
            <w:u w:val="single"/>
          </w:rPr>
          <w:t>Ultrafast Single Electron Transfer Enables General Visible Light C─X (S, SS, Se) Coupling via Carbonyl Activation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79">
        <w:r>
          <w:rPr>
            <w:color w:val="1155CC"/>
            <w:u w:val="single"/>
          </w:rPr>
          <w:t>10.1002/anie.202514726</w:t>
        </w:r>
      </w:hyperlink>
    </w:p>
    <w:p>
      <w:pPr>
        <w:spacing w:before="0" w:after="120"/>
      </w:pPr>
      <w:r>
        <w:rPr>
          <w:b/>
        </w:rPr>
        <w:t xml:space="preserve">Notes: </w:t>
      </w:r>
      <w:r>
        <w:t>abstract_source=crossref</w:t>
      </w:r>
    </w:p>
    <w:p>
      <w:pPr>
        <w:spacing w:before="0" w:after="200" w:lineRule="auto" w:line="276"/>
      </w:pPr>
      <w:r>
        <w:rPr>
          <w:b/>
        </w:rPr>
        <w:t xml:space="preserve">Abstract: </w:t>
      </w:r>
      <w:r>
        <w:t>The formation of carbon─heteroatom bonds is a key strategy that enables the modular construction of molecules in synthetic chemistry, but activating inert carbonyl compounds to forge C─X bonds remains a longstanding synthetic challenge. Herein, we report a universal visible light‐driven photocatalytic system that enables efficient C─X (X = SS, S, Se) bond formation under mild, redox–neutral conditions. Guided by Marcus electron transfer theory, we employed a computational redox‐pair screening strategy to identify triplet‐state pathways with optimal electronic coupling matrix element (H</w:t>
      </w:r>
      <w:r>
        <w:t xml:space="preserve"> </w:t>
      </w:r>
      <w:r>
        <w:t>if</w:t>
      </w:r>
      <w:r>
        <w:t xml:space="preserve"> </w:t>
      </w:r>
      <w:r>
        <w:t>) and thermodynamic alignment. High‐level multireference calculations confirmed an ultrafast single‐electron transfer mechanism with ultrafast kinetics approaching the diffusion limit. To translate this mechanistic insight into a functional platform, we designed a dual‐functionalization strategy for α‐diketones, wherein one carbonyl acts as a conventional synthon while the other forms a light‐responsive dihydroquinazolinone (DHQZ) radical precursor. This system exhibits broad substrate scope, excellent functional group tolerance, and compatibility with late‐stage functionalization of bioactive scaffolds. Overall, this study establishes a general and mechanistically predictive photocatalytic strategy that transforms Marcus theory from a conceptual foundation into a design principle for efficient, light‐driven C─heteroatom bond construction.</w:t>
      </w:r>
    </w:p>
    <w:p>
      <w:pPr>
        <w:spacing w:before="120" w:after="120"/>
      </w:pPr>
      <w:r>
        <w:rPr>
          <w:sz w:val="18"/>
        </w:rPr>
        <w:t>——————————————————————————————————————————————————————————————————————</w:t>
      </w:r>
    </w:p>
    <w:p>
      <w:pPr>
        <w:spacing w:before="160" w:after="80" w:line="240" w:lineRule="auto"/>
      </w:pPr>
      <w:r>
        <w:rPr>
          <w:b/>
        </w:rPr>
        <w:t xml:space="preserve">[110] </w:t>
      </w:r>
      <w:hyperlink r:id="rId180">
        <w:r>
          <w:rPr>
            <w:color w:val="1155CC"/>
            <w:u w:val="single"/>
          </w:rPr>
          <w:t>2D Assemblies Based on a Tetraphenylethylene D,L‐Cyclic Peptide Scaffold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81">
        <w:r>
          <w:rPr>
            <w:color w:val="1155CC"/>
            <w:u w:val="single"/>
          </w:rPr>
          <w:t>10.1002/anie.202514543</w:t>
        </w:r>
      </w:hyperlink>
    </w:p>
    <w:p>
      <w:pPr>
        <w:spacing w:before="0" w:after="120"/>
      </w:pPr>
      <w:r>
        <w:rPr>
          <w:b/>
        </w:rPr>
        <w:t xml:space="preserve">Notes: </w:t>
      </w:r>
      <w:r>
        <w:t>abstract_source=crossref</w:t>
      </w:r>
    </w:p>
    <w:p>
      <w:pPr>
        <w:spacing w:before="0" w:after="200" w:lineRule="auto" w:line="276"/>
      </w:pPr>
      <w:r>
        <w:rPr>
          <w:b/>
        </w:rPr>
        <w:t xml:space="preserve">Abstract: </w:t>
      </w:r>
      <w:r>
        <w:t>Two dimensional (2D) materials and aggregation‐induced emission (AIE) fluorophores have recently gained attention due to their unique properties and application potential. However, the combination of AIE probes into 2D self‐assembled systems under nanometric control remains elusive due to the sensitivity of supramolecular assemblies to subtle changes in the monomer structure. Herein, we present a new scaffold based on four nanotube‐forming cyclic peptide (CP) units attached to a tetraphenylethene (TPE) core whose pH‐dependent self‐assembly results in light‐emitting 2D nanosheets. An oxime bond connection was exploited to synthesize a discrete library of tetrakis‐(cyclopeptide) tetraphenylethene monomers that self‐assemble into 2D macrotubular nanoarrays under the suitable external stimulus. This new tetrameric CP motif tolerates a broad range of molecular modifications, both on the peptide backbone and TPE core, without compromising the integrity of the 2D self‐assembly. We also discovered that adjusting the molecular structure of the TPE aromatic core enabled precise height control of the supramolecular nanosheets. The alignment of the histidine residues within neighboring CPs allowed the application of 2D nanoarchitectures as enzyme mimics with esterase activity. The excellent tolerance to molecular diversity in both the external CP moiety and the internal aromatic AIE core, invites the design of new functional 2D supramolecular materials.</w:t>
      </w:r>
    </w:p>
    <w:p>
      <w:pPr>
        <w:spacing w:before="120" w:after="120"/>
      </w:pPr>
      <w:r>
        <w:rPr>
          <w:sz w:val="18"/>
        </w:rPr>
        <w:t>——————————————————————————————————————————————————————————————————————</w:t>
      </w:r>
    </w:p>
    <w:p>
      <w:pPr>
        <w:spacing w:before="160" w:after="80" w:line="240" w:lineRule="auto"/>
      </w:pPr>
      <w:r>
        <w:rPr>
          <w:b/>
        </w:rPr>
        <w:t xml:space="preserve">[111] </w:t>
      </w:r>
      <w:hyperlink r:id="rId182">
        <w:r>
          <w:rPr>
            <w:color w:val="1155CC"/>
            <w:u w:val="single"/>
          </w:rPr>
          <w:t>Realization of a Heteroatom‐Transfer‐Ligand (HTL) Platform: Oxy Insertion at a Titanium–Alkyl Bond Facilitated by a Hydroxylaminato Ligand Framework</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83">
        <w:r>
          <w:rPr>
            <w:color w:val="1155CC"/>
            <w:u w:val="single"/>
          </w:rPr>
          <w:t>10.1002/anie.202514536</w:t>
        </w:r>
      </w:hyperlink>
    </w:p>
    <w:p>
      <w:pPr>
        <w:spacing w:before="0" w:after="120"/>
      </w:pPr>
      <w:r>
        <w:rPr>
          <w:b/>
        </w:rPr>
        <w:t xml:space="preserve">Notes: </w:t>
      </w:r>
      <w:r>
        <w:t>abstract_source=crossref</w:t>
      </w:r>
    </w:p>
    <w:p>
      <w:pPr>
        <w:spacing w:before="0" w:after="200" w:lineRule="auto" w:line="276"/>
      </w:pPr>
      <w:r>
        <w:rPr>
          <w:b/>
        </w:rPr>
        <w:t xml:space="preserve">Abstract: </w:t>
      </w:r>
      <w:r>
        <w:t>Selective oxidation of metal‐carbon bonds is arguably one of the most important reactions in modern chemistry. In this work, we report the synthesis and the reactivity of a titanium alkyl complex [(TriNOx)Ti(CH</w:t>
      </w:r>
      <w:r>
        <w:rPr>
          <w:vertAlign w:val="subscript"/>
        </w:rPr>
        <w:t>2</w:t>
      </w:r>
      <w:r>
        <w:t>SiMe</w:t>
      </w:r>
      <w:r>
        <w:rPr>
          <w:vertAlign w:val="subscript"/>
        </w:rPr>
        <w:t>3</w:t>
      </w:r>
      <w:r>
        <w:t>)] (TriNOx</w:t>
      </w:r>
      <w:r>
        <w:t xml:space="preserve"> </w:t>
      </w:r>
      <w:r>
        <w:t>3−</w:t>
      </w:r>
      <w:r>
        <w:t>= [(2‐</w:t>
      </w:r>
      <w:r>
        <w:t xml:space="preserve"> </w:t>
      </w:r>
      <w:r>
        <w:t>t</w:t>
      </w:r>
      <w:r>
        <w:t xml:space="preserve"> </w:t>
      </w:r>
      <w:r>
        <w:t>BuNO)C</w:t>
      </w:r>
      <w:r>
        <w:rPr>
          <w:vertAlign w:val="subscript"/>
        </w:rPr>
        <w:t>6</w:t>
      </w:r>
      <w:r>
        <w:t>H</w:t>
      </w:r>
      <w:r>
        <w:rPr>
          <w:vertAlign w:val="subscript"/>
        </w:rPr>
        <w:t>4</w:t>
      </w:r>
      <w:r>
        <w:t>CH</w:t>
      </w:r>
      <w:r>
        <w:rPr>
          <w:vertAlign w:val="subscript"/>
        </w:rPr>
        <w:t>2</w:t>
      </w:r>
      <w:r>
        <w:t>]</w:t>
      </w:r>
      <w:r>
        <w:rPr>
          <w:vertAlign w:val="subscript"/>
        </w:rPr>
        <w:t>3</w:t>
      </w:r>
      <w:r>
        <w:t>N)</w:t>
      </w:r>
      <w:r>
        <w:t xml:space="preserve"> </w:t>
      </w:r>
      <w:r>
        <w:t>3–</w:t>
      </w:r>
      <w:r>
        <w:t xml:space="preserve"> </w:t>
      </w:r>
      <w:r>
        <w:t>) that was found to undergo an internal rearrangement through an oxy‐insertion into the Ti─C bond facilitated by one of the hydroxylaminato moieties of the supporting TriNOx</w:t>
      </w:r>
      <w:r>
        <w:t xml:space="preserve"> </w:t>
      </w:r>
      <w:r>
        <w:t>3−</w:t>
      </w:r>
      <w:r>
        <w:t>ligand. Experimental and computational studies are in agreement with an organometallic Baeyer–Villiger‐type mechanism. Furthermore, stepwise dealkoxylation, reoxidation, and alkylation of the resulting complex allowed for closing a synthetic cycle and regenerating the initial starting complex. This work demonstrates the unique ability of the TriNOx</w:t>
      </w:r>
      <w:r>
        <w:t xml:space="preserve"> </w:t>
      </w:r>
      <w:r>
        <w:t>3−</w:t>
      </w:r>
      <w:r>
        <w:t>ligand to mediate and manage O‐atoms in the coordination sphere of a titanium cation and delineates a new type of metal‐ligand cooperativity through a</w:t>
      </w:r>
      <w:r>
        <w:t xml:space="preserve"> </w:t>
      </w:r>
      <w:r>
        <w:t>H</w:t>
      </w:r>
      <w:r>
        <w:t xml:space="preserve"> </w:t>
      </w:r>
      <w:r>
        <w:t>eteroatom‐</w:t>
      </w:r>
      <w:r>
        <w:t xml:space="preserve"> </w:t>
      </w:r>
      <w:r>
        <w:t>T</w:t>
      </w:r>
      <w:r>
        <w:t xml:space="preserve"> </w:t>
      </w:r>
      <w:r>
        <w:t>ransfer</w:t>
      </w:r>
      <w:r>
        <w:t xml:space="preserve"> </w:t>
      </w:r>
      <w:r>
        <w:t>L</w:t>
      </w:r>
      <w:r>
        <w:t xml:space="preserve"> </w:t>
      </w:r>
      <w:r>
        <w:t>igand (HTL) platform.</w:t>
      </w:r>
    </w:p>
    <w:p>
      <w:pPr>
        <w:spacing w:before="120" w:after="120"/>
      </w:pPr>
      <w:r>
        <w:rPr>
          <w:sz w:val="18"/>
        </w:rPr>
        <w:t>——————————————————————————————————————————————————————————————————————</w:t>
      </w:r>
    </w:p>
    <w:p>
      <w:pPr>
        <w:spacing w:before="160" w:after="80" w:line="240" w:lineRule="auto"/>
      </w:pPr>
      <w:r>
        <w:rPr>
          <w:b/>
        </w:rPr>
        <w:t xml:space="preserve">[112] </w:t>
      </w:r>
      <w:hyperlink r:id="rId184">
        <w:r>
          <w:rPr>
            <w:color w:val="1155CC"/>
            <w:u w:val="single"/>
          </w:rPr>
          <w:t>An Organic Sacrificial Salt with Low Decomposition Potential Driven by Substituent Effect Enables High‐Performance Lithium‐Ion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85">
        <w:r>
          <w:rPr>
            <w:color w:val="1155CC"/>
            <w:u w:val="single"/>
          </w:rPr>
          <w:t>10.1002/anie.202514520</w:t>
        </w:r>
      </w:hyperlink>
    </w:p>
    <w:p>
      <w:pPr>
        <w:spacing w:before="0" w:after="120"/>
      </w:pPr>
      <w:r>
        <w:rPr>
          <w:b/>
        </w:rPr>
        <w:t xml:space="preserve">Notes: </w:t>
      </w:r>
      <w:r>
        <w:t>abstract_source=crossref</w:t>
      </w:r>
    </w:p>
    <w:p>
      <w:pPr>
        <w:spacing w:before="0" w:after="200" w:lineRule="auto" w:line="276"/>
      </w:pPr>
      <w:r>
        <w:rPr>
          <w:b/>
        </w:rPr>
        <w:t xml:space="preserve">Abstract: </w:t>
      </w:r>
      <w:r>
        <w:t>The irreversible Li</w:t>
      </w:r>
      <w:r>
        <w:t xml:space="preserve"> </w:t>
      </w:r>
      <w:r>
        <w:t>+</w:t>
      </w:r>
      <w:r>
        <w:t xml:space="preserve"> </w:t>
      </w:r>
      <w:r>
        <w:t>loss during solid electrolyte interphase (SEI) formation significantly critically constrains the energy density of lithium‐ion batteries (LIBs). To address this issue, we rationally design lithium</w:t>
      </w:r>
      <w:r>
        <w:t xml:space="preserve"> </w:t>
      </w:r>
      <w:r>
        <w:t>N,N</w:t>
      </w:r>
      <w:r>
        <w:t xml:space="preserve"> </w:t>
      </w:r>
      <w:r>
        <w:t>‐dimethylglycinate (Li‐DMG) as an organic sacrificial salt (OSS) via substituent effect engineering, achieving a low decomposition potential (3.58 V versus Li⁺/Li). Li‐DMG delivers a near‐theoretical capacity (238.2 mAh g</w:t>
      </w:r>
      <w:r>
        <w:t xml:space="preserve"> </w:t>
      </w:r>
      <w:r>
        <w:t>−1</w:t>
      </w:r>
      <w:r>
        <w:t xml:space="preserve"> </w:t>
      </w:r>
      <w:r>
        <w:t>, 96% efficiency) during initial charging. Incorporated into LiFePO</w:t>
      </w:r>
      <w:r>
        <w:rPr>
          <w:vertAlign w:val="subscript"/>
        </w:rPr>
        <w:t>4</w:t>
      </w:r>
      <w:r>
        <w:t>(LFP) cathodes, Li‐DMG/LFP||graphite full cells exhibit 17.3% higher initial discharge capacity (114.4 versus 97.5 mAh g</w:t>
      </w:r>
      <w:r>
        <w:t xml:space="preserve"> </w:t>
      </w:r>
      <w:r>
        <w:t>−1</w:t>
      </w:r>
      <w:r>
        <w:t xml:space="preserve"> </w:t>
      </w:r>
      <w:r>
        <w:t>) and 43.1% enhanced capacity retention after 200 cycles (67.1 versus 46.9 mAh g</w:t>
      </w:r>
      <w:r>
        <w:t xml:space="preserve"> </w:t>
      </w:r>
      <w:r>
        <w:t>−1</w:t>
      </w:r>
      <w:r>
        <w:t xml:space="preserve"> </w:t>
      </w:r>
      <w:r>
        <w:t>) compared to LFP||graphite full cells. Besides, Li‐DMG promotes the formation of SEI layer rich in more inorganic component, e.g., LiF, suppressing the degradation of electrolyte solvents and electrode structures. Furthermore, pouch‐type LIBs containing Li‐DMG demonstrate a prominent enhancement in the specific capacity (114.4 versus 87.1 mAh g</w:t>
      </w:r>
      <w:r>
        <w:t xml:space="preserve"> </w:t>
      </w:r>
      <w:r>
        <w:t>−1</w:t>
      </w:r>
      <w:r>
        <w:t xml:space="preserve"> </w:t>
      </w:r>
      <w:r>
        <w:t>) and cycle stability (59.0 mAh g</w:t>
      </w:r>
      <w:r>
        <w:t xml:space="preserve"> </w:t>
      </w:r>
      <w:r>
        <w:t>−1</w:t>
      </w:r>
      <w:r>
        <w:t xml:space="preserve"> </w:t>
      </w:r>
      <w:r>
        <w:t>after 5000 cycles versus 45.4 mAh g</w:t>
      </w:r>
      <w:r>
        <w:t xml:space="preserve"> </w:t>
      </w:r>
      <w:r>
        <w:t>−1</w:t>
      </w:r>
      <w:r>
        <w:t xml:space="preserve"> </w:t>
      </w:r>
      <w:r>
        <w:t>after 500 cycles). This study provides a promising strategy for improving the energy density and cycle stability of LIBs through the use of OSSs with low decomposition potentials.</w:t>
      </w:r>
    </w:p>
    <w:p>
      <w:pPr>
        <w:spacing w:before="120" w:after="120"/>
      </w:pPr>
      <w:r>
        <w:rPr>
          <w:sz w:val="18"/>
        </w:rPr>
        <w:t>——————————————————————————————————————————————————————————————————————</w:t>
      </w:r>
    </w:p>
    <w:p>
      <w:pPr>
        <w:spacing w:before="160" w:after="80" w:line="240" w:lineRule="auto"/>
      </w:pPr>
      <w:r>
        <w:rPr>
          <w:b/>
        </w:rPr>
        <w:t xml:space="preserve">[113] </w:t>
      </w:r>
      <w:hyperlink r:id="rId186">
        <w:r>
          <w:rPr>
            <w:color w:val="1155CC"/>
            <w:u w:val="single"/>
          </w:rPr>
          <w:t>Electroactive Chelating Groups Enable High‐Performance Aqueous Zinc‐Organic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87">
        <w:r>
          <w:rPr>
            <w:color w:val="1155CC"/>
            <w:u w:val="single"/>
          </w:rPr>
          <w:t>10.1002/anie.202513842</w:t>
        </w:r>
      </w:hyperlink>
    </w:p>
    <w:p>
      <w:pPr>
        <w:spacing w:before="0" w:after="120"/>
      </w:pPr>
      <w:r>
        <w:rPr>
          <w:b/>
        </w:rPr>
        <w:t xml:space="preserve">Notes: </w:t>
      </w:r>
      <w:r>
        <w:t>abstract_source=crossref</w:t>
      </w:r>
    </w:p>
    <w:p>
      <w:pPr>
        <w:spacing w:before="0" w:after="200" w:lineRule="auto" w:line="276"/>
      </w:pPr>
      <w:r>
        <w:rPr>
          <w:b/>
        </w:rPr>
        <w:t xml:space="preserve">Abstract: </w:t>
      </w:r>
      <w:r>
        <w:t>P‐type organic electrode materials, characterized by fast kinetics and high redox potential, hold great promise for aqueous zinc‐ion batteries (ZIBs), but suffer from low capacity and limited cycling stability in practical applications. Herein, we demonstrate that the introduction of electroactive chelating groups can significantly improve both the capacity and cycling stability of p‐type triphenylamine derivative‐based electrodes. The electroactive chelating groups promote a higher proportion of electroactive sites within the cathode material. The combined in/ex situ spectroscopic analysis and theoretical investigations show that electroactive chelating groups facilitate the formation of stable zinc‐supramolecular network, which effectively mitigates the dissolution of electrode materials and the decomposition of the aqueous electrolyte during cycling. The as‐synthesized poly(1,4‐naphthoquinone‐1,3,5‐tri(4‐aminophenyl)benzene) exhibits a high reversible capacity of 311 mAh g</w:t>
      </w:r>
      <w:r>
        <w:t xml:space="preserve"> </w:t>
      </w:r>
      <w:r>
        <w:t>−1</w:t>
      </w:r>
      <w:r>
        <w:t xml:space="preserve"> </w:t>
      </w:r>
      <w:r>
        <w:t>at 50 mA g</w:t>
      </w:r>
      <w:r>
        <w:t xml:space="preserve"> </w:t>
      </w:r>
      <w:r>
        <w:t>−1</w:t>
      </w:r>
      <w:r>
        <w:t xml:space="preserve"> </w:t>
      </w:r>
      <w:r>
        <w:t>and superior rate performance (199 mAh g</w:t>
      </w:r>
      <w:r>
        <w:t xml:space="preserve"> </w:t>
      </w:r>
      <w:r>
        <w:t>−1</w:t>
      </w:r>
      <w:r>
        <w:t xml:space="preserve"> </w:t>
      </w:r>
      <w:r>
        <w:t>at 10 A g</w:t>
      </w:r>
      <w:r>
        <w:t xml:space="preserve"> </w:t>
      </w:r>
      <w:r>
        <w:t>−1</w:t>
      </w:r>
      <w:r>
        <w:t xml:space="preserve"> </w:t>
      </w:r>
      <w:r>
        <w:t>) in aqueous electrolyte. Moreover, it demonstrates excellent stability, retaining 83% to 96% of its capacity over 5000 cycles in various aqueous electrolytes, representing a new record for p‐type and bipolar‐type organic electrode materials. This work provides valuable insights into the design of organic electrode materials for high‐performance ZIBs.</w:t>
      </w:r>
    </w:p>
    <w:p>
      <w:pPr>
        <w:spacing w:before="120" w:after="120"/>
      </w:pPr>
      <w:r>
        <w:rPr>
          <w:sz w:val="18"/>
        </w:rPr>
        <w:t>——————————————————————————————————————————————————————————————————————</w:t>
      </w:r>
    </w:p>
    <w:p>
      <w:pPr>
        <w:spacing w:before="160" w:after="80" w:line="240" w:lineRule="auto"/>
      </w:pPr>
      <w:r>
        <w:rPr>
          <w:b/>
        </w:rPr>
        <w:t xml:space="preserve">[114] </w:t>
      </w:r>
      <w:hyperlink r:id="rId188">
        <w:r>
          <w:rPr>
            <w:color w:val="1155CC"/>
            <w:u w:val="single"/>
          </w:rPr>
          <w:t>Pollutants Transformation During the Regeneration Process of Fluid Catalytic Cracking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89">
        <w:r>
          <w:rPr>
            <w:color w:val="1155CC"/>
            <w:u w:val="single"/>
          </w:rPr>
          <w:t>10.1002/anie.202513628</w:t>
        </w:r>
      </w:hyperlink>
    </w:p>
    <w:p>
      <w:pPr>
        <w:spacing w:before="0" w:after="120"/>
      </w:pPr>
      <w:r>
        <w:rPr>
          <w:b/>
        </w:rPr>
        <w:t xml:space="preserve">Notes: </w:t>
      </w:r>
      <w:r>
        <w:t>abstract_source=crossref</w:t>
      </w:r>
    </w:p>
    <w:p>
      <w:pPr>
        <w:spacing w:before="0" w:after="200" w:lineRule="auto" w:line="276"/>
      </w:pPr>
      <w:r>
        <w:rPr>
          <w:b/>
        </w:rPr>
        <w:t xml:space="preserve">Abstract: </w:t>
      </w:r>
      <w:r>
        <w:t>Fluid catalytic cracking (FCC) is the major process for heavy oil conversion in current refineries and is explored for the intake of renewable feedstocks, like biomass and plastic waste. Due to coke deposition, FCC catalysts undergo continuous reaction‐regeneration cycles. However, many gas pollutants are generated in the FCC regeneration process, and their emission characteristics and formation mechanisms are poorly understood. Here, we conducted stack tests of three industrial FCC units to monitor pollutant emissions. The spent catalysts were characterized to identify the carbon deposits formed. We developed a method to correlate the decomposition of carbon deposits and the formation of gas pollutants in regeneration experiments using in situ Raman spectroscopy,</w:t>
      </w:r>
      <w:r>
        <w:t xml:space="preserve"> </w:t>
      </w:r>
      <w:r>
        <w:t>operando</w:t>
      </w:r>
      <w:r>
        <w:t xml:space="preserve"> </w:t>
      </w:r>
      <w:r>
        <w:t>FT‐IR spectroscopy, and online gas‐phase FT‐IR spectroscopy. The evolution of coke species is significantly influenced by the oxygen content of the regeneration gas, leading to differences in emission concentration and formation temperature of various gas pollutants. The experimental results are compared with density functional theory (DFT) calculations to explain the formation of the major gas pollutants. This work is expected to advance pollutant emission prediction and control in FCC regeneration, thereby laying the foundation of future work in which different fossil‐based and renewable feedstock compositions can be compared, including their effect on gas pollutant formation.</w:t>
      </w:r>
    </w:p>
    <w:p>
      <w:pPr>
        <w:spacing w:before="120" w:after="120"/>
      </w:pPr>
      <w:r>
        <w:rPr>
          <w:sz w:val="18"/>
        </w:rPr>
        <w:t>——————————————————————————————————————————————————————————————————————</w:t>
      </w:r>
    </w:p>
    <w:p>
      <w:pPr>
        <w:spacing w:before="160" w:after="80" w:line="240" w:lineRule="auto"/>
      </w:pPr>
      <w:r>
        <w:rPr>
          <w:b/>
        </w:rPr>
        <w:t xml:space="preserve">[115] </w:t>
      </w:r>
      <w:hyperlink r:id="rId190">
        <w:r>
          <w:rPr>
            <w:color w:val="1155CC"/>
            <w:u w:val="single"/>
          </w:rPr>
          <w:t>Integrating the Substituent Effect into the Wade–Mingos Rules for Dicarboranes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91">
        <w:r>
          <w:rPr>
            <w:color w:val="1155CC"/>
            <w:u w:val="single"/>
          </w:rPr>
          <w:t>10.1002/anie.202513394</w:t>
        </w:r>
      </w:hyperlink>
    </w:p>
    <w:p>
      <w:pPr>
        <w:spacing w:before="0" w:after="120"/>
      </w:pPr>
      <w:r>
        <w:rPr>
          <w:b/>
        </w:rPr>
        <w:t xml:space="preserve">Notes: </w:t>
      </w:r>
      <w:r>
        <w:t>abstract_source=crossref</w:t>
      </w:r>
    </w:p>
    <w:p>
      <w:pPr>
        <w:spacing w:before="0" w:after="200" w:lineRule="auto" w:line="276"/>
      </w:pPr>
      <w:r>
        <w:rPr>
          <w:b/>
        </w:rPr>
        <w:t xml:space="preserve">Abstract: </w:t>
      </w:r>
      <w:r>
        <w:t>This work revisits the Wade–Mingos (W–M) rules in carborane chemistry by showing that substituent effects, rather than skeletal electron pairs alone, determine ground‐state architectures. We performed high‐throughput computational analysis of 74613 six‐vertex dicarboranes (C</w:t>
      </w:r>
      <w:r>
        <w:rPr>
          <w:vertAlign w:val="subscript"/>
        </w:rPr>
        <w:t>2</w:t>
      </w:r>
      <w:r>
        <w:t>B</w:t>
      </w:r>
      <w:r>
        <w:rPr>
          <w:vertAlign w:val="subscript"/>
        </w:rPr>
        <w:t>4</w:t>
      </w:r>
      <w:r>
        <w:t>R</w:t>
      </w:r>
      <w:r>
        <w:rPr>
          <w:vertAlign w:val="subscript"/>
        </w:rPr>
        <w:t>6</w:t>
      </w:r>
      <w:r>
        <w:t>), using the newly proposed Seed and Mortise‐Tenon model, achieving a prediction accuracy of 92.8%. Through this analysis, we derived a simple substituent‐counting rule (</w:t>
      </w:r>
      <w:r>
        <w:t xml:space="preserve"> </w:t>
      </w:r>
      <w:r>
        <w:t>P</w:t>
      </w:r>
      <w:r>
        <w:t xml:space="preserve"> </w:t>
      </w:r>
      <w:r>
        <w:t>=</w:t>
      </w:r>
      <w:r>
        <w:t xml:space="preserve"> </w:t>
      </w:r>
      <w:r>
        <w:t>n</w:t>
      </w:r>
      <w:r>
        <w:t xml:space="preserve"> </w:t>
      </w:r>
      <w:r>
        <w:t>M</w:t>
      </w:r>
      <w:r>
        <w:t xml:space="preserve"> </w:t>
      </w:r>
      <w:r>
        <w:t>+ 1.1</w:t>
      </w:r>
      <w:r>
        <w:t xml:space="preserve"> </w:t>
      </w:r>
      <w:r>
        <w:t>n</w:t>
      </w:r>
      <w:r>
        <w:t xml:space="preserve"> </w:t>
      </w:r>
      <w:r>
        <w:t>H</w:t>
      </w:r>
      <w:r>
        <w:t xml:space="preserve"> </w:t>
      </w:r>
      <w:r>
        <w:t>) that incorporates substituent electronegativity via connected‐atom electronegativity (CAEN) to predict energetic stability. According to this rule, the previously underestimated trigonal‐bipyramidal isomer emerges as the global ground state in 89.1% of the cases, whereas the W–M‐predicted octahedral form accounts for only 9.1%. This inversion can be explained by electronic stabilization involving vacant orbitals of tricoordinate boron atoms. To rationalize these trends, we classified the studied carboranes into 28 domains defined by CAEN environments. Our analysis shows that substituent effects control the electronic balance between basic and acidic subfragments, a factor neglected in classical frameworks. The W–M rules fail in 27 of the 28 domains, remaining valid only for L‐CAEN substituents (</w:t>
      </w:r>
      <w:r>
        <w:t xml:space="preserve"> </w:t>
      </w:r>
      <w:r>
        <w:t>P</w:t>
      </w:r>
      <w:r>
        <w:t xml:space="preserve"> </w:t>
      </w:r>
      <w:r>
        <w:t>= 0). Collectively, these results establish a substituent‐guided design framework and showcase how data‐driven approaches can refine bonding rules in cluster chemistry.</w:t>
      </w:r>
    </w:p>
    <w:p>
      <w:pPr>
        <w:spacing w:before="120" w:after="120"/>
      </w:pPr>
      <w:r>
        <w:rPr>
          <w:sz w:val="18"/>
        </w:rPr>
        <w:t>——————————————————————————————————————————————————————————————————————</w:t>
      </w:r>
    </w:p>
    <w:p>
      <w:pPr>
        <w:spacing w:before="160" w:after="80" w:line="240" w:lineRule="auto"/>
      </w:pPr>
      <w:r>
        <w:rPr>
          <w:b/>
        </w:rPr>
        <w:t xml:space="preserve">[116] </w:t>
      </w:r>
      <w:hyperlink r:id="rId192">
        <w:r>
          <w:rPr>
            <w:color w:val="1155CC"/>
            <w:u w:val="single"/>
          </w:rPr>
          <w:t>Heteromultivalent Nanogels as Highly Potent Inhibitors of Pseudomonas Aeruginosa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93">
        <w:r>
          <w:rPr>
            <w:color w:val="1155CC"/>
            <w:u w:val="single"/>
          </w:rPr>
          <w:t>10.1002/anie.202513121</w:t>
        </w:r>
      </w:hyperlink>
    </w:p>
    <w:p>
      <w:pPr>
        <w:spacing w:before="0" w:after="120"/>
      </w:pPr>
      <w:r>
        <w:rPr>
          <w:b/>
        </w:rPr>
        <w:t xml:space="preserve">Notes: </w:t>
      </w:r>
      <w:r>
        <w:t>abstract_source=crossref</w:t>
      </w:r>
    </w:p>
    <w:p>
      <w:pPr>
        <w:spacing w:before="0" w:after="200" w:lineRule="auto" w:line="276"/>
      </w:pPr>
      <w:r>
        <w:rPr>
          <w:b/>
        </w:rPr>
        <w:t xml:space="preserve">Abstract: </w:t>
      </w:r>
      <w:r>
        <w:t>The increasing prevalence of microbial resistance requires new antibacterial concepts for selective targeting and killing of pathogenic bacteria. Here, we report the synthesis of a heteromultivalent nanogel system against</w:t>
      </w:r>
      <w:r>
        <w:t xml:space="preserve"> </w:t>
      </w:r>
      <w:r>
        <w:t>Pseudomonas aeruginosa</w:t>
      </w:r>
      <w:r>
        <w:t xml:space="preserve"> </w:t>
      </w:r>
      <w:r>
        <w:t>(</w:t>
      </w:r>
      <w:r>
        <w:t xml:space="preserve"> </w:t>
      </w:r>
      <w:r>
        <w:t>P. aeruginosa</w:t>
      </w:r>
      <w:r>
        <w:t xml:space="preserve"> </w:t>
      </w:r>
      <w:r>
        <w:t>). These nanogels are based on biocompatible polyglycerols and functionalized with sugar ligands fucose (Fuc) or galactose (Gal) for</w:t>
      </w:r>
      <w:r>
        <w:t xml:space="preserve"> </w:t>
      </w:r>
      <w:r>
        <w:t>P. aeruginosa</w:t>
      </w:r>
      <w:r>
        <w:t xml:space="preserve"> </w:t>
      </w:r>
      <w:r>
        <w:t>targeting. With a further modification of these nanogels with BMAP‐18 short chain peptides (GRFKRFRKKFKKLFKKLS), we have achieved &amp;gt; 99.99% inactivation of planktonic and &amp;gt; 99.9% inactivation of biofilm‐coated</w:t>
      </w:r>
      <w:r>
        <w:t xml:space="preserve"> </w:t>
      </w:r>
      <w:r>
        <w:t>P. aeruginosa</w:t>
      </w:r>
      <w:r>
        <w:t xml:space="preserve"> </w:t>
      </w:r>
      <w:r>
        <w:t>within 12 h of treatment. Additionally, the system demonstrates broad‐spectrum antimicrobial potential, effectively inhibiting</w:t>
      </w:r>
      <w:r>
        <w:t xml:space="preserve"> </w:t>
      </w:r>
      <w:r>
        <w:t>Escherichia coli</w:t>
      </w:r>
      <w:r>
        <w:t xml:space="preserve"> </w:t>
      </w:r>
      <w:r>
        <w:t>(</w:t>
      </w:r>
      <w:r>
        <w:t xml:space="preserve"> </w:t>
      </w:r>
      <w:r>
        <w:t>E. coli</w:t>
      </w:r>
      <w:r>
        <w:t xml:space="preserve"> </w:t>
      </w:r>
      <w:r>
        <w:t>) and Methicillin‐resistant</w:t>
      </w:r>
      <w:r>
        <w:t xml:space="preserve"> </w:t>
      </w:r>
      <w:r>
        <w:t>Staphylococcus aureus</w:t>
      </w:r>
      <w:r>
        <w:t xml:space="preserve"> </w:t>
      </w:r>
      <w:r>
        <w:t>(MRSA). This modular design offers a promising strategy for the development of next‐generation antimicrobial therapies targeting biofilm‐associated infections and MDR bacteria.</w:t>
      </w:r>
    </w:p>
    <w:p>
      <w:pPr>
        <w:spacing w:before="120" w:after="120"/>
      </w:pPr>
      <w:r>
        <w:rPr>
          <w:sz w:val="18"/>
        </w:rPr>
        <w:t>——————————————————————————————————————————————————————————————————————</w:t>
      </w:r>
    </w:p>
    <w:p>
      <w:pPr>
        <w:spacing w:before="160" w:after="80" w:line="240" w:lineRule="auto"/>
      </w:pPr>
      <w:r>
        <w:rPr>
          <w:b/>
        </w:rPr>
        <w:t xml:space="preserve">[117] </w:t>
      </w:r>
      <w:hyperlink r:id="rId194">
        <w:r>
          <w:rPr>
            <w:color w:val="1155CC"/>
            <w:u w:val="single"/>
          </w:rPr>
          <w:t>Flipping of a Non‐productive Substrate Binding Conformation Facilitates Hydroxynitrile Lyase Catalyzed Hydrocyanation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95">
        <w:r>
          <w:rPr>
            <w:color w:val="1155CC"/>
            <w:u w:val="single"/>
          </w:rPr>
          <w:t>10.1002/anie.202515778</w:t>
        </w:r>
      </w:hyperlink>
    </w:p>
    <w:p>
      <w:pPr>
        <w:spacing w:before="0" w:after="120"/>
      </w:pPr>
      <w:r>
        <w:rPr>
          <w:b/>
        </w:rPr>
        <w:t xml:space="preserve">Notes: </w:t>
      </w:r>
      <w:r>
        <w:t>abstract_source=crossref</w:t>
      </w:r>
    </w:p>
    <w:p>
      <w:pPr>
        <w:spacing w:before="0" w:after="200" w:lineRule="auto" w:line="276"/>
      </w:pPr>
      <w:r>
        <w:rPr>
          <w:b/>
        </w:rPr>
        <w:t xml:space="preserve">Abstract: </w:t>
      </w:r>
      <w:r>
        <w:t>Understanding enzyme–substrate conformational transformations is crucial to the design and engineering of biocatalysts. However, the mechanisms by which substrates undergo dynamic transformations that regulate the function of an enzyme remain poorly understood. Hydroxynitrile lyase from</w:t>
      </w:r>
      <w:r>
        <w:t xml:space="preserve"> </w:t>
      </w:r>
      <w:r>
        <w:t>Prunus communis</w:t>
      </w:r>
      <w:r>
        <w:t xml:space="preserve"> </w:t>
      </w:r>
      <w:r>
        <w:t>(</w:t>
      </w:r>
      <w:r>
        <w:t xml:space="preserve"> </w:t>
      </w:r>
      <w:r>
        <w:t>Pc</w:t>
      </w:r>
      <w:r>
        <w:t xml:space="preserve"> </w:t>
      </w:r>
      <w:r>
        <w:t>HNL5) catalyzes the cleavage of cyanohydrins. Its reverse reaction holds significant synthetic potential for the preparation of pharmaceutical precursors. Using a combination of crystallography and computational experiments, a novel flipped substrate binding state is identified within the substrate tunnel of the</w:t>
      </w:r>
      <w:r>
        <w:t xml:space="preserve"> </w:t>
      </w:r>
      <w:r>
        <w:t>Pc</w:t>
      </w:r>
      <w:r>
        <w:t xml:space="preserve"> </w:t>
      </w:r>
      <w:r>
        <w:t>HNL5</w:t>
      </w:r>
      <w:r>
        <w:t xml:space="preserve"> </w:t>
      </w:r>
      <w:r>
        <w:t>L331A</w:t>
      </w:r>
      <w:r>
        <w:t xml:space="preserve"> </w:t>
      </w:r>
      <w:r>
        <w:t>mutant. This binding state is non‐productive and undergoes a conformational change before the catalytic cycle can proceed. Site‐saturation mutagenesis led to the discovery of a triple mutant,</w:t>
      </w:r>
      <w:r>
        <w:t xml:space="preserve"> </w:t>
      </w:r>
      <w:r>
        <w:t>Pc</w:t>
      </w:r>
      <w:r>
        <w:t xml:space="preserve"> </w:t>
      </w:r>
      <w:r>
        <w:t>HNL5</w:t>
      </w:r>
      <w:r>
        <w:t xml:space="preserve"> </w:t>
      </w:r>
      <w:r>
        <w:t>L331A/S333V/P340L</w:t>
      </w:r>
      <w:r>
        <w:t xml:space="preserve"> </w:t>
      </w:r>
      <w:r>
        <w:t>, that destabilizes the non‐productive substrate binding state thereby facilitating its transition to the catalytically productive conformation and significantly enhancing catalytic efficiency. Crystallographic studies provide a structural description of the factors that stabilize versus destabilize the different binding conformers in the different enzyme variants and thus the differing catalytic efficiencies. These findings demonstrate that destabilizing unfavorable substrate binding conformations within an enzyme active site can improve functionality and provide a promising strategy for designing efficient biocatalysts.</w:t>
      </w:r>
    </w:p>
    <w:p>
      <w:pPr>
        <w:spacing w:before="120" w:after="120"/>
      </w:pPr>
      <w:r>
        <w:rPr>
          <w:sz w:val="18"/>
        </w:rPr>
        <w:t>——————————————————————————————————————————————————————————————————————</w:t>
      </w:r>
    </w:p>
    <w:p>
      <w:pPr>
        <w:spacing w:before="160" w:after="80" w:line="240" w:lineRule="auto"/>
      </w:pPr>
      <w:r>
        <w:rPr>
          <w:b/>
        </w:rPr>
        <w:t xml:space="preserve">[118] </w:t>
      </w:r>
      <w:hyperlink r:id="rId196">
        <w:r>
          <w:rPr>
            <w:color w:val="1155CC"/>
            <w:u w:val="single"/>
          </w:rPr>
          <w:t>Fluorescence Visualization of Helix Inversion in Biomimic Polymeric Foldamer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97">
        <w:r>
          <w:rPr>
            <w:color w:val="1155CC"/>
            <w:u w:val="single"/>
          </w:rPr>
          <w:t>10.1002/anie.202512834</w:t>
        </w:r>
      </w:hyperlink>
    </w:p>
    <w:p>
      <w:pPr>
        <w:spacing w:before="0" w:after="120"/>
      </w:pPr>
      <w:r>
        <w:rPr>
          <w:b/>
        </w:rPr>
        <w:t xml:space="preserve">Notes: </w:t>
      </w:r>
      <w:r>
        <w:t>abstract_source=crossref</w:t>
      </w:r>
    </w:p>
    <w:p>
      <w:pPr>
        <w:spacing w:before="0" w:after="200" w:lineRule="auto" w:line="276"/>
      </w:pPr>
      <w:r>
        <w:rPr>
          <w:b/>
        </w:rPr>
        <w:t xml:space="preserve">Abstract: </w:t>
      </w:r>
      <w:r>
        <w:t>Biomacromolecules such as DNA, proteins, and polysaccharides possess unique helical structures that are closely related to their biological functions involving recognition, catalysis, replication, and genetic information storage. From a biomimetic perspective, artificial foldamers are the ideal systems to model and study the structure–property relationship of biomacromolecules. Herein, we report a facile, rapid, and cost‐effective method to directly visualize and monitor the solvent‐driven helix inversion in a water‐soluble poly(</w:t>
      </w:r>
      <w:r>
        <w:t xml:space="preserve"> </w:t>
      </w:r>
      <w:r>
        <w:t>m</w:t>
      </w:r>
      <w:r>
        <w:t xml:space="preserve"> </w:t>
      </w:r>
      <w:r>
        <w:t>‐phenylene ethynylene)‐based foldamer with the aid of a tetraphenylethene‐functionalized hemicyanine dye. By adjusting the solvent environment, the foldamer transitions from an</w:t>
      </w:r>
      <w:r>
        <w:t xml:space="preserve"> </w:t>
      </w:r>
      <w:r>
        <w:t>M</w:t>
      </w:r>
      <w:r>
        <w:t xml:space="preserve"> </w:t>
      </w:r>
      <w:r>
        <w:t>‐helix to a</w:t>
      </w:r>
      <w:r>
        <w:t xml:space="preserve"> </w:t>
      </w:r>
      <w:r>
        <w:t>P</w:t>
      </w:r>
      <w:r>
        <w:t xml:space="preserve"> </w:t>
      </w:r>
      <w:r>
        <w:t>‐helix, accompanied by a change in the dye's binding mode from groove to surface. This transition alters the degree of restriction and microenvironment polarity, resulting in a visible emission color change from yellow to red, signaling the helix inversion. The present investigation offers a powerful tool for understanding conformational transitions in biomacromolecules and offers insights into the dynamic behavior of helical structures.</w:t>
      </w:r>
    </w:p>
    <w:p>
      <w:pPr>
        <w:spacing w:before="120" w:after="120"/>
      </w:pPr>
      <w:r>
        <w:rPr>
          <w:sz w:val="18"/>
        </w:rPr>
        <w:t>——————————————————————————————————————————————————————————————————————</w:t>
      </w:r>
    </w:p>
    <w:p>
      <w:pPr>
        <w:spacing w:before="160" w:after="80" w:line="240" w:lineRule="auto"/>
      </w:pPr>
      <w:r>
        <w:rPr>
          <w:b/>
        </w:rPr>
        <w:t xml:space="preserve">[119] </w:t>
      </w:r>
      <w:hyperlink r:id="rId198">
        <w:r>
          <w:rPr>
            <w:color w:val="1155CC"/>
            <w:u w:val="single"/>
          </w:rPr>
          <w:t>Dynamic Bridging Ligand‐Induced Regulated Coordination Chemistry for Highly Reversible Zn‐Metal Anodes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199">
        <w:r>
          <w:rPr>
            <w:color w:val="1155CC"/>
            <w:u w:val="single"/>
          </w:rPr>
          <w:t>10.1002/anie.202512515</w:t>
        </w:r>
      </w:hyperlink>
    </w:p>
    <w:p>
      <w:pPr>
        <w:spacing w:before="0" w:after="120"/>
      </w:pPr>
      <w:r>
        <w:rPr>
          <w:b/>
        </w:rPr>
        <w:t xml:space="preserve">Notes: </w:t>
      </w:r>
      <w:r>
        <w:t>abstract_source=crossref</w:t>
      </w:r>
    </w:p>
    <w:p>
      <w:pPr>
        <w:spacing w:before="0" w:after="200" w:lineRule="auto" w:line="276"/>
      </w:pPr>
      <w:r>
        <w:rPr>
          <w:b/>
        </w:rPr>
        <w:t xml:space="preserve">Abstract: </w:t>
      </w:r>
      <w:r>
        <w:t>The lifespan of aqueous Zn‐ion batteries (AZIBs) is significantly affected by the Zn anode interfacial hydrogen evolution and uncontrolled dendrite growth. Although the development of versatile organic molecule additives presents a promising solution to mitigate these issues, the limited coordinated capability and uncontrolled electrochemical consumption during cycling remain challenging. Herein, a molecular dynamic bridging strategy is proposed by incorporating tris(2‐pyridylmethyl)amine (TPA) into the electrolyte, enabling a highly reversible Zn anode. The TPA additive, featuring four‐nitrogen‐atom coordinated sites, acts as a molecular bridge that dynamically strengthens coordination with Zn</w:t>
      </w:r>
      <w:r>
        <w:t xml:space="preserve"> </w:t>
      </w:r>
      <w:r>
        <w:t>2+</w:t>
      </w:r>
      <w:r>
        <w:t xml:space="preserve"> </w:t>
      </w:r>
      <w:r>
        <w:t>and concurrently attracts more OTf</w:t>
      </w:r>
      <w:r>
        <w:t xml:space="preserve"> </w:t>
      </w:r>
      <w:r>
        <w:t>−</w:t>
      </w:r>
      <w:r>
        <w:t>within the interface. This TPA‐regulated interfacial modulation promotes Zn</w:t>
      </w:r>
      <w:r>
        <w:t xml:space="preserve"> </w:t>
      </w:r>
      <w:r>
        <w:t>2+</w:t>
      </w:r>
      <w:r>
        <w:t xml:space="preserve"> </w:t>
      </w:r>
      <w:r>
        <w:t>transport and subsequent OTf</w:t>
      </w:r>
      <w:r>
        <w:t xml:space="preserve"> </w:t>
      </w:r>
      <w:r>
        <w:t>−</w:t>
      </w:r>
      <w:r>
        <w:t>decomposition, forming a robust and inorganic‐rich solid electrolyte interphase, thereby significantly reducing side reactions and facilitating reversible Zn deposition. Consequently, the Zn anode with TPA electrolyte demonstrates an extended lifespan of over 4000 h in the symmetric cells and an impressive 99.84% Coulombic efficiency. Furthermore, Zn||PANI full cell runs over 4000 cycles with 81.9% capacity retention at 3 A g</w:t>
      </w:r>
      <w:r>
        <w:t xml:space="preserve"> </w:t>
      </w:r>
      <w:r>
        <w:t>−1</w:t>
      </w:r>
      <w:r>
        <w:t xml:space="preserve"> </w:t>
      </w:r>
      <w:r>
        <w:t>. This work highlights the potential of a multi‐coordination molecular dynamic bridging strategy to innovatively guide the design of advanced high‐performance electrolyte additives for AZIBs.</w:t>
      </w:r>
    </w:p>
    <w:p>
      <w:pPr>
        <w:spacing w:before="120" w:after="120"/>
      </w:pPr>
      <w:r>
        <w:rPr>
          <w:sz w:val="18"/>
        </w:rPr>
        <w:t>——————————————————————————————————————————————————————————————————————</w:t>
      </w:r>
    </w:p>
    <w:p>
      <w:pPr>
        <w:spacing w:before="160" w:after="80" w:line="240" w:lineRule="auto"/>
      </w:pPr>
      <w:r>
        <w:rPr>
          <w:b/>
        </w:rPr>
        <w:t xml:space="preserve">[120] </w:t>
      </w:r>
      <w:hyperlink r:id="rId200">
        <w:r>
          <w:rPr>
            <w:color w:val="1155CC"/>
            <w:u w:val="single"/>
          </w:rPr>
          <w:t>Emergent Chemical Reactivity and Complexity of RNA Condensates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01">
        <w:r>
          <w:rPr>
            <w:color w:val="1155CC"/>
            <w:u w:val="single"/>
          </w:rPr>
          <w:t>10.1002/anie.202511332</w:t>
        </w:r>
      </w:hyperlink>
    </w:p>
    <w:p>
      <w:pPr>
        <w:spacing w:before="0" w:after="120"/>
      </w:pPr>
      <w:r>
        <w:rPr>
          <w:b/>
        </w:rPr>
        <w:t xml:space="preserve">Notes: </w:t>
      </w:r>
      <w:r>
        <w:t>abstract_source=crossref</w:t>
      </w:r>
    </w:p>
    <w:p>
      <w:pPr>
        <w:spacing w:before="0" w:after="200" w:lineRule="auto" w:line="276"/>
      </w:pPr>
      <w:r>
        <w:rPr>
          <w:b/>
        </w:rPr>
        <w:t xml:space="preserve">Abstract: </w:t>
      </w:r>
      <w:r>
        <w:t>The RNA world hypothesis posits the existence of life‐like assemblies that consisted mostly of RNA. However, questions remain regarding the emergence of RNA catalysis, stability, reactant availability, and compartmentalization of genetic material. At acidic pH, short RNAs (average  20 nt) readily phase‐separate into a condensed phase enriched with long RNA. These RNA condensates stably compartmentalize RNA as well as DNA and maintain stable identities even in the absence of membranes. Additionally, the RNA condensates concentrate ions, small molecules, phospholipids, peptides, ribozymes, and proteins. Beyond enriching such diverse components, RNA condensates function as microreactors with two catalytic capabilities: they physically enhance reaction rates by concentrating reactants within a confined space and simultaneously act as inherent catalysts that directly facilitate chemical transformations. RNA condensates can also support ribozyme and enzymatic activity. Together, these findings suggest that RNA phase separation may have played a crucial role in life's origins by providing compartmentalization, inherent catalytic activity, and molecular enrichment of long, potentially catalytic biopolymers.</w:t>
      </w:r>
    </w:p>
    <w:p>
      <w:pPr>
        <w:spacing w:before="120" w:after="120"/>
      </w:pPr>
      <w:r>
        <w:rPr>
          <w:sz w:val="18"/>
        </w:rPr>
        <w:t>——————————————————————————————————————————————————————————————————————</w:t>
      </w:r>
    </w:p>
    <w:p>
      <w:pPr>
        <w:spacing w:before="160" w:after="80" w:line="240" w:lineRule="auto"/>
      </w:pPr>
      <w:r>
        <w:rPr>
          <w:b/>
        </w:rPr>
        <w:t xml:space="preserve">[121] </w:t>
      </w:r>
      <w:hyperlink r:id="rId202">
        <w:r>
          <w:rPr>
            <w:color w:val="1155CC"/>
            <w:u w:val="single"/>
          </w:rPr>
          <w:t>Sparingly Solvating Electrolyte with Hofmeister Selectivity for Practical Long‐Lived Li–Se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03">
        <w:r>
          <w:rPr>
            <w:color w:val="1155CC"/>
            <w:u w:val="single"/>
          </w:rPr>
          <w:t>10.1002/anie.202511223</w:t>
        </w:r>
      </w:hyperlink>
    </w:p>
    <w:p>
      <w:pPr>
        <w:spacing w:before="0" w:after="120"/>
      </w:pPr>
      <w:r>
        <w:rPr>
          <w:b/>
        </w:rPr>
        <w:t xml:space="preserve">Notes: </w:t>
      </w:r>
      <w:r>
        <w:t>abstract_source=crossref</w:t>
      </w:r>
    </w:p>
    <w:p>
      <w:pPr>
        <w:spacing w:before="0" w:after="200" w:lineRule="auto" w:line="276"/>
      </w:pPr>
      <w:r>
        <w:rPr>
          <w:b/>
        </w:rPr>
        <w:t xml:space="preserve">Abstract: </w:t>
      </w:r>
      <w:r>
        <w:t>The excessive solvation of lithium polyselenides (LiPSe), which are highly nucleophilic, in organic electrolytes is one of the most critical challenges hindering the practical applications of lithium‒selenium (Li‒Se) batteries. Conventional electrolytes fail to simultaneously ensure the chemical stability with LiPSe, suppress its dissolution, and maintain compatibility with the lithium‐metal anode. To address the above challenges, we report a rationally designed sulfonamide‐based electrolyte with sparingly solvating characteristics, utilizing lithium bis(pentafluoroethylsulfonyl)‐ imide (LiBETI) as the lithium salt. An anion‐specific effect analogous to the classical Hofmeister series was identified, in which bulkier and more chaotropic anions suppress the solvation and dissolution of LiPSe. Leveraging this principle, the LiBETI‒sulfonamide electrolyte enables stable cycling of selenium cathodes, delivering a high capacity of ‌∼656.7 mAh g</w:t>
      </w:r>
      <w:r>
        <w:t xml:space="preserve"> </w:t>
      </w:r>
      <w:r>
        <w:t>−1</w:t>
      </w:r>
      <w:r>
        <w:t xml:space="preserve"> </w:t>
      </w:r>
      <w:r>
        <w:t>and an average Coulombic efficiency of ∼99.5%‌ over 200 cycles, along with facilitated kinetics and rate performance. In contrast to conventional carbonate‐ and ether‐based electrolytes, the sulfonamide‐based electrolyte not only effectively suppresses LiPSe dissolution but also supports highly reversible Li‐metal anodes. Benefiting both electrodes, our sulfonamide‐based electrolyte enables Li‒Se batteries with high cathode loading (6.9 mg cm</w:t>
      </w:r>
      <w:r>
        <w:t xml:space="preserve"> </w:t>
      </w:r>
      <w:r>
        <w:t>−2</w:t>
      </w:r>
      <w:r>
        <w:t xml:space="preserve"> </w:t>
      </w:r>
      <w:r>
        <w:t>and lean electrolyte (∼2.9 µL mg</w:t>
      </w:r>
      <w:r>
        <w:t xml:space="preserve"> </w:t>
      </w:r>
      <w:r>
        <w:t>−1</w:t>
      </w:r>
      <w:r>
        <w:t xml:space="preserve"> </w:t>
      </w:r>
      <w:r>
        <w:t>), retaining 89.9% of its initial capacity after 100 cycles. The work highlights the importance of electrolyte design—particularly anion‐specific effect in achieving long‐lived practical Li–Se batteries.</w:t>
      </w:r>
    </w:p>
    <w:p>
      <w:pPr>
        <w:spacing w:before="120" w:after="120"/>
      </w:pPr>
      <w:r>
        <w:rPr>
          <w:sz w:val="18"/>
        </w:rPr>
        <w:t>——————————————————————————————————————————————————————————————————————</w:t>
      </w:r>
    </w:p>
    <w:p>
      <w:pPr>
        <w:spacing w:before="160" w:after="80" w:line="240" w:lineRule="auto"/>
      </w:pPr>
      <w:r>
        <w:rPr>
          <w:b/>
        </w:rPr>
        <w:t xml:space="preserve">[122] </w:t>
      </w:r>
      <w:hyperlink r:id="rId204">
        <w:r>
          <w:rPr>
            <w:color w:val="1155CC"/>
            <w:u w:val="single"/>
          </w:rPr>
          <w:t>Stable Four‐Electron Zinc‐Iodine Battery Realized by Polyacrylamide as Catalytic Binder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05">
        <w:r>
          <w:rPr>
            <w:color w:val="1155CC"/>
            <w:u w:val="single"/>
          </w:rPr>
          <w:t>10.1002/anie.202515918</w:t>
        </w:r>
      </w:hyperlink>
    </w:p>
    <w:p>
      <w:pPr>
        <w:spacing w:before="0" w:after="120"/>
      </w:pPr>
      <w:r>
        <w:rPr>
          <w:b/>
        </w:rPr>
        <w:t xml:space="preserve">Notes: </w:t>
      </w:r>
      <w:r>
        <w:t>abstract_source=crossref</w:t>
      </w:r>
    </w:p>
    <w:p>
      <w:pPr>
        <w:spacing w:before="0" w:after="200" w:lineRule="auto" w:line="276"/>
      </w:pPr>
      <w:r>
        <w:rPr>
          <w:b/>
        </w:rPr>
        <w:t xml:space="preserve">Abstract: </w:t>
      </w:r>
      <w:r>
        <w:t>Realizing stable four‐electron reactions () is the key to boosting the energy density of aqueous zinc‐iodine batteries (ZIBs). In most of the traditional studies, the four‐electron reactions are realized by catalytic halogen ions as electrolyte additives. Herein, we utilize commercial polyacrylamide (PAM) powder as a cost‐friendly electrode binder to catalyze the stable interconversion between I</w:t>
      </w:r>
      <w:r>
        <w:rPr>
          <w:vertAlign w:val="subscript"/>
        </w:rPr>
        <w:t>0</w:t>
      </w:r>
      <w:r>
        <w:t>and I</w:t>
      </w:r>
      <w:r>
        <w:t xml:space="preserve"> </w:t>
      </w:r>
      <w:r>
        <w:t>+</w:t>
      </w:r>
      <w:r>
        <w:t xml:space="preserve"> </w:t>
      </w:r>
      <w:r>
        <w:t>, enabling a four‐electron reaction in the absence of halogen ions. We show that PAM obtained from various suppliers can serve as a catalytic binder and induce the 4e reactions due to the presence of a large amount of nucleophilic −CONH</w:t>
      </w:r>
      <w:r>
        <w:rPr>
          <w:vertAlign w:val="subscript"/>
        </w:rPr>
        <w:t>2</w:t>
      </w:r>
      <w:r>
        <w:t>group, which strongly binds with I</w:t>
      </w:r>
      <w:r>
        <w:t xml:space="preserve"> </w:t>
      </w:r>
      <w:r>
        <w:t>+</w:t>
      </w:r>
      <w:r>
        <w:t xml:space="preserve"> </w:t>
      </w:r>
      <w:r>
        <w:t>. Furthermore, PAM also exhibits a strong affinity to polyiodide species, which suppresses the polyiodide shuttling and thus mitigates the anode side reactions between polyiodide and Zn. As a result of the above two beneficial effects, the Zn‐I</w:t>
      </w:r>
      <w:r>
        <w:rPr>
          <w:vertAlign w:val="subscript"/>
        </w:rPr>
        <w:t>2</w:t>
      </w:r>
      <w:r>
        <w:t>battery demonstrates a high capacity of 416 mAh g</w:t>
      </w:r>
      <w:r>
        <w:t xml:space="preserve"> </w:t>
      </w:r>
      <w:r>
        <w:t>−1</w:t>
      </w:r>
      <w:r>
        <w:t xml:space="preserve"> </w:t>
      </w:r>
      <w:r>
        <w:t>(calculated from available iodine mass in electrolyte) and an extended cycle life of over 10 000 cycles at 5 A g</w:t>
      </w:r>
      <w:r>
        <w:t xml:space="preserve"> </w:t>
      </w:r>
      <w:r>
        <w:t>−1</w:t>
      </w:r>
      <w:r>
        <w:t xml:space="preserve"> </w:t>
      </w:r>
      <w:r>
        <w:t>. This low‐cost and fluorine‐free commercial binder for four‐electron iodine reaction will boost the progress of high‐energy‐density aqueous Zn batteries.</w:t>
      </w:r>
    </w:p>
    <w:p>
      <w:pPr>
        <w:spacing w:before="120" w:after="120"/>
      </w:pPr>
      <w:r>
        <w:rPr>
          <w:sz w:val="18"/>
        </w:rPr>
        <w:t>——————————————————————————————————————————————————————————————————————</w:t>
      </w:r>
    </w:p>
    <w:p>
      <w:pPr>
        <w:spacing w:before="160" w:after="80" w:line="240" w:lineRule="auto"/>
      </w:pPr>
      <w:r>
        <w:rPr>
          <w:b/>
        </w:rPr>
        <w:t xml:space="preserve">[123] </w:t>
      </w:r>
      <w:hyperlink r:id="rId206">
        <w:r>
          <w:rPr>
            <w:color w:val="1155CC"/>
            <w:u w:val="single"/>
          </w:rPr>
          <w:t>Ultrabright Gold Nanoclusters with Intra‐Cluster Hydrogen Bonding Enable Near‐Zero‐Thickness Electrochemiluminescence Imaging of Subcellular Structures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07">
        <w:r>
          <w:rPr>
            <w:color w:val="1155CC"/>
            <w:u w:val="single"/>
          </w:rPr>
          <w:t>10.1002/anie.202510193</w:t>
        </w:r>
      </w:hyperlink>
    </w:p>
    <w:p>
      <w:pPr>
        <w:spacing w:before="0" w:after="120"/>
      </w:pPr>
      <w:r>
        <w:rPr>
          <w:b/>
        </w:rPr>
        <w:t xml:space="preserve">Notes: </w:t>
      </w:r>
      <w:r>
        <w:t>abstract_source=crossref</w:t>
      </w:r>
    </w:p>
    <w:p>
      <w:pPr>
        <w:spacing w:before="0" w:after="200" w:lineRule="auto" w:line="276"/>
      </w:pPr>
      <w:r>
        <w:rPr>
          <w:b/>
        </w:rPr>
        <w:t xml:space="preserve">Abstract: </w:t>
      </w:r>
      <w:r>
        <w:t>Endowing electrochemiluminescence (ECL) imaging technologies with the capability to resolve fine subcellular structures at high spatial resolution remains a challenging yet critical objective. Achieving this requires ultrasmall ECL emitters coupled with in situ confinement strategies to form near‐zero‐thickness ECL layer. Among available candidates, luminescent gold nanoclusters (AuNCs) have emerged as promising options, but their ECL emission remains too weak for effective microscopic imaging. To overcome this limitation, we report ultrabright AuNCs protected by Cys‐Arg‐Arg‐Arg‐Arg peptides and 6‐aza‐2‐thiothymine (CR</w:t>
      </w:r>
      <w:r>
        <w:rPr>
          <w:vertAlign w:val="subscript"/>
        </w:rPr>
        <w:t>4</w:t>
      </w:r>
      <w:r>
        <w:t>/ATT‐AuNCs) as next‐generation ECL emitters. Intra‐cluster hydrogen bonding between neighboring ligands rigidifies their conformation and promotes ordered π–π stacking, significantly enhancing photoluminescence quantum yield (∼60‐fold) and electron transfer efficiency (∼4.8‐fold). This synergistic enhancement activates a previously unreported reduction‐oxidation ECL pathway of AuNCs, resulting in over 250‐fold improvement in ECL intensity. Upon immobilization on electrodes with cells, CR</w:t>
      </w:r>
      <w:r>
        <w:rPr>
          <w:vertAlign w:val="subscript"/>
        </w:rPr>
        <w:t>4</w:t>
      </w:r>
      <w:r>
        <w:t>/ATT‐AuNCs generate a robust, near‐zero‐thickness ECL layer visible to the naked eye, directly enabling high‐resolution ECL microscopy that clearly resolves fine subcellular structures down to ∼170 nm. This work presents a powerful strategy for designing ultrasmall high‐performance ECL emitters and demonstrates their potential in advancing the spatial resolution limits of ECL bioimaging.</w:t>
      </w:r>
    </w:p>
    <w:p>
      <w:pPr>
        <w:spacing w:before="120" w:after="120"/>
      </w:pPr>
      <w:r>
        <w:rPr>
          <w:sz w:val="18"/>
        </w:rPr>
        <w:t>——————————————————————————————————————————————————————————————————————</w:t>
      </w:r>
    </w:p>
    <w:p>
      <w:pPr>
        <w:spacing w:before="160" w:after="80" w:line="240" w:lineRule="auto"/>
      </w:pPr>
      <w:r>
        <w:rPr>
          <w:b/>
        </w:rPr>
        <w:t xml:space="preserve">[124] </w:t>
      </w:r>
      <w:hyperlink r:id="rId208">
        <w:r>
          <w:rPr>
            <w:color w:val="1155CC"/>
            <w:u w:val="single"/>
          </w:rPr>
          <w:t>About a Trillion Times More Acidic than Expected? On the Difference Between the Hammett H0 and the Unified pH Acidity of Sulfuric Acid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09">
        <w:r>
          <w:rPr>
            <w:color w:val="1155CC"/>
            <w:u w:val="single"/>
          </w:rPr>
          <w:t>10.1002/anie.202506429</w:t>
        </w:r>
      </w:hyperlink>
    </w:p>
    <w:p>
      <w:pPr>
        <w:spacing w:before="0" w:after="120"/>
      </w:pPr>
      <w:r>
        <w:rPr>
          <w:b/>
        </w:rPr>
        <w:t xml:space="preserve">Notes: </w:t>
      </w:r>
      <w:r>
        <w:t>abstract_source=crossref</w:t>
      </w:r>
    </w:p>
    <w:p>
      <w:pPr>
        <w:spacing w:before="0" w:after="200" w:lineRule="auto" w:line="276"/>
      </w:pPr>
      <w:r>
        <w:rPr>
          <w:b/>
        </w:rPr>
        <w:t xml:space="preserve">Abstract: </w:t>
      </w:r>
      <w:r>
        <w:t>We report on the considerable difference between the distinct pH and Hammett's</w:t>
      </w:r>
      <w:r>
        <w:t xml:space="preserve"> </w:t>
      </w:r>
      <w:r>
        <w:t>H</w:t>
      </w:r>
      <w:r>
        <w:rPr>
          <w:vertAlign w:val="subscript"/>
        </w:rPr>
        <w:t>0</w:t>
      </w:r>
      <w:r>
        <w:t>acidity function in the entire H</w:t>
      </w:r>
      <w:r>
        <w:rPr>
          <w:vertAlign w:val="subscript"/>
        </w:rPr>
        <w:t>2</w:t>
      </w:r>
      <w:r>
        <w:t>O‐H</w:t>
      </w:r>
      <w:r>
        <w:rPr>
          <w:vertAlign w:val="subscript"/>
        </w:rPr>
        <w:t>2</w:t>
      </w:r>
      <w:r>
        <w:t>SO</w:t>
      </w:r>
      <w:r>
        <w:rPr>
          <w:vertAlign w:val="subscript"/>
        </w:rPr>
        <w:t>4</w:t>
      </w:r>
      <w:r>
        <w:t>mixing range. The Hammett acidity for 100 wt% H</w:t>
      </w:r>
      <w:r>
        <w:rPr>
          <w:vertAlign w:val="subscript"/>
        </w:rPr>
        <w:t>2</w:t>
      </w:r>
      <w:r>
        <w:t>SO</w:t>
      </w:r>
      <w:r>
        <w:rPr>
          <w:vertAlign w:val="subscript"/>
        </w:rPr>
        <w:t>4</w:t>
      </w:r>
      <w:r>
        <w:t>is accepted with</w:t>
      </w:r>
      <w:r>
        <w:t xml:space="preserve"> </w:t>
      </w:r>
      <w:r>
        <w:t>H</w:t>
      </w:r>
      <w:r>
        <w:rPr>
          <w:vertAlign w:val="subscript"/>
        </w:rPr>
        <w:t>0</w:t>
      </w:r>
      <w:r>
        <w:t>= −11.9. We measured the pH acidity using two different electrochemical cells, operating with at least one hydrogen electrode, giving for 100% sulfuric acid  as −24 ± 2. This value was confirmed by high‐level compound calculations using the DLPNO‐CCSD(T) level at the basis set limit and COSMO‐RS solvation. Thus, the difference between both scales amounts to  −</w:t>
      </w:r>
      <w:r>
        <w:t>H</w:t>
      </w:r>
      <w:r>
        <w:rPr>
          <w:vertAlign w:val="subscript"/>
        </w:rPr>
        <w:t>0</w:t>
      </w:r>
      <w:r>
        <w:t>= −12 or 12 orders of magnitude. It results from the Gibbs transfer energies of the (protonated) Hammett‐indicator bases B (BH</w:t>
      </w:r>
      <w:r>
        <w:t xml:space="preserve"> </w:t>
      </w:r>
      <w:r>
        <w:t>+</w:t>
      </w:r>
      <w:r>
        <w:t xml:space="preserve"> </w:t>
      </w:r>
      <w:r>
        <w:t>) used to define and determine</w:t>
      </w:r>
      <w:r>
        <w:t xml:space="preserve"> </w:t>
      </w:r>
      <w:r>
        <w:t>H</w:t>
      </w:r>
      <w:r>
        <w:rPr>
          <w:vertAlign w:val="subscript"/>
        </w:rPr>
        <w:t>0</w:t>
      </w:r>
      <w:r>
        <w:t>. High‐level computations of these Gibbs transfer energies confirm our experimental as well as our computational findings. A general method to convert</w:t>
      </w:r>
      <w:r>
        <w:t xml:space="preserve"> </w:t>
      </w:r>
      <w:r>
        <w:t>H</w:t>
      </w:r>
      <w:r>
        <w:rPr>
          <w:vertAlign w:val="subscript"/>
        </w:rPr>
        <w:t>0</w:t>
      </w:r>
      <w:r>
        <w:t>values of acids other than sulfuric acid into  values is given. Hence, this huge (pH −</w:t>
      </w:r>
      <w:r>
        <w:t>H</w:t>
      </w:r>
      <w:r>
        <w:rPr>
          <w:vertAlign w:val="subscript"/>
        </w:rPr>
        <w:t>0</w:t>
      </w:r>
      <w:r>
        <w:t>)‐difference clearly delineates that the often used but erroneous assumption of the</w:t>
      </w:r>
      <w:r>
        <w:t xml:space="preserve"> </w:t>
      </w:r>
      <w:r>
        <w:t>H</w:t>
      </w:r>
      <w:r>
        <w:rPr>
          <w:vertAlign w:val="subscript"/>
        </w:rPr>
        <w:t>0</w:t>
      </w:r>
      <w:r>
        <w:t>values constituting an extension of pH acidity to the realm of negative pH values is wrong. The distinctive protochemical potential curve progression is discussed as a function of sulfuric acid concentration and physical properties, together with the assignment of the potential‐determining species in the respective mixtures. Finally, superacidity is defined in a universal manner, i.e., applicable to all media, i.e., liquid, solid, or gaseous.</w:t>
      </w:r>
    </w:p>
    <w:p>
      <w:pPr>
        <w:spacing w:before="120" w:after="120"/>
      </w:pPr>
      <w:r>
        <w:rPr>
          <w:sz w:val="18"/>
        </w:rPr>
        <w:t>——————————————————————————————————————————————————————————————————————</w:t>
      </w:r>
    </w:p>
    <w:p>
      <w:pPr>
        <w:spacing w:before="160" w:after="80" w:line="240" w:lineRule="auto"/>
      </w:pPr>
      <w:r>
        <w:rPr>
          <w:b/>
        </w:rPr>
        <w:t xml:space="preserve">[125] </w:t>
      </w:r>
      <w:hyperlink r:id="rId210">
        <w:r>
          <w:rPr>
            <w:color w:val="1155CC"/>
            <w:u w:val="single"/>
          </w:rPr>
          <w:t>Spatial Assembly of Mechanically Planar Chiral Rotaxanes on Rationally Designed Cavitands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11">
        <w:r>
          <w:rPr>
            <w:color w:val="1155CC"/>
            <w:u w:val="single"/>
          </w:rPr>
          <w:t>10.1002/anie.202515927</w:t>
        </w:r>
      </w:hyperlink>
    </w:p>
    <w:p>
      <w:pPr>
        <w:spacing w:before="0" w:after="120"/>
      </w:pPr>
      <w:r>
        <w:rPr>
          <w:b/>
        </w:rPr>
        <w:t xml:space="preserve">Notes: </w:t>
      </w:r>
      <w:r>
        <w:t>abstract_source=crossref</w:t>
      </w:r>
    </w:p>
    <w:p>
      <w:pPr>
        <w:spacing w:before="0" w:after="200" w:lineRule="auto" w:line="276"/>
      </w:pPr>
      <w:r>
        <w:rPr>
          <w:b/>
        </w:rPr>
        <w:t xml:space="preserve">Abstract: </w:t>
      </w:r>
      <w:r>
        <w:t>Chirality plays a central role in chemistry, biology, and pharmaceutical sciences. Although covalent chirality is widely studied, stereoselective assembly of mechanically interlocked molecules (MIMs) remains challenging. Herein, we report a spatial assembly strategy for the stereoselective synthesis of mechanically planar chiral (MPC) rotaxanes. Rationally designed inherently chiral cavitands orchestrate the spatial arrangement of macrocycle and axle components during mechanical interlocking. This approach enables high levels of stereocontrol in both active‐template and passive‐template synthesis of MPC rotaxanes (up to 93:7 e.r.). Our study demonstrates that stereoinduction of MIMs can be made predictable through rational design of chiral auxiliaries, paving the way for applications of the spatial assembly strategy in asymmetric supramolecular synthesis.</w:t>
      </w:r>
    </w:p>
    <w:p>
      <w:pPr>
        <w:spacing w:before="120" w:after="120"/>
      </w:pPr>
      <w:r>
        <w:rPr>
          <w:sz w:val="18"/>
        </w:rPr>
        <w:t>——————————————————————————————————————————————————————————————————————</w:t>
      </w:r>
    </w:p>
    <w:p>
      <w:pPr>
        <w:spacing w:before="160" w:after="80" w:line="240" w:lineRule="auto"/>
      </w:pPr>
      <w:r>
        <w:rPr>
          <w:b/>
        </w:rPr>
        <w:t xml:space="preserve">[126] </w:t>
      </w:r>
      <w:hyperlink r:id="rId212">
        <w:r>
          <w:rPr>
            <w:color w:val="1155CC"/>
            <w:u w:val="single"/>
          </w:rPr>
          <w:t>De Novo Design of High‐Affinity Miniprotein Binders Targeting Francisella Tularensis Virulence Factor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13">
        <w:r>
          <w:rPr>
            <w:color w:val="1155CC"/>
            <w:u w:val="single"/>
          </w:rPr>
          <w:t>10.1002/anie.202516058</w:t>
        </w:r>
      </w:hyperlink>
    </w:p>
    <w:p>
      <w:pPr>
        <w:spacing w:before="0" w:after="120"/>
      </w:pPr>
      <w:r>
        <w:rPr>
          <w:b/>
        </w:rPr>
        <w:t xml:space="preserve">Notes: </w:t>
      </w:r>
      <w:r>
        <w:t>abstract_source=crossref</w:t>
      </w:r>
    </w:p>
    <w:p>
      <w:pPr>
        <w:spacing w:before="0" w:after="200" w:lineRule="auto" w:line="276"/>
      </w:pPr>
      <w:r>
        <w:rPr>
          <w:b/>
        </w:rPr>
        <w:t xml:space="preserve">Abstract: </w:t>
      </w:r>
      <w:r>
        <w:t>Francisella tularensis</w:t>
      </w:r>
      <w:r>
        <w:t xml:space="preserve"> </w:t>
      </w:r>
      <w:r>
        <w:t>poses considerable public health risk due to its high infectivity and potential for bioterrorism. Francisella‐like lipoprotein (Flpp3), a key virulence factor unique to Francisella, plays critical roles in infection and immune evasion, making it a promising target for therapeutic development. However, the lack of well‐defined binding pockets and structural information on native interactions has hindered structure‐guided ligand discovery against Flpp3. Here, we used a combination of physics‐based and deep‐learning methods to design high‐affinity miniprotein binders targeting two distinct sites on Flpp3. We identified four binders for site I with binding affinities ranging between 24–110 nM. For the second site, an initial binder showed a dissociation constant (</w:t>
      </w:r>
      <w:r>
        <w:t xml:space="preserve"> </w:t>
      </w:r>
      <w:r>
        <w:t>K</w:t>
      </w:r>
      <w:r>
        <w:t xml:space="preserve"> </w:t>
      </w:r>
      <w:r>
        <w:t>D</w:t>
      </w:r>
      <w:r>
        <w:t xml:space="preserve"> </w:t>
      </w:r>
      <w:r>
        <w:t>) of 81 nM, and subsequent site saturation mutagenesis yielded variants with sub‐nanomolar affinities. Circular dichroism confirmed the topology of designed miniproteins. The X‐ray crystal structure of Flpp3 in complex with a site I binder is nearly identical to the design model (Cα root‐mean‐square deviation (RMSD): 0.9 Å). These designed miniproteins provide research tools to explore the roles of Flpp3 in tularemia and should enable the development of new therapeutic candidates.</w:t>
      </w:r>
    </w:p>
    <w:p>
      <w:pPr>
        <w:spacing w:before="120" w:after="120"/>
      </w:pPr>
      <w:r>
        <w:rPr>
          <w:sz w:val="18"/>
        </w:rPr>
        <w:t>——————————————————————————————————————————————————————————————————————</w:t>
      </w:r>
    </w:p>
    <w:p>
      <w:pPr>
        <w:spacing w:before="160" w:after="80" w:line="240" w:lineRule="auto"/>
      </w:pPr>
      <w:r>
        <w:rPr>
          <w:b/>
        </w:rPr>
        <w:t xml:space="preserve">[127] </w:t>
      </w:r>
      <w:hyperlink r:id="rId214">
        <w:r>
          <w:rPr>
            <w:color w:val="1155CC"/>
            <w:u w:val="single"/>
          </w:rPr>
          <w:t>Integrated Conversion of Polyesters, CO2, and Glycerol via Ethylene Oxide‐Mediated Tandem Process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15">
        <w:r>
          <w:rPr>
            <w:color w:val="1155CC"/>
            <w:u w:val="single"/>
          </w:rPr>
          <w:t>10.1002/anie.202516172</w:t>
        </w:r>
      </w:hyperlink>
    </w:p>
    <w:p>
      <w:pPr>
        <w:spacing w:before="0" w:after="120"/>
      </w:pPr>
      <w:r>
        <w:rPr>
          <w:b/>
        </w:rPr>
        <w:t xml:space="preserve">Notes: </w:t>
      </w:r>
      <w:r>
        <w:t>abstract_source=crossref</w:t>
      </w:r>
    </w:p>
    <w:p>
      <w:pPr>
        <w:spacing w:before="0" w:after="200" w:lineRule="auto" w:line="276"/>
      </w:pPr>
      <w:r>
        <w:rPr>
          <w:b/>
        </w:rPr>
        <w:t xml:space="preserve">Abstract: </w:t>
      </w:r>
      <w:r>
        <w:t>The co‐conversion of poly(ethylene terephthalate) (PET), CO</w:t>
      </w:r>
      <w:r>
        <w:rPr>
          <w:vertAlign w:val="subscript"/>
        </w:rPr>
        <w:t>2</w:t>
      </w:r>
      <w:r>
        <w:t>, and renewable carbon resources offers a sustainable strategy for reducing plastic waste and carbon emissions, but remains challenging. Here, we develop a one‐pot cycloaddition–transesterification–glycolysis (CTG) tandem process to efficiently convert PET, CO</w:t>
      </w:r>
      <w:r>
        <w:rPr>
          <w:vertAlign w:val="subscript"/>
        </w:rPr>
        <w:t>2</w:t>
      </w:r>
      <w:r>
        <w:t>, and glycerol into bis‐hydroxyethyl terephthalate (BHET) and glycerol carbonate, achieving yields of 92% and 99%, respectively. The process begins with the cycloaddition of ethylene oxide and CO</w:t>
      </w:r>
      <w:r>
        <w:rPr>
          <w:vertAlign w:val="subscript"/>
        </w:rPr>
        <w:t>2</w:t>
      </w:r>
      <w:r>
        <w:t>in an ionic liquid, followed by transesterification with glycerol to produce glycerol carbonate and ethylene glycol. The in situ‐generated ethylene glycol participates in PET glycolysis to yield BHET catalyzed by zinc acetate. Kinetic studies, isotope labelling, and theoretical calculations reveal that ethylene oxide serves two functions: (i) swelling the PET matrix to enhance mass transfer and (ii) providing ethylene glycol. The synchronized kinetics of cycloaddition, transesterification, and glycolysis enable ethylene oxide to play both roles effectively, significantly accelerating PET depolymerization at mild temperatures.</w:t>
      </w:r>
    </w:p>
    <w:p>
      <w:pPr>
        <w:spacing w:before="120" w:after="120"/>
      </w:pPr>
      <w:r>
        <w:rPr>
          <w:sz w:val="18"/>
        </w:rPr>
        <w:t>——————————————————————————————————————————————————————————————————————</w:t>
      </w:r>
    </w:p>
    <w:p>
      <w:pPr>
        <w:spacing w:before="160" w:after="80" w:line="240" w:lineRule="auto"/>
      </w:pPr>
      <w:r>
        <w:rPr>
          <w:b/>
        </w:rPr>
        <w:t xml:space="preserve">[128] </w:t>
      </w:r>
      <w:hyperlink r:id="rId216">
        <w:r>
          <w:rPr>
            <w:color w:val="1155CC"/>
            <w:u w:val="single"/>
          </w:rPr>
          <w:t>Cu–Mg Dual Single‐Atom Catalysts with CO Spillover for Efficient CO2 Electroreduction to CH4</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17">
        <w:r>
          <w:rPr>
            <w:color w:val="1155CC"/>
            <w:u w:val="single"/>
          </w:rPr>
          <w:t>10.1002/anie.202516184</w:t>
        </w:r>
      </w:hyperlink>
    </w:p>
    <w:p>
      <w:pPr>
        <w:spacing w:before="0" w:after="120"/>
      </w:pPr>
      <w:r>
        <w:rPr>
          <w:b/>
        </w:rPr>
        <w:t xml:space="preserve">Notes: </w:t>
      </w:r>
      <w:r>
        <w:t>abstract_source=crossref</w:t>
      </w:r>
    </w:p>
    <w:p>
      <w:pPr>
        <w:spacing w:before="0" w:after="200" w:lineRule="auto" w:line="276"/>
      </w:pPr>
      <w:r>
        <w:rPr>
          <w:b/>
        </w:rPr>
        <w:t xml:space="preserve">Abstract: </w:t>
      </w:r>
      <w:r>
        <w:t>Selective electroreduction of CO</w:t>
      </w:r>
      <w:r>
        <w:rPr>
          <w:vertAlign w:val="subscript"/>
        </w:rPr>
        <w:t>2</w:t>
      </w:r>
      <w:r>
        <w:t>(CO</w:t>
      </w:r>
      <w:r>
        <w:rPr>
          <w:vertAlign w:val="subscript"/>
        </w:rPr>
        <w:t>2</w:t>
      </w:r>
      <w:r>
        <w:t>RR) to CH</w:t>
      </w:r>
      <w:r>
        <w:rPr>
          <w:vertAlign w:val="subscript"/>
        </w:rPr>
        <w:t>4</w:t>
      </w:r>
      <w:r>
        <w:t>remains a significant challenge due to the complex multi‐electron transfer process and competing C─C coupling pathways. Here, a Cu–Mg dual single‐atom catalyst (CuN</w:t>
      </w:r>
      <w:r>
        <w:rPr>
          <w:vertAlign w:val="subscript"/>
        </w:rPr>
        <w:t>2</w:t>
      </w:r>
      <w:r>
        <w:t>–MgN</w:t>
      </w:r>
      <w:r>
        <w:rPr>
          <w:vertAlign w:val="subscript"/>
        </w:rPr>
        <w:t>2</w:t>
      </w:r>
      <w:r>
        <w:t>), which enables a spatially confined CO spillover mechanism was constructed. Spectroscopic characterization and density functional theory calculations confirmed that the atomically dispersed Mg sites not only modulate the electronic structure of Cu sites to lower the overall energy barrier of the CO</w:t>
      </w:r>
      <w:r>
        <w:rPr>
          <w:vertAlign w:val="subscript"/>
        </w:rPr>
        <w:t>2</w:t>
      </w:r>
      <w:r>
        <w:t>RR to CH</w:t>
      </w:r>
      <w:r>
        <w:rPr>
          <w:vertAlign w:val="subscript"/>
        </w:rPr>
        <w:t>4</w:t>
      </w:r>
      <w:r>
        <w:t>, but also efficiently activate CO</w:t>
      </w:r>
      <w:r>
        <w:rPr>
          <w:vertAlign w:val="subscript"/>
        </w:rPr>
        <w:t>2</w:t>
      </w:r>
      <w:r>
        <w:t>to form *CO intermediates, which subsequently migrate to adjacent Cu sites to further hydrogenate into CH</w:t>
      </w:r>
      <w:r>
        <w:rPr>
          <w:vertAlign w:val="subscript"/>
        </w:rPr>
        <w:t>4</w:t>
      </w:r>
      <w:r>
        <w:t>. Leveraging these dual advantages, the optimized CuN</w:t>
      </w:r>
      <w:r>
        <w:rPr>
          <w:vertAlign w:val="subscript"/>
        </w:rPr>
        <w:t>2</w:t>
      </w:r>
      <w:r>
        <w:t>–MgN</w:t>
      </w:r>
      <w:r>
        <w:rPr>
          <w:vertAlign w:val="subscript"/>
        </w:rPr>
        <w:t>2</w:t>
      </w:r>
      <w:r>
        <w:t>electrocatalyst achieved a CH</w:t>
      </w:r>
      <w:r>
        <w:rPr>
          <w:vertAlign w:val="subscript"/>
        </w:rPr>
        <w:t>4</w:t>
      </w:r>
      <w:r>
        <w:t>Faradaic efficiency of 78.3% and a partial current density of 228.7 mA cm</w:t>
      </w:r>
      <w:r>
        <w:t xml:space="preserve"> </w:t>
      </w:r>
      <w:r>
        <w:t>−2</w:t>
      </w:r>
      <w:r>
        <w:t xml:space="preserve"> </w:t>
      </w:r>
      <w:r>
        <w:t>at−1.1 V versus RHE under ambient CO</w:t>
      </w:r>
      <w:r>
        <w:rPr>
          <w:vertAlign w:val="subscript"/>
        </w:rPr>
        <w:t>2</w:t>
      </w:r>
      <w:r>
        <w:t>conditions, with the Turnover frequency of CH</w:t>
      </w:r>
      <w:r>
        <w:rPr>
          <w:vertAlign w:val="subscript"/>
        </w:rPr>
        <w:t>4</w:t>
      </w:r>
      <w:r>
        <w:t>on Cu single sites reaching up to 1.72 s</w:t>
      </w:r>
      <w:r>
        <w:t xml:space="preserve"> </w:t>
      </w:r>
      <w:r>
        <w:t>−1</w:t>
      </w:r>
      <w:r>
        <w:t xml:space="preserve"> </w:t>
      </w:r>
      <w:r>
        <w:t>, dramatically outperforming currently reported catalysts. This work not only reveals the dynamic regulation mechanism of intermediates during CO</w:t>
      </w:r>
      <w:r>
        <w:rPr>
          <w:vertAlign w:val="subscript"/>
        </w:rPr>
        <w:t>2</w:t>
      </w:r>
      <w:r>
        <w:t>‐to‐CH</w:t>
      </w:r>
      <w:r>
        <w:rPr>
          <w:vertAlign w:val="subscript"/>
        </w:rPr>
        <w:t>4</w:t>
      </w:r>
      <w:r>
        <w:t>conversion at the atomic scale but also establishes a universal theoretical model for designing industrial‐grade electrocatalysts with well‐defined active site configurations.</w:t>
      </w:r>
    </w:p>
    <w:p>
      <w:pPr>
        <w:spacing w:before="120" w:after="120"/>
      </w:pPr>
      <w:r>
        <w:rPr>
          <w:sz w:val="18"/>
        </w:rPr>
        <w:t>——————————————————————————————————————————————————————————————————————</w:t>
      </w:r>
    </w:p>
    <w:p>
      <w:pPr>
        <w:spacing w:before="160" w:after="80" w:line="240" w:lineRule="auto"/>
      </w:pPr>
      <w:r>
        <w:rPr>
          <w:b/>
        </w:rPr>
        <w:t xml:space="preserve">[129] </w:t>
      </w:r>
      <w:hyperlink r:id="rId218">
        <w:r>
          <w:rPr>
            <w:color w:val="1155CC"/>
            <w:u w:val="single"/>
          </w:rPr>
          <w:t>Mechanical‐Bond‐Toughened Epoxy Resins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19">
        <w:r>
          <w:rPr>
            <w:color w:val="1155CC"/>
            <w:u w:val="single"/>
          </w:rPr>
          <w:t>10.1002/anie.202516283</w:t>
        </w:r>
      </w:hyperlink>
    </w:p>
    <w:p>
      <w:pPr>
        <w:spacing w:before="0" w:after="120"/>
      </w:pPr>
      <w:r>
        <w:rPr>
          <w:b/>
        </w:rPr>
        <w:t xml:space="preserve">Notes: </w:t>
      </w:r>
      <w:r>
        <w:t>abstract_source=crossref</w:t>
      </w:r>
    </w:p>
    <w:p>
      <w:pPr>
        <w:spacing w:before="0" w:after="200" w:lineRule="auto" w:line="276"/>
      </w:pPr>
      <w:r>
        <w:rPr>
          <w:b/>
        </w:rPr>
        <w:t xml:space="preserve">Abstract: </w:t>
      </w:r>
      <w:r>
        <w:t>Epoxy resins, while indispensable for their excellent mechanical strength, face fundamental limitations due to their inherent brittleness. Here we present a novel advancement in epoxy toughening through the strategic incorporation of [2]rotaxane‐based mechanical bond as mechanically interlocked cross‐linker, whose unique intramolecular motion enables efficient energy dissipation and stress redistribution under external force. As a result, the as‐prepared mechanically interlocked epoxy networks (</w:t>
      </w:r>
      <w:r>
        <w:t xml:space="preserve"> </w:t>
      </w:r>
      <w:r>
        <w:t>MIN</w:t>
      </w:r>
      <w:r>
        <w:t xml:space="preserve"> </w:t>
      </w:r>
      <w:r>
        <w:t>EP) exhibit elongation of 272% and toughness of 37.9 MJ m</w:t>
      </w:r>
      <w:r>
        <w:t xml:space="preserve"> </w:t>
      </w:r>
      <w:r>
        <w:t>−3</w:t>
      </w:r>
      <w:r>
        <w:t xml:space="preserve"> </w:t>
      </w:r>
      <w:r>
        <w:t>, both representing an order‐of‐magnitude improvement over the conventional counterpart while showcasing notable properties compared to other epoxy materials. Further, we capitalize on the adhesive effect and good toughness of</w:t>
      </w:r>
      <w:r>
        <w:t xml:space="preserve"> </w:t>
      </w:r>
      <w:r>
        <w:t>MIN</w:t>
      </w:r>
      <w:r>
        <w:t xml:space="preserve"> </w:t>
      </w:r>
      <w:r>
        <w:t>EP to toughen graphene films. Compared to pristine graphene films, the</w:t>
      </w:r>
      <w:r>
        <w:t xml:space="preserve"> </w:t>
      </w:r>
      <w:r>
        <w:t>MIN</w:t>
      </w:r>
      <w:r>
        <w:t xml:space="preserve"> </w:t>
      </w:r>
      <w:r>
        <w:t>EP‐bonded films show significantly enhanced toughness (30.2 versus 3.4 MJ m</w:t>
      </w:r>
      <w:r>
        <w:t xml:space="preserve"> </w:t>
      </w:r>
      <w:r>
        <w:t>−3</w:t>
      </w:r>
      <w:r>
        <w:t xml:space="preserve"> </w:t>
      </w:r>
      <w:r>
        <w:t>), elongation (26.5% versus 9.9%), and maximum strength (237 versus 72.3 MPa). This work not only provides an effective strategy for the development of high‐performance epoxy resins, but also exploits their application potential in toughening two‐dimensional (2D) materials.</w:t>
      </w:r>
    </w:p>
    <w:p>
      <w:pPr>
        <w:spacing w:before="120" w:after="120"/>
      </w:pPr>
      <w:r>
        <w:rPr>
          <w:sz w:val="18"/>
        </w:rPr>
        <w:t>——————————————————————————————————————————————————————————————————————</w:t>
      </w:r>
    </w:p>
    <w:p>
      <w:pPr>
        <w:spacing w:before="160" w:after="80" w:line="240" w:lineRule="auto"/>
      </w:pPr>
      <w:r>
        <w:rPr>
          <w:b/>
        </w:rPr>
        <w:t xml:space="preserve">[130] </w:t>
      </w:r>
      <w:hyperlink r:id="rId220">
        <w:r>
          <w:rPr>
            <w:color w:val="1155CC"/>
            <w:u w:val="single"/>
          </w:rPr>
          <w:t>Engineering Supramolecular Assemblies via Metal–Metal Interactions for Biological Applications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21">
        <w:r>
          <w:rPr>
            <w:color w:val="1155CC"/>
            <w:u w:val="single"/>
          </w:rPr>
          <w:t>10.1002/anie.202516383</w:t>
        </w:r>
      </w:hyperlink>
    </w:p>
    <w:p>
      <w:pPr>
        <w:spacing w:before="0" w:after="120"/>
      </w:pPr>
      <w:r>
        <w:rPr>
          <w:b/>
        </w:rPr>
        <w:t xml:space="preserve">Notes: </w:t>
      </w:r>
      <w:r>
        <w:t>abstract_source=crossref</w:t>
      </w:r>
    </w:p>
    <w:p>
      <w:pPr>
        <w:spacing w:before="0" w:after="200" w:lineRule="auto" w:line="276"/>
      </w:pPr>
      <w:r>
        <w:rPr>
          <w:b/>
        </w:rPr>
        <w:t xml:space="preserve">Abstract: </w:t>
      </w:r>
      <w:r>
        <w:t>Over the past decades, self‐assembly has become a pivotal strategy for the construction of tunable supramolecular nanoarchitectures. In particular, supramolecular assemblies from d</w:t>
      </w:r>
      <w:r>
        <w:rPr>
          <w:vertAlign w:val="subscript"/>
        </w:rPr>
        <w:t>8</w:t>
      </w:r>
      <w:r>
        <w:t>transition metal complexes have garnered widespread attention as bioimaging and therapeutic agents owing to their rich physicochemical properties resulting from metallophilic interactions. These supramolecular assemblies exhibit red‐shifted absorption and emission, which are critical for imaging and phototherapy because low‐energy light can penetrate deeper into tissue and poses less cytotoxic risk compared to ultraviolet light. In cell cultures, these self‐assembled nanoaggregates enhance cellular uptake via endocytic pathways. In certain cases, they induce irreversible organelle swelling and membrane permeabilization, leading to organelle dysfunction and cell death, thereby overcoming chemotherapy resistance mechanisms. Furthermore, metallophilic interactions remain stable during in vivo blood circulation, facilitating the formation of self‐assembled nanostructures with strong tumor‐targeting capabilities. Therefore, supramolecular assemblies offer an innovative and straightforward method for enhancing tumor treatment efficacy. This review highlights recent advances in the development of supramolecular assemblies via metal–metal interactions for use in bioimaging and therapy; summarizes the design strategies, self‐assembly processes, photochemical and photophysical properties, bioimaging performance, and therapeutic efficacy of representative supramolecular assemblies; and discusses challenges and opportunities for these assemblies in biological applications.</w:t>
      </w:r>
    </w:p>
    <w:p>
      <w:pPr>
        <w:spacing w:before="120" w:after="120"/>
      </w:pPr>
      <w:r>
        <w:rPr>
          <w:sz w:val="18"/>
        </w:rPr>
        <w:t>——————————————————————————————————————————————————————————————————————</w:t>
      </w:r>
    </w:p>
    <w:p>
      <w:pPr>
        <w:spacing w:before="160" w:after="80" w:line="240" w:lineRule="auto"/>
      </w:pPr>
      <w:r>
        <w:rPr>
          <w:b/>
        </w:rPr>
        <w:t xml:space="preserve">[131] </w:t>
      </w:r>
      <w:hyperlink r:id="rId222">
        <w:r>
          <w:rPr>
            <w:color w:val="1155CC"/>
            <w:u w:val="single"/>
          </w:rPr>
          <w:t>Divergent Ring‐Opening Functionalization and Reductive Coupling of Pyridines via Zirconium Alkylidene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23">
        <w:r>
          <w:rPr>
            <w:color w:val="1155CC"/>
            <w:u w:val="single"/>
          </w:rPr>
          <w:t>10.1002/anie.202518402</w:t>
        </w:r>
      </w:hyperlink>
    </w:p>
    <w:p>
      <w:pPr>
        <w:spacing w:before="0" w:after="120"/>
      </w:pPr>
      <w:r>
        <w:rPr>
          <w:b/>
        </w:rPr>
        <w:t xml:space="preserve">Notes: </w:t>
      </w:r>
      <w:r>
        <w:t>abstract_source=crossref</w:t>
      </w:r>
    </w:p>
    <w:p>
      <w:pPr>
        <w:spacing w:before="0" w:after="200" w:lineRule="auto" w:line="276"/>
      </w:pPr>
      <w:r>
        <w:rPr>
          <w:b/>
        </w:rPr>
        <w:t xml:space="preserve">Abstract: </w:t>
      </w:r>
      <w:r>
        <w:t>The transformation of N‐heterocycles such as pyridines is of fundamental and practical importance, yet direct cleavage of their aromatic C─N bonds remains challenging due to strong electronic delocalization and intrinsic stability. Here we report an unprecedented nonreductive cleavage of the aromatic C─N bond in pyridines via direct ring‐opening metathesis with PCP‐ligated (PCP = 2,6‐(</w:t>
      </w:r>
      <w:r>
        <w:t xml:space="preserve"> </w:t>
      </w:r>
      <w:r>
        <w:t>t</w:t>
      </w:r>
      <w:r>
        <w:t xml:space="preserve"> </w:t>
      </w:r>
      <w:r>
        <w:t>Bu</w:t>
      </w:r>
      <w:r>
        <w:rPr>
          <w:vertAlign w:val="subscript"/>
        </w:rPr>
        <w:t>2</w:t>
      </w:r>
      <w:r>
        <w:t>PCH</w:t>
      </w:r>
      <w:r>
        <w:rPr>
          <w:vertAlign w:val="subscript"/>
        </w:rPr>
        <w:t>2</w:t>
      </w:r>
      <w:r>
        <w:t>)</w:t>
      </w:r>
      <w:r>
        <w:rPr>
          <w:vertAlign w:val="subscript"/>
        </w:rPr>
        <w:t>2</w:t>
      </w:r>
      <w:r>
        <w:t>‐C</w:t>
      </w:r>
      <w:r>
        <w:rPr>
          <w:vertAlign w:val="subscript"/>
        </w:rPr>
        <w:t>6</w:t>
      </w:r>
      <w:r>
        <w:t>H</w:t>
      </w:r>
      <w:r>
        <w:rPr>
          <w:vertAlign w:val="subscript"/>
        </w:rPr>
        <w:t>3</w:t>
      </w:r>
      <w:r>
        <w:t>) zirconium alkylidene complexes under mild conditions. Experimental and computational studies reveal that these transformations proceed via highly reactive [Zr]═C species instead of alkylidyne pathways, forming acyclic Zr‐imido‐triene complexes that undergo imido/oxo exchange with acetone. This enables a concise conversion of pyridines into conjugated iminotrienes that otherwise require multistep syntheses. The ancillary ligand dictates divergent pathways: alkyl‐, alkoxide‐, or aryloxide‐containing alkylidenes selectively promote ring‐opening functionalization, whereas the chloride analogue triggers rare reductive homocoupling of pyridines to bipyridine dianions. This ligand‐controlled reactivity arises from steric and electronic effects of the chloride variant, facilitating C─H activation and C─C bond formation. These findings demonstrate a novel approach to aromatic C─N bond scission and dual functionalization at both termini of the opened pyridine rings, along with a reductive homocoupling pathway to bipyridine dianions, providing new opportunities for catalytic transformations of aromatic N‐heterocycles.</w:t>
      </w:r>
    </w:p>
    <w:p>
      <w:pPr>
        <w:spacing w:before="120" w:after="120"/>
      </w:pPr>
      <w:r>
        <w:rPr>
          <w:sz w:val="18"/>
        </w:rPr>
        <w:t>——————————————————————————————————————————————————————————————————————</w:t>
      </w:r>
    </w:p>
    <w:p>
      <w:pPr>
        <w:spacing w:before="160" w:after="80" w:line="240" w:lineRule="auto"/>
      </w:pPr>
      <w:r>
        <w:rPr>
          <w:b/>
        </w:rPr>
        <w:t xml:space="preserve">[132] </w:t>
      </w:r>
      <w:hyperlink r:id="rId224">
        <w:r>
          <w:rPr>
            <w:color w:val="1155CC"/>
            <w:u w:val="single"/>
          </w:rPr>
          <w:t>Site‐Selective RNA Modification by Programmable DNA‐Small Molecule Conjugates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25">
        <w:r>
          <w:rPr>
            <w:color w:val="1155CC"/>
            <w:u w:val="single"/>
          </w:rPr>
          <w:t>10.1002/anie.202515411</w:t>
        </w:r>
      </w:hyperlink>
    </w:p>
    <w:p>
      <w:pPr>
        <w:spacing w:before="0" w:after="120"/>
      </w:pPr>
      <w:r>
        <w:rPr>
          <w:b/>
        </w:rPr>
        <w:t xml:space="preserve">Notes: </w:t>
      </w:r>
      <w:r>
        <w:t>abstract_source=crossref</w:t>
      </w:r>
    </w:p>
    <w:p>
      <w:pPr>
        <w:spacing w:before="0" w:after="200" w:lineRule="auto" w:line="276"/>
      </w:pPr>
      <w:r>
        <w:rPr>
          <w:b/>
        </w:rPr>
        <w:t xml:space="preserve">Abstract: </w:t>
      </w:r>
      <w:r>
        <w:t>Efficient strategies for site‐selective modification of native RNA are highly important for advancing fundamental research of RNA biology and translational RNA therapeutics. Previous approaches generally rely on the catalytic properties of enzymes or nucleic acids, such as repurposed transferases or in vitro selected ribozymes. However, these methods suffer from sequence bias and complicated production processes and often require proper folding of the biomolecules, limiting their programmability, rational design, and robustness. Here, we present a site‐selective RNA acylation strategy with a DNA–DMAP (4‐dimethylaminopyridine) conjugate, considerably smaller in size than enzymes or ribozymes. This conjugate hybridizes to the target RNA region and catalyzes an acyl transfer reaction from pentafluorophenyl (PFP) esters to a proximal 2′‐OH group. By programming the DNA‐DMAP sequence, the predetermined sites and often their adjacent sites in RNA can be selectively acylated with high conversion and fast reaction rates, making this strategy applicable to RNAs of varying lengths, including short synthetic RNAs, native 5S ribosomal RNA (rRNA), and eGFP mRNA. The azide‐bearing acyl donors enable further chemical functionalization at the acylated sites via click reaction, establishing this approach as a versatile and general platform for in vitro site‐selective RNA labeling and functionalization.</w:t>
      </w:r>
    </w:p>
    <w:p>
      <w:pPr>
        <w:spacing w:before="120" w:after="120"/>
      </w:pPr>
      <w:r>
        <w:rPr>
          <w:sz w:val="18"/>
        </w:rPr>
        <w:t>——————————————————————————————————————————————————————————————————————</w:t>
      </w:r>
    </w:p>
    <w:p>
      <w:pPr>
        <w:spacing w:before="160" w:after="80" w:line="240" w:lineRule="auto"/>
      </w:pPr>
      <w:r>
        <w:rPr>
          <w:b/>
        </w:rPr>
        <w:t xml:space="preserve">[133] </w:t>
      </w:r>
      <w:hyperlink r:id="rId226">
        <w:r>
          <w:rPr>
            <w:color w:val="1155CC"/>
            <w:u w:val="single"/>
          </w:rPr>
          <w:t>Revealing Pathway Complexity in Host–Guest Binding: Allosteric Regulation and Temporal Chiral Inversion During Complexation of Naphtho[2,2]urils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27">
        <w:r>
          <w:rPr>
            <w:color w:val="1155CC"/>
            <w:u w:val="single"/>
          </w:rPr>
          <w:t>10.1002/anie.202521400</w:t>
        </w:r>
      </w:hyperlink>
    </w:p>
    <w:p>
      <w:pPr>
        <w:spacing w:before="0" w:after="120"/>
      </w:pPr>
      <w:r>
        <w:rPr>
          <w:b/>
        </w:rPr>
        <w:t xml:space="preserve">Notes: </w:t>
      </w:r>
      <w:r>
        <w:t>abstract_source=crossref</w:t>
      </w:r>
    </w:p>
    <w:p>
      <w:pPr>
        <w:spacing w:before="0" w:after="200" w:lineRule="auto" w:line="276"/>
      </w:pPr>
      <w:r>
        <w:rPr>
          <w:b/>
        </w:rPr>
        <w:t xml:space="preserve">Abstract: </w:t>
      </w:r>
      <w:r>
        <w:t>Studies on pathway complexity in supramolecular polymerization have uncovered intriguing kinetic behaviors, though these are not directly transferable to host–guest systems. Here, we report unprecedented chiral inversion kinetics in a host–guest complexation process, arising from the coupling of sequential binding and conformational interconversion. Naphtho[n,n]urils (NGU[n,n]), constructed by alternating glycoluril and naphthyl units, were synthesized via a one‐pot three‐component condensation, yielding hybrid architectures with well‐defined cavities. In NGU[2,2], the two naphthyl units adopt either</w:t>
      </w:r>
      <w:r>
        <w:t xml:space="preserve"> </w:t>
      </w:r>
      <w:r>
        <w:t>S</w:t>
      </w:r>
      <w:r>
        <w:t xml:space="preserve"> </w:t>
      </w:r>
      <w:r>
        <w:t>P</w:t>
      </w:r>
      <w:r>
        <w:t xml:space="preserve"> </w:t>
      </w:r>
      <w:r>
        <w:t>or</w:t>
      </w:r>
      <w:r>
        <w:t xml:space="preserve"> </w:t>
      </w:r>
      <w:r>
        <w:t>R</w:t>
      </w:r>
      <w:r>
        <w:t xml:space="preserve"> </w:t>
      </w:r>
      <w:r>
        <w:t>P</w:t>
      </w:r>
      <w:r>
        <w:t xml:space="preserve"> </w:t>
      </w:r>
      <w:r>
        <w:t>planar chiral conformations, giving rise to interconvertible racemic and</w:t>
      </w:r>
      <w:r>
        <w:t xml:space="preserve"> </w:t>
      </w:r>
      <w:r>
        <w:t>meso</w:t>
      </w:r>
      <w:r>
        <w:t xml:space="preserve"> </w:t>
      </w:r>
      <w:r>
        <w:t>conformers. NGU[2,2] binds chiral amino acid derivatives stepwise through hydrogen bonding and cation–dipole interactions, forming 1:1 and 1:2 complexes. Complexation shifts the equilibrium between racemic and</w:t>
      </w:r>
      <w:r>
        <w:t xml:space="preserve"> </w:t>
      </w:r>
      <w:r>
        <w:t>meso</w:t>
      </w:r>
      <w:r>
        <w:t xml:space="preserve"> </w:t>
      </w:r>
      <w:r>
        <w:t>conformers, inducing a circular dichroism (CD) response. Notably, the transition from the 1:1 to the 1:2 complex triggers an inversion of conformational preference in NGU[2,2], representing a unique case of chiral allosteric regulation. Furthermore, temporal inversion of the CD signal was observed upon mixing NGU[2,2] with the guest, displaying a transient overshoot and sign reversal. This kinetic behavior originates from the interplay between binding dynamics and conformational interconversion, with the</w:t>
      </w:r>
      <w:r>
        <w:t xml:space="preserve"> </w:t>
      </w:r>
      <w:r>
        <w:t>meso</w:t>
      </w:r>
      <w:r>
        <w:t xml:space="preserve"> </w:t>
      </w:r>
      <w:r>
        <w:t>conformer playing a central role.</w:t>
      </w:r>
    </w:p>
    <w:p>
      <w:pPr>
        <w:spacing w:before="120" w:after="120"/>
      </w:pPr>
      <w:r>
        <w:rPr>
          <w:sz w:val="18"/>
        </w:rPr>
        <w:t>——————————————————————————————————————————————————————————————————————</w:t>
      </w:r>
    </w:p>
    <w:p>
      <w:pPr>
        <w:spacing w:before="160" w:after="80" w:line="240" w:lineRule="auto"/>
      </w:pPr>
      <w:r>
        <w:rPr>
          <w:b/>
        </w:rPr>
        <w:t xml:space="preserve">[134] </w:t>
      </w:r>
      <w:hyperlink r:id="rId228">
        <w:r>
          <w:rPr>
            <w:color w:val="1155CC"/>
            <w:u w:val="single"/>
          </w:rPr>
          <w:t>Near‐Unity Intersystem Crossing Efficiency and Bright Polymer Phosphorescence Enabled by Charge‐Transfer Diarylketones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29">
        <w:r>
          <w:rPr>
            <w:color w:val="1155CC"/>
            <w:u w:val="single"/>
          </w:rPr>
          <w:t>10.1002/anie.202520738</w:t>
        </w:r>
      </w:hyperlink>
    </w:p>
    <w:p>
      <w:pPr>
        <w:spacing w:before="0" w:after="120"/>
      </w:pPr>
      <w:r>
        <w:rPr>
          <w:b/>
        </w:rPr>
        <w:t xml:space="preserve">Notes: </w:t>
      </w:r>
      <w:r>
        <w:t>abstract_source=crossref</w:t>
      </w:r>
    </w:p>
    <w:p>
      <w:pPr>
        <w:spacing w:before="0" w:after="200" w:lineRule="auto" w:line="276"/>
      </w:pPr>
      <w:r>
        <w:rPr>
          <w:b/>
        </w:rPr>
        <w:t xml:space="preserve">Abstract: </w:t>
      </w:r>
      <w:r>
        <w:t>Bonding aromatic ring to carbonyl group is recognized as crucial for promoting intersystem crossing (ISC) owing to allowed</w:t>
      </w:r>
      <w:r>
        <w:rPr>
          <w:vertAlign w:val="subscript"/>
        </w:rPr>
        <w:t>1</w:t>
      </w:r>
      <w:r>
        <w:t>nπ* →</w:t>
      </w:r>
      <w:r>
        <w:rPr>
          <w:vertAlign w:val="subscript"/>
        </w:rPr>
        <w:t>3</w:t>
      </w:r>
      <w:r>
        <w:t>ππ* or</w:t>
      </w:r>
      <w:r>
        <w:rPr>
          <w:vertAlign w:val="subscript"/>
        </w:rPr>
        <w:t>1</w:t>
      </w:r>
      <w:r>
        <w:t>ππ* →</w:t>
      </w:r>
      <w:r>
        <w:rPr>
          <w:vertAlign w:val="subscript"/>
        </w:rPr>
        <w:t>3</w:t>
      </w:r>
      <w:r>
        <w:t>nπ* transition. The effect of charge transfer (CT) in such systems, however, is largely ignored for understanding ISC and phosphorescence efficiency. Here, we unveiled a principle for producing highly‐efficient room‐temperature phosphorescence (RTP) polymer where the role of CT in diarylketone phosphors was a prerequisite. Designed diarylketones with carbonyl group substituted by aromatic rings unsymmetrically achieved superior RTP quantum yield of &amp;gt;30% in copolymer. Detailed investigation indicated that</w:t>
      </w:r>
      <w:r>
        <w:rPr>
          <w:vertAlign w:val="subscript"/>
        </w:rPr>
        <w:t>1</w:t>
      </w:r>
      <w:r>
        <w:t>CT→</w:t>
      </w:r>
      <w:r>
        <w:rPr>
          <w:vertAlign w:val="subscript"/>
        </w:rPr>
        <w:t>3</w:t>
      </w:r>
      <w:r>
        <w:t>LE (locally excited triplet state) transition with small energy gap (∆</w:t>
      </w:r>
      <w:r>
        <w:t xml:space="preserve"> </w:t>
      </w:r>
      <w:r>
        <w:t>E</w:t>
      </w:r>
      <w:r>
        <w:t xml:space="preserve"> </w:t>
      </w:r>
      <w:r>
        <w:t>ST</w:t>
      </w:r>
      <w:r>
        <w:t xml:space="preserve"> </w:t>
      </w:r>
      <w:r>
        <w:t>) and strong spin‐orbit coupling underlies their ultrafast ISC, as recorded by femtosecond transient absorption (fs‐TA) spectroscopy. When single aromatic ring was bonded to carbonyl group, singlet (S</w:t>
      </w:r>
      <w:r>
        <w:rPr>
          <w:vertAlign w:val="subscript"/>
        </w:rPr>
        <w:t>1</w:t>
      </w:r>
      <w:r>
        <w:t>) and triplet (T</w:t>
      </w:r>
      <w:r>
        <w:rPr>
          <w:vertAlign w:val="subscript"/>
        </w:rPr>
        <w:t>1</w:t>
      </w:r>
      <w:r>
        <w:t>) states remained LE with large ∆</w:t>
      </w:r>
      <w:r>
        <w:t xml:space="preserve"> </w:t>
      </w:r>
      <w:r>
        <w:t>E</w:t>
      </w:r>
      <w:r>
        <w:t xml:space="preserve"> </w:t>
      </w:r>
      <w:r>
        <w:t>ST</w:t>
      </w:r>
      <w:r>
        <w:t xml:space="preserve"> </w:t>
      </w:r>
      <w:r>
        <w:t>and weak spin‐orbit coupling, leading to low RTP efficiency. Finally, manufacturing organic glass in presence of trace diarylketone monomers could generate shape‐rich three‐dimensional (3D) objects with intense afterglow under room lighting, even at high‐temperature and wet conditions. This work advances understanding on structure‐property relationship in popular aromatic ketone phosphors, and paves the way for producing afterglow materials with high brightness and stability.</w:t>
      </w:r>
    </w:p>
    <w:p>
      <w:pPr>
        <w:spacing w:before="120" w:after="120"/>
      </w:pPr>
      <w:r>
        <w:rPr>
          <w:sz w:val="18"/>
        </w:rPr>
        <w:t>——————————————————————————————————————————————————————————————————————</w:t>
      </w:r>
    </w:p>
    <w:p>
      <w:pPr>
        <w:spacing w:before="160" w:after="80" w:line="240" w:lineRule="auto"/>
      </w:pPr>
      <w:r>
        <w:rPr>
          <w:b/>
        </w:rPr>
        <w:t xml:space="preserve">[135] </w:t>
      </w:r>
      <w:hyperlink r:id="rId230">
        <w:r>
          <w:rPr>
            <w:color w:val="1155CC"/>
            <w:u w:val="single"/>
          </w:rPr>
          <w:t>Ultralow‐Lattice‐Mismatched Near‐Zero‐Strain Zn (0002) Anodes for Stable Zinc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31">
        <w:r>
          <w:rPr>
            <w:color w:val="1155CC"/>
            <w:u w:val="single"/>
          </w:rPr>
          <w:t>10.1002/anie.202521269</w:t>
        </w:r>
      </w:hyperlink>
    </w:p>
    <w:p>
      <w:pPr>
        <w:spacing w:before="0" w:after="120"/>
      </w:pPr>
      <w:r>
        <w:rPr>
          <w:b/>
        </w:rPr>
        <w:t xml:space="preserve">Notes: </w:t>
      </w:r>
      <w:r>
        <w:t>abstract_source=crossref</w:t>
      </w:r>
    </w:p>
    <w:p>
      <w:pPr>
        <w:spacing w:before="0" w:after="200" w:lineRule="auto" w:line="276"/>
      </w:pPr>
      <w:r>
        <w:rPr>
          <w:b/>
        </w:rPr>
        <w:t xml:space="preserve">Abstract: </w:t>
      </w:r>
      <w:r>
        <w:t>Compared with (100) and (101) planes, Zn (0002) plane with the lowest nucleation energy is optimal for practical rechargeable zinc metal batteries (ZMBs), but precise crystallographic regulation of Zn (0002) plane orientation to significantly reduce intergranular strain accumulation for lasting ZMBs remain challenges. Herein, we develop an Al‐0.1wt%Si substrate with ultralow lattice mismatch (0.51%) to eliminate hierarchical twins and enable flat Zn nucleation for sustainable epitaxial stacking. Negligible lattice spacing deviation (0.2320 versus 0.2308 nm) between Al‐0.1wt%Si (111) and grown‐Zn (0002) plane achieves near‐zero strain in electrodeposited layer (0.22 versus 7.29 MPa of pure Zn foil). Al‐0.1wt%Si‐Zn (ASZ) anode exhibits a pronounced (0002)‐textured Zn orientation with a high Kearns factor (0.85 versus 0.29 of Zn foil), enabling dendrite‐suppressive planar growth. Consequently, ASZ||Cu cells demonstrate 99.83% Coulombic efficiency, while ASZ||ASZ cells operate stably for 8000 h at 5 mA cm</w:t>
      </w:r>
      <w:r>
        <w:t xml:space="preserve"> </w:t>
      </w:r>
      <w:r>
        <w:t>−2</w:t>
      </w:r>
      <w:r>
        <w:t xml:space="preserve"> </w:t>
      </w:r>
      <w:r>
        <w:t>. Besides, ASZ||MnO</w:t>
      </w:r>
      <w:r>
        <w:rPr>
          <w:vertAlign w:val="subscript"/>
        </w:rPr>
        <w:t>2</w:t>
      </w:r>
      <w:r>
        <w:t>coin cells retain 73.97% capacity after 1500 cycles at 1 A g</w:t>
      </w:r>
      <w:r>
        <w:t xml:space="preserve"> </w:t>
      </w:r>
      <w:r>
        <w:t>−1</w:t>
      </w:r>
      <w:r>
        <w:t xml:space="preserve"> </w:t>
      </w:r>
      <w:r>
        <w:t>, and pouch cells (2.8 Ah) operate over 1000 cycles at 1 A g</w:t>
      </w:r>
      <w:r>
        <w:t xml:space="preserve"> </w:t>
      </w:r>
      <w:r>
        <w:t>−1</w:t>
      </w:r>
      <w:r>
        <w:t xml:space="preserve"> </w:t>
      </w:r>
      <w:r>
        <w:t>. This work opens a new window for designing lattice‐matched, strain‐free zinc anodes for advanced ZMBs.</w:t>
      </w:r>
    </w:p>
    <w:p>
      <w:pPr>
        <w:spacing w:before="120" w:after="120"/>
      </w:pPr>
      <w:r>
        <w:rPr>
          <w:sz w:val="18"/>
        </w:rPr>
        <w:t>——————————————————————————————————————————————————————————————————————</w:t>
      </w:r>
    </w:p>
    <w:p>
      <w:pPr>
        <w:spacing w:before="160" w:after="80" w:line="240" w:lineRule="auto"/>
      </w:pPr>
      <w:r>
        <w:rPr>
          <w:b/>
        </w:rPr>
        <w:t xml:space="preserve">[136] </w:t>
      </w:r>
      <w:hyperlink r:id="rId232">
        <w:r>
          <w:rPr>
            <w:color w:val="1155CC"/>
            <w:u w:val="single"/>
          </w:rPr>
          <w:t>Tailoring Spin–Spin Dipolar Interactions by Conformational Locking Toward Room‐Temperature Molecular Qubits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33">
        <w:r>
          <w:rPr>
            <w:color w:val="1155CC"/>
            <w:u w:val="single"/>
          </w:rPr>
          <w:t>10.1002/anie.202520964</w:t>
        </w:r>
      </w:hyperlink>
    </w:p>
    <w:p>
      <w:pPr>
        <w:spacing w:before="0" w:after="120"/>
      </w:pPr>
      <w:r>
        <w:rPr>
          <w:b/>
        </w:rPr>
        <w:t xml:space="preserve">Notes: </w:t>
      </w:r>
      <w:r>
        <w:t>abstract_source=crossref</w:t>
      </w:r>
    </w:p>
    <w:p>
      <w:pPr>
        <w:spacing w:before="0" w:after="200" w:lineRule="auto" w:line="276"/>
      </w:pPr>
      <w:r>
        <w:rPr>
          <w:b/>
        </w:rPr>
        <w:t xml:space="preserve">Abstract: </w:t>
      </w:r>
      <w:r>
        <w:t>Chichibabin's hydrocarbons (CHs) typically exhibit resonance equilibrium between closed‐shell quinoidal and open‐shell diradical configurations due to the flexible rotation of the molecule structure. We herein report a series of conformationally rigidified CHs achieved through lockage of chiral binaphthalene frameworks. Systematic enhancement of open‐shell character was observed with increasing dihedral angles between naphthalene moieties, as evidenced by electronic spectroscopy and pulse electron paramagnetic resonance (EPR) technique. This conformational locking strategy enables precise engineering of spin–spin dipolar interactions, unambiguously revealed by zero‐field splitting parameters derived from EPR studies. Specifically, CH(2) exhibits excellent ambient stability and exceptional spin coherence at room temperature, with attractive spin‐lattice relaxation time (</w:t>
      </w:r>
      <w:r>
        <w:t xml:space="preserve"> </w:t>
      </w:r>
      <w:r>
        <w:t>T</w:t>
      </w:r>
      <w:r>
        <w:rPr>
          <w:vertAlign w:val="subscript"/>
        </w:rPr>
        <w:t>1</w:t>
      </w:r>
      <w:r>
        <w:t xml:space="preserve"> </w:t>
      </w:r>
      <w:r>
        <w:t>) of 1207 ns and spin dephasing time (</w:t>
      </w:r>
      <w:r>
        <w:t xml:space="preserve"> </w:t>
      </w:r>
      <w:r>
        <w:t>T</w:t>
      </w:r>
      <w:r>
        <w:t xml:space="preserve"> </w:t>
      </w:r>
      <w:r>
        <w:t>m</w:t>
      </w:r>
      <w:r>
        <w:t xml:space="preserve"> </w:t>
      </w:r>
      <w:r>
        <w:t>) of 205 ns. Our findings establish a molecular design paradigm for controlling electronic coupling in diradical systems, providing critical insights for developing next‐generation quantum materials with tailored spin functionalities.</w:t>
      </w:r>
    </w:p>
    <w:p>
      <w:pPr>
        <w:spacing w:before="120" w:after="120"/>
      </w:pPr>
      <w:r>
        <w:rPr>
          <w:sz w:val="18"/>
        </w:rPr>
        <w:t>——————————————————————————————————————————————————————————————————————</w:t>
      </w:r>
    </w:p>
    <w:p>
      <w:pPr>
        <w:spacing w:before="160" w:after="80" w:line="240" w:lineRule="auto"/>
      </w:pPr>
      <w:r>
        <w:rPr>
          <w:b/>
        </w:rPr>
        <w:t xml:space="preserve">[137] </w:t>
      </w:r>
      <w:hyperlink r:id="rId234">
        <w:r>
          <w:rPr>
            <w:color w:val="1155CC"/>
            <w:u w:val="single"/>
          </w:rPr>
          <w:t>Dual Sacrificial Strategy Toward Tough and Recyclable CO2‐Sourced Epoxy Thermosets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35">
        <w:r>
          <w:rPr>
            <w:color w:val="1155CC"/>
            <w:u w:val="single"/>
          </w:rPr>
          <w:t>10.1002/anie.202519660</w:t>
        </w:r>
      </w:hyperlink>
    </w:p>
    <w:p>
      <w:pPr>
        <w:spacing w:before="0" w:after="120"/>
      </w:pPr>
      <w:r>
        <w:rPr>
          <w:b/>
        </w:rPr>
        <w:t xml:space="preserve">Notes: </w:t>
      </w:r>
      <w:r>
        <w:t>abstract_source=crossref</w:t>
      </w:r>
    </w:p>
    <w:p>
      <w:pPr>
        <w:spacing w:before="0" w:after="200" w:lineRule="auto" w:line="276"/>
      </w:pPr>
      <w:r>
        <w:rPr>
          <w:b/>
        </w:rPr>
        <w:t xml:space="preserve">Abstract: </w:t>
      </w:r>
      <w:r>
        <w:t>Developing thermosetting epoxy resins that concurrently deliver high performance (integrating superior strength with toughness) and chemical recyclability presents a persistent challenge in sustainable polymer advancement. Herein, we present a dual sacrificial strategy employing CO</w:t>
      </w:r>
      <w:r>
        <w:rPr>
          <w:vertAlign w:val="subscript"/>
        </w:rPr>
        <w:t>2</w:t>
      </w:r>
      <w:r>
        <w:t>‐derived poly(ether‐carbonate) (PPC) polyols as functional epoxy hardeners. Flexible ether segments serve as sacrificial components enhancing toughness, while cleavable carbonate groups function as sacrificial sites facilitating degradation. This dual sacrificial design in PPC polyols demonstrably enhances mechanical properties while enabling degradability. Model reactions and curing kinetics analyses reveal a distinctive dual‐stage crosslinking process governed by hydroxyl transfer mechanisms. The resulting hierarchical cure yields thermosets with unconventional hyperbranched topologies embedded within uniform network structures, conferring: 1) tunable thermomechanical properties (</w:t>
      </w:r>
      <w:r>
        <w:t xml:space="preserve"> </w:t>
      </w:r>
      <w:r>
        <w:t>T</w:t>
      </w:r>
      <w:r>
        <w:t xml:space="preserve"> </w:t>
      </w:r>
      <w:r>
        <w:t>g</w:t>
      </w:r>
      <w:r>
        <w:t xml:space="preserve"> </w:t>
      </w:r>
      <w:r>
        <w:t>= 53–129 °C) through precise polyol content control; 2) substantially elevated toughness (up to 5.2 MJ m</w:t>
      </w:r>
      <w:r>
        <w:t xml:space="preserve"> </w:t>
      </w:r>
      <w:r>
        <w:t>−3</w:t>
      </w:r>
      <w:r>
        <w:t xml:space="preserve"> </w:t>
      </w:r>
      <w:r>
        <w:t>), exceeding conventional epoxy resins by &amp;gt;300%; and 3) rapid catalytic chemical recyclability (&amp;lt;4 h at 60 °C), with degradation products functioning as reusable hardeners. Practical validation via glass fiber‐reinforced composites and electronic packaging confirms robust performance with full recyclability. This integrated methodology reconciles the historical trade‐off between mechanical robustness and chemical recyclability in thermosets, establishing a viable pathway toward sustainable epoxy production.</w:t>
      </w:r>
    </w:p>
    <w:p>
      <w:pPr>
        <w:spacing w:before="120" w:after="120"/>
      </w:pPr>
      <w:r>
        <w:rPr>
          <w:sz w:val="18"/>
        </w:rPr>
        <w:t>——————————————————————————————————————————————————————————————————————</w:t>
      </w:r>
    </w:p>
    <w:p>
      <w:pPr>
        <w:spacing w:before="160" w:after="80" w:line="240" w:lineRule="auto"/>
      </w:pPr>
      <w:r>
        <w:rPr>
          <w:b/>
        </w:rPr>
        <w:t xml:space="preserve">[138] </w:t>
      </w:r>
      <w:hyperlink r:id="rId236">
        <w:r>
          <w:rPr>
            <w:color w:val="1155CC"/>
            <w:u w:val="single"/>
          </w:rPr>
          <w:t>Anion‐Assisted Copper/Chiral Diamine‐Catalyzed Aerobic Oxidation for the Kinetic Dearomative Spirocyclization of Arenols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37">
        <w:r>
          <w:rPr>
            <w:color w:val="1155CC"/>
            <w:u w:val="single"/>
          </w:rPr>
          <w:t>10.1002/anie.202519818</w:t>
        </w:r>
      </w:hyperlink>
    </w:p>
    <w:p>
      <w:pPr>
        <w:spacing w:before="0" w:after="120"/>
      </w:pPr>
      <w:r>
        <w:rPr>
          <w:b/>
        </w:rPr>
        <w:t xml:space="preserve">Notes: </w:t>
      </w:r>
      <w:r>
        <w:t>abstract_source=crossref</w:t>
      </w:r>
    </w:p>
    <w:p>
      <w:pPr>
        <w:spacing w:before="0" w:after="200" w:lineRule="auto" w:line="276"/>
      </w:pPr>
      <w:r>
        <w:rPr>
          <w:b/>
        </w:rPr>
        <w:t xml:space="preserve">Abstract: </w:t>
      </w:r>
      <w:r>
        <w:t>The utilization of arenols was realized via the catalytic asymmetric dearomatization (CADA) to deliver a broad range of valuable chiral compounds. In this field, CADA of arenols, especially 2‐naphthols with diversified external electrophiles has been well established, however the oxidative CADA of 2‐naphthols with an external nucleophile, proceeding via an initial SET‐oxidation to reverse its polarity, is rare. Herein, we report our recent development on the copper/chiral diamine‐catalyzed kinetic spirocyclization of 2‐naphthols under ambient conditions, in which the axial and spiro‐central elements of chirality could be simultaneously achieved in a one‐step kinetic resolution process. The robust nature of the oxidative CADA strategy is reflected by a broad scope of 2‐naphthol substrates with good control of the enantioselectivity. DFT calculations suggested that the anion of chloride played a crucial role in the control of enantioselectivity by forming hydrogen bonds with the hydroxyl group in the substrate and the diamine ligand. The matched coordination of naphthol substrates with chiral copper(II) catalyst leads to the subsequent oxidation to access the latter stereospecific spirocyclization.</w:t>
      </w:r>
    </w:p>
    <w:p>
      <w:pPr>
        <w:spacing w:before="120" w:after="120"/>
      </w:pPr>
      <w:r>
        <w:rPr>
          <w:sz w:val="18"/>
        </w:rPr>
        <w:t>——————————————————————————————————————————————————————————————————————</w:t>
      </w:r>
    </w:p>
    <w:p>
      <w:pPr>
        <w:spacing w:before="160" w:after="80" w:line="240" w:lineRule="auto"/>
      </w:pPr>
      <w:r>
        <w:rPr>
          <w:b/>
        </w:rPr>
        <w:t xml:space="preserve">[139] </w:t>
      </w:r>
      <w:hyperlink r:id="rId238">
        <w:r>
          <w:rPr>
            <w:color w:val="1155CC"/>
            <w:u w:val="single"/>
          </w:rPr>
          <w:t>Tailoring π--d$\pi {\text{--}}d$ Magnetic Interactions in Metallated Porphyrin Nanotapes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39">
        <w:r>
          <w:rPr>
            <w:color w:val="1155CC"/>
            <w:u w:val="single"/>
          </w:rPr>
          <w:t>10.1002/anie.202515342</w:t>
        </w:r>
      </w:hyperlink>
    </w:p>
    <w:p>
      <w:pPr>
        <w:spacing w:before="0" w:after="120"/>
      </w:pPr>
      <w:r>
        <w:rPr>
          <w:b/>
        </w:rPr>
        <w:t xml:space="preserve">Notes: </w:t>
      </w:r>
      <w:r>
        <w:t>abstract_source=crossref</w:t>
      </w:r>
    </w:p>
    <w:p>
      <w:pPr>
        <w:spacing w:before="0" w:after="200" w:lineRule="auto" w:line="276"/>
      </w:pPr>
      <w:r>
        <w:rPr>
          <w:b/>
        </w:rPr>
        <w:t xml:space="preserve">Abstract: </w:t>
      </w:r>
      <w:r>
        <w:t>Molecular assemblies based on porphyrins (Pors), specifically Por nanotapes (NTs) containing magnetic metal ions, offer a versatile platform to explore magnetic interactions arising from the electronic interplay between ‐conjugated ligands and transition metal</w:t>
      </w:r>
      <w:r>
        <w:t xml:space="preserve"> </w:t>
      </w:r>
      <w:r>
        <w:t>d</w:t>
      </w:r>
      <w:r>
        <w:t xml:space="preserve"> </w:t>
      </w:r>
      <w:r>
        <w:t>‐orbitals. Using on‐surface synthesis under ultra‐high vacuum, we synthesized ‐extended PorNTs of different lengths incorporating magnetic metal ions such as Fe and Co on Au(111). We resolved their atomic structure using scanning tunneling microscopy (STM) and non‐contact atomic force microscopy (nc‐AFM). Differential conductance () measurements, interpreted by extensive density functional theory calculations and theoretical modeling, reveal two distinct magnetic behaviors for the Fe‐ and Co‐based systems. In FePorNTs, the magnetic interactions are dominated by strong Fe–ligand ferromagnetic coupling and weak antiferromagnetic Fe–Fe coupling. By contrast, CoPorNTs exhibit stronger Co–Co antiferromagnetic exchange and weaker Co–ligand coupling, with Kondo screening evident at the ligand sites. Our findings underscore the profound influence of metal centers, ligands, and substrate interactions on the magnetic and electronic properties of PorNTs, establishing these assemblies as interesting building blocks for low‐dimensional magnetism and future spintronic or quantum‐material applications.</w:t>
      </w:r>
    </w:p>
    <w:p>
      <w:pPr>
        <w:spacing w:before="120" w:after="120"/>
      </w:pPr>
      <w:r>
        <w:rPr>
          <w:sz w:val="18"/>
        </w:rPr>
        <w:t>——————————————————————————————————————————————————————————————————————</w:t>
      </w:r>
    </w:p>
    <w:p>
      <w:pPr>
        <w:spacing w:before="160" w:after="80" w:line="240" w:lineRule="auto"/>
      </w:pPr>
      <w:r>
        <w:rPr>
          <w:b/>
        </w:rPr>
        <w:t xml:space="preserve">[140] </w:t>
      </w:r>
      <w:hyperlink r:id="rId240">
        <w:r>
          <w:rPr>
            <w:color w:val="1155CC"/>
            <w:u w:val="single"/>
          </w:rPr>
          <w:t>Topochemical Alkyne Nitrile Oxide Cycloaddition for Polymer 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41">
        <w:r>
          <w:rPr>
            <w:color w:val="1155CC"/>
            <w:u w:val="single"/>
          </w:rPr>
          <w:t>10.1002/anie.202520947</w:t>
        </w:r>
      </w:hyperlink>
    </w:p>
    <w:p>
      <w:pPr>
        <w:spacing w:before="0" w:after="120"/>
      </w:pPr>
      <w:r>
        <w:rPr>
          <w:b/>
        </w:rPr>
        <w:t xml:space="preserve">Notes: </w:t>
      </w:r>
      <w:r>
        <w:t>abstract_source=crossref</w:t>
      </w:r>
    </w:p>
    <w:p>
      <w:pPr>
        <w:spacing w:before="0" w:after="200" w:lineRule="auto" w:line="276"/>
      </w:pPr>
      <w:r>
        <w:rPr>
          <w:b/>
        </w:rPr>
        <w:t xml:space="preserve">Abstract: </w:t>
      </w:r>
      <w:r>
        <w:t>Topochemical reactions, characterized by their solvent‐free, catalyst‐free, and lattice‐controlled nature, offer an attractive method for crystalline polymers. The limited number of reactions amenable to solid‐state execution necessitates a continued pursuit of novel topochemical transformations. Here, we report the first example of a topochemical alkyne nitrile oxide cycloaddition (TANOC) reaction, a spontaneous and regiospecific [3 + 2] cycloaddition that directly converts a monomer to an isoxazole‐linked polymer in a SCSC fashion at room temperature. We overcome the inherent reactivity of nitrile oxides through strategic steric protection, enabling the design of a stable monomer amenable to crystallization. Detailed structural analysis of both monomer and polymer by single‐crystal X‐ray diffraction, coupled with comprehensive spectroscopic and kinetic studies, confirms the formation of an isoxazole‐backbone polymer. Notably, despite an initially unfavorable monomer packing, significant voids within the crystal lattice facilitate a ∼118° rotation of the propargyl unit, achieving the precise geometry for spontaneous reaction. This unprecedented thermal topochemical transformation expands the toolkit for solid‐state polymer synthesis, offering a versatile platform for constructing functional materials where the isoxazole linkages can be readily transformed into diverse functionalities.</w:t>
      </w:r>
    </w:p>
    <w:p>
      <w:pPr>
        <w:spacing w:before="120" w:after="120"/>
      </w:pPr>
      <w:r>
        <w:rPr>
          <w:sz w:val="18"/>
        </w:rPr>
        <w:t>——————————————————————————————————————————————————————————————————————</w:t>
      </w:r>
    </w:p>
    <w:p>
      <w:pPr>
        <w:spacing w:before="160" w:after="80" w:line="240" w:lineRule="auto"/>
      </w:pPr>
      <w:r>
        <w:rPr>
          <w:b/>
        </w:rPr>
        <w:t xml:space="preserve">[141] </w:t>
      </w:r>
      <w:hyperlink r:id="rId242">
        <w:r>
          <w:rPr>
            <w:color w:val="1155CC"/>
            <w:u w:val="single"/>
          </w:rPr>
          <w:t>Photoresponsive Hexaarylbiimidazole‐Crosslinked Hydrogels: From Synthesis to Diverse Applications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43">
        <w:r>
          <w:rPr>
            <w:color w:val="1155CC"/>
            <w:u w:val="single"/>
          </w:rPr>
          <w:t>10.1002/anie.202520013</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light‐sensitive hydrogels with rapid and on‐demand responses stands represents an important outstanding challenge for developing flexible devices. Here, a light‐sensitive divinyl monomer, bis(2‐methacrylamidoethyl) 4,4′‐(4,4′,5,5′‐tetraphenyl‐2′H‐[1,2′‐biimidazole]‐2,2′‐diyl)dibenzoate (HABI‐diMAm), was synthesized and further copolymerized with N‐(hydroxymethyl)acrylamide (N‐MA), leading to the formation of a photoresponsive single network hydrogel (G1) that undergoes a reversibly dynamic transformation from gel to sol upon 405 nm light irradiation, enabling a flexible non‐contact dynamic information display system. With the introduction of an additional permanent covalent crosslinker, a dual‐crosslinked single network hydrogel (G2) was developed as a flexible actuator that responds to light‐irradiation within seconds. Next, X‐ray‐activated persistent luminescent nanoparticles (X‐PLNPs) were incorporated into the dual‐crosslinked single‐network network hydrogel, leading to hybrid hydrogel (G3) that acted as a flexible X‐ray scintillator screen with light‐controlled self‐fitting properties on non‐planar substrates. The X‐ray imaging results demonstrated successful recording of clear images that precisely reflect the real defects in the targeted non‐planar object. Hence, the introduced HABI‐crosslinked hydrogels have broad potential as photoresponsive hydrogels.</w:t>
      </w:r>
    </w:p>
    <w:p>
      <w:pPr>
        <w:spacing w:before="120" w:after="120"/>
      </w:pPr>
      <w:r>
        <w:rPr>
          <w:sz w:val="18"/>
        </w:rPr>
        <w:t>——————————————————————————————————————————————————————————————————————</w:t>
      </w:r>
    </w:p>
    <w:p>
      <w:pPr>
        <w:spacing w:before="160" w:after="80" w:line="240" w:lineRule="auto"/>
      </w:pPr>
      <w:r>
        <w:rPr>
          <w:b/>
        </w:rPr>
        <w:t xml:space="preserve">[142] </w:t>
      </w:r>
      <w:hyperlink r:id="rId244">
        <w:r>
          <w:rPr>
            <w:color w:val="1155CC"/>
            <w:u w:val="single"/>
          </w:rPr>
          <w:t>Biomimetic Hydrophobic‐Polar Metal‐Organic Frameworks for Record‐Breaking Separation and Capture of Xenon and Krypton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45">
        <w:r>
          <w:rPr>
            <w:color w:val="1155CC"/>
            <w:u w:val="single"/>
          </w:rPr>
          <w:t>10.1002/anie.202520094</w:t>
        </w:r>
      </w:hyperlink>
    </w:p>
    <w:p>
      <w:pPr>
        <w:spacing w:before="0" w:after="120"/>
      </w:pPr>
      <w:r>
        <w:rPr>
          <w:b/>
        </w:rPr>
        <w:t xml:space="preserve">Notes: </w:t>
      </w:r>
      <w:r>
        <w:t>abstract_source=crossref</w:t>
      </w:r>
    </w:p>
    <w:p>
      <w:pPr>
        <w:spacing w:before="0" w:after="200" w:lineRule="auto" w:line="276"/>
      </w:pPr>
      <w:r>
        <w:rPr>
          <w:b/>
        </w:rPr>
        <w:t xml:space="preserve">Abstract: </w:t>
      </w:r>
      <w:r>
        <w:t>The separation and capture of xenon (Xe) and krypton (Kr) pose critical industrial and environmental challenges. We report two isostructural MOFs (NKMOF‐8‐Br and NKMOF‐8‐Me) with ultra‐micropores (∼6 Å) integrating bromine/methyl and cyano groups, creating biomimetic hydrophobic‐polar microenvironments for efficient Xe/Kr separation and nuclear off‐gas capture. These MOFs exhibit record low‐pressure Xe uptake and Xe packing density. Breakthrough tests under two industrial scenarios—air‐separation byproduct purification and trace gas capture—demonstrate unprecedented Kr productivity (12.26 mmol g</w:t>
      </w:r>
      <w:r>
        <w:t xml:space="preserve"> </w:t>
      </w:r>
      <w:r>
        <w:t>−1</w:t>
      </w:r>
      <w:r>
        <w:t xml:space="preserve"> </w:t>
      </w:r>
      <w:r>
        <w:t>) and Xe/Kr capture capacity (Xe: 32.13 mmol kg</w:t>
      </w:r>
      <w:r>
        <w:t xml:space="preserve"> </w:t>
      </w:r>
      <w:r>
        <w:t>−1</w:t>
      </w:r>
      <w:r>
        <w:t xml:space="preserve"> </w:t>
      </w:r>
      <w:r>
        <w:t>; Kr: 9.35 mmol kg</w:t>
      </w:r>
      <w:r>
        <w:t xml:space="preserve"> </w:t>
      </w:r>
      <w:r>
        <w:t>−1</w:t>
      </w:r>
      <w:r>
        <w:t xml:space="preserve"> </w:t>
      </w:r>
      <w:r>
        <w:t>), with retained performance after 500 kGy</w:t>
      </w:r>
      <w:r>
        <w:t xml:space="preserve"> </w:t>
      </w:r>
      <w:r>
        <w:t>β</w:t>
      </w:r>
      <w:r>
        <w:t xml:space="preserve"> </w:t>
      </w:r>
      <w:r>
        <w:t>‐irradiation. Single‐crystal X‐ray diffraction confirms gas molecules preferentially occupying channel centers, stabilized by hydrophobic van der Waals interactions and cyano polarization effects, while theoretical simulations establish a clear structure‐property relationship. These results highlight NKMOF‐8‐Br and NKMOF‐8‐Me as leading candidates for energy‐efficient noble gas separation and nuclear waste management, and demonstrate a generalizable strategy for engineering adsorption through hydrophobic‐polar synergy.</w:t>
      </w:r>
    </w:p>
    <w:p>
      <w:pPr>
        <w:spacing w:before="120" w:after="120"/>
      </w:pPr>
      <w:r>
        <w:rPr>
          <w:sz w:val="18"/>
        </w:rPr>
        <w:t>——————————————————————————————————————————————————————————————————————</w:t>
      </w:r>
    </w:p>
    <w:p>
      <w:pPr>
        <w:spacing w:before="160" w:after="80" w:line="240" w:lineRule="auto"/>
      </w:pPr>
      <w:r>
        <w:rPr>
          <w:b/>
        </w:rPr>
        <w:t xml:space="preserve">[143] </w:t>
      </w:r>
      <w:hyperlink r:id="rId246">
        <w:r>
          <w:rPr>
            <w:color w:val="1155CC"/>
            <w:u w:val="single"/>
          </w:rPr>
          <w:t>Record‐Breaking Discharge Capacity and Rate Capability in Li─O2 Batteries Through Magnetic Field‐Induced Short‐Range Order Li2O2</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47">
        <w:r>
          <w:rPr>
            <w:color w:val="1155CC"/>
            <w:u w:val="single"/>
          </w:rPr>
          <w:t>10.1002/anie.202520097</w:t>
        </w:r>
      </w:hyperlink>
    </w:p>
    <w:p>
      <w:pPr>
        <w:spacing w:before="0" w:after="120"/>
      </w:pPr>
      <w:r>
        <w:rPr>
          <w:b/>
        </w:rPr>
        <w:t xml:space="preserve">Notes: </w:t>
      </w:r>
      <w:r>
        <w:t>abstract_source=crossref</w:t>
      </w:r>
    </w:p>
    <w:p>
      <w:pPr>
        <w:spacing w:before="0" w:after="200" w:lineRule="auto" w:line="276"/>
      </w:pPr>
      <w:r>
        <w:rPr>
          <w:b/>
        </w:rPr>
        <w:t xml:space="preserve">Abstract: </w:t>
      </w:r>
      <w:r>
        <w:t>Aprotic Li─O</w:t>
      </w:r>
      <w:r>
        <w:rPr>
          <w:vertAlign w:val="subscript"/>
        </w:rPr>
        <w:t>2</w:t>
      </w:r>
      <w:r>
        <w:t>batteries face significant challenges due to the insulating and insoluble nature of Li</w:t>
      </w:r>
      <w:r>
        <w:rPr>
          <w:vertAlign w:val="subscript"/>
        </w:rPr>
        <w:t>2</w:t>
      </w:r>
      <w:r>
        <w:t>O</w:t>
      </w:r>
      <w:r>
        <w:rPr>
          <w:vertAlign w:val="subscript"/>
        </w:rPr>
        <w:t>2</w:t>
      </w:r>
      <w:r>
        <w:t>, which hinders the redox kinetics and severely limits the overall performance. Traditional methods, such as using solid or liquid catalysts to enhance the kinetics, encounter substantial obstacles, in which solid catalysts are limited by their interface with Li</w:t>
      </w:r>
      <w:r>
        <w:rPr>
          <w:vertAlign w:val="subscript"/>
        </w:rPr>
        <w:t>2</w:t>
      </w:r>
      <w:r>
        <w:t>O</w:t>
      </w:r>
      <w:r>
        <w:rPr>
          <w:vertAlign w:val="subscript"/>
        </w:rPr>
        <w:t>2</w:t>
      </w:r>
      <w:r>
        <w:t>, while liquid catalysts may lead to shuttle corrosion of the Li anode, would diminish catalytic effectiveness. In this study, we propose a novel approach to address these issues by incorporating magnetic dopants into the discharge products and applying an external magnetic field. This approach results in magnetically assisted Li─O</w:t>
      </w:r>
      <w:r>
        <w:rPr>
          <w:vertAlign w:val="subscript"/>
        </w:rPr>
        <w:t>2</w:t>
      </w:r>
      <w:r>
        <w:t>batteries with significantly improved redox kinetics. During discharge, the magnetic field dynamically aligns Co</w:t>
      </w:r>
      <w:r>
        <w:t xml:space="preserve"> </w:t>
      </w:r>
      <w:r>
        <w:t>2+</w:t>
      </w:r>
      <w:r>
        <w:t xml:space="preserve"> </w:t>
      </w:r>
      <w:r>
        <w:t>centers within the discharge product, forming a short‐range ordered magnetic structure with alternating paramagnetic and diamagnetic domains, which enhances the formation kinetics of the discharge product. During charging, these uniformly distributed Co active centers act autocatalytically, accelerating the product decomposition kinetics. This configuration achieves a record‐breaking discharge capacity of 115 918 mAh g</w:t>
      </w:r>
      <w:r>
        <w:t xml:space="preserve"> </w:t>
      </w:r>
      <w:r>
        <w:t>−1</w:t>
      </w:r>
      <w:r>
        <w:t xml:space="preserve"> </w:t>
      </w:r>
      <w:r>
        <w:t>and an exceptional rate capability of 6.7 A g</w:t>
      </w:r>
      <w:r>
        <w:t xml:space="preserve"> </w:t>
      </w:r>
      <w:r>
        <w:t>−1</w:t>
      </w:r>
      <w:r>
        <w:t xml:space="preserve"> </w:t>
      </w:r>
      <w:r>
        <w:t>. Our results demonstrate that controlling the electronic and ionic transport properties of alkali peroxides can fundamentally enhance cathode reaction kinetics, providing new design principles for high‐performance Li─O</w:t>
      </w:r>
      <w:r>
        <w:rPr>
          <w:vertAlign w:val="subscript"/>
        </w:rPr>
        <w:t>2</w:t>
      </w:r>
      <w:r>
        <w:t>batteries.</w:t>
      </w:r>
    </w:p>
    <w:p>
      <w:pPr>
        <w:spacing w:before="120" w:after="120"/>
      </w:pPr>
      <w:r>
        <w:rPr>
          <w:sz w:val="18"/>
        </w:rPr>
        <w:t>——————————————————————————————————————————————————————————————————————</w:t>
      </w:r>
    </w:p>
    <w:p>
      <w:pPr>
        <w:spacing w:before="160" w:after="80" w:line="240" w:lineRule="auto"/>
      </w:pPr>
      <w:r>
        <w:rPr>
          <w:b/>
        </w:rPr>
        <w:t xml:space="preserve">[144] </w:t>
      </w:r>
      <w:hyperlink r:id="rId248">
        <w:r>
          <w:rPr>
            <w:color w:val="1155CC"/>
            <w:u w:val="single"/>
          </w:rPr>
          <w:t>Direct Deoxyarylation of Non‐Activated Alcohols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49">
        <w:r>
          <w:rPr>
            <w:color w:val="1155CC"/>
            <w:u w:val="single"/>
          </w:rPr>
          <w:t>10.1002/anie.202520148</w:t>
        </w:r>
      </w:hyperlink>
    </w:p>
    <w:p>
      <w:pPr>
        <w:spacing w:before="0" w:after="120"/>
      </w:pPr>
      <w:r>
        <w:rPr>
          <w:b/>
        </w:rPr>
        <w:t xml:space="preserve">Notes: </w:t>
      </w:r>
      <w:r>
        <w:t>abstract_source=crossref</w:t>
      </w:r>
    </w:p>
    <w:p>
      <w:pPr>
        <w:spacing w:before="0" w:after="200" w:lineRule="auto" w:line="276"/>
      </w:pPr>
      <w:r>
        <w:rPr>
          <w:b/>
        </w:rPr>
        <w:t xml:space="preserve">Abstract: </w:t>
      </w:r>
      <w:r>
        <w:t>The formation of carbon–carbon bonds constitutes the most critical fundamental reaction in organic synthesis. Although synthetic chemists have achieved significant advancements in the cross‐coupling of stable C(sp</w:t>
      </w:r>
      <w:r>
        <w:rPr>
          <w:vertAlign w:val="subscript"/>
        </w:rPr>
        <w:t>3</w:t>
      </w:r>
      <w:r>
        <w:t>) substrates, such as aliphatic carboxylic acids and alkyl halides, cost‐effective, accessible, and versatile sources of alkyl groups, specifically alcohols, remain underutilized. The direct deoxygenation of alcohols under mild circumstances presents a significant challenge in organic synthesis, primarily due to the absence of an efficient mechanism for the direct activation of C─O bonds. Consequently, there is an imperative necessity for chemists to devise a multifaceted approach for the cross‐coupling of alcohols. This study aims to utilize neutral diphenylboron radicals as hydroxyl activation agents to directly activate the carbon–oxygen bonds of prevalent alcohols, thereby generating alkyl radicals, which are subsequently involved in nickel‐catalyzed arylation processes. Both free alcohols and aryl bromides, which are easily accessible compounds, can serve as coupling partners directly without requiring pre‐functionalization. The direct arylation process of alcohols exhibits a broad substrate scope, as demonstrated by the subsequent arylation of several structurally intricate natural compounds and pharmaceuticals.</w:t>
      </w:r>
    </w:p>
    <w:p>
      <w:pPr>
        <w:spacing w:before="120" w:after="120"/>
      </w:pPr>
      <w:r>
        <w:rPr>
          <w:sz w:val="18"/>
        </w:rPr>
        <w:t>——————————————————————————————————————————————————————————————————————</w:t>
      </w:r>
    </w:p>
    <w:p>
      <w:pPr>
        <w:spacing w:before="160" w:after="80" w:line="240" w:lineRule="auto"/>
      </w:pPr>
      <w:r>
        <w:rPr>
          <w:b/>
        </w:rPr>
        <w:t xml:space="preserve">[145] </w:t>
      </w:r>
      <w:hyperlink r:id="rId250">
        <w:r>
          <w:rPr>
            <w:color w:val="1155CC"/>
            <w:u w:val="single"/>
          </w:rPr>
          <w:t>Solvent Chain Length Directed Supramolecular Polymorphism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51">
        <w:r>
          <w:rPr>
            <w:color w:val="1155CC"/>
            <w:u w:val="single"/>
          </w:rPr>
          <w:t>10.1002/anie.202520168</w:t>
        </w:r>
      </w:hyperlink>
    </w:p>
    <w:p>
      <w:pPr>
        <w:spacing w:before="0" w:after="120"/>
      </w:pPr>
      <w:r>
        <w:rPr>
          <w:b/>
        </w:rPr>
        <w:t xml:space="preserve">Notes: </w:t>
      </w:r>
      <w:r>
        <w:t>abstract_source=crossref</w:t>
      </w:r>
    </w:p>
    <w:p>
      <w:pPr>
        <w:spacing w:before="0" w:after="200" w:lineRule="auto" w:line="276"/>
      </w:pPr>
      <w:r>
        <w:rPr>
          <w:b/>
        </w:rPr>
        <w:t xml:space="preserve">Abstract: </w:t>
      </w:r>
      <w:r>
        <w:t>Although solvents are central to self‐assembly, their chain length has not been recognized as a factor controlling supramolecular polymerization. Herein, we introduce solvent chain length as a key parameter dictating the outcome of supramolecular polymerization. We investigated this phenomenon using a boron dipyrromethene (BODIPY) derivative bearing a phenyl group at the</w:t>
      </w:r>
      <w:r>
        <w:t xml:space="preserve"> </w:t>
      </w:r>
      <w:r>
        <w:t>meso</w:t>
      </w:r>
      <w:r>
        <w:t xml:space="preserve"> </w:t>
      </w:r>
      <w:r>
        <w:t>‐position, amide groups, and solubilizing dodecyloxy side chains (</w:t>
      </w:r>
      <w:r>
        <w:rPr>
          <w:vertAlign w:val="subscript"/>
        </w:rPr>
        <w:t>1</w:t>
      </w:r>
      <w:r>
        <w:t>). Remarkably, while the shortest liquid alkanes,</w:t>
      </w:r>
      <w:r>
        <w:t xml:space="preserve"> </w:t>
      </w:r>
      <w:r>
        <w:t>n</w:t>
      </w:r>
      <w:r>
        <w:t xml:space="preserve"> </w:t>
      </w:r>
      <w:r>
        <w:t>‐pentane and</w:t>
      </w:r>
      <w:r>
        <w:t xml:space="preserve"> </w:t>
      </w:r>
      <w:r>
        <w:t>n</w:t>
      </w:r>
      <w:r>
        <w:t xml:space="preserve"> </w:t>
      </w:r>
      <w:r>
        <w:t>‐hexane, promote face‐to‐face (H‐type) stacking interactions leading to one‐dimensional fiber‐like morphologies (</w:t>
      </w:r>
      <w:r>
        <w:t xml:space="preserve"> </w:t>
      </w:r>
      <w:r>
        <w:t>AggB</w:t>
      </w:r>
      <w:r>
        <w:t xml:space="preserve"> </w:t>
      </w:r>
      <w:r>
        <w:t>), the longest liquid linear alkane,</w:t>
      </w:r>
      <w:r>
        <w:t xml:space="preserve"> </w:t>
      </w:r>
      <w:r>
        <w:t>n</w:t>
      </w:r>
      <w:r>
        <w:t xml:space="preserve"> </w:t>
      </w:r>
      <w:r>
        <w:t>‐hexadecane, induces a molecular rearrangement into slipped stacks that cannot efficiently grow into extended one‐dimensional assemblies, resulting in discrete morphologies (</w:t>
      </w:r>
      <w:r>
        <w:t xml:space="preserve"> </w:t>
      </w:r>
      <w:r>
        <w:t>AggA</w:t>
      </w:r>
      <w:r>
        <w:t xml:space="preserve"> </w:t>
      </w:r>
      <w:r>
        <w:t>). In alkanes of intermediate length (C</w:t>
      </w:r>
      <w:r>
        <w:rPr>
          <w:vertAlign w:val="subscript"/>
        </w:rPr>
        <w:t>7</w:t>
      </w:r>
      <w:r>
        <w:t>–C</w:t>
      </w:r>
      <w:r>
        <w:rPr>
          <w:vertAlign w:val="subscript"/>
        </w:rPr>
        <w:t>15</w:t>
      </w:r>
      <w:r>
        <w:t>), both assembled states coexist to varying degrees, leading to</w:t>
      </w:r>
      <w:r>
        <w:t xml:space="preserve"> </w:t>
      </w:r>
      <w:r>
        <w:t>concomitant supramolecular polymorphs</w:t>
      </w:r>
      <w:r>
        <w:t xml:space="preserve"> </w:t>
      </w:r>
      <w:r>
        <w:t>, with the slipped packing becoming progressively favored as the chain length increases. Molecular dynamics (MD) simulations reveal that</w:t>
      </w:r>
      <w:r>
        <w:t xml:space="preserve"> </w:t>
      </w:r>
      <w:r>
        <w:t>AggA</w:t>
      </w:r>
      <w:r>
        <w:t xml:space="preserve"> </w:t>
      </w:r>
      <w:r>
        <w:t>is favored in longer‐chain solvents owing to enhanced solvent interactions and conformational freedom of the side chains, while the proximity of aliphatic groups to the aromatic cores attenuates stack elongation. Our findings broaden the role of solvents as design elements in self‐assembly and offer new insights into the development of functional supramolecular polymorphs.</w:t>
      </w:r>
    </w:p>
    <w:p>
      <w:pPr>
        <w:spacing w:before="120" w:after="120"/>
      </w:pPr>
      <w:r>
        <w:rPr>
          <w:sz w:val="18"/>
        </w:rPr>
        <w:t>——————————————————————————————————————————————————————————————————————</w:t>
      </w:r>
    </w:p>
    <w:p>
      <w:pPr>
        <w:spacing w:before="160" w:after="80" w:line="240" w:lineRule="auto"/>
      </w:pPr>
      <w:r>
        <w:rPr>
          <w:b/>
        </w:rPr>
        <w:t xml:space="preserve">[146] </w:t>
      </w:r>
      <w:hyperlink r:id="rId252">
        <w:r>
          <w:rPr>
            <w:color w:val="1155CC"/>
            <w:u w:val="single"/>
          </w:rPr>
          <w:t>Electrochemiluminescence Modulation by a Versatile Organic Redox Mediator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53">
        <w:r>
          <w:rPr>
            <w:color w:val="1155CC"/>
            <w:u w:val="single"/>
          </w:rPr>
          <w:t>10.1002/anie.202520178</w:t>
        </w:r>
      </w:hyperlink>
    </w:p>
    <w:p>
      <w:pPr>
        <w:spacing w:before="0" w:after="120"/>
      </w:pPr>
      <w:r>
        <w:rPr>
          <w:b/>
        </w:rPr>
        <w:t xml:space="preserve">Notes: </w:t>
      </w:r>
      <w:r>
        <w:t>abstract_source=crossref</w:t>
      </w:r>
    </w:p>
    <w:p>
      <w:pPr>
        <w:spacing w:before="0" w:after="200" w:lineRule="auto" w:line="276"/>
      </w:pPr>
      <w:r>
        <w:rPr>
          <w:b/>
        </w:rPr>
        <w:t xml:space="preserve">Abstract: </w:t>
      </w:r>
      <w:r>
        <w:t>Adding a redox‐active iridium complex has emerged recently as a new mechanistic pathway to enhance electrochemiluminescence (ECL). But, these redox mediators are costly, require sophisticated synthesis, and induce concomitantly intense ECL emission or a strong background. Herein, we report the use of nortropine</w:t>
      </w:r>
      <w:r>
        <w:t xml:space="preserve"> </w:t>
      </w:r>
      <w:r>
        <w:t>N</w:t>
      </w:r>
      <w:r>
        <w:t xml:space="preserve"> </w:t>
      </w:r>
      <w:r>
        <w:t>‐oxyl (NNO) radical as a non‐emissive redox mediator for modulating the co‐reactant ECL emission of the archetypical [Ru(bpy)</w:t>
      </w:r>
      <w:r>
        <w:rPr>
          <w:vertAlign w:val="subscript"/>
        </w:rPr>
        <w:t>3</w:t>
      </w:r>
      <w:r>
        <w:t>]</w:t>
      </w:r>
      <w:r>
        <w:t xml:space="preserve"> </w:t>
      </w:r>
      <w:r>
        <w:t>2+</w:t>
      </w:r>
      <w:r>
        <w:t xml:space="preserve"> </w:t>
      </w:r>
      <w:r>
        <w:t>luminophore, thanks to its particular reactivity involving hydride transfer from amines. The reversible oxidation of NNO produced its oxoammonium cation and catalyzed the oxidation of tri</w:t>
      </w:r>
      <w:r>
        <w:t xml:space="preserve"> </w:t>
      </w:r>
      <w:r>
        <w:t>‐n</w:t>
      </w:r>
      <w:r>
        <w:t xml:space="preserve"> </w:t>
      </w:r>
      <w:r>
        <w:t>‐propylamine (TPrA) and 2‐(dibutylamino)ethanol (DBAE) co‐reactants. The electrocatalysis of NNO induced a significant decrease in the homogeneous solution‐based ECL. However, it offered the versatility to amplify the heterogeneous ECL by 7.3‐fold for TPrA or even up to 12.5‐fold for DBAE in a bead‐based immunosensing format, and by 5.4‐fold on single cells. The electrocatalytic mechanism of NNO was further deciphered by the density functional theory (DFT) calculations. The background‐free ECL modulation by NNO depends on either the depletion of amine radical or the generation of another alkoxyl radical at the electrode. Such dramatic ECL amplification opens new perspectives for improving the existing ECL bioassays and microscopy and the design of new biosensing schemes.</w:t>
      </w:r>
    </w:p>
    <w:p>
      <w:pPr>
        <w:spacing w:before="120" w:after="120"/>
      </w:pPr>
      <w:r>
        <w:rPr>
          <w:sz w:val="18"/>
        </w:rPr>
        <w:t>——————————————————————————————————————————————————————————————————————</w:t>
      </w:r>
    </w:p>
    <w:p>
      <w:pPr>
        <w:spacing w:before="160" w:after="80" w:line="240" w:lineRule="auto"/>
      </w:pPr>
      <w:r>
        <w:rPr>
          <w:b/>
        </w:rPr>
        <w:t xml:space="preserve">[147] </w:t>
      </w:r>
      <w:hyperlink r:id="rId254">
        <w:r>
          <w:rPr>
            <w:color w:val="1155CC"/>
            <w:u w:val="single"/>
          </w:rPr>
          <w:t>Reactivity of Low Valent Magnesium(I) Complexes with Epoxides and Episulfides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55">
        <w:r>
          <w:rPr>
            <w:color w:val="1155CC"/>
            <w:u w:val="single"/>
          </w:rPr>
          <w:t>10.1002/anie.202520259</w:t>
        </w:r>
      </w:hyperlink>
    </w:p>
    <w:p>
      <w:pPr>
        <w:spacing w:before="0" w:after="120"/>
      </w:pPr>
      <w:r>
        <w:rPr>
          <w:b/>
        </w:rPr>
        <w:t xml:space="preserve">Notes: </w:t>
      </w:r>
      <w:r>
        <w:t>abstract_source=crossref</w:t>
      </w:r>
    </w:p>
    <w:p>
      <w:pPr>
        <w:spacing w:before="0" w:after="200" w:lineRule="auto" w:line="276"/>
      </w:pPr>
      <w:r>
        <w:rPr>
          <w:b/>
        </w:rPr>
        <w:t xml:space="preserve">Abstract: </w:t>
      </w:r>
      <w:r>
        <w:t>Chemical C–H functionalisation is traditionally the domain of potent organolithium bases that require cryogenic conditions, whereas biologically inspired C–H functionalisation can be executed by transition metal‐oxo species. Blending these chemical and biological approaches, this work exploits magnesium‐oxo complexes for selective C–H deprotonation at ambient temperature. Overall, three low valent magnesium(I) dimers, [</w:t>
      </w:r>
      <w:r>
        <w:t xml:space="preserve"> </w:t>
      </w:r>
      <w:r>
        <w:t>Dipp</w:t>
      </w:r>
      <w:r>
        <w:t xml:space="preserve"> </w:t>
      </w:r>
      <w:r>
        <w:t>NacnacMg]</w:t>
      </w:r>
      <w:r>
        <w:rPr>
          <w:vertAlign w:val="subscript"/>
        </w:rPr>
        <w:t>2</w:t>
      </w:r>
      <w:r>
        <w:rPr>
          <w:vertAlign w:val="subscript"/>
        </w:rPr>
        <w:t>1</w:t>
      </w:r>
      <w:r>
        <w:t>, [</w:t>
      </w:r>
      <w:r>
        <w:t xml:space="preserve"> </w:t>
      </w:r>
      <w:r>
        <w:t>Dep</w:t>
      </w:r>
      <w:r>
        <w:t xml:space="preserve"> </w:t>
      </w:r>
      <w:r>
        <w:t>NacnacMg]</w:t>
      </w:r>
      <w:r>
        <w:rPr>
          <w:vertAlign w:val="subscript"/>
        </w:rPr>
        <w:t>2</w:t>
      </w:r>
      <w:r>
        <w:rPr>
          <w:vertAlign w:val="subscript"/>
        </w:rPr>
        <w:t>2</w:t>
      </w:r>
      <w:r>
        <w:t>and [</w:t>
      </w:r>
      <w:r>
        <w:t xml:space="preserve"> </w:t>
      </w:r>
      <w:r>
        <w:t>Mes</w:t>
      </w:r>
      <w:r>
        <w:t xml:space="preserve"> </w:t>
      </w:r>
      <w:r>
        <w:t>NacnacMg]</w:t>
      </w:r>
      <w:r>
        <w:rPr>
          <w:vertAlign w:val="subscript"/>
        </w:rPr>
        <w:t>2</w:t>
      </w:r>
      <w:r>
        <w:rPr>
          <w:vertAlign w:val="subscript"/>
        </w:rPr>
        <w:t>3</w:t>
      </w:r>
      <w:r>
        <w:t>, react with two equivalents of propylene oxide to generate dinuclear Mg complexes of general formula [NacnacMg(OH)(OCH</w:t>
      </w:r>
      <w:r>
        <w:rPr>
          <w:vertAlign w:val="subscript"/>
        </w:rPr>
        <w:t>2</w:t>
      </w:r>
      <w:r>
        <w:t>CHCH</w:t>
      </w:r>
      <w:r>
        <w:rPr>
          <w:vertAlign w:val="subscript"/>
        </w:rPr>
        <w:t>2</w:t>
      </w:r>
      <w:r>
        <w:t>)MgNacnac] (Nacnac = HC(C(CH</w:t>
      </w:r>
      <w:r>
        <w:rPr>
          <w:vertAlign w:val="subscript"/>
        </w:rPr>
        <w:t>3</w:t>
      </w:r>
      <w:r>
        <w:t>)NAr)</w:t>
      </w:r>
      <w:r>
        <w:rPr>
          <w:vertAlign w:val="subscript"/>
        </w:rPr>
        <w:t>2</w:t>
      </w:r>
      <w:r>
        <w:t>). Isolation of oxo‐bridged [</w:t>
      </w:r>
      <w:r>
        <w:t xml:space="preserve"> </w:t>
      </w:r>
      <w:r>
        <w:t>Dipp</w:t>
      </w:r>
      <w:r>
        <w:t xml:space="preserve"> </w:t>
      </w:r>
      <w:r>
        <w:t>NacnacMg‐O‐Mg</w:t>
      </w:r>
      <w:r>
        <w:t xml:space="preserve"> </w:t>
      </w:r>
      <w:r>
        <w:t>Dipp</w:t>
      </w:r>
      <w:r>
        <w:t xml:space="preserve"> </w:t>
      </w:r>
      <w:r>
        <w:t>Nacnac] coupled with deuterium labeling studies shows that the reaction proceeds via epoxide deoxygenation, followed by deprotonation and rearrangement of a second equivalent of the epoxide to generate the alkoxide. A range of terminal and internal epoxides was investigated (propylene oxide, butylene oxide, isobutylene oxide, and cyclohexene oxide). The β‐C‐H position was selectively deprotonated in each case, as confirmed by NMR spectroscopy and X‐ray diffraction studies. Exchanging epoxides for episulfides instead generated disulfide‐bridged species, showcasing the difference in Brønsted basicity between Mg‐O and Mg‐S functional groups. Overall, this work demonstrates the unharnessed potential of main group metal‐oxo complexes for selective C–H deprotonation.</w:t>
      </w:r>
    </w:p>
    <w:p>
      <w:pPr>
        <w:spacing w:before="120" w:after="120"/>
      </w:pPr>
      <w:r>
        <w:rPr>
          <w:sz w:val="18"/>
        </w:rPr>
        <w:t>——————————————————————————————————————————————————————————————————————</w:t>
      </w:r>
    </w:p>
    <w:p>
      <w:pPr>
        <w:spacing w:before="160" w:after="80" w:line="240" w:lineRule="auto"/>
      </w:pPr>
      <w:r>
        <w:rPr>
          <w:b/>
        </w:rPr>
        <w:t xml:space="preserve">[148] </w:t>
      </w:r>
      <w:hyperlink r:id="rId256">
        <w:r>
          <w:rPr>
            <w:color w:val="1155CC"/>
            <w:u w:val="single"/>
          </w:rPr>
          <w:t>Tuning Asymmetric Isomers in One‐Dimensional Covalent Organic Frameworks to Enhance Oxygen Reduction Activity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57">
        <w:r>
          <w:rPr>
            <w:color w:val="1155CC"/>
            <w:u w:val="single"/>
          </w:rPr>
          <w:t>10.1002/anie.202520336</w:t>
        </w:r>
      </w:hyperlink>
    </w:p>
    <w:p>
      <w:pPr>
        <w:spacing w:before="0" w:after="120"/>
      </w:pPr>
      <w:r>
        <w:rPr>
          <w:b/>
        </w:rPr>
        <w:t xml:space="preserve">Notes: </w:t>
      </w:r>
      <w:r>
        <w:t>abstract_source=crossref</w:t>
      </w:r>
    </w:p>
    <w:p>
      <w:pPr>
        <w:spacing w:before="0" w:after="200" w:lineRule="auto" w:line="276"/>
      </w:pPr>
      <w:r>
        <w:rPr>
          <w:b/>
        </w:rPr>
        <w:t xml:space="preserve">Abstract: </w:t>
      </w:r>
      <w:r>
        <w:t>Embedding isomers into crystalline skeletons with well‐defined spatial structures represents a feasible way to improve the catalytic activity for the oxygen reduction reaction (ORR). However, most research has been focused on the design of symmetric molecules, while studying asymmetric effects based on isomeric systems remains a major challenge. In this study, we introduced isomeric thiophene to regulate the ORR of one‐dimensional covalent organic frameworks (COFs), and further adjusted the molecular geometry configuration through asymmetric design, obtaining isomeric</w:t>
      </w:r>
      <w:r>
        <w:t xml:space="preserve"> </w:t>
      </w:r>
      <w:r>
        <w:t>COF‐α</w:t>
      </w:r>
      <w:r>
        <w:t xml:space="preserve"> </w:t>
      </w:r>
      <w:r>
        <w:t>with 2‐substituents and</w:t>
      </w:r>
      <w:r>
        <w:t xml:space="preserve"> </w:t>
      </w:r>
      <w:r>
        <w:t>COF‐β</w:t>
      </w:r>
      <w:r>
        <w:t xml:space="preserve"> </w:t>
      </w:r>
      <w:r>
        <w:t>with 3‐substituents. The intermediate adsorption ability and electronic states are precisely adjusted through asymmetric isomers, resulting in controllable chemical activity and excellent catalytic performance. Notably, the introduction of asymmetric thiophene units with 2‐substituents into a pure carbon‐based model provides a more favorable pathway for the hydrogen peroxide production process, resulting in a remarkable productivity of 11.20 mol g</w:t>
      </w:r>
      <w:r>
        <w:t xml:space="preserve"> </w:t>
      </w:r>
      <w:r>
        <w:t>cat</w:t>
      </w:r>
      <w:r>
        <w:t xml:space="preserve"> </w:t>
      </w:r>
      <w:r>
        <w:t>−1</w:t>
      </w:r>
      <w:r>
        <w:t xml:space="preserve"> </w:t>
      </w:r>
      <w:r>
        <w:t>h</w:t>
      </w:r>
      <w:r>
        <w:t xml:space="preserve"> </w:t>
      </w:r>
      <w:r>
        <w:t>−1</w:t>
      </w:r>
      <w:r>
        <w:t xml:space="preserve"> </w:t>
      </w:r>
      <w:r>
        <w:t>, with a Faradaic efficiency of 90.16%. Moreover, theoretical calculations and in situ ATR‐FTIR experiments show that asymmetric thiophene skeletons can induce the activation of adjacent phenyl units, and precisely identify the benzene ring carbon atom (site‐8) connected to the thiophene unit as a potential active site. This study offers an approach to designing efficient electrocatalysts by adjusting asymmetric geometric isomers.</w:t>
      </w:r>
    </w:p>
    <w:p>
      <w:pPr>
        <w:spacing w:before="120" w:after="120"/>
      </w:pPr>
      <w:r>
        <w:rPr>
          <w:sz w:val="18"/>
        </w:rPr>
        <w:t>——————————————————————————————————————————————————————————————————————</w:t>
      </w:r>
    </w:p>
    <w:p>
      <w:pPr>
        <w:spacing w:before="160" w:after="80" w:line="240" w:lineRule="auto"/>
      </w:pPr>
      <w:r>
        <w:rPr>
          <w:b/>
        </w:rPr>
        <w:t xml:space="preserve">[149] </w:t>
      </w:r>
      <w:hyperlink r:id="rId258">
        <w:r>
          <w:rPr>
            <w:color w:val="1155CC"/>
            <w:u w:val="single"/>
          </w:rPr>
          <w:t>Unlocking the Critical Role of Noncovalent Interactions Between Alkali Metal Cations and Nitrate in Promoting the Reduction of Nitrate to Ammonia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59">
        <w:r>
          <w:rPr>
            <w:color w:val="1155CC"/>
            <w:u w:val="single"/>
          </w:rPr>
          <w:t>10.1002/anie.202520377</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nitrate reduction reaction (NO</w:t>
      </w:r>
      <w:r>
        <w:rPr>
          <w:vertAlign w:val="subscript"/>
        </w:rPr>
        <w:t>3</w:t>
      </w:r>
      <w:r>
        <w:t>−</w:t>
      </w:r>
      <w:r>
        <w:t>RR) is widely investigated for sustainable ammonia (NH</w:t>
      </w:r>
      <w:r>
        <w:rPr>
          <w:vertAlign w:val="subscript"/>
        </w:rPr>
        <w:t>3</w:t>
      </w:r>
      <w:r>
        <w:t>) production from NO</w:t>
      </w:r>
      <w:r>
        <w:rPr>
          <w:vertAlign w:val="subscript"/>
        </w:rPr>
        <w:t>3</w:t>
      </w:r>
      <w:r>
        <w:t>−</w:t>
      </w:r>
      <w:r>
        <w:t>pollutants. Alkali metal cations (AM</w:t>
      </w:r>
      <w:r>
        <w:t xml:space="preserve"> </w:t>
      </w:r>
      <w:r>
        <w:t>+</w:t>
      </w:r>
      <w:r>
        <w:t xml:space="preserve"> </w:t>
      </w:r>
      <w:r>
        <w:t>) in the electrolyte often greatly impact electrocatalytic performance; however, the role of AM</w:t>
      </w:r>
      <w:r>
        <w:t xml:space="preserve"> </w:t>
      </w:r>
      <w:r>
        <w:t>+</w:t>
      </w:r>
      <w:r>
        <w:t xml:space="preserve"> </w:t>
      </w:r>
      <w:r>
        <w:t>in the NO</w:t>
      </w:r>
      <w:r>
        <w:rPr>
          <w:vertAlign w:val="subscript"/>
        </w:rPr>
        <w:t>3</w:t>
      </w:r>
      <w:r>
        <w:t>−</w:t>
      </w:r>
      <w:r>
        <w:t>RR remains unclear. Here, we first investigate the influence of AM</w:t>
      </w:r>
      <w:r>
        <w:t xml:space="preserve"> </w:t>
      </w:r>
      <w:r>
        <w:t>+</w:t>
      </w:r>
      <w:r>
        <w:t xml:space="preserve"> </w:t>
      </w:r>
      <w:r>
        <w:t>on the Cu‐catalyzed NO</w:t>
      </w:r>
      <w:r>
        <w:rPr>
          <w:vertAlign w:val="subscript"/>
        </w:rPr>
        <w:t>3</w:t>
      </w:r>
      <w:r>
        <w:t>−</w:t>
      </w:r>
      <w:r>
        <w:t>RR, revealing an activity increase trend of Li</w:t>
      </w:r>
      <w:r>
        <w:t xml:space="preserve"> </w:t>
      </w:r>
      <w:r>
        <w:t>+</w:t>
      </w:r>
      <w:r>
        <w:t xml:space="preserve"> </w:t>
      </w:r>
      <w:r>
        <w:t>&amp;lt; Cs</w:t>
      </w:r>
      <w:r>
        <w:t xml:space="preserve"> </w:t>
      </w:r>
      <w:r>
        <w:t>+</w:t>
      </w:r>
      <w:r>
        <w:t xml:space="preserve"> </w:t>
      </w:r>
      <w:r>
        <w:t>&amp;lt; Na</w:t>
      </w:r>
      <w:r>
        <w:t xml:space="preserve"> </w:t>
      </w:r>
      <w:r>
        <w:t>+</w:t>
      </w:r>
      <w:r>
        <w:t xml:space="preserve"> </w:t>
      </w:r>
      <w:r>
        <w:t>&amp;lt; K</w:t>
      </w:r>
      <w:r>
        <w:t xml:space="preserve"> </w:t>
      </w:r>
      <w:r>
        <w:t>+</w:t>
      </w:r>
      <w:r>
        <w:t xml:space="preserve"> </w:t>
      </w:r>
      <w:r>
        <w:t>, which is inconsistent with the local electric field and proton transfer rate increase trend of Li</w:t>
      </w:r>
      <w:r>
        <w:t xml:space="preserve"> </w:t>
      </w:r>
      <w:r>
        <w:t>+</w:t>
      </w:r>
      <w:r>
        <w:t xml:space="preserve"> </w:t>
      </w:r>
      <w:r>
        <w:t>&amp;lt; Na</w:t>
      </w:r>
      <w:r>
        <w:t xml:space="preserve"> </w:t>
      </w:r>
      <w:r>
        <w:t>+</w:t>
      </w:r>
      <w:r>
        <w:t xml:space="preserve"> </w:t>
      </w:r>
      <w:r>
        <w:t>&amp;lt; K</w:t>
      </w:r>
      <w:r>
        <w:t xml:space="preserve"> </w:t>
      </w:r>
      <w:r>
        <w:t>+</w:t>
      </w:r>
      <w:r>
        <w:t xml:space="preserve"> </w:t>
      </w:r>
      <w:r>
        <w:t>&amp;lt; Cs</w:t>
      </w:r>
      <w:r>
        <w:t xml:space="preserve"> </w:t>
      </w:r>
      <w:r>
        <w:t>+</w:t>
      </w:r>
      <w:r>
        <w:t xml:space="preserve"> </w:t>
      </w:r>
      <w:r>
        <w:t>, hinting that the presence of other important factors governs the NO</w:t>
      </w:r>
      <w:r>
        <w:rPr>
          <w:vertAlign w:val="subscript"/>
        </w:rPr>
        <w:t>3</w:t>
      </w:r>
      <w:r>
        <w:t>−</w:t>
      </w:r>
      <w:r>
        <w:t>RR activity. Intriguingly, Ab initio molecular dynamic (AIMD) simulations uncover that Na</w:t>
      </w:r>
      <w:r>
        <w:t xml:space="preserve"> </w:t>
      </w:r>
      <w:r>
        <w:t>+</w:t>
      </w:r>
      <w:r>
        <w:t xml:space="preserve"> </w:t>
      </w:r>
      <w:r>
        <w:t>, K</w:t>
      </w:r>
      <w:r>
        <w:t xml:space="preserve"> </w:t>
      </w:r>
      <w:r>
        <w:t>+</w:t>
      </w:r>
      <w:r>
        <w:t xml:space="preserve"> </w:t>
      </w:r>
      <w:r>
        <w:t>, and Cs</w:t>
      </w:r>
      <w:r>
        <w:t xml:space="preserve"> </w:t>
      </w:r>
      <w:r>
        <w:t>+</w:t>
      </w:r>
      <w:r>
        <w:t xml:space="preserve"> </w:t>
      </w:r>
      <w:r>
        <w:t>with relatively soft solvation shells could be partially desolvated and then coordinate with NO</w:t>
      </w:r>
      <w:r>
        <w:rPr>
          <w:vertAlign w:val="subscript"/>
        </w:rPr>
        <w:t>3</w:t>
      </w:r>
      <w:r>
        <w:t>−</w:t>
      </w:r>
      <w:r>
        <w:t>via a short‐range electrostatic interaction, thereby boosting the rate determining step (RDS), that is the conversion of NO</w:t>
      </w:r>
      <w:r>
        <w:rPr>
          <w:vertAlign w:val="subscript"/>
        </w:rPr>
        <w:t>3</w:t>
      </w:r>
      <w:r>
        <w:t>−</w:t>
      </w:r>
      <w:r>
        <w:t>to NO</w:t>
      </w:r>
      <w:r>
        <w:rPr>
          <w:vertAlign w:val="subscript"/>
        </w:rPr>
        <w:t>2</w:t>
      </w:r>
      <w:r>
        <w:t>−</w:t>
      </w:r>
      <w:r>
        <w:t>. Notably, K</w:t>
      </w:r>
      <w:r>
        <w:t xml:space="preserve"> </w:t>
      </w:r>
      <w:r>
        <w:t>+</w:t>
      </w:r>
      <w:r>
        <w:t xml:space="preserve"> </w:t>
      </w:r>
      <w:r>
        <w:t>with suitable NO</w:t>
      </w:r>
      <w:r>
        <w:rPr>
          <w:vertAlign w:val="subscript"/>
        </w:rPr>
        <w:t>3</w:t>
      </w:r>
      <w:r>
        <w:t>−</w:t>
      </w:r>
      <w:r>
        <w:t>interaction strength has higher ability to boost the RDS than Na</w:t>
      </w:r>
      <w:r>
        <w:t xml:space="preserve"> </w:t>
      </w:r>
      <w:r>
        <w:t>+</w:t>
      </w:r>
      <w:r>
        <w:t xml:space="preserve"> </w:t>
      </w:r>
      <w:r>
        <w:t>and Cs</w:t>
      </w:r>
      <w:r>
        <w:t xml:space="preserve"> </w:t>
      </w:r>
      <w:r>
        <w:t>+</w:t>
      </w:r>
      <w:r>
        <w:t xml:space="preserve"> </w:t>
      </w:r>
      <w:r>
        <w:t>with too weak and strong strength, respectively. Our results highlight that the short‐range electrostatic interaction strength of AM</w:t>
      </w:r>
      <w:r>
        <w:t xml:space="preserve"> </w:t>
      </w:r>
      <w:r>
        <w:t>+</w:t>
      </w:r>
      <w:r>
        <w:t xml:space="preserve"> </w:t>
      </w:r>
      <w:r>
        <w:t>/NO</w:t>
      </w:r>
      <w:r>
        <w:rPr>
          <w:vertAlign w:val="subscript"/>
        </w:rPr>
        <w:t>3</w:t>
      </w:r>
      <w:r>
        <w:t>−</w:t>
      </w:r>
      <w:r>
        <w:t>is a crucial factor to determine the NO</w:t>
      </w:r>
      <w:r>
        <w:rPr>
          <w:vertAlign w:val="subscript"/>
        </w:rPr>
        <w:t>3</w:t>
      </w:r>
      <w:r>
        <w:t>−</w:t>
      </w:r>
      <w:r>
        <w:t>RR activity.</w:t>
      </w:r>
    </w:p>
    <w:p>
      <w:pPr>
        <w:spacing w:before="120" w:after="120"/>
      </w:pPr>
      <w:r>
        <w:rPr>
          <w:sz w:val="18"/>
        </w:rPr>
        <w:t>——————————————————————————————————————————————————————————————————————</w:t>
      </w:r>
    </w:p>
    <w:p>
      <w:pPr>
        <w:spacing w:before="160" w:after="80" w:line="240" w:lineRule="auto"/>
      </w:pPr>
      <w:r>
        <w:rPr>
          <w:b/>
        </w:rPr>
        <w:t xml:space="preserve">[150] </w:t>
      </w:r>
      <w:hyperlink r:id="rId260">
        <w:r>
          <w:rPr>
            <w:color w:val="1155CC"/>
            <w:u w:val="single"/>
          </w:rPr>
          <w:t>Cationic‐Catalyst Strategy Enabling Ultrafast and Controlled Polymerization and Efficient Depolymerization Toward a Circular Polymer Economy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61">
        <w:r>
          <w:rPr>
            <w:color w:val="1155CC"/>
            <w:u w:val="single"/>
          </w:rPr>
          <w:t>10.1002/anie.202520392</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chemically recyclable polymers is considered one of the ideal solutions to alleviate the growing polymer waste. Fast, controlled synthesis and closed‐loop recycling of amino acid (AA) polymers, as an important class of polyamides, are highly important for applications and circular polymer economy. Strong base‐initiated</w:t>
      </w:r>
      <w:r>
        <w:t xml:space="preserve"> </w:t>
      </w:r>
      <w:r>
        <w:t>N</w:t>
      </w:r>
      <w:r>
        <w:t xml:space="preserve"> </w:t>
      </w:r>
      <w:r>
        <w:t>‐carboxyanhydrides (NCAs) polymerization can prepare AA polymers very quickly, however, has the long‐standing challenge of poor molecular weight controllability and numerous side reactions. Herein, we develop a highly efficient cationic‐catalyst strategy that enables both “ultrafast, controlled AA polymer synthesis” and “closed‐loop AA polymer recycling”. This robust and easily scalable cationic‐catalyst strategy is compatible with various organic strong bases as initiators, and enables the synthesis of molecular weight well‐controlled AA polymers on a hectogram scale (∼120 g) within minutes. Moreover, the cationic catalyst facilitates the efficient depolymerization of AA polymers into environmentally friendly amino acids, with a recovery rate of 85.9%. In addition, the catalyst itself can be recycled quantitatively. In short, the highly efficient cationic‐catalyst strategy implies practical and promising applications in polymerization and depolymerization chemistry, demonstrating great potential for the circular polymer economy and sustainable management of polymer waste.</w:t>
      </w:r>
    </w:p>
    <w:p>
      <w:pPr>
        <w:spacing w:before="120" w:after="120"/>
      </w:pPr>
      <w:r>
        <w:rPr>
          <w:sz w:val="18"/>
        </w:rPr>
        <w:t>——————————————————————————————————————————————————————————————————————</w:t>
      </w:r>
    </w:p>
    <w:p>
      <w:pPr>
        <w:spacing w:before="160" w:after="80" w:line="240" w:lineRule="auto"/>
      </w:pPr>
      <w:r>
        <w:rPr>
          <w:b/>
        </w:rPr>
        <w:t xml:space="preserve">[151] </w:t>
      </w:r>
      <w:hyperlink r:id="rId262">
        <w:r>
          <w:rPr>
            <w:color w:val="1155CC"/>
            <w:u w:val="single"/>
          </w:rPr>
          <w:t>Photochromic Cs2Pb(NO3)2Br2 Perovskite Nanosheets as a Novel Anti‐Counterfeiting Material</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63">
        <w:r>
          <w:rPr>
            <w:color w:val="1155CC"/>
            <w:u w:val="single"/>
          </w:rPr>
          <w:t>10.1002/anie.202520855</w:t>
        </w:r>
      </w:hyperlink>
    </w:p>
    <w:p>
      <w:pPr>
        <w:spacing w:before="0" w:after="120"/>
      </w:pPr>
      <w:r>
        <w:rPr>
          <w:b/>
        </w:rPr>
        <w:t xml:space="preserve">Notes: </w:t>
      </w:r>
      <w:r>
        <w:t>abstract_source=crossref</w:t>
      </w:r>
    </w:p>
    <w:p>
      <w:pPr>
        <w:spacing w:before="0" w:after="200" w:lineRule="auto" w:line="276"/>
      </w:pPr>
      <w:r>
        <w:rPr>
          <w:b/>
        </w:rPr>
        <w:t xml:space="preserve">Abstract: </w:t>
      </w:r>
      <w:r>
        <w:t>Although the photoinduced segregation phenomenon of mixed halide perovskites has application potential in the fields of anti‐counterfeiting and information storage, the easy oxidation of I</w:t>
      </w:r>
      <w:r>
        <w:t xml:space="preserve"> </w:t>
      </w:r>
      <w:r>
        <w:t>‐</w:t>
      </w:r>
      <w:r>
        <w:t xml:space="preserve"> </w:t>
      </w:r>
      <w:r>
        <w:t>into highly volatile I</w:t>
      </w:r>
      <w:r>
        <w:rPr>
          <w:vertAlign w:val="subscript"/>
        </w:rPr>
        <w:t>2</w:t>
      </w:r>
      <w:r>
        <w:t>leads to a serious deficiency in material stability. In this study, we addressed this issue by substituting the instable anion of I</w:t>
      </w:r>
      <w:r>
        <w:t xml:space="preserve"> </w:t>
      </w:r>
      <w:r>
        <w:t>‐</w:t>
      </w:r>
      <w:r>
        <w:t xml:space="preserve"> </w:t>
      </w:r>
      <w:r>
        <w:t>with the stable anion of NO</w:t>
      </w:r>
      <w:r>
        <w:rPr>
          <w:vertAlign w:val="subscript"/>
        </w:rPr>
        <w:t>3</w:t>
      </w:r>
      <w:r>
        <w:t>‐</w:t>
      </w:r>
      <w:r>
        <w:t xml:space="preserve"> </w:t>
      </w:r>
      <w:r>
        <w:t>and synthesizing a novel photochromic 2D perovskite of Cs</w:t>
      </w:r>
      <w:r>
        <w:rPr>
          <w:vertAlign w:val="subscript"/>
        </w:rPr>
        <w:t>2</w:t>
      </w:r>
      <w:r>
        <w:t>Pb(NO</w:t>
      </w:r>
      <w:r>
        <w:rPr>
          <w:vertAlign w:val="subscript"/>
        </w:rPr>
        <w:t>3</w:t>
      </w:r>
      <w:r>
        <w:t>)</w:t>
      </w:r>
      <w:r>
        <w:rPr>
          <w:vertAlign w:val="subscript"/>
        </w:rPr>
        <w:t>2</w:t>
      </w:r>
      <w:r>
        <w:t>Br</w:t>
      </w:r>
      <w:r>
        <w:rPr>
          <w:vertAlign w:val="subscript"/>
        </w:rPr>
        <w:t>2</w:t>
      </w:r>
      <w:r>
        <w:t>nanosheets (PNSs). The synthesized functional material exhibited significantly enhanced stability, maintaining stable luminescence under ambient conditions for over a year, far surpassing traditional mixed halide perovskites. Further research revealed that reversible photoluminescence switching between orange and green in Cs</w:t>
      </w:r>
      <w:r>
        <w:rPr>
          <w:vertAlign w:val="subscript"/>
        </w:rPr>
        <w:t>2</w:t>
      </w:r>
      <w:r>
        <w:t>Pb(NO</w:t>
      </w:r>
      <w:r>
        <w:rPr>
          <w:vertAlign w:val="subscript"/>
        </w:rPr>
        <w:t>3</w:t>
      </w:r>
      <w:r>
        <w:t>)</w:t>
      </w:r>
      <w:r>
        <w:rPr>
          <w:vertAlign w:val="subscript"/>
        </w:rPr>
        <w:t>2</w:t>
      </w:r>
      <w:r>
        <w:t>Br</w:t>
      </w:r>
      <w:r>
        <w:rPr>
          <w:vertAlign w:val="subscript"/>
        </w:rPr>
        <w:t>2</w:t>
      </w:r>
      <w:r>
        <w:t>PNSs suspension could be achieved by regulating the UV light power of irradiation and solution concentration, demonstrating the photoinduced segregation phenomenon in non‐halide/halide hybrid perovskites. The photoinduced segregation could be effectively suppressed by doping with Cl</w:t>
      </w:r>
      <w:r>
        <w:t xml:space="preserve"> </w:t>
      </w:r>
      <w:r>
        <w:t>‐</w:t>
      </w:r>
      <w:r>
        <w:t xml:space="preserve"> </w:t>
      </w:r>
      <w:r>
        <w:t>ions. Based on this photochromic property, we designed a novel anti‐counterfeiting label by exploiting the distinct UV‐response characteristics of Cs</w:t>
      </w:r>
      <w:r>
        <w:rPr>
          <w:vertAlign w:val="subscript"/>
        </w:rPr>
        <w:t>2</w:t>
      </w:r>
      <w:r>
        <w:t>Pb(NO</w:t>
      </w:r>
      <w:r>
        <w:rPr>
          <w:vertAlign w:val="subscript"/>
        </w:rPr>
        <w:t>3</w:t>
      </w:r>
      <w:r>
        <w:t>)</w:t>
      </w:r>
      <w:r>
        <w:rPr>
          <w:vertAlign w:val="subscript"/>
        </w:rPr>
        <w:t>2</w:t>
      </w:r>
      <w:r>
        <w:t>Br</w:t>
      </w:r>
      <w:r>
        <w:rPr>
          <w:vertAlign w:val="subscript"/>
        </w:rPr>
        <w:t>2</w:t>
      </w:r>
      <w:r>
        <w:t>and Cs</w:t>
      </w:r>
      <w:r>
        <w:rPr>
          <w:vertAlign w:val="subscript"/>
        </w:rPr>
        <w:t>2</w:t>
      </w:r>
      <w:r>
        <w:t>Pb(NO</w:t>
      </w:r>
      <w:r>
        <w:rPr>
          <w:vertAlign w:val="subscript"/>
        </w:rPr>
        <w:t>3</w:t>
      </w:r>
      <w:r>
        <w:t>)</w:t>
      </w:r>
      <w:r>
        <w:rPr>
          <w:vertAlign w:val="subscript"/>
        </w:rPr>
        <w:t>2</w:t>
      </w:r>
      <w:r>
        <w:t>Br</w:t>
      </w:r>
      <w:r>
        <w:t xml:space="preserve"> </w:t>
      </w:r>
      <w:r>
        <w:t>2‐x</w:t>
      </w:r>
      <w:r>
        <w:t xml:space="preserve"> </w:t>
      </w:r>
      <w:r>
        <w:t>Cl</w:t>
      </w:r>
      <w:r>
        <w:t xml:space="preserve"> </w:t>
      </w:r>
      <w:r>
        <w:t>x</w:t>
      </w:r>
      <w:r>
        <w:t xml:space="preserve"> </w:t>
      </w:r>
      <w:r>
        <w:t>, offering a new design strategy for stimulus‐responsive perovskite materials.</w:t>
      </w:r>
    </w:p>
    <w:p>
      <w:pPr>
        <w:spacing w:before="120" w:after="120"/>
      </w:pPr>
      <w:r>
        <w:rPr>
          <w:sz w:val="18"/>
        </w:rPr>
        <w:t>——————————————————————————————————————————————————————————————————————</w:t>
      </w:r>
    </w:p>
    <w:p>
      <w:pPr>
        <w:spacing w:before="160" w:after="80" w:line="240" w:lineRule="auto"/>
      </w:pPr>
      <w:r>
        <w:rPr>
          <w:b/>
        </w:rPr>
        <w:t xml:space="preserve">[152] </w:t>
      </w:r>
      <w:hyperlink r:id="rId264">
        <w:r>
          <w:rPr>
            <w:color w:val="1155CC"/>
            <w:u w:val="single"/>
          </w:rPr>
          <w:t>Linker Enantiomericity Engineering in Reticular Frameworks for Architecting Robust Materials with Synergetic Open Metal Sites for Efficient SF6 Capture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65">
        <w:r>
          <w:rPr>
            <w:color w:val="1155CC"/>
            <w:u w:val="single"/>
          </w:rPr>
          <w:t>10.1002/anie.202520576</w:t>
        </w:r>
      </w:hyperlink>
    </w:p>
    <w:p>
      <w:pPr>
        <w:spacing w:before="0" w:after="120"/>
      </w:pPr>
      <w:r>
        <w:rPr>
          <w:b/>
        </w:rPr>
        <w:t xml:space="preserve">Notes: </w:t>
      </w:r>
      <w:r>
        <w:t>abstract_source=crossref</w:t>
      </w:r>
    </w:p>
    <w:p>
      <w:pPr>
        <w:spacing w:before="0" w:after="200" w:lineRule="auto" w:line="276"/>
      </w:pPr>
      <w:r>
        <w:rPr>
          <w:b/>
        </w:rPr>
        <w:t xml:space="preserve">Abstract: </w:t>
      </w:r>
      <w:r>
        <w:t>Chiral linkers offer built‐in enantiomericity capable of regulating pore microenvironments or even net dimensions and topologies of the resulting reticular frameworks. Whereas it has been established that enantiopure and racemic linkers can form significantly different structures upon metal directed coordination assembly, such examples are still extremely rare and occur largely through serendipity rather than rational design. In this work, guided by the intrinsically chiral topology concept established in reticular frameworks and the Wallach's rule that racemic crystals are denser than chiral ones in supramolecular systems, we target a unique example where enantiopure linker gives a homochiral 3D porous and robust framework (</w:t>
      </w:r>
      <w:r>
        <w:t xml:space="preserve"> </w:t>
      </w:r>
      <w:r>
        <w:t>S</w:t>
      </w:r>
      <w:r>
        <w:t xml:space="preserve"> </w:t>
      </w:r>
      <w:r>
        <w:t>‐TAMOF‐3D) with intrinsically chiral (10,3)‐a</w:t>
      </w:r>
      <w:r>
        <w:t xml:space="preserve"> </w:t>
      </w:r>
      <w:r>
        <w:t>srs</w:t>
      </w:r>
      <w:r>
        <w:t xml:space="preserve"> </w:t>
      </w:r>
      <w:r>
        <w:t>topology while the racemic linker exclusively produces a 2D dense and non‐porous layered structure (</w:t>
      </w:r>
      <w:r>
        <w:t xml:space="preserve"> </w:t>
      </w:r>
      <w:r>
        <w:t>race</w:t>
      </w:r>
      <w:r>
        <w:t xml:space="preserve"> </w:t>
      </w:r>
      <w:r>
        <w:t>‐TAMOF‐2D), upon crystallization with Cu ions in water at room temperature. This experimental observation points to the fact that linker enantiomericity could lead to structural diversity much greater than has hitherto been suspected. Moreover, the activated</w:t>
      </w:r>
      <w:r>
        <w:t xml:space="preserve"> </w:t>
      </w:r>
      <w:r>
        <w:t>S</w:t>
      </w:r>
      <w:r>
        <w:t xml:space="preserve"> </w:t>
      </w:r>
      <w:r>
        <w:t>‐TAMOF‐3D shows triangle‐shaped cavities decorated with exposed open Cu</w:t>
      </w:r>
      <w:r>
        <w:t xml:space="preserve"> </w:t>
      </w:r>
      <w:r>
        <w:t>2+</w:t>
      </w:r>
      <w:r>
        <w:t xml:space="preserve"> </w:t>
      </w:r>
      <w:r>
        <w:t>sites, which work synergistically to bind SF</w:t>
      </w:r>
      <w:r>
        <w:rPr>
          <w:vertAlign w:val="subscript"/>
        </w:rPr>
        <w:t>6</w:t>
      </w:r>
      <w:r>
        <w:t>molecules with outstanding SF</w:t>
      </w:r>
      <w:r>
        <w:rPr>
          <w:vertAlign w:val="subscript"/>
        </w:rPr>
        <w:t>6</w:t>
      </w:r>
      <w:r>
        <w:t>/N</w:t>
      </w:r>
      <w:r>
        <w:rPr>
          <w:vertAlign w:val="subscript"/>
        </w:rPr>
        <w:t>2</w:t>
      </w:r>
      <w:r>
        <w:t>separation performance, as validated by extensive sorption and breakthrough experiments as well as theoretical simulations. Our work suggests that beyond molecular systems, Wallach's rule can also be leveraged to guide the design of extended reticular materials that otherwise are unachievable via traditional linker engineering strategies, thus offering a new methodology for architecting reticular materials with enhanced functions.</w:t>
      </w:r>
    </w:p>
    <w:p>
      <w:pPr>
        <w:spacing w:before="120" w:after="120"/>
      </w:pPr>
      <w:r>
        <w:rPr>
          <w:sz w:val="18"/>
        </w:rPr>
        <w:t>——————————————————————————————————————————————————————————————————————</w:t>
      </w:r>
    </w:p>
    <w:p>
      <w:pPr>
        <w:spacing w:before="160" w:after="80" w:line="240" w:lineRule="auto"/>
      </w:pPr>
      <w:r>
        <w:rPr>
          <w:b/>
        </w:rPr>
        <w:t xml:space="preserve">[153] </w:t>
      </w:r>
      <w:hyperlink r:id="rId266">
        <w:r>
          <w:rPr>
            <w:color w:val="1155CC"/>
            <w:u w:val="single"/>
          </w:rPr>
          <w:t>Suppression of Excimer Formation via Conjugation‐Driven Interactions in Crosslinked Hole Transport Layer for Efficient Blue Quantum Dot Light‐Emitting Diodes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67">
        <w:r>
          <w:rPr>
            <w:color w:val="1155CC"/>
            <w:u w:val="single"/>
          </w:rPr>
          <w:t>10.1002/anie.202519610</w:t>
        </w:r>
      </w:hyperlink>
    </w:p>
    <w:p>
      <w:pPr>
        <w:spacing w:before="0" w:after="120"/>
      </w:pPr>
      <w:r>
        <w:rPr>
          <w:b/>
        </w:rPr>
        <w:t xml:space="preserve">Notes: </w:t>
      </w:r>
      <w:r>
        <w:t>abstract_source=crossref</w:t>
      </w:r>
    </w:p>
    <w:p>
      <w:pPr>
        <w:spacing w:before="0" w:after="200" w:lineRule="auto" w:line="276"/>
      </w:pPr>
      <w:r>
        <w:rPr>
          <w:b/>
        </w:rPr>
        <w:t xml:space="preserve">Abstract: </w:t>
      </w:r>
      <w:r>
        <w:t>Blue quantum dot light‐emitting diodes (QLEDs), underperforming relative to red and green counterparts, shoulder the critical responsibility for full‐color displays. Crosslinked 9,9′‐([1,1′‐biphenyl]‐4,4′‐diyl)bis(3‐ethenyl‐9H‐carbazole) (CBP‐V), owning a deep HOMO level (∼−5.9 eV), is a promising hole transport layer (HTL) candidate for blue QLEDs. However, π–π interactions and molecular rotatability in CBP‐V promote parallel stacking and electron cloud overlap. This gives rise to excimer formation, which exacerbates the energy‐level disorder in crosslinked CBP‐V and thus degrades its hole mobility. Herein, 2,6‐bis(3‐(9H‐carbazol‐9‐yl)phenyl)pyridine (26DCzPPy) and 4,4′,4″‐tris(carbazol‐9‐yl)‐triphenylamine (TCTA), featuring analogous phenylcarbazole structural fragments, are incorporated into CBP‐V to suppress excimer formation via a conjugate‐interaction‐driven strategy. The asymmetric configuration of 26DCzPPy and the branched architecture of TCTA enable modulation of molecular stacking behavior and suppress parallel stacking of CBP‐V during the crosslinking process. This realizes spatial segregation of CBP‐V and thus eliminates the prerequisite for excimer formation. Resultantly, suppression of excimer allows HTL to achieve a tenfold enhancement of hole mobility from 5.37 × 10</w:t>
      </w:r>
      <w:r>
        <w:t xml:space="preserve"> </w:t>
      </w:r>
      <w:r>
        <w:t>−4</w:t>
      </w:r>
      <w:r>
        <w:t xml:space="preserve"> </w:t>
      </w:r>
      <w:r>
        <w:t>to 5.97 × 10</w:t>
      </w:r>
      <w:r>
        <w:t xml:space="preserve"> </w:t>
      </w:r>
      <w:r>
        <w:t>−3</w:t>
      </w:r>
      <w:r>
        <w:t xml:space="preserve"> </w:t>
      </w:r>
      <w:r>
        <w:t>cm</w:t>
      </w:r>
      <w:r>
        <w:rPr>
          <w:vertAlign w:val="subscript"/>
        </w:rPr>
        <w:t>2</w:t>
      </w:r>
      <w:r>
        <w:t>·V</w:t>
      </w:r>
      <w:r>
        <w:t xml:space="preserve"> </w:t>
      </w:r>
      <w:r>
        <w:t>−1</w:t>
      </w:r>
      <w:r>
        <w:t xml:space="preserve"> </w:t>
      </w:r>
      <w:r>
        <w:t>·s</w:t>
      </w:r>
      <w:r>
        <w:t xml:space="preserve"> </w:t>
      </w:r>
      <w:r>
        <w:t>−1</w:t>
      </w:r>
      <w:r>
        <w:t xml:space="preserve"> </w:t>
      </w:r>
      <w:r>
        <w:t>. Target QLEDs gain prominent enhancements in external quantum efficiencies for deep‐blue emission (456 nm) from 11.48% to 22.92% and pure‐blue emission (470 nm) from 13.39% to 24.12%, with maximum brightness values of 29735 and 91268 cd m</w:t>
      </w:r>
      <w:r>
        <w:t xml:space="preserve"> </w:t>
      </w:r>
      <w:r>
        <w:t>−2</w:t>
      </w:r>
      <w:r>
        <w:t xml:space="preserve"> </w:t>
      </w:r>
      <w:r>
        <w:t>.</w:t>
      </w:r>
    </w:p>
    <w:p>
      <w:pPr>
        <w:spacing w:before="120" w:after="120"/>
      </w:pPr>
      <w:r>
        <w:rPr>
          <w:sz w:val="18"/>
        </w:rPr>
        <w:t>——————————————————————————————————————————————————————————————————————</w:t>
      </w:r>
    </w:p>
    <w:p>
      <w:pPr>
        <w:spacing w:before="160" w:after="80" w:line="240" w:lineRule="auto"/>
      </w:pPr>
      <w:r>
        <w:rPr>
          <w:b/>
        </w:rPr>
        <w:t xml:space="preserve">[154] </w:t>
      </w:r>
      <w:hyperlink r:id="rId268">
        <w:r>
          <w:rPr>
            <w:color w:val="1155CC"/>
            <w:u w:val="single"/>
          </w:rPr>
          <w:t>High‐Loading Gel Cathodes Enabling Energetic Zinc Metal Batteries with Device‐Level Capacities Beyond 100 Ah L−1</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69">
        <w:r>
          <w:rPr>
            <w:color w:val="1155CC"/>
            <w:u w:val="single"/>
          </w:rPr>
          <w:t>10.1002/anie.202521452</w:t>
        </w:r>
      </w:hyperlink>
    </w:p>
    <w:p>
      <w:pPr>
        <w:spacing w:before="0" w:after="120"/>
      </w:pPr>
      <w:r>
        <w:rPr>
          <w:b/>
        </w:rPr>
        <w:t xml:space="preserve">Notes: </w:t>
      </w:r>
      <w:r>
        <w:t>abstract_source=crossref</w:t>
      </w:r>
    </w:p>
    <w:p>
      <w:pPr>
        <w:spacing w:before="0" w:after="200" w:lineRule="auto" w:line="276"/>
      </w:pPr>
      <w:r>
        <w:rPr>
          <w:b/>
        </w:rPr>
        <w:t xml:space="preserve">Abstract: </w:t>
      </w:r>
      <w:r>
        <w:t>Zinc metal batteries offer high theoretical capacity but are hindered by the absence of cathodes with capable of matching zinc anodes at high loadings. Herein, we present a gel cathode architecture that leverages the compatibility of hydrogels with aqueous batteries to integrate strong interfacial wettability and a porous framework. This design reduces ion transport tortuosity, accelerates interfacial kinetics, and enables an unprecedented active material loading of 60 mg cm</w:t>
      </w:r>
      <w:r>
        <w:t xml:space="preserve"> </w:t>
      </w:r>
      <w:r>
        <w:t>−2</w:t>
      </w:r>
      <w:r>
        <w:t xml:space="preserve"> </w:t>
      </w:r>
      <w:r>
        <w:t>. As a result, full cells paired with zinc anodes achieve a state‐of‐the‐art volumetric capacity of 120 Ah L</w:t>
      </w:r>
      <w:r>
        <w:t xml:space="preserve"> </w:t>
      </w:r>
      <w:r>
        <w:t>−1</w:t>
      </w:r>
      <w:r>
        <w:t xml:space="preserve"> </w:t>
      </w:r>
      <w:r>
        <w:t>. Furthermore, a 1.8 Ah pouch cell validates the scalability and practical feasibility of this approach, establishing a versatile pathway for developing high‐loading cathodes and advancing energetic zinc metal batteries.</w:t>
      </w:r>
    </w:p>
    <w:p>
      <w:pPr>
        <w:spacing w:before="120" w:after="120"/>
      </w:pPr>
      <w:r>
        <w:rPr>
          <w:sz w:val="18"/>
        </w:rPr>
        <w:t>——————————————————————————————————————————————————————————————————————</w:t>
      </w:r>
    </w:p>
    <w:p>
      <w:pPr>
        <w:spacing w:before="160" w:after="80" w:line="240" w:lineRule="auto"/>
      </w:pPr>
      <w:r>
        <w:rPr>
          <w:b/>
        </w:rPr>
        <w:t xml:space="preserve">[155] </w:t>
      </w:r>
      <w:hyperlink r:id="rId270">
        <w:r>
          <w:rPr>
            <w:color w:val="1155CC"/>
            <w:u w:val="single"/>
          </w:rPr>
          <w:t>C─H Silylation of Unactivated Arenes Catalyzed by a Borenium/Pyridine Lewis Pair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71">
        <w:r>
          <w:rPr>
            <w:color w:val="1155CC"/>
            <w:u w:val="single"/>
          </w:rPr>
          <w:t>10.1002/anie.202520852</w:t>
        </w:r>
      </w:hyperlink>
    </w:p>
    <w:p>
      <w:pPr>
        <w:spacing w:before="0" w:after="120"/>
      </w:pPr>
      <w:r>
        <w:rPr>
          <w:b/>
        </w:rPr>
        <w:t xml:space="preserve">Notes: </w:t>
      </w:r>
      <w:r>
        <w:t>abstract_source=crossref</w:t>
      </w:r>
    </w:p>
    <w:p>
      <w:pPr>
        <w:spacing w:before="0" w:after="200" w:lineRule="auto" w:line="276"/>
      </w:pPr>
      <w:r>
        <w:rPr>
          <w:b/>
        </w:rPr>
        <w:t xml:space="preserve">Abstract: </w:t>
      </w:r>
      <w:r>
        <w:t>Non‐noble‐metal‐catalyzed C─H silylation of arenes provides a straightforward and sustainable method for the functionalization of arenes. However, to date, it has been limited to electron‐rich arenes. Here we report a Lewis pair, composed of a highly Lewis acidic borenium ion and a weak pyridine base, can catalyze C─H silylation of benzene and other unactivated arenes with H</w:t>
      </w:r>
      <w:r>
        <w:rPr>
          <w:vertAlign w:val="subscript"/>
        </w:rPr>
        <w:t>2</w:t>
      </w:r>
      <w:r>
        <w:t>SiAr</w:t>
      </w:r>
      <w:r>
        <w:t xml:space="preserve"> </w:t>
      </w:r>
      <w:r>
        <w:t>F</w:t>
      </w:r>
      <w:r>
        <w:rPr>
          <w:vertAlign w:val="subscript"/>
        </w:rPr>
        <w:t>2</w:t>
      </w:r>
      <w:r>
        <w:t>(Ar</w:t>
      </w:r>
      <w:r>
        <w:t xml:space="preserve"> </w:t>
      </w:r>
      <w:r>
        <w:t>F</w:t>
      </w:r>
      <w:r>
        <w:t xml:space="preserve"> </w:t>
      </w:r>
      <w:r>
        <w:t>= 2,4,6‐trifluorophenyl) as silylation reagent under neat conditions. Unlike most of its noble metal counterparts, this metal‐free system does not require stoichiometric sacrificial hydrogen acceptors. Additionally, this system can be applied for direct C─H silylation of polystyrene, opening a new avenue for the functionalization of polystyrene. Our mechanistic investigations revealed that the activation of H</w:t>
      </w:r>
      <w:r>
        <w:rPr>
          <w:vertAlign w:val="subscript"/>
        </w:rPr>
        <w:t>2</w:t>
      </w:r>
      <w:r>
        <w:t>SiAr</w:t>
      </w:r>
      <w:r>
        <w:t xml:space="preserve"> </w:t>
      </w:r>
      <w:r>
        <w:t>F</w:t>
      </w:r>
      <w:r>
        <w:rPr>
          <w:vertAlign w:val="subscript"/>
        </w:rPr>
        <w:t>2</w:t>
      </w:r>
      <w:r>
        <w:t>by the Lewis pair leads to the formation of a pyridine‐coordinated silylium intermediate, which was isolated and characterized by X‐ray diffraction analysis. Kinetic isotope effect (KIE) studies and theoretical calculations suggest that the C─H activation mediated by this silylium intermediate is likely the rate‐limiting step.</w:t>
      </w:r>
    </w:p>
    <w:p>
      <w:pPr>
        <w:spacing w:before="120" w:after="120"/>
      </w:pPr>
      <w:r>
        <w:rPr>
          <w:sz w:val="18"/>
        </w:rPr>
        <w:t>——————————————————————————————————————————————————————————————————————</w:t>
      </w:r>
    </w:p>
    <w:p>
      <w:pPr>
        <w:spacing w:before="160" w:after="80" w:line="240" w:lineRule="auto"/>
      </w:pPr>
      <w:r>
        <w:rPr>
          <w:b/>
        </w:rPr>
        <w:t xml:space="preserve">[156] </w:t>
      </w:r>
      <w:hyperlink r:id="rId272">
        <w:r>
          <w:rPr>
            <w:color w:val="1155CC"/>
            <w:u w:val="single"/>
          </w:rPr>
          <w:t>Reply to Correspondence on “Suppressing Energy Migration via Antiparallel Spin Alignment in One‐Dimensional Mn2+ Halide Magnets with High Luminescence Efficiency”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73">
        <w:r>
          <w:rPr>
            <w:color w:val="1155CC"/>
            <w:u w:val="single"/>
          </w:rPr>
          <w:t>10.1002/anie.202519218</w:t>
        </w:r>
      </w:hyperlink>
    </w:p>
    <w:p>
      <w:pPr>
        <w:spacing w:before="0" w:after="120"/>
      </w:pPr>
      <w:r>
        <w:rPr>
          <w:b/>
        </w:rPr>
        <w:t xml:space="preserve">Notes: </w:t>
      </w:r>
      <w:r>
        <w:t>abstract_source=crossref</w:t>
      </w:r>
    </w:p>
    <w:p>
      <w:pPr>
        <w:spacing w:before="0" w:after="200" w:lineRule="auto" w:line="276"/>
      </w:pPr>
      <w:r>
        <w:rPr>
          <w:b/>
        </w:rPr>
        <w:t xml:space="preserve">Abstract: </w:t>
      </w:r>
      <w:r>
        <w:t>To address concerns regarding the photoluminescence quantum yield (PLQY) or radiative rate (</w:t>
      </w:r>
      <w:r>
        <w:t xml:space="preserve"> </w:t>
      </w:r>
      <w:r>
        <w:t>k</w:t>
      </w:r>
      <w:r>
        <w:t xml:space="preserve"> </w:t>
      </w:r>
      <w:r>
        <w:t>r</w:t>
      </w:r>
      <w:r>
        <w:t xml:space="preserve"> </w:t>
      </w:r>
      <w:r>
        <w:t>) of Cd</w:t>
      </w:r>
      <w:r>
        <w:t xml:space="preserve"> </w:t>
      </w:r>
      <w:r>
        <w:t>2+</w:t>
      </w:r>
      <w:r>
        <w:t xml:space="preserve"> </w:t>
      </w:r>
      <w:r>
        <w:t>doped (CH</w:t>
      </w:r>
      <w:r>
        <w:rPr>
          <w:vertAlign w:val="subscript"/>
        </w:rPr>
        <w:t>3</w:t>
      </w:r>
      <w:r>
        <w:t>)</w:t>
      </w:r>
      <w:r>
        <w:rPr>
          <w:vertAlign w:val="subscript"/>
        </w:rPr>
        <w:t>4</w:t>
      </w:r>
      <w:r>
        <w:t>NMnCl</w:t>
      </w:r>
      <w:r>
        <w:rPr>
          <w:vertAlign w:val="subscript"/>
        </w:rPr>
        <w:t>3</w:t>
      </w:r>
      <w:r>
        <w:t>(TMMC:0.2Cd</w:t>
      </w:r>
      <w:r>
        <w:t xml:space="preserve"> </w:t>
      </w:r>
      <w:r>
        <w:t>2+</w:t>
      </w:r>
      <w:r>
        <w:t xml:space="preserve"> </w:t>
      </w:r>
      <w:r>
        <w:t>), we conducted additional experiments on Cu impurity content, PLQY, and magneto‐optical spectra of both TMMC and TMMC:0.2Cd</w:t>
      </w:r>
      <w:r>
        <w:t xml:space="preserve"> </w:t>
      </w:r>
      <w:r>
        <w:t>2+</w:t>
      </w:r>
      <w:r>
        <w:t xml:space="preserve"> </w:t>
      </w:r>
      <w:r>
        <w:t>. Our results show that TMMC consistently exhibits a higher PLQY than TMMC:0.2Cd</w:t>
      </w:r>
      <w:r>
        <w:t xml:space="preserve"> </w:t>
      </w:r>
      <w:r>
        <w:t>2+</w:t>
      </w:r>
      <w:r>
        <w:t xml:space="preserve"> </w:t>
      </w:r>
      <w:r>
        <w:t>, even though TMMC contains trace Cu impurities, which typically act as luminescence‐quenching centers. The PLQY and</w:t>
      </w:r>
      <w:r>
        <w:t xml:space="preserve"> </w:t>
      </w:r>
      <w:r>
        <w:t>k</w:t>
      </w:r>
      <w:r>
        <w:t xml:space="preserve"> </w:t>
      </w:r>
      <w:r>
        <w:t>r</w:t>
      </w:r>
      <w:r>
        <w:t xml:space="preserve"> </w:t>
      </w:r>
      <w:r>
        <w:t>values for TMMC:0.2Cd</w:t>
      </w:r>
      <w:r>
        <w:t xml:space="preserve"> </w:t>
      </w:r>
      <w:r>
        <w:t>2+</w:t>
      </w:r>
      <w:r>
        <w:t xml:space="preserve"> </w:t>
      </w:r>
      <w:r>
        <w:t>in our previous study may have been underestimated due to the susceptibility of halide samples and PLQY measurements to experimental conditions and the absence of a standardized measurement method. However, the predicted radiative rate (</w:t>
      </w:r>
      <w:r>
        <w:t xml:space="preserve"> </w:t>
      </w:r>
      <w:r>
        <w:t>k</w:t>
      </w:r>
      <w:r>
        <w:t xml:space="preserve"> </w:t>
      </w:r>
      <w:r>
        <w:t>r</w:t>
      </w:r>
      <w:r>
        <w:t xml:space="preserve"> </w:t>
      </w:r>
      <w:r>
        <w:t>= 1.12 × 10</w:t>
      </w:r>
      <w:r>
        <w:rPr>
          <w:vertAlign w:val="subscript"/>
        </w:rPr>
        <w:t>3</w:t>
      </w:r>
      <w:r>
        <w:t>s</w:t>
      </w:r>
      <w:r>
        <w:t xml:space="preserve"> </w:t>
      </w:r>
      <w:r>
        <w:t>−1</w:t>
      </w:r>
      <w:r>
        <w:t xml:space="preserve"> </w:t>
      </w:r>
      <w:r>
        <w:t>) for TMMC:0.2Cd</w:t>
      </w:r>
      <w:r>
        <w:t xml:space="preserve"> </w:t>
      </w:r>
      <w:r>
        <w:t>2+</w:t>
      </w:r>
      <w:r>
        <w:t xml:space="preserve"> </w:t>
      </w:r>
      <w:r>
        <w:t>, as derived from the pressure‐dependent model in the Correspondence, leads to an unphysical negative nonradiative rate (</w:t>
      </w:r>
      <w:r>
        <w:t xml:space="preserve"> </w:t>
      </w:r>
      <w:r>
        <w:t>k</w:t>
      </w:r>
      <w:r>
        <w:t xml:space="preserve"> </w:t>
      </w:r>
      <w:r>
        <w:t>nr</w:t>
      </w:r>
      <w:r>
        <w:t xml:space="preserve"> </w:t>
      </w:r>
      <w:r>
        <w:t>) when considering the experimentally observed decay lifetime of 0.935 ms. This inconsistency renders the predicted data unconvincing, despite the theoretical validity of the model. Furthermore, the field‐dependent PL intensities and decay lifetimes of TMMC and TMMC:0.2Cd</w:t>
      </w:r>
      <w:r>
        <w:t xml:space="preserve"> </w:t>
      </w:r>
      <w:r>
        <w:t>2+</w:t>
      </w:r>
      <w:r>
        <w:t xml:space="preserve"> </w:t>
      </w:r>
      <w:r>
        <w:t>confirm that the antiparallel spin ordering of Mn</w:t>
      </w:r>
      <w:r>
        <w:t xml:space="preserve"> </w:t>
      </w:r>
      <w:r>
        <w:t>2+</w:t>
      </w:r>
      <w:r>
        <w:t xml:space="preserve"> </w:t>
      </w:r>
      <w:r>
        <w:t>ions plays a role similar to Cd</w:t>
      </w:r>
      <w:r>
        <w:t xml:space="preserve"> </w:t>
      </w:r>
      <w:r>
        <w:t>2+</w:t>
      </w:r>
      <w:r>
        <w:t xml:space="preserve"> </w:t>
      </w:r>
      <w:r>
        <w:t>in suppressing excitonic energy migration toward Cu</w:t>
      </w:r>
      <w:r>
        <w:t xml:space="preserve"> </w:t>
      </w:r>
      <w:r>
        <w:t>2+</w:t>
      </w:r>
      <w:r>
        <w:t xml:space="preserve"> </w:t>
      </w:r>
      <w:r>
        <w:t>trapping centers.</w:t>
      </w:r>
    </w:p>
    <w:p>
      <w:pPr>
        <w:spacing w:before="120" w:after="120"/>
      </w:pPr>
      <w:r>
        <w:rPr>
          <w:sz w:val="18"/>
        </w:rPr>
        <w:t>——————————————————————————————————————————————————————————————————————</w:t>
      </w:r>
    </w:p>
    <w:p>
      <w:pPr>
        <w:spacing w:before="160" w:after="80" w:line="240" w:lineRule="auto"/>
      </w:pPr>
      <w:r>
        <w:rPr>
          <w:b/>
        </w:rPr>
        <w:t xml:space="preserve">[157] </w:t>
      </w:r>
      <w:hyperlink r:id="rId274">
        <w:r>
          <w:rPr>
            <w:color w:val="1155CC"/>
            <w:u w:val="single"/>
          </w:rPr>
          <w:t>Synthesis of 2‐Chlorocyclopropene‐Tethered Diazocarbonyl Compounds and Their Cyclization to Form Poly‐Substituted Phenols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75">
        <w:r>
          <w:rPr>
            <w:color w:val="1155CC"/>
            <w:u w:val="single"/>
          </w:rPr>
          <w:t>10.1002/anie.202518722</w:t>
        </w:r>
      </w:hyperlink>
    </w:p>
    <w:p>
      <w:pPr>
        <w:spacing w:before="0" w:after="120"/>
      </w:pPr>
      <w:r>
        <w:rPr>
          <w:b/>
        </w:rPr>
        <w:t xml:space="preserve">Notes: </w:t>
      </w:r>
      <w:r>
        <w:t>abstract_source=crossref</w:t>
      </w:r>
    </w:p>
    <w:p>
      <w:pPr>
        <w:spacing w:before="0" w:after="200" w:lineRule="auto" w:line="276"/>
      </w:pPr>
      <w:r>
        <w:rPr>
          <w:b/>
        </w:rPr>
        <w:t xml:space="preserve">Abstract: </w:t>
      </w:r>
      <w:r>
        <w:t>Herein, we disclose a dual C─F bond functionalization of</w:t>
      </w:r>
      <w:r>
        <w:t xml:space="preserve"> </w:t>
      </w:r>
      <w:r>
        <w:t>gem</w:t>
      </w:r>
      <w:r>
        <w:t xml:space="preserve"> </w:t>
      </w:r>
      <w:r>
        <w:t>‐difluorocyclopropenes using a catalytic amount of TiCl</w:t>
      </w:r>
      <w:r>
        <w:rPr>
          <w:vertAlign w:val="subscript"/>
        </w:rPr>
        <w:t>4</w:t>
      </w:r>
      <w:r>
        <w:t>. The reaction proceeds through a sequential nucleophilic addition of chloride and silyl diazoenolates to the nonsymmetric cyclopropenium cations generated by the fluoride abstraction. The preferential monofluorocyclopropenium‐titanate(IV) salts enable an efficient halogen transfer within the ion pairs, thus providing the opportunity to accept the addition of another type of nucleophiles. A stable [(PhC</w:t>
      </w:r>
      <w:r>
        <w:rPr>
          <w:vertAlign w:val="subscript"/>
        </w:rPr>
        <w:t>3</w:t>
      </w:r>
      <w:r>
        <w:t>HCl)</w:t>
      </w:r>
      <w:r>
        <w:t xml:space="preserve"> </w:t>
      </w:r>
      <w:r>
        <w:t>+</w:t>
      </w:r>
      <w:r>
        <w:t xml:space="preserve"> </w:t>
      </w:r>
      <w:r>
        <w:t>]</w:t>
      </w:r>
      <w:r>
        <w:rPr>
          <w:vertAlign w:val="subscript"/>
        </w:rPr>
        <w:t>2</w:t>
      </w:r>
      <w:r>
        <w:t>[Ti</w:t>
      </w:r>
      <w:r>
        <w:rPr>
          <w:vertAlign w:val="subscript"/>
        </w:rPr>
        <w:t>4</w:t>
      </w:r>
      <w:r>
        <w:t>Cl</w:t>
      </w:r>
      <w:r>
        <w:rPr>
          <w:vertAlign w:val="subscript"/>
        </w:rPr>
        <w:t>12</w:t>
      </w:r>
      <w:r>
        <w:t>F</w:t>
      </w:r>
      <w:r>
        <w:rPr>
          <w:vertAlign w:val="subscript"/>
        </w:rPr>
        <w:t>6</w:t>
      </w:r>
      <w:r>
        <w:t>]</w:t>
      </w:r>
      <w:r>
        <w:t xml:space="preserve"> </w:t>
      </w:r>
      <w:r>
        <w:t>2−</w:t>
      </w:r>
      <w:r>
        <w:t>salt was isolated, and its structure was confirmed by X‐ray crystal diffraction. The chemo‐ and regioselective addition of two different nucleophiles gives vicinal substitution products regardless of the electronic properties of substituents on the</w:t>
      </w:r>
      <w:r>
        <w:t xml:space="preserve"> </w:t>
      </w:r>
      <w:r>
        <w:t>gem</w:t>
      </w:r>
      <w:r>
        <w:t xml:space="preserve"> </w:t>
      </w:r>
      <w:r>
        <w:t>‐difluorocyclopropenes and the sizes of nucleophiles. Various 2‐chlorocyclopropene‐tethered diazocarbonyl compounds were prepared with the tolerance of a wide range of functional groups. The synthetic utility of the resultant products was demonstrated by the discovery of a new poly‐substituted phenol synthesis via a Rh(II)‐catalyzed cyclization reaction.</w:t>
      </w:r>
    </w:p>
    <w:p>
      <w:pPr>
        <w:spacing w:before="120" w:after="120"/>
      </w:pPr>
      <w:r>
        <w:rPr>
          <w:sz w:val="18"/>
        </w:rPr>
        <w:t>——————————————————————————————————————————————————————————————————————</w:t>
      </w:r>
    </w:p>
    <w:p>
      <w:pPr>
        <w:spacing w:before="160" w:after="80" w:line="240" w:lineRule="auto"/>
      </w:pPr>
      <w:r>
        <w:rPr>
          <w:b/>
        </w:rPr>
        <w:t xml:space="preserve">[158] </w:t>
      </w:r>
      <w:hyperlink r:id="rId276">
        <w:r>
          <w:rPr>
            <w:color w:val="1155CC"/>
            <w:u w:val="single"/>
          </w:rPr>
          <w:t>Plasmon‐Enhanced CO2 Methanation over Au@Ru/TiO2 via Nanoscale Control of Ru Shell Thickness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77">
        <w:r>
          <w:rPr>
            <w:color w:val="1155CC"/>
            <w:u w:val="single"/>
          </w:rPr>
          <w:t>10.1002/anie.202518748</w:t>
        </w:r>
      </w:hyperlink>
    </w:p>
    <w:p>
      <w:pPr>
        <w:spacing w:before="0" w:after="120"/>
      </w:pPr>
      <w:r>
        <w:rPr>
          <w:b/>
        </w:rPr>
        <w:t xml:space="preserve">Notes: </w:t>
      </w:r>
      <w:r>
        <w:t>abstract_source=crossref</w:t>
      </w:r>
    </w:p>
    <w:p>
      <w:pPr>
        <w:spacing w:before="0" w:after="200" w:lineRule="auto" w:line="276"/>
      </w:pPr>
      <w:r>
        <w:rPr>
          <w:b/>
        </w:rPr>
        <w:t xml:space="preserve">Abstract: </w:t>
      </w:r>
      <w:r>
        <w:t>Plasmonic‐catalytic nanostructures enable coupling light harvesting with chemical transformations, yet their performance critically depends on nanoscale architecture and metal‐support interactions. Here, we synthesize Au@Ru core–shell nanoparticles with tunable Ru coverage and immobilize them on TiO</w:t>
      </w:r>
      <w:r>
        <w:rPr>
          <w:vertAlign w:val="subscript"/>
        </w:rPr>
        <w:t>2</w:t>
      </w:r>
      <w:r>
        <w:t>to create hybrid catalysts for CO</w:t>
      </w:r>
      <w:r>
        <w:rPr>
          <w:vertAlign w:val="subscript"/>
        </w:rPr>
        <w:t>2</w:t>
      </w:r>
      <w:r>
        <w:t>methanation. By controlling Ru shell thickness, we identifyAu</w:t>
      </w:r>
      <w:r>
        <w:rPr>
          <w:vertAlign w:val="subscript"/>
        </w:rPr>
        <w:t>60</w:t>
      </w:r>
      <w:r>
        <w:t>Ru</w:t>
      </w:r>
      <w:r>
        <w:rPr>
          <w:vertAlign w:val="subscript"/>
        </w:rPr>
        <w:t>40</w:t>
      </w:r>
      <w:r>
        <w:t>/TiO</w:t>
      </w:r>
      <w:r>
        <w:rPr>
          <w:vertAlign w:val="subscript"/>
        </w:rPr>
        <w:t>2</w:t>
      </w:r>
      <w:r>
        <w:t>, featuring a thin, discontinuous shell (∼2 nm Ru nanocrystallites), as the most active composition. This catalyst combines abundant Ru active sites with preservation of the Au core's localized surface plasmon resonance (LSPR). Under 545 nm illumination, it shows a 335% rate enhancement over dark conditions at 190 °C, outperforming commercial Ru/C and remaining stable for 85 h. Optical, structural, and kinetic analysis indicate that illumination accelerates the methanation without changing the rate‐determining step, consistent with a dominant photothermal contribution. Density functional theory reveals that TiO</w:t>
      </w:r>
      <w:r>
        <w:rPr>
          <w:vertAlign w:val="subscript"/>
        </w:rPr>
        <w:t>2</w:t>
      </w:r>
      <w:r>
        <w:t>induces strong metal‐support interactions, upshifts the Ru d‐band center, strengthens CO</w:t>
      </w:r>
      <w:r>
        <w:rPr>
          <w:vertAlign w:val="subscript"/>
        </w:rPr>
        <w:t>2</w:t>
      </w:r>
      <w:r>
        <w:t>adsorption, and lowers the barrier for the first hydrogenation step, shifting the rate‐limiting step to CH</w:t>
      </w:r>
      <w:r>
        <w:rPr>
          <w:vertAlign w:val="subscript"/>
        </w:rPr>
        <w:t>4</w:t>
      </w:r>
      <w:r>
        <w:t>desorption. These results establish Au@Ru/TiO</w:t>
      </w:r>
      <w:r>
        <w:rPr>
          <w:vertAlign w:val="subscript"/>
        </w:rPr>
        <w:t>2</w:t>
      </w:r>
      <w:r>
        <w:t>as an efficient platform for visible‐light‐assisted thermocatalysis and demonstrates that nanoscale shell engineering as a generalizable strategy to optimize plasmonic catalysts for CO</w:t>
      </w:r>
      <w:r>
        <w:rPr>
          <w:vertAlign w:val="subscript"/>
        </w:rPr>
        <w:t>2</w:t>
      </w:r>
      <w:r>
        <w:t>hydrogenation and beyond.</w:t>
      </w:r>
    </w:p>
    <w:p>
      <w:pPr>
        <w:spacing w:before="120" w:after="120"/>
      </w:pPr>
      <w:r>
        <w:rPr>
          <w:sz w:val="18"/>
        </w:rPr>
        <w:t>——————————————————————————————————————————————————————————————————————</w:t>
      </w:r>
    </w:p>
    <w:p>
      <w:pPr>
        <w:spacing w:before="160" w:after="80" w:line="240" w:lineRule="auto"/>
      </w:pPr>
      <w:r>
        <w:rPr>
          <w:b/>
        </w:rPr>
        <w:t xml:space="preserve">[159] </w:t>
      </w:r>
      <w:hyperlink r:id="rId278">
        <w:r>
          <w:rPr>
            <w:color w:val="1155CC"/>
            <w:u w:val="single"/>
          </w:rPr>
          <w:t>Point‐of‐Care Diagnosis of Respiratory Viruses at Single‐Nucleotide Resolution with an Autocatalytic Rolling Circle Amplification System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79">
        <w:r>
          <w:rPr>
            <w:color w:val="1155CC"/>
            <w:u w:val="single"/>
          </w:rPr>
          <w:t>10.1002/anie.202518925</w:t>
        </w:r>
      </w:hyperlink>
    </w:p>
    <w:p>
      <w:pPr>
        <w:spacing w:before="0" w:after="120"/>
      </w:pPr>
      <w:r>
        <w:rPr>
          <w:b/>
        </w:rPr>
        <w:t xml:space="preserve">Notes: </w:t>
      </w:r>
      <w:r>
        <w:t>abstract_source=crossref</w:t>
      </w:r>
    </w:p>
    <w:p>
      <w:pPr>
        <w:spacing w:before="0" w:after="200" w:lineRule="auto" w:line="276"/>
      </w:pPr>
      <w:r>
        <w:rPr>
          <w:b/>
        </w:rPr>
        <w:t xml:space="preserve">Abstract: </w:t>
      </w:r>
      <w:r>
        <w:t>Amid the continuing epidemic of respiratory viruses (RVs), clinical diagnostics need scalable technologies that enable point‐of‐care testing of pathogenic viruses with high accuracy and specificity. Here, we propose an autocatalytic rolling circle amplification (A‐RCA) system for the precise identification of RV genomic markers through sequence‐specific target recognition and synergistic catalytic signal amplification. The system, which we incorporated into lateral‐flow strip tests, exploits the cross‐stimulation between deoxyribonuclease (DNAzyme) self‐cleavage reaction and rolling circle amplification (RCA) to exponentially amplify the recognition of virus RNA sequences for the visually perceptible signal transduction. With superior amplification efficiency, this innovative autocatalysis‐driven artificial reaction system facilitates the rapid and robust detection of various viral RNAs, including those of Severe Acute Respiratory Syndrome Coronavirus 2 (SARS‐CoV‐2), influenza A, and influenza B, with single‐nucleotide resolution, offering a portable diagnostic platform for unsupervised self‐examination of different RVs and their mutants. This modular A‐RCA system is adaptable for multiplexed viral RNA profiling in clinical nasopharyngeal swabs and implemented on lateral‐flow strip assays for point‐of‐care (POC) diagnostics. The accessibility and programmability of the A‐RCA system make it a promising candidate for epidemiological surveillance in resource‐limited settings, facilitating the prompt response to emerging RVs and the prevention of viral pandemics.</w:t>
      </w:r>
    </w:p>
    <w:p>
      <w:pPr>
        <w:spacing w:before="120" w:after="120"/>
      </w:pPr>
      <w:r>
        <w:rPr>
          <w:sz w:val="18"/>
        </w:rPr>
        <w:t>——————————————————————————————————————————————————————————————————————</w:t>
      </w:r>
    </w:p>
    <w:p>
      <w:pPr>
        <w:spacing w:before="160" w:after="80" w:line="240" w:lineRule="auto"/>
      </w:pPr>
      <w:r>
        <w:rPr>
          <w:b/>
        </w:rPr>
        <w:t xml:space="preserve">[160] </w:t>
      </w:r>
      <w:hyperlink r:id="rId280">
        <w:r>
          <w:rPr>
            <w:color w:val="1155CC"/>
            <w:u w:val="single"/>
          </w:rPr>
          <w:t>Diversity‐Oriented Post‐Polymerization Modifications by Developing gem‐Diboryl Polyolefin as a Platform Polymer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81">
        <w:r>
          <w:rPr>
            <w:color w:val="1155CC"/>
            <w:u w:val="single"/>
          </w:rPr>
          <w:t>10.1002/anie.202521643</w:t>
        </w:r>
      </w:hyperlink>
    </w:p>
    <w:p>
      <w:pPr>
        <w:spacing w:before="0" w:after="120"/>
      </w:pPr>
      <w:r>
        <w:rPr>
          <w:b/>
        </w:rPr>
        <w:t xml:space="preserve">Notes: </w:t>
      </w:r>
      <w:r>
        <w:t>abstract_source=crossref</w:t>
      </w:r>
    </w:p>
    <w:p>
      <w:pPr>
        <w:spacing w:before="0" w:after="200" w:lineRule="auto" w:line="276"/>
      </w:pPr>
      <w:r>
        <w:rPr>
          <w:b/>
        </w:rPr>
        <w:t xml:space="preserve">Abstract: </w:t>
      </w:r>
      <w:r>
        <w:t>Post‐polymerization modification (PPM) serves as a pivotal synthetic strategy for generating libraries of functional polymers from commodity precursors. The pursuit of practical and efficient PPM methods remains a longstanding objective in polymer chemistry. Herein, we report a novel diversity‐oriented post‐polymerization modification (DOPPM) protocol utilizing</w:t>
      </w:r>
      <w:r>
        <w:t xml:space="preserve"> </w:t>
      </w:r>
      <w:r>
        <w:t>gem</w:t>
      </w:r>
      <w:r>
        <w:t xml:space="preserve"> </w:t>
      </w:r>
      <w:r>
        <w:t>‐diboryl polyolefin as a platform polymer. This polymer is readily synthesized via radical ring‐opening polymerization of a</w:t>
      </w:r>
      <w:r>
        <w:t xml:space="preserve"> </w:t>
      </w:r>
      <w:r>
        <w:t>gem</w:t>
      </w:r>
      <w:r>
        <w:t xml:space="preserve"> </w:t>
      </w:r>
      <w:r>
        <w:t>‐diboryl‐substituted vinylcyclo‐propane monomer. Density functional theory calculations reveal that the diboryl moiety effectively stabilizes the ring‐opened propagating radical intermediate during polymerization, thereby promoting linear chain growth while suppressing competing</w:t>
      </w:r>
      <w:r>
        <w:t xml:space="preserve"> </w:t>
      </w:r>
      <w:r>
        <w:t>4‐endo‐trig</w:t>
      </w:r>
      <w:r>
        <w:t xml:space="preserve"> </w:t>
      </w:r>
      <w:r>
        <w:t>cyclization that would lead to cyclic polymer formation. The</w:t>
      </w:r>
      <w:r>
        <w:t xml:space="preserve"> </w:t>
      </w:r>
      <w:r>
        <w:t>gem</w:t>
      </w:r>
      <w:r>
        <w:t xml:space="preserve"> </w:t>
      </w:r>
      <w:r>
        <w:t>‐diboryl polyolefin exhibits exceptional reactivity and versatility in DOPPM, enabling its conversion into a wide range of functional polyolefins inaccessible via existing methods.</w:t>
      </w:r>
    </w:p>
    <w:p>
      <w:pPr>
        <w:spacing w:before="120" w:after="120"/>
      </w:pPr>
      <w:r>
        <w:rPr>
          <w:sz w:val="18"/>
        </w:rPr>
        <w:t>——————————————————————————————————————————————————————————————————————</w:t>
      </w:r>
    </w:p>
    <w:p>
      <w:pPr>
        <w:spacing w:before="160" w:after="80" w:line="240" w:lineRule="auto"/>
      </w:pPr>
      <w:r>
        <w:rPr>
          <w:b/>
        </w:rPr>
        <w:t xml:space="preserve">[161] </w:t>
      </w:r>
      <w:hyperlink r:id="rId282">
        <w:r>
          <w:rPr>
            <w:color w:val="1155CC"/>
            <w:u w:val="single"/>
          </w:rPr>
          <w:t>Structure Model‐Guided Reprogramming Enables Functional Interconversion of Phomactatriene and Verticillene Synthases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83">
        <w:r>
          <w:rPr>
            <w:color w:val="1155CC"/>
            <w:u w:val="single"/>
          </w:rPr>
          <w:t>10.1002/anie.202518926</w:t>
        </w:r>
      </w:hyperlink>
    </w:p>
    <w:p>
      <w:pPr>
        <w:spacing w:before="0" w:after="120"/>
      </w:pPr>
      <w:r>
        <w:rPr>
          <w:b/>
        </w:rPr>
        <w:t xml:space="preserve">Notes: </w:t>
      </w:r>
      <w:r>
        <w:t>abstract_source=crossref</w:t>
      </w:r>
    </w:p>
    <w:p>
      <w:pPr>
        <w:spacing w:before="0" w:after="200" w:lineRule="auto" w:line="276"/>
      </w:pPr>
      <w:r>
        <w:rPr>
          <w:b/>
        </w:rPr>
        <w:t xml:space="preserve">Abstract: </w:t>
      </w:r>
      <w:r>
        <w:t>Terpenoids represent the most structurally diverse class of natural products on Earth. Terpene synthases are key enzymes for constructing the complex and varied terpene skeletons by catalyzing the formation of multiple carbon–carbon bonds. Phomactatriene and verticillene family natural products are both classified as bicyclic diterpenoids, sharing a unique bicyclo[9.3.1]pentadecane skeleton. In this study, we used genome mining to identify the phomactatriene synthase SiPS from bacteria, together with two verticillene synthases, LxVS and AxVS. Our DFT calculations revealed that the rearrangement pathways for compounds in the phomactatriene and verticillene families follow a shared biosynthetic route. Furthermore, through comparative structural model analyses of the phomactatriene and verticillene synthases, we employed molecular modelling and site‐directed mutagenesis to facilitate functional interconversion between these distinct terpene synthases. This work enhances our understanding of terpene biosynthesis and the potential for engineering terpene synthases for biotechnological applications.</w:t>
      </w:r>
    </w:p>
    <w:p>
      <w:pPr>
        <w:spacing w:before="120" w:after="120"/>
      </w:pPr>
      <w:r>
        <w:rPr>
          <w:sz w:val="18"/>
        </w:rPr>
        <w:t>——————————————————————————————————————————————————————————————————————</w:t>
      </w:r>
    </w:p>
    <w:p>
      <w:pPr>
        <w:spacing w:before="160" w:after="80" w:line="240" w:lineRule="auto"/>
      </w:pPr>
      <w:r>
        <w:rPr>
          <w:b/>
        </w:rPr>
        <w:t xml:space="preserve">[162] </w:t>
      </w:r>
      <w:hyperlink r:id="rId284">
        <w:r>
          <w:rPr>
            <w:color w:val="1155CC"/>
            <w:u w:val="single"/>
          </w:rPr>
          <w:t>Site‐Selective Peptide and Protein Functionalization with Cyclopropenium Cations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85">
        <w:r>
          <w:rPr>
            <w:color w:val="1155CC"/>
            <w:u w:val="single"/>
          </w:rPr>
          <w:t>10.1002/anie.202518939</w:t>
        </w:r>
      </w:hyperlink>
    </w:p>
    <w:p>
      <w:pPr>
        <w:spacing w:before="0" w:after="120"/>
      </w:pPr>
      <w:r>
        <w:rPr>
          <w:b/>
        </w:rPr>
        <w:t xml:space="preserve">Notes: </w:t>
      </w:r>
      <w:r>
        <w:t>abstract_source=crossref</w:t>
      </w:r>
    </w:p>
    <w:p>
      <w:pPr>
        <w:spacing w:before="0" w:after="200" w:lineRule="auto" w:line="276"/>
      </w:pPr>
      <w:r>
        <w:rPr>
          <w:b/>
        </w:rPr>
        <w:t xml:space="preserve">Abstract: </w:t>
      </w:r>
      <w:r>
        <w:t>In the realm of organic chemistry, carbocations play a pivotal role as highly reactive intermediates in the synthesis of complex molecules. While cyclase enzymes construct terpenoid natural products through carbocation intermediates, the use of these electrophilic reactive species for peptide and protein bioconjugation in aqueous media remains unexplored. Herein, we disclose the discovery and development of a new chemical modification of peptides and proteins with aromatic cyclopropenium cations, selective at cysteine residues. The bioconjugation is fast, operationally simple, and occurs at low concentration in aqueous media, allowing for the installation of a tetrasubstituted cyclopropene ring with excellent site selectivity. Moreover, the cyclopropenylation is preferential to internal cysteines, thus complementing current methodologies for selective terminal cysteine bioconjugation. These studies further showcased the bioconjugates' utility as radical traps in a thiol–ene process, enabling the formation of cyclopropane‐linked conjugates.</w:t>
      </w:r>
    </w:p>
    <w:p>
      <w:pPr>
        <w:spacing w:before="120" w:after="120"/>
      </w:pPr>
      <w:r>
        <w:rPr>
          <w:sz w:val="18"/>
        </w:rPr>
        <w:t>——————————————————————————————————————————————————————————————————————</w:t>
      </w:r>
    </w:p>
    <w:p>
      <w:pPr>
        <w:spacing w:before="160" w:after="80" w:line="240" w:lineRule="auto"/>
      </w:pPr>
      <w:r>
        <w:rPr>
          <w:b/>
        </w:rPr>
        <w:t xml:space="preserve">[163] </w:t>
      </w:r>
      <w:hyperlink r:id="rId286">
        <w:r>
          <w:rPr>
            <w:color w:val="1155CC"/>
            <w:u w:val="single"/>
          </w:rPr>
          <w:t>Nickel‐Mediated Synthesis of Fused Heterocycle‐Linked Covalent Organic Frameworks for Self‐Sensitized Photocatalysis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87">
        <w:r>
          <w:rPr>
            <w:color w:val="1155CC"/>
            <w:u w:val="single"/>
          </w:rPr>
          <w:t>10.1002/anie.202518983</w:t>
        </w:r>
      </w:hyperlink>
    </w:p>
    <w:p>
      <w:pPr>
        <w:spacing w:before="0" w:after="120"/>
      </w:pPr>
      <w:r>
        <w:rPr>
          <w:b/>
        </w:rPr>
        <w:t xml:space="preserve">Notes: </w:t>
      </w:r>
      <w:r>
        <w:t>abstract_source=crossref</w:t>
      </w:r>
    </w:p>
    <w:p>
      <w:pPr>
        <w:spacing w:before="0" w:after="200" w:lineRule="auto" w:line="276"/>
      </w:pPr>
      <w:r>
        <w:rPr>
          <w:b/>
        </w:rPr>
        <w:t xml:space="preserve">Abstract: </w:t>
      </w:r>
      <w:r>
        <w:t>Conjugated and chemically robust covalent organic frameworks (COFs) incorporating metal ions hold great promise in diverse applications due to their finely tuned optoelectronic properties. However, their synthesis typically relies on post‐synthetic modifications to stabilize linkages and introduce chelation sites, and metal incorporation is almost exclusively achieved through post‐synthetic chelation of pre‐formed COFs. Such approaches often result in compromised crystallinity, incomplete conversion and limited control over modification sites. Here, we report a direct, one‐pot nickel‐mediated Friedländer annulation strategy to construct Ni‐chelated fused heterocycle‐linked COFs (</w:t>
      </w:r>
      <w:r>
        <w:t xml:space="preserve"> </w:t>
      </w:r>
      <w:r>
        <w:t>NNiN</w:t>
      </w:r>
      <w:r>
        <w:t xml:space="preserve"> </w:t>
      </w:r>
      <w:r>
        <w:t>,</w:t>
      </w:r>
      <w:r>
        <w:t xml:space="preserve"> </w:t>
      </w:r>
      <w:r>
        <w:t>NNiO,</w:t>
      </w:r>
      <w:r>
        <w:t xml:space="preserve"> </w:t>
      </w:r>
      <w:r>
        <w:t>and</w:t>
      </w:r>
      <w:r>
        <w:t xml:space="preserve"> </w:t>
      </w:r>
      <w:r>
        <w:t>NNiS</w:t>
      </w:r>
      <w:r>
        <w:t xml:space="preserve"> </w:t>
      </w:r>
      <w:r>
        <w:t>). The fused heterocycle linkages act as an additional structural regulation factor, enabling precise tuning of framework packing and metal‐chelation environment, thereby enhancing crystallinity and optoelectronic properties simultaneously. The resulting COFs exhibit extended π‐conjugation, efficient Ni chelation and strong charge‐transfer absorption in the visible‐light region. Combining conjugated robust linkages, accessible single‐site Ni centers, and self‐photosensitizing capability, these frameworks provide a powerful platform for photocatalysis. They achieved up to 98% conversion in carbon‐chalcogen coupling reactions, while retaining crystallinity and catalytic activity over multiple cycles. This work thus offers a general strategy for designing stable, π‐conjugated, and metal‐functionalized COFs, broadening opportunities for heterogeneous catalysis and beyond.</w:t>
      </w:r>
    </w:p>
    <w:p>
      <w:pPr>
        <w:spacing w:before="120" w:after="120"/>
      </w:pPr>
      <w:r>
        <w:rPr>
          <w:sz w:val="18"/>
        </w:rPr>
        <w:t>——————————————————————————————————————————————————————————————————————</w:t>
      </w:r>
    </w:p>
    <w:p>
      <w:pPr>
        <w:spacing w:before="160" w:after="80" w:line="240" w:lineRule="auto"/>
      </w:pPr>
      <w:r>
        <w:rPr>
          <w:b/>
        </w:rPr>
        <w:t xml:space="preserve">[164] </w:t>
      </w:r>
      <w:hyperlink r:id="rId288">
        <w:r>
          <w:rPr>
            <w:color w:val="1155CC"/>
            <w:u w:val="single"/>
          </w:rPr>
          <w:t>Colloidal Phase Control in Plasmonic Metal Oxide Nanocrystals via Competitive Metal–Ligand Equilibria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89">
        <w:r>
          <w:rPr>
            <w:color w:val="1155CC"/>
            <w:u w:val="single"/>
          </w:rPr>
          <w:t>10.1002/anie.202518965</w:t>
        </w:r>
      </w:hyperlink>
    </w:p>
    <w:p>
      <w:pPr>
        <w:spacing w:before="0" w:after="120"/>
      </w:pPr>
      <w:r>
        <w:rPr>
          <w:b/>
        </w:rPr>
        <w:t xml:space="preserve">Notes: </w:t>
      </w:r>
      <w:r>
        <w:t>abstract_source=crossref</w:t>
      </w:r>
    </w:p>
    <w:p>
      <w:pPr>
        <w:spacing w:before="0" w:after="200" w:lineRule="auto" w:line="276"/>
      </w:pPr>
      <w:r>
        <w:rPr>
          <w:b/>
        </w:rPr>
        <w:t xml:space="preserve">Abstract: </w:t>
      </w:r>
      <w:r>
        <w:t>Colloidal nanocrystal gels offer tunable optical properties governed by both the nature of the building blocks and their spatial arrangement. When assembled via reversible molecular linkers, their phase behavior and structure are primarily dictated by bond strength and lability. However, precise control over these interactions remains a significant synthetic challenge and is often system‐specific. Here, we present a simple, broadly tunable linking strategy that modulates nanocrystal phase behavior and assembly structure by leveraging competitive metal–ligand equilibria. We achieve programmable control over gelation temperature and network structure by tuning competitive metal–terpyridine and metal–halide equilibria in terpyridine‐functionalized tin‐doped indium oxide (ITO) nanocrystals, governed by metal and halide identity, concentration, and temperature, enabling wide‐range infrared optical modulation. Combined kinetic Monte Carlo and optical simulations reveal that weaker, more labile links facilitate particle crawling, leading to denser gel structures with enhanced plasmon coupling. This strategy eliminates the need for complex ligand or linker design and establishes competitive coordination chemistry as a versatile platform for engineering dynamic, stimuli‐responsive colloidal assemblies.</w:t>
      </w:r>
    </w:p>
    <w:p>
      <w:pPr>
        <w:spacing w:before="120" w:after="120"/>
      </w:pPr>
      <w:r>
        <w:rPr>
          <w:sz w:val="18"/>
        </w:rPr>
        <w:t>——————————————————————————————————————————————————————————————————————</w:t>
      </w:r>
    </w:p>
    <w:p>
      <w:pPr>
        <w:spacing w:before="160" w:after="80" w:line="240" w:lineRule="auto"/>
      </w:pPr>
      <w:r>
        <w:rPr>
          <w:b/>
        </w:rPr>
        <w:t xml:space="preserve">[165] </w:t>
      </w:r>
      <w:hyperlink r:id="rId290">
        <w:r>
          <w:rPr>
            <w:color w:val="1155CC"/>
            <w:u w:val="single"/>
          </w:rPr>
          <w:t>Tailored Synergistic Binding Environment in Metal‐Organic Frameworks for Record One‐Step Ethylene Purification from Multicomponent Mixtures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91">
        <w:r>
          <w:rPr>
            <w:color w:val="1155CC"/>
            <w:u w:val="single"/>
          </w:rPr>
          <w:t>10.1002/anie.202518996</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over pore environments in porous materials remains a long‐standing challenge for efficient ethylene (C</w:t>
      </w:r>
      <w:r>
        <w:rPr>
          <w:vertAlign w:val="subscript"/>
        </w:rPr>
        <w:t>2</w:t>
      </w:r>
      <w:r>
        <w:t>H</w:t>
      </w:r>
      <w:r>
        <w:rPr>
          <w:vertAlign w:val="subscript"/>
        </w:rPr>
        <w:t>4</w:t>
      </w:r>
      <w:r>
        <w:t>) purification via physisorption, particularly when targeting impurities with distinct physicochemical properties such as carbon dioxide (CO</w:t>
      </w:r>
      <w:r>
        <w:rPr>
          <w:vertAlign w:val="subscript"/>
        </w:rPr>
        <w:t>2</w:t>
      </w:r>
      <w:r>
        <w:t>) and ethane (C</w:t>
      </w:r>
      <w:r>
        <w:rPr>
          <w:vertAlign w:val="subscript"/>
        </w:rPr>
        <w:t>2</w:t>
      </w:r>
      <w:r>
        <w:t>H</w:t>
      </w:r>
      <w:r>
        <w:rPr>
          <w:vertAlign w:val="subscript"/>
        </w:rPr>
        <w:t>6</w:t>
      </w:r>
      <w:r>
        <w:t>). In this study, we report an isoreticular design strategy to fine‐tune the local pore chemistry of metal‐organic frameworks (MOFs), enabling the simultaneous selective adsorption of CO</w:t>
      </w:r>
      <w:r>
        <w:rPr>
          <w:vertAlign w:val="subscript"/>
        </w:rPr>
        <w:t>2</w:t>
      </w:r>
      <w:r>
        <w:t>and C</w:t>
      </w:r>
      <w:r>
        <w:rPr>
          <w:vertAlign w:val="subscript"/>
        </w:rPr>
        <w:t>2</w:t>
      </w:r>
      <w:r>
        <w:t>H</w:t>
      </w:r>
      <w:r>
        <w:rPr>
          <w:vertAlign w:val="subscript"/>
        </w:rPr>
        <w:t>6</w:t>
      </w:r>
      <w:r>
        <w:t>. Through rational organic ligand engineering, the hydroxyl‐functionalized analogue PCP‐TPA‐2OH (also termed as ZU‐925, ZU represents Zhejiang University) breaks the bottleneck of only C</w:t>
      </w:r>
      <w:r>
        <w:rPr>
          <w:vertAlign w:val="subscript"/>
        </w:rPr>
        <w:t>2</w:t>
      </w:r>
      <w:r>
        <w:t>H</w:t>
      </w:r>
      <w:r>
        <w:rPr>
          <w:vertAlign w:val="subscript"/>
        </w:rPr>
        <w:t>6</w:t>
      </w:r>
      <w:r>
        <w:t>capture exhibited by the parent PCP‐TPA. The tailored synergistic binding environment of ZU‐925 makes it be new benchmark in one‐step C</w:t>
      </w:r>
      <w:r>
        <w:rPr>
          <w:vertAlign w:val="subscript"/>
        </w:rPr>
        <w:t>2</w:t>
      </w:r>
      <w:r>
        <w:t>H</w:t>
      </w:r>
      <w:r>
        <w:rPr>
          <w:vertAlign w:val="subscript"/>
        </w:rPr>
        <w:t>4</w:t>
      </w:r>
      <w:r>
        <w:t>purification from CO</w:t>
      </w:r>
      <w:r>
        <w:rPr>
          <w:vertAlign w:val="subscript"/>
        </w:rPr>
        <w:t>2</w:t>
      </w:r>
      <w:r>
        <w:t>/C</w:t>
      </w:r>
      <w:r>
        <w:rPr>
          <w:vertAlign w:val="subscript"/>
        </w:rPr>
        <w:t>2</w:t>
      </w:r>
      <w:r>
        <w:t>H</w:t>
      </w:r>
      <w:r>
        <w:rPr>
          <w:vertAlign w:val="subscript"/>
        </w:rPr>
        <w:t>6</w:t>
      </w:r>
      <w:r>
        <w:t>/C</w:t>
      </w:r>
      <w:r>
        <w:rPr>
          <w:vertAlign w:val="subscript"/>
        </w:rPr>
        <w:t>2</w:t>
      </w:r>
      <w:r>
        <w:t>H</w:t>
      </w:r>
      <w:r>
        <w:rPr>
          <w:vertAlign w:val="subscript"/>
        </w:rPr>
        <w:t>4</w:t>
      </w:r>
      <w:r>
        <w:t>ternary mixtures. Ultra‐purity C</w:t>
      </w:r>
      <w:r>
        <w:rPr>
          <w:vertAlign w:val="subscript"/>
        </w:rPr>
        <w:t>2</w:t>
      </w:r>
      <w:r>
        <w:t>H</w:t>
      </w:r>
      <w:r>
        <w:rPr>
          <w:vertAlign w:val="subscript"/>
        </w:rPr>
        <w:t>4</w:t>
      </w:r>
      <w:r>
        <w:t>(99.99%) along with high productivity of 17.8 L kg</w:t>
      </w:r>
      <w:r>
        <w:t xml:space="preserve"> </w:t>
      </w:r>
      <w:r>
        <w:t>−1</w:t>
      </w:r>
      <w:r>
        <w:t xml:space="preserve"> </w:t>
      </w:r>
      <w:r>
        <w:t>could be realized through only one‐step adsorption. Molecular simulations reveal that the preferential binding of C</w:t>
      </w:r>
      <w:r>
        <w:rPr>
          <w:vertAlign w:val="subscript"/>
        </w:rPr>
        <w:t>2</w:t>
      </w:r>
      <w:r>
        <w:t>H</w:t>
      </w:r>
      <w:r>
        <w:rPr>
          <w:vertAlign w:val="subscript"/>
        </w:rPr>
        <w:t>6</w:t>
      </w:r>
      <w:r>
        <w:t>arises from a tailored pore environment featuring aligned aromatic units and electronegative oxygen atoms, while Lewis basic hydroxyl groups locally modulate the pore chemistry, contributing to enhanced CO</w:t>
      </w:r>
      <w:r>
        <w:rPr>
          <w:vertAlign w:val="subscript"/>
        </w:rPr>
        <w:t>2</w:t>
      </w:r>
      <w:r>
        <w:t>capture. This study provides valuable insights into the design of advanced adsorbents for multiple impurity removal via isoreticular chemistry.</w:t>
      </w:r>
    </w:p>
    <w:p>
      <w:pPr>
        <w:spacing w:before="120" w:after="120"/>
      </w:pPr>
      <w:r>
        <w:rPr>
          <w:sz w:val="18"/>
        </w:rPr>
        <w:t>——————————————————————————————————————————————————————————————————————</w:t>
      </w:r>
    </w:p>
    <w:p>
      <w:pPr>
        <w:spacing w:before="160" w:after="80" w:line="240" w:lineRule="auto"/>
      </w:pPr>
      <w:r>
        <w:rPr>
          <w:b/>
        </w:rPr>
        <w:t xml:space="preserve">[166] </w:t>
      </w:r>
      <w:hyperlink r:id="rId292">
        <w:r>
          <w:rPr>
            <w:color w:val="1155CC"/>
            <w:u w:val="single"/>
          </w:rPr>
          <w:t>Intact Mass Profiling Reveals Phospho‐Proteoforms of the Catenins (85–110 kDa) Regulated by Actomyosin Contractility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93">
        <w:r>
          <w:rPr>
            <w:color w:val="1155CC"/>
            <w:u w:val="single"/>
          </w:rPr>
          <w:t>10.1002/anie.202518593</w:t>
        </w:r>
      </w:hyperlink>
    </w:p>
    <w:p>
      <w:pPr>
        <w:spacing w:before="0" w:after="120"/>
      </w:pPr>
      <w:r>
        <w:rPr>
          <w:b/>
        </w:rPr>
        <w:t xml:space="preserve">Notes: </w:t>
      </w:r>
      <w:r>
        <w:t>abstract_source=crossref</w:t>
      </w:r>
    </w:p>
    <w:p>
      <w:pPr>
        <w:spacing w:before="0" w:after="200" w:lineRule="auto" w:line="276"/>
      </w:pPr>
      <w:r>
        <w:rPr>
          <w:b/>
        </w:rPr>
        <w:t xml:space="preserve">Abstract: </w:t>
      </w:r>
      <w:r>
        <w:t>A central challenge in top‐down proteomics (TDP) is the characterization of large proteoforms (&amp;gt;70 kDa) due to their high spectral complexity in mass spectrometers. Here, we advance individual ion mass spectrometry (I</w:t>
      </w:r>
      <w:r>
        <w:rPr>
          <w:vertAlign w:val="subscript"/>
        </w:rPr>
        <w:t>2</w:t>
      </w:r>
      <w:r>
        <w:t>MS) for intact mass and fragmentation analysis of β‐ and α‐catenins (85–110 kDa), key components of adherens junctions. Using denatured I</w:t>
      </w:r>
      <w:r>
        <w:rPr>
          <w:vertAlign w:val="subscript"/>
        </w:rPr>
        <w:t>2</w:t>
      </w:r>
      <w:r>
        <w:t>MS, we resolved discrete phosphorylation states of catenins isolated from HEK cells subjected to differential actomyosin tension. Up to 10 phosphorylations were detected on β‐catenin (β‐cat) and 7 on α‐catenin (α‐cat), with site‐specific changes corresponding to actomyosin contractility. Notably, phosphorylation at α‐cat S641 was constitutive, while other sites in the P‐linker and actin‐binding domains, as well as β‐cat S675 and S552, were sensitive to actomyosin perturbation. Application of I</w:t>
      </w:r>
      <w:r>
        <w:rPr>
          <w:vertAlign w:val="subscript"/>
        </w:rPr>
        <w:t>2</w:t>
      </w:r>
      <w:r>
        <w:t>MS for fragment ion detection (I</w:t>
      </w:r>
      <w:r>
        <w:rPr>
          <w:vertAlign w:val="subscript"/>
        </w:rPr>
        <w:t>2</w:t>
      </w:r>
      <w:r>
        <w:t>MS</w:t>
      </w:r>
      <w:r>
        <w:rPr>
          <w:vertAlign w:val="subscript"/>
        </w:rPr>
        <w:t>2</w:t>
      </w:r>
      <w:r>
        <w:t>) also enabled 25%–30% sequence coverage for these exceptionally large proteoforms, compared to &amp;lt;1% using conventional methods for top‐down mass spectrometry (MS). Our results are consistent with a “catenin phospho‑code” model, wherein combinatorial phosphorylation patterns reflect and potentially modulate the mechanotransductive environment at cell–cell adhesions. This work establishes top‐down I</w:t>
      </w:r>
      <w:r>
        <w:rPr>
          <w:vertAlign w:val="subscript"/>
        </w:rPr>
        <w:t>2</w:t>
      </w:r>
      <w:r>
        <w:t>MS as a viable approach for probing complex post‐translational modification (PTM) landscapes in high‐mass proteins and highlights proteoforms as functional units in cellular regulation.</w:t>
      </w:r>
    </w:p>
    <w:p>
      <w:pPr>
        <w:spacing w:before="120" w:after="120"/>
      </w:pPr>
      <w:r>
        <w:rPr>
          <w:sz w:val="18"/>
        </w:rPr>
        <w:t>——————————————————————————————————————————————————————————————————————</w:t>
      </w:r>
    </w:p>
    <w:p>
      <w:pPr>
        <w:spacing w:before="160" w:after="80" w:line="240" w:lineRule="auto"/>
      </w:pPr>
      <w:r>
        <w:rPr>
          <w:b/>
        </w:rPr>
        <w:t xml:space="preserve">[167] </w:t>
      </w:r>
      <w:hyperlink r:id="rId294">
        <w:r>
          <w:rPr>
            <w:color w:val="1155CC"/>
            <w:u w:val="single"/>
          </w:rPr>
          <w:t>Correction to “Photo‐Switchable Peroxidase/Catalase‐Like Activity of Carbon Quantum Dots”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95">
        <w:r>
          <w:rPr>
            <w:color w:val="1155CC"/>
            <w:u w:val="single"/>
          </w:rPr>
          <w:t>10.1002/anie.202523633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[168] </w:t>
      </w:r>
      <w:hyperlink r:id="rId296">
        <w:r>
          <w:rPr>
            <w:color w:val="1155CC"/>
            <w:u w:val="single"/>
          </w:rPr>
          <w:t>Molecular Templating and Boron‐Doping Guides Twisted Microcrystalline Formation in Coal‐Derived Hard Carbons for High‐Rate Sodium‐Ion Storage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97">
        <w:r>
          <w:rPr>
            <w:color w:val="1155CC"/>
            <w:u w:val="single"/>
          </w:rPr>
          <w:t>10.1002/anie.202518589</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hard carbon (HC) anodes with the low‐cost coal precursor for sodium‐ion batteries (SIBs) is usually limited by sluggish kinetics and low capacity. The main reason is that the abundant aromatic frameworks in coal produce over‐stacked microcrystalline during high‐temperature carbonization, restricting sodium ion intercalation and diffusion. Here, we propose a molecular templating and doping strategy using phenylboronic acid (PhB) to regulate the microcrystalline structure of coal‐derived HCs. The π‐π interaction between PhB and coal aromatic suppresses the excessive stacking, while boron (B) doping perturbs charge distribution and introduces intra‐domain defects. These effects lead to the formation of twisted turbostratic domains with an expanded interlayer spacing, enabling high ionic and electronic conductivity for sodium ion storage. The reduced surface electronegativity by B‐doping also favors the formation of a stable anion‐derived interface. As a result, the optimized HC delivers a high reversible capacity of 321 mAh g</w:t>
      </w:r>
      <w:r>
        <w:t xml:space="preserve"> </w:t>
      </w:r>
      <w:r>
        <w:t>−1</w:t>
      </w:r>
      <w:r>
        <w:t xml:space="preserve"> </w:t>
      </w:r>
      <w:r>
        <w:t>at 50 mA g</w:t>
      </w:r>
      <w:r>
        <w:t xml:space="preserve"> </w:t>
      </w:r>
      <w:r>
        <w:t>−1</w:t>
      </w:r>
      <w:r>
        <w:t xml:space="preserve"> </w:t>
      </w:r>
      <w:r>
        <w:t>and maintains a capacity of 249 mAh g</w:t>
      </w:r>
      <w:r>
        <w:t xml:space="preserve"> </w:t>
      </w:r>
      <w:r>
        <w:t>−1</w:t>
      </w:r>
      <w:r>
        <w:t xml:space="preserve"> </w:t>
      </w:r>
      <w:r>
        <w:t>at the high current density of 2.5 A g</w:t>
      </w:r>
      <w:r>
        <w:t xml:space="preserve"> </w:t>
      </w:r>
      <w:r>
        <w:t>−1</w:t>
      </w:r>
      <w:r>
        <w:t xml:space="preserve"> </w:t>
      </w:r>
      <w:r>
        <w:t>. This work demonstrates that molecular templating offers an effective route to balance capacity and reaction kinetics in coal‐based HC anodes.</w:t>
      </w:r>
    </w:p>
    <w:p>
      <w:pPr>
        <w:spacing w:before="120" w:after="120"/>
      </w:pPr>
      <w:r>
        <w:rPr>
          <w:sz w:val="18"/>
        </w:rPr>
        <w:t>——————————————————————————————————————————————————————————————————————</w:t>
      </w:r>
    </w:p>
    <w:p>
      <w:pPr>
        <w:spacing w:before="160" w:after="80" w:line="240" w:lineRule="auto"/>
      </w:pPr>
      <w:r>
        <w:rPr>
          <w:b/>
        </w:rPr>
        <w:t xml:space="preserve">[169] </w:t>
      </w:r>
      <w:hyperlink r:id="rId298">
        <w:r>
          <w:rPr>
            <w:color w:val="1155CC"/>
            <w:u w:val="single"/>
          </w:rPr>
          <w:t>Intra‐Configurational Spin‐Flip d→$ \to $d Transition of Mo (III) Doped Perovskite for Ultra‐Narrow Near Infrared‐II Emission in Ambient Conditions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08:21:09+00:00</w:t>
      </w:r>
      <w:r>
        <w:t xml:space="preserve">    </w:t>
      </w:r>
      <w:r>
        <w:rPr>
          <w:b/>
        </w:rPr>
        <w:t xml:space="preserve">DOI: </w:t>
      </w:r>
      <w:hyperlink r:id="rId299">
        <w:r>
          <w:rPr>
            <w:color w:val="1155CC"/>
            <w:u w:val="single"/>
          </w:rPr>
          <w:t>10.1002/anie.202519144</w:t>
        </w:r>
      </w:hyperlink>
    </w:p>
    <w:p>
      <w:pPr>
        <w:spacing w:before="0" w:after="120"/>
      </w:pPr>
      <w:r>
        <w:rPr>
          <w:b/>
        </w:rPr>
        <w:t xml:space="preserve">Notes: </w:t>
      </w:r>
      <w:r>
        <w:t>abstract_source=crossref</w:t>
      </w:r>
    </w:p>
    <w:p>
      <w:pPr>
        <w:spacing w:before="0" w:after="200" w:lineRule="auto" w:line="276"/>
      </w:pPr>
      <w:r>
        <w:rPr>
          <w:b/>
        </w:rPr>
        <w:t xml:space="preserve">Abstract: </w:t>
      </w:r>
      <w:r>
        <w:t>Sharp near‐infrared‐II (NIR‐II) emissions are typically achieved through  electronic transitions of rare‐earth ions, while  transitions in transition metal ions are broad due to electron–ligand interactions. An exception is the intra‐configurational spin‐flip (ICSF)  transition like t</w:t>
      </w:r>
      <w:r>
        <w:t xml:space="preserve"> </w:t>
      </w:r>
      <w:r>
        <w:t>2g</w:t>
      </w:r>
      <w:r>
        <w:rPr>
          <w:vertAlign w:val="subscript"/>
        </w:rPr>
        <w:t>3</w:t>
      </w:r>
      <w:r>
        <w:t>t</w:t>
      </w:r>
      <w:r>
        <w:t xml:space="preserve"> </w:t>
      </w:r>
      <w:r>
        <w:t>2g</w:t>
      </w:r>
      <w:r>
        <w:rPr>
          <w:vertAlign w:val="subscript"/>
        </w:rPr>
        <w:t>3</w:t>
      </w:r>
      <w:r>
        <w:t>of Mo</w:t>
      </w:r>
      <w:r>
        <w:t xml:space="preserve"> </w:t>
      </w:r>
      <w:r>
        <w:t>3+</w:t>
      </w:r>
      <w:r>
        <w:t xml:space="preserve"> </w:t>
      </w:r>
      <w:r>
        <w:t>emitting sharp NIR‐II emission, but only at cryogenic temperatures under vacuum. The high oxophilicity of Mo</w:t>
      </w:r>
      <w:r>
        <w:t xml:space="preserve"> </w:t>
      </w:r>
      <w:r>
        <w:t>3+</w:t>
      </w:r>
      <w:r>
        <w:t xml:space="preserve"> </w:t>
      </w:r>
      <w:r>
        <w:t>created defects during the synthesis, quenching the emission at room temperature. Herein, we overcome this issue by synthesizing Mo</w:t>
      </w:r>
      <w:r>
        <w:t xml:space="preserve"> </w:t>
      </w:r>
      <w:r>
        <w:t>3+</w:t>
      </w:r>
      <w:r>
        <w:t xml:space="preserve"> </w:t>
      </w:r>
      <w:r>
        <w:t>− doped Cs</w:t>
      </w:r>
      <w:r>
        <w:rPr>
          <w:vertAlign w:val="subscript"/>
        </w:rPr>
        <w:t>2</w:t>
      </w:r>
      <w:r>
        <w:t>NaInCl</w:t>
      </w:r>
      <w:r>
        <w:rPr>
          <w:vertAlign w:val="subscript"/>
        </w:rPr>
        <w:t>6</w:t>
      </w:r>
      <w:r>
        <w:t>double perovskites in a reducing H</w:t>
      </w:r>
      <w:r>
        <w:rPr>
          <w:vertAlign w:val="subscript"/>
        </w:rPr>
        <w:t>3</w:t>
      </w:r>
      <w:r>
        <w:t>PO</w:t>
      </w:r>
      <w:r>
        <w:rPr>
          <w:vertAlign w:val="subscript"/>
        </w:rPr>
        <w:t>2</w:t>
      </w:r>
      <w:r>
        <w:t>environment. [MoCl</w:t>
      </w:r>
      <w:r>
        <w:rPr>
          <w:vertAlign w:val="subscript"/>
        </w:rPr>
        <w:t>6</w:t>
      </w:r>
      <w:r>
        <w:t>]</w:t>
      </w:r>
      <w:r>
        <w:t xml:space="preserve"> </w:t>
      </w:r>
      <w:r>
        <w:t>3−</w:t>
      </w:r>
      <w:r>
        <w:t>octahedra are formed, exhibiting ultra‐narrow ICSF  (</w:t>
      </w:r>
      <w:r>
        <w:rPr>
          <w:vertAlign w:val="subscript"/>
        </w:rPr>
        <w:t>2</w:t>
      </w:r>
      <w:r>
        <w:t>T</w:t>
      </w:r>
      <w:r>
        <w:t xml:space="preserve"> </w:t>
      </w:r>
      <w:r>
        <w:t>1g</w:t>
      </w:r>
      <w:r>
        <w:t xml:space="preserve"> </w:t>
      </w:r>
      <w:r>
        <w:t>/</w:t>
      </w:r>
      <w:r>
        <w:rPr>
          <w:vertAlign w:val="subscript"/>
        </w:rPr>
        <w:t>2</w:t>
      </w:r>
      <w:r>
        <w:t>E</w:t>
      </w:r>
      <w:r>
        <w:t xml:space="preserve"> </w:t>
      </w:r>
      <w:r>
        <w:t>g</w:t>
      </w:r>
      <w:r>
        <w:rPr>
          <w:vertAlign w:val="subscript"/>
        </w:rPr>
        <w:t>4</w:t>
      </w:r>
      <w:r>
        <w:t>A</w:t>
      </w:r>
      <w:r>
        <w:t xml:space="preserve"> </w:t>
      </w:r>
      <w:r>
        <w:t>2g</w:t>
      </w:r>
      <w:r>
        <w:t xml:space="preserve"> </w:t>
      </w:r>
      <w:r>
        <w:t>) NIR‐II emission at 1095 nm in ambient conditions. In addition, a second ICSF</w:t>
      </w:r>
      <w:r>
        <w:rPr>
          <w:vertAlign w:val="subscript"/>
        </w:rPr>
        <w:t>2</w:t>
      </w:r>
      <w:r>
        <w:t>T</w:t>
      </w:r>
      <w:r>
        <w:t xml:space="preserve"> </w:t>
      </w:r>
      <w:r>
        <w:t>2g</w:t>
      </w:r>
      <w:r>
        <w:rPr>
          <w:vertAlign w:val="subscript"/>
        </w:rPr>
        <w:t>4</w:t>
      </w:r>
      <w:r>
        <w:t>A</w:t>
      </w:r>
      <w:r>
        <w:t xml:space="preserve"> </w:t>
      </w:r>
      <w:r>
        <w:t>2g</w:t>
      </w:r>
      <w:r>
        <w:t xml:space="preserve"> </w:t>
      </w:r>
      <w:r>
        <w:t>emission is observed at 700 nm, violating the Kasha's rule. The intensity of ICSF emissions increase with increasing temperature (7–350 K) due to vibronic coupling relaxing the Laporte selection rule. The samples are stable for more than 6 months in ambient conditions, allowing for a detailed study of fundamental photophysics and fabrications of phosphor‐converted light emitting diodes. This is the first Mo</w:t>
      </w:r>
      <w:r>
        <w:t xml:space="preserve"> </w:t>
      </w:r>
      <w:r>
        <w:t>3+</w:t>
      </w:r>
      <w:r>
        <w:t xml:space="preserve"> </w:t>
      </w:r>
      <w:r>
        <w:t>–based NIR‐II optoelectronic device, opening opportunities for applications like optical fibers and lasing.</w:t>
      </w:r>
    </w:p>
    <w:p>
      <w:pPr>
        <w:spacing w:before="120" w:after="120"/>
      </w:pPr>
      <w:r>
        <w:rPr>
          <w:sz w:val="18"/>
        </w:rPr>
        <w:t>——————————————————————————————————————————————————————————————————————</w:t>
      </w:r>
    </w:p>
    <w:p>
      <w:pPr>
        <w:spacing w:before="160" w:after="80" w:line="240" w:lineRule="auto"/>
      </w:pPr>
      <w:r>
        <w:rPr>
          <w:b/>
        </w:rPr>
        <w:t xml:space="preserve">[170] </w:t>
      </w:r>
      <w:hyperlink r:id="rId300">
        <w:r>
          <w:rPr>
            <w:color w:val="1155CC"/>
            <w:u w:val="single"/>
          </w:rPr>
          <w:t>Atomically Isolated Cd Sites Boosting CO Electroreduction to C2+ Alcohols at Ampere‐Level Current Densities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08:33:44+00:00</w:t>
      </w:r>
      <w:r>
        <w:t xml:space="preserve">    </w:t>
      </w:r>
      <w:r>
        <w:rPr>
          <w:b/>
        </w:rPr>
        <w:t xml:space="preserve">DOI: </w:t>
      </w:r>
      <w:hyperlink r:id="rId301">
        <w:r>
          <w:rPr>
            <w:color w:val="1155CC"/>
            <w:u w:val="single"/>
          </w:rPr>
          <w:t>10.1002/anie.202524324</w:t>
        </w:r>
      </w:hyperlink>
    </w:p>
    <w:p>
      <w:pPr>
        <w:spacing w:before="0" w:after="120"/>
      </w:pPr>
      <w:r>
        <w:rPr>
          <w:b/>
        </w:rPr>
        <w:t xml:space="preserve">Notes: </w:t>
      </w:r>
      <w:r>
        <w:t>abstract_source=crossref</w:t>
      </w:r>
    </w:p>
    <w:p>
      <w:pPr>
        <w:spacing w:before="0" w:after="200" w:lineRule="auto" w:line="276"/>
      </w:pPr>
      <w:r>
        <w:rPr>
          <w:b/>
        </w:rPr>
        <w:t xml:space="preserve">Abstract: </w:t>
      </w:r>
      <w:r>
        <w:t>Herein, two Cu‐based model electrocatalysts, Cu nanosheets modified with Cd single atoms (Cd‐SACs@Cu NS) and unmodified Cu nanosheets (Cu NS), were rationally designed to investigate the C–C coupling to C</w:t>
      </w:r>
      <w:r>
        <w:t xml:space="preserve"> </w:t>
      </w:r>
      <w:r>
        <w:t>2+</w:t>
      </w:r>
      <w:r>
        <w:t xml:space="preserve"> </w:t>
      </w:r>
      <w:r>
        <w:t>alcohols mechanisms in CORR. Compared to Cu NS, Cd‐SACs@Cu NS exhibits a significantly enhanced Faradaic efficiency (FE) for C</w:t>
      </w:r>
      <w:r>
        <w:t xml:space="preserve"> </w:t>
      </w:r>
      <w:r>
        <w:t>2+</w:t>
      </w:r>
      <w:r>
        <w:t xml:space="preserve"> </w:t>
      </w:r>
      <w:r>
        <w:t>alcohols of nearly 70% at an unprecedented current density of 1100 mA cm</w:t>
      </w:r>
      <w:r>
        <w:t xml:space="preserve"> </w:t>
      </w:r>
      <w:r>
        <w:t>−2</w:t>
      </w:r>
      <w:r>
        <w:t xml:space="preserve"> </w:t>
      </w:r>
      <w:r>
        <w:t>and maintains a higher FE (&amp;gt;50%) over a broad range of current densities (100–2100 mA cm</w:t>
      </w:r>
      <w:r>
        <w:t xml:space="preserve"> </w:t>
      </w:r>
      <w:r>
        <w:t>−2</w:t>
      </w:r>
      <w:r>
        <w:t xml:space="preserve"> </w:t>
      </w:r>
      <w:r>
        <w:t>) under alkaline conditions in a flow cell. In situ characterizations and theoretical studies reveal that the enhanced selectivity toward C</w:t>
      </w:r>
      <w:r>
        <w:t xml:space="preserve"> </w:t>
      </w:r>
      <w:r>
        <w:t>2+</w:t>
      </w:r>
      <w:r>
        <w:t xml:space="preserve"> </w:t>
      </w:r>
      <w:r>
        <w:t>alcohols on Cd‐SACs@Cu NS is attributed to the improved H</w:t>
      </w:r>
      <w:r>
        <w:rPr>
          <w:vertAlign w:val="subscript"/>
        </w:rPr>
        <w:t>2</w:t>
      </w:r>
      <w:r>
        <w:t>O dissociation at atomically dispersed Cd sites and enhanced CO adsorption on the paired Cu atoms adjacent to single Cd atoms. These effects synergistically facilitate the spillover of hydrogen atoms from Cd to Cu sites, thereby promoting the protonation at the β‐carbon of *CH</w:t>
      </w:r>
      <w:r>
        <w:rPr>
          <w:vertAlign w:val="subscript"/>
        </w:rPr>
        <w:t>2</w:t>
      </w:r>
      <w:r>
        <w:t>CHO, which leads to the selective formation of C</w:t>
      </w:r>
      <w:r>
        <w:t xml:space="preserve"> </w:t>
      </w:r>
      <w:r>
        <w:t>2+</w:t>
      </w:r>
      <w:r>
        <w:t xml:space="preserve"> </w:t>
      </w:r>
      <w:r>
        <w:t>alcohols. In contrast, the unmodified Cu NS is prone to promoting the cleavage of the C─O bond, thereby facilitating the generation of C</w:t>
      </w:r>
      <w:r>
        <w:rPr>
          <w:vertAlign w:val="subscript"/>
        </w:rPr>
        <w:t>2</w:t>
      </w:r>
      <w:r>
        <w:t>H</w:t>
      </w:r>
      <w:r>
        <w:rPr>
          <w:vertAlign w:val="subscript"/>
        </w:rPr>
        <w:t>4</w:t>
      </w:r>
      <w:r>
        <w:t>.</w:t>
      </w:r>
    </w:p>
    <w:p>
      <w:pPr>
        <w:spacing w:before="120" w:after="120"/>
      </w:pPr>
      <w:r>
        <w:rPr>
          <w:sz w:val="18"/>
        </w:rPr>
        <w:t>——————————————————————————————————————————————————————————————————————</w:t>
      </w:r>
    </w:p>
    <w:p>
      <w:pPr>
        <w:spacing w:before="160" w:after="80" w:line="240" w:lineRule="auto"/>
      </w:pPr>
      <w:r>
        <w:rPr>
          <w:b/>
        </w:rPr>
        <w:t xml:space="preserve">[171] </w:t>
      </w:r>
      <w:hyperlink r:id="rId302">
        <w:r>
          <w:rPr>
            <w:color w:val="1155CC"/>
            <w:u w:val="single"/>
          </w:rPr>
          <w:t>Photo‐Assisted Lithium–Oxygen Batteries: Mechanisms, Materials, and Perspectives</w:t>
        </w:r>
      </w:hyperlink>
    </w:p>
    <w:p>
      <w:pPr>
        <w:spacing w:before="0" w:after="120" w:line="240" w:lineRule="auto"/>
      </w:pPr>
      <w:r>
        <w:rPr>
          <w:b/>
        </w:rPr>
        <w:t xml:space="preserve">Source: </w:t>
      </w:r>
      <w:r>
        <w:t>Wiley: Advanced Materials: Table of Contents</w:t>
      </w:r>
      <w:r>
        <w:t xml:space="preserve">    </w:t>
      </w:r>
      <w:r>
        <w:rPr>
          <w:b/>
        </w:rPr>
        <w:t xml:space="preserve">Pub date: </w:t>
      </w:r>
      <w:r>
        <w:t>2025-12-23 08:34:28+00:00</w:t>
      </w:r>
      <w:r>
        <w:t xml:space="preserve">    </w:t>
      </w:r>
      <w:r>
        <w:rPr>
          <w:b/>
        </w:rPr>
        <w:t xml:space="preserve">DOI: </w:t>
      </w:r>
      <w:hyperlink r:id="rId303">
        <w:r>
          <w:rPr>
            <w:color w:val="1155CC"/>
            <w:u w:val="single"/>
          </w:rPr>
          <w:t>10.1002/adma.202518355</w:t>
        </w:r>
      </w:hyperlink>
    </w:p>
    <w:p>
      <w:pPr>
        <w:spacing w:before="0" w:after="120"/>
      </w:pPr>
      <w:r>
        <w:rPr>
          <w:b/>
        </w:rPr>
        <w:t xml:space="preserve">Notes: </w:t>
      </w:r>
      <w:r>
        <w:t>abstract_source=crossref</w:t>
      </w:r>
    </w:p>
    <w:p>
      <w:pPr>
        <w:spacing w:before="0" w:after="200" w:lineRule="auto" w:line="276"/>
      </w:pPr>
      <w:r>
        <w:rPr>
          <w:b/>
        </w:rPr>
        <w:t xml:space="preserve">Abstract: </w:t>
      </w:r>
      <w:r>
        <w:t>Photo‐assisted lithium–oxygen (Li–O</w:t>
      </w:r>
      <w:r>
        <w:rPr>
          <w:vertAlign w:val="subscript"/>
        </w:rPr>
        <w:t>2</w:t>
      </w:r>
      <w:r>
        <w:t>) batteries represent a promising avenue for next‐generation energy storage, leveraging the unique advantages of light to address the sluggish kinetics of oxygen reduction and evolution reactions. By integrating photocatalysts into the battery architecture, these systems harness solar energy to reduce overpotentials and enhance energy efficiency. This review provides a comprehensive overview of the mechanisms underlying photo‐assisted Li–O</w:t>
      </w:r>
      <w:r>
        <w:rPr>
          <w:vertAlign w:val="subscript"/>
        </w:rPr>
        <w:t>2</w:t>
      </w:r>
      <w:r>
        <w:t>batteries, with a particular focus on the rational design and development of advanced photocathodes. Recent advancements in battery configurations, anodes, and electrolytes are summarized. Key challenges are critically analyzed, along with emerging solutions for fully unlocking the potential of photo‐assisted Li–O</w:t>
      </w:r>
      <w:r>
        <w:rPr>
          <w:vertAlign w:val="subscript"/>
        </w:rPr>
        <w:t>2</w:t>
      </w:r>
      <w:r>
        <w:t>batteries. Finally, future research directions are outlined, emphasizing the importance of interdisciplinary efforts to accelerate the development of photo‐assisted Li–O</w:t>
      </w:r>
      <w:r>
        <w:rPr>
          <w:vertAlign w:val="subscript"/>
        </w:rPr>
        <w:t>2</w:t>
      </w:r>
      <w:r>
        <w:t>batteries toward real application.</w:t>
      </w:r>
    </w:p>
    <w:p>
      <w:pPr>
        <w:spacing w:before="120" w:after="120"/>
      </w:pPr>
      <w:r>
        <w:rPr>
          <w:sz w:val="18"/>
        </w:rPr>
        <w:t>——————————————————————————————————————————————————————————————————————</w:t>
      </w:r>
    </w:p>
    <w:p>
      <w:pPr>
        <w:spacing w:before="160" w:after="80" w:line="240" w:lineRule="auto"/>
      </w:pPr>
      <w:r>
        <w:rPr>
          <w:b/>
        </w:rPr>
        <w:t xml:space="preserve">[172] </w:t>
      </w:r>
      <w:hyperlink r:id="rId304">
        <w:r>
          <w:rPr>
            <w:color w:val="1155CC"/>
            <w:u w:val="single"/>
          </w:rPr>
          <w:t>C16 Phase High Entropy Borides With High Magnetic Anisotropy</w:t>
        </w:r>
      </w:hyperlink>
    </w:p>
    <w:p>
      <w:pPr>
        <w:spacing w:before="0" w:after="120" w:line="240" w:lineRule="auto"/>
      </w:pPr>
      <w:r>
        <w:rPr>
          <w:b/>
        </w:rPr>
        <w:t xml:space="preserve">Source: </w:t>
      </w:r>
      <w:r>
        <w:t>Wiley: Advanced Materials: Table of Contents</w:t>
      </w:r>
      <w:r>
        <w:t xml:space="preserve">    </w:t>
      </w:r>
      <w:r>
        <w:rPr>
          <w:b/>
        </w:rPr>
        <w:t xml:space="preserve">Pub date: </w:t>
      </w:r>
      <w:r>
        <w:t>2025-12-23 08:36:18+00:00</w:t>
      </w:r>
      <w:r>
        <w:t xml:space="preserve">    </w:t>
      </w:r>
      <w:r>
        <w:rPr>
          <w:b/>
        </w:rPr>
        <w:t xml:space="preserve">DOI: </w:t>
      </w:r>
      <w:hyperlink r:id="rId305">
        <w:r>
          <w:rPr>
            <w:color w:val="1155CC"/>
            <w:u w:val="single"/>
          </w:rPr>
          <w:t>10.1002/adma.202516135</w:t>
        </w:r>
      </w:hyperlink>
    </w:p>
    <w:p>
      <w:pPr>
        <w:spacing w:before="0" w:after="120"/>
      </w:pPr>
      <w:r>
        <w:rPr>
          <w:b/>
        </w:rPr>
        <w:t xml:space="preserve">Notes: </w:t>
      </w:r>
      <w:r>
        <w:t>abstract_source=crossref</w:t>
      </w:r>
    </w:p>
    <w:p>
      <w:pPr>
        <w:spacing w:before="0" w:after="200" w:lineRule="auto" w:line="276"/>
      </w:pPr>
      <w:r>
        <w:rPr>
          <w:b/>
        </w:rPr>
        <w:t xml:space="preserve">Abstract: </w:t>
      </w:r>
      <w:r>
        <w:t>High magnetic anisotropy materials have critical applications in numerous technology sectors, largely relying on rare‐earth and precious metals which poses major sustainability challenges. The high entropy composition space offers a vast arena for exploration of high magnetic anisotropy materials based on earth‐abundant elements. However, common high entropy alloys favor disordered cubic crystal structures whereas ordered uniaxial structures are necessary for the desirable strong magnetic anisotropy. Here we report the discovery of novel quinary borides with C16 uniaxial crystal structure and high magnetic anisotropy. Switching the easy‐plane anisotropy of binary C16 borides to easy‐axis can be achieved through a suitable mixing of Fe and Co on the transition metal sublattice. Using a combinatorial sputtering approach, we explore the wider high entropy composition space to further enhance the anisotropy of the C16 phase by incorporation of additional magnetic 3</w:t>
      </w:r>
      <w:r>
        <w:t xml:space="preserve"> </w:t>
      </w:r>
      <w:r>
        <w:t>d</w:t>
      </w:r>
      <w:r>
        <w:t xml:space="preserve"> </w:t>
      </w:r>
      <w:r>
        <w:t>transition metals. Significant coercivity increase, more than two‐fold, has been observed, compared with binary and ternary transition metal borides. Density functional theory calculations support the experimental findings, predicting anisotropy approaching 10</w:t>
      </w:r>
      <w:r>
        <w:rPr>
          <w:vertAlign w:val="subscript"/>
        </w:rPr>
        <w:t>7</w:t>
      </w:r>
      <w:r>
        <w:t>erg/cm</w:t>
      </w:r>
      <w:r>
        <w:rPr>
          <w:vertAlign w:val="subscript"/>
        </w:rPr>
        <w:t>3</w:t>
      </w:r>
      <w:r>
        <w:t>, which is understood in terms of the optimized electronic structure of the high entropy borides. These results establish a promising boron‐assisted synthesis strategy to achieve strong magnetic anisotropy using earth‐abundant elements.</w:t>
      </w:r>
    </w:p>
    <w:p>
      <w:pPr>
        <w:spacing w:before="120" w:after="120"/>
      </w:pPr>
      <w:r>
        <w:rPr>
          <w:sz w:val="18"/>
        </w:rPr>
        <w:t>——————————————————————————————————————————————————————————————————————</w:t>
      </w:r>
    </w:p>
    <w:p>
      <w:pPr>
        <w:spacing w:before="160" w:after="80" w:line="240" w:lineRule="auto"/>
      </w:pPr>
      <w:r>
        <w:rPr>
          <w:b/>
        </w:rPr>
        <w:t xml:space="preserve">[173] </w:t>
      </w:r>
      <w:hyperlink r:id="rId306">
        <w:r>
          <w:rPr>
            <w:color w:val="1155CC"/>
            <w:u w:val="single"/>
          </w:rPr>
          <w:t>Engineering Free Volume within Frontal Ring‐Opening Metathesis Polymerization via Pendant Plasticization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2025-12-23 08:42:27+00:00</w:t>
      </w:r>
      <w:r>
        <w:t xml:space="preserve">    </w:t>
      </w:r>
      <w:r>
        <w:rPr>
          <w:b/>
        </w:rPr>
        <w:t xml:space="preserve">DOI: </w:t>
      </w:r>
      <w:hyperlink r:id="rId307">
        <w:r>
          <w:rPr>
            <w:color w:val="1155CC"/>
            <w:u w:val="single"/>
          </w:rPr>
          <w:t>10.1002/adma.202519676</w:t>
        </w:r>
      </w:hyperlink>
    </w:p>
    <w:p>
      <w:pPr>
        <w:spacing w:before="0" w:after="120"/>
      </w:pPr>
      <w:r>
        <w:rPr>
          <w:b/>
        </w:rPr>
        <w:t xml:space="preserve">Notes: </w:t>
      </w:r>
      <w:r>
        <w:t>abstract_source=crossref</w:t>
      </w:r>
    </w:p>
    <w:p>
      <w:pPr>
        <w:spacing w:before="0" w:after="200" w:lineRule="auto" w:line="276"/>
      </w:pPr>
      <w:r>
        <w:rPr>
          <w:b/>
        </w:rPr>
        <w:t xml:space="preserve">Abstract: </w:t>
      </w:r>
      <w:r>
        <w:t>Frontal ring‐opening metathesis polymerization (FROMP) enables rapid, energy‐efficient access to high‐performance thermosets and thermoplastics, but the range of accessible properties remains constrained by the rigidity of norbornene‐type backbones. Here we introduce a side‐chain plasticization strategy for FROMP, wherein norbornene esters bearing</w:t>
      </w:r>
      <w:r>
        <w:t xml:space="preserve"> </w:t>
      </w:r>
      <w:r>
        <w:t>n</w:t>
      </w:r>
      <w:r>
        <w:t xml:space="preserve"> </w:t>
      </w:r>
      <w:r>
        <w:t>‐alkyl groups of varying length (</w:t>
      </w:r>
      <w:r>
        <w:t xml:space="preserve"> </w:t>
      </w:r>
      <w:r>
        <w:t>n</w:t>
      </w:r>
      <w:r>
        <w:t xml:space="preserve"> </w:t>
      </w:r>
      <w:r>
        <w:t>= 8, 12, 16) are copolymerized with dicyclopentadiene (DCPD) or hydrogenated DCPD (DCPD‐H</w:t>
      </w:r>
      <w:r>
        <w:rPr>
          <w:vertAlign w:val="subscript"/>
        </w:rPr>
        <w:t>2</w:t>
      </w:r>
      <w:r>
        <w:t>). Systematic incorporation of these pendants tunes free volume, resulting in predictable reductions in glass transition temperature (</w:t>
      </w:r>
      <w:r>
        <w:t xml:space="preserve"> </w:t>
      </w:r>
      <w:r>
        <w:t>T</w:t>
      </w:r>
      <w:r>
        <w:t xml:space="preserve"> </w:t>
      </w:r>
      <w:r>
        <w:t>g</w:t>
      </w:r>
      <w:r>
        <w:t xml:space="preserve"> </w:t>
      </w:r>
      <w:r>
        <w:t>), decreased moduli, and a transition from rigid thermosets to elastomers exceeding 800% elongation at break. Free‐volume analysis via dynamic mechanical analysis and solvent swelling ratios confirms pendant length and distribution as key parameters governing network porosity and mobility. Moreover, high‐alkyl‐content formulations exhibit nonlinear front propagation (spin modes) and strain‐induced whitening—features that highlight opportunities for spatial patterning and cooperative molecular alignment under load. Collectively, these results establish side‐chain engineering as a versatile design principle for expanding FROMP into elastomeric regimes, providing a scalable pathway to soft, tunable, and structurally programmable materials.</w:t>
      </w:r>
    </w:p>
    <w:p>
      <w:pPr>
        <w:spacing w:before="120" w:after="120"/>
      </w:pPr>
      <w:r>
        <w:rPr>
          <w:sz w:val="18"/>
        </w:rPr>
        <w:t>——————————————————————————————————————————————————————————————————————</w:t>
      </w:r>
    </w:p>
    <w:p>
      <w:pPr>
        <w:spacing w:before="160" w:after="80" w:line="240" w:lineRule="auto"/>
      </w:pPr>
      <w:r>
        <w:rPr>
          <w:b/>
        </w:rPr>
        <w:t xml:space="preserve">[174] </w:t>
      </w:r>
      <w:hyperlink r:id="rId308">
        <w:r>
          <w:rPr>
            <w:color w:val="1155CC"/>
            <w:u w:val="single"/>
          </w:rPr>
          <w:t>Defect‐Driven Ionic Trap Construction and Interface Modulation for Rapid Li+ Kinetics in Composite Solid Electrolytes</w:t>
        </w:r>
      </w:hyperlink>
    </w:p>
    <w:p>
      <w:pPr>
        <w:spacing w:before="0" w:after="120" w:line="240" w:lineRule="auto"/>
      </w:pPr>
      <w:r>
        <w:rPr>
          <w:b/>
        </w:rPr>
        <w:t xml:space="preserve">Source: </w:t>
      </w:r>
      <w:r>
        <w:t>Wiley: Advanced Materials: Table of Contents</w:t>
      </w:r>
      <w:r>
        <w:t xml:space="preserve">    </w:t>
      </w:r>
      <w:r>
        <w:rPr>
          <w:b/>
        </w:rPr>
        <w:t xml:space="preserve">Pub date: </w:t>
      </w:r>
      <w:r>
        <w:t>2025-12-23 08:43:35+00:00</w:t>
      </w:r>
      <w:r>
        <w:t xml:space="preserve">    </w:t>
      </w:r>
      <w:r>
        <w:rPr>
          <w:b/>
        </w:rPr>
        <w:t xml:space="preserve">DOI: </w:t>
      </w:r>
      <w:hyperlink r:id="rId309">
        <w:r>
          <w:rPr>
            <w:color w:val="1155CC"/>
            <w:u w:val="single"/>
          </w:rPr>
          <w:t>10.1002/adma.202519541</w:t>
        </w:r>
      </w:hyperlink>
    </w:p>
    <w:p>
      <w:pPr>
        <w:spacing w:before="0" w:after="120"/>
      </w:pPr>
      <w:r>
        <w:rPr>
          <w:b/>
        </w:rPr>
        <w:t xml:space="preserve">Notes: </w:t>
      </w:r>
      <w:r>
        <w:t>abstract_source=crossref</w:t>
      </w:r>
    </w:p>
    <w:p>
      <w:pPr>
        <w:spacing w:before="0" w:after="200" w:lineRule="auto" w:line="276"/>
      </w:pPr>
      <w:r>
        <w:rPr>
          <w:b/>
        </w:rPr>
        <w:t xml:space="preserve">Abstract: </w:t>
      </w:r>
      <w:r>
        <w:t>Composite solid electrolytes (CSEs) hold great promise for lithium metal batteries owing to the inherent safety and mechanical flexibility, yet their progress is impeded by sluggish Li</w:t>
      </w:r>
      <w:r>
        <w:t xml:space="preserve"> </w:t>
      </w:r>
      <w:r>
        <w:t>+</w:t>
      </w:r>
      <w:r>
        <w:t xml:space="preserve"> </w:t>
      </w:r>
      <w:r>
        <w:t>transport and unstable interfacial chemistry. Herein, we unveil an ionic‐trap framework to clarify the essential role of inorganic fillers in regulating ion migration. Specifically, milled carbon nitride with oxamide incorporation (MCNOI) introduces abundant nitrogen vacancies that function as a shallow ionic trap, enabling reversible Li</w:t>
      </w:r>
      <w:r>
        <w:t xml:space="preserve"> </w:t>
      </w:r>
      <w:r>
        <w:t>+</w:t>
      </w:r>
      <w:r>
        <w:t xml:space="preserve"> </w:t>
      </w:r>
      <w:r>
        <w:t>capture/release and constructing continuous conduction pathways. By contrast, traditional carbon nitride forms a deep ionic trap that immobilizes Li</w:t>
      </w:r>
      <w:r>
        <w:t xml:space="preserve"> </w:t>
      </w:r>
      <w:r>
        <w:t>+</w:t>
      </w:r>
      <w:r>
        <w:t xml:space="preserve"> </w:t>
      </w:r>
      <w:r>
        <w:t>, whereas ionic trap‐free polymer electrolytes lack effective guidance for Li</w:t>
      </w:r>
      <w:r>
        <w:t xml:space="preserve"> </w:t>
      </w:r>
      <w:r>
        <w:t>+</w:t>
      </w:r>
      <w:r>
        <w:t xml:space="preserve"> </w:t>
      </w:r>
      <w:r>
        <w:t>transport. Beyond intrinsic ion conduction, MCNOI facilitates the formation of a gradient organic‐inorganic interphase, redistributing interfacial charges, suppressing anion migration, and promoting uniform Li deposition. Consequently, the optimized CSE achieves a high Li</w:t>
      </w:r>
      <w:r>
        <w:t xml:space="preserve"> </w:t>
      </w:r>
      <w:r>
        <w:t>+</w:t>
      </w:r>
      <w:r>
        <w:t xml:space="preserve"> </w:t>
      </w:r>
      <w:r>
        <w:t>transference number (0.68), ultralong cycling stability (&amp;gt;3000 h), and remarkable full‐cell durability (92.3% capacity retention after 1800 cycles at 5 C). These findings highlight defect‐engineered fillers as active regulators of Li</w:t>
      </w:r>
      <w:r>
        <w:t xml:space="preserve"> </w:t>
      </w:r>
      <w:r>
        <w:t>+</w:t>
      </w:r>
      <w:r>
        <w:t xml:space="preserve"> </w:t>
      </w:r>
      <w:r>
        <w:t>transport, redefining design strategies for durable high‐performance solid‐state batteries.</w:t>
      </w:r>
    </w:p>
    <w:p>
      <w:pPr>
        <w:spacing w:before="120" w:after="120"/>
      </w:pPr>
      <w:r>
        <w:rPr>
          <w:sz w:val="18"/>
        </w:rPr>
        <w:t>——————————————————————————————————————————————————————————————————————</w:t>
      </w:r>
    </w:p>
    <w:p>
      <w:pPr>
        <w:spacing w:before="160" w:after="80" w:line="240" w:lineRule="auto"/>
      </w:pPr>
      <w:r>
        <w:rPr>
          <w:b/>
        </w:rPr>
        <w:t xml:space="preserve">[175] </w:t>
      </w:r>
      <w:hyperlink r:id="rId310">
        <w:r>
          <w:rPr>
            <w:color w:val="1155CC"/>
            <w:u w:val="single"/>
          </w:rPr>
          <w:t>Correction to “A Dopamine‐Modified Hyaluronic Acid‐Based Mucus Carrying Phytoestrogen and Urinary Exosome for Thin Endometrium Repair”</w:t>
        </w:r>
      </w:hyperlink>
    </w:p>
    <w:p>
      <w:pPr>
        <w:spacing w:before="0" w:after="120" w:line="240" w:lineRule="auto"/>
      </w:pPr>
      <w:r>
        <w:rPr>
          <w:b/>
        </w:rPr>
        <w:t xml:space="preserve">Source: </w:t>
      </w:r>
      <w:r>
        <w:t>Wiley: Advanced Materials: Table of Contents</w:t>
      </w:r>
      <w:r>
        <w:t xml:space="preserve">    </w:t>
      </w:r>
      <w:r>
        <w:rPr>
          <w:b/>
        </w:rPr>
        <w:t xml:space="preserve">Pub date: </w:t>
      </w:r>
      <w:r>
        <w:t>2025-12-23 08:45:54+00:00</w:t>
      </w:r>
      <w:r>
        <w:t xml:space="preserve">    </w:t>
      </w:r>
      <w:r>
        <w:rPr>
          <w:b/>
        </w:rPr>
        <w:t xml:space="preserve">DOI: </w:t>
      </w:r>
      <w:hyperlink r:id="rId311">
        <w:r>
          <w:rPr>
            <w:color w:val="1155CC"/>
            <w:u w:val="single"/>
          </w:rPr>
          <w:t>10.1002/adma.202517224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[176] </w:t>
      </w:r>
      <w:hyperlink r:id="rId312">
        <w:r>
          <w:rPr>
            <w:color w:val="1155CC"/>
            <w:u w:val="single"/>
          </w:rPr>
          <w:t>Marc Guerre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13">
        <w:r>
          <w:rPr>
            <w:color w:val="1155CC"/>
            <w:u w:val="single"/>
          </w:rPr>
          <w:t>10.1002/anie.202524310</w:t>
        </w:r>
      </w:hyperlink>
    </w:p>
    <w:p>
      <w:pPr>
        <w:spacing w:before="0" w:after="120"/>
      </w:pPr>
      <w:r>
        <w:rPr>
          <w:b/>
        </w:rPr>
        <w:t xml:space="preserve">Notes: </w:t>
      </w:r>
      <w:r>
        <w:t>abstract_source=semanticscholar</w:t>
      </w:r>
    </w:p>
    <w:p>
      <w:pPr>
        <w:spacing w:before="0" w:after="200" w:lineRule="auto" w:line="276"/>
      </w:pPr>
      <w:r>
        <w:rPr>
          <w:b/>
        </w:rPr>
        <w:t xml:space="preserve">Abstract: </w:t>
      </w:r>
      <w:r>
        <w:t>"The one piece of lab equipment that I could not be without is the hot press, the ultimate judge of whether your "dynamic exchanges" are actually dynamic or just pretending to be… I get my best ideas when I sleep. Unfortunately, I rarely remember them when I wake up…" Find out more about Marc Guerre in his Introducing… Profile.</w:t>
      </w:r>
    </w:p>
    <w:p>
      <w:pPr>
        <w:spacing w:before="120" w:after="120"/>
      </w:pPr>
      <w:r>
        <w:rPr>
          <w:sz w:val="18"/>
        </w:rPr>
        <w:t>——————————————————————————————————————————————————————————————————————</w:t>
      </w:r>
    </w:p>
    <w:p>
      <w:pPr>
        <w:spacing w:before="160" w:after="80" w:line="240" w:lineRule="auto"/>
      </w:pPr>
      <w:r>
        <w:rPr>
          <w:b/>
        </w:rPr>
        <w:t xml:space="preserve">[177] </w:t>
      </w:r>
      <w:hyperlink r:id="rId314">
        <w:r>
          <w:rPr>
            <w:color w:val="1155CC"/>
            <w:u w:val="single"/>
          </w:rPr>
          <w:t>Substituent‐Generated Electric Fields and Ligand Non‐Innocence Drive the Record‐High Efficiency of Iron Tetraphenylporphyrin Catalysts for CO2‐to‐CO Conversion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15">
        <w:r>
          <w:rPr>
            <w:color w:val="1155CC"/>
            <w:u w:val="single"/>
          </w:rPr>
          <w:t>10.1002/anie.202520907</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w:t>
      </w:r>
      <w:r>
        <w:rPr>
          <w:vertAlign w:val="subscript"/>
        </w:rPr>
        <w:t>2</w:t>
      </w:r>
      <w:r>
        <w:t>‐to‐CO conversion is a critical step in sustainable catalysis, with iron‐tetraphenylporphyrin (Fe–TPP) derivatives recognised as benchmark catalysts, reaching turnover frequencies (TOFs) up to 10</w:t>
      </w:r>
      <w:r>
        <w:rPr>
          <w:vertAlign w:val="subscript"/>
        </w:rPr>
        <w:t>6</w:t>
      </w:r>
      <w:r>
        <w:t>s</w:t>
      </w:r>
      <w:r>
        <w:t xml:space="preserve"> </w:t>
      </w:r>
      <w:r>
        <w:t>−1</w:t>
      </w:r>
      <w:r>
        <w:t xml:space="preserve"> </w:t>
      </w:r>
      <w:r>
        <w:t>with trimethylammonium (TMA) substitution. However, substituent effects remain unpredictable: sulfonyl groups render the catalyst inactive, while others enhance activity, yielding over 50 analogues without coherent design principle. Using density functional theory (DFT) and response theory (including electric field effects), we identify factors governing this variability. Electronic structure analysis reveals the redox non‐innocent behaviour of TPP ligand, forming [Fe(II)TPP</w:t>
      </w:r>
      <w:r>
        <w:t xml:space="preserve"> </w:t>
      </w:r>
      <w:r>
        <w:t>••</w:t>
      </w:r>
      <w:r>
        <w:t xml:space="preserve"> </w:t>
      </w:r>
      <w:r>
        <w:t>]</w:t>
      </w:r>
      <w:r>
        <w:t xml:space="preserve"> </w:t>
      </w:r>
      <w:r>
        <w:t>2−</w:t>
      </w:r>
      <w:r>
        <w:t>species, stabilised by antiferromagnetic coupling (</w:t>
      </w:r>
      <w:r>
        <w:t xml:space="preserve"> </w:t>
      </w:r>
      <w:r>
        <w:t>J</w:t>
      </w:r>
      <w:r>
        <w:t xml:space="preserve"> </w:t>
      </w:r>
      <w:r>
        <w:t>= −656 cm</w:t>
      </w:r>
      <w:r>
        <w:t xml:space="preserve"> </w:t>
      </w:r>
      <w:r>
        <w:t>−1</w:t>
      </w:r>
      <w:r>
        <w:t xml:space="preserve"> </w:t>
      </w:r>
      <w:r>
        <w:t>). The ligand's ability to transiently hold and transfer electrons during the catalytic cycle enhances catalytic performance. Energetic‐span model analysis for Fe–TPP (</w:t>
      </w:r>
      <w:r>
        <w:rPr>
          <w:vertAlign w:val="subscript"/>
        </w:rPr>
        <w:t>1</w:t>
      </w:r>
      <w:r>
        <w:t>), Fe–p‐TMA (</w:t>
      </w:r>
      <w:r>
        <w:rPr>
          <w:vertAlign w:val="subscript"/>
        </w:rPr>
        <w:t>2</w:t>
      </w:r>
      <w:r>
        <w:t>), and Fe–o‐TMA (</w:t>
      </w:r>
      <w:r>
        <w:rPr>
          <w:vertAlign w:val="subscript"/>
        </w:rPr>
        <w:t>3</w:t>
      </w:r>
      <w:r>
        <w:t>) yields barriers of 195.5, 184.4, and 162.2 kJ mol</w:t>
      </w:r>
      <w:r>
        <w:t xml:space="preserve"> </w:t>
      </w:r>
      <w:r>
        <w:t>−1</w:t>
      </w:r>
      <w:r>
        <w:t xml:space="preserve"> </w:t>
      </w:r>
      <w:r>
        <w:t>, respectively, matching experiments</w:t>
      </w:r>
      <w:r>
        <w:rPr>
          <w:vertAlign w:val="subscript"/>
        </w:rPr>
        <w:t>3</w:t>
      </w:r>
      <w:r>
        <w:t>&amp;gt;</w:t>
      </w:r>
      <w:r>
        <w:rPr>
          <w:vertAlign w:val="subscript"/>
        </w:rPr>
        <w:t>2</w:t>
      </w:r>
      <w:r>
        <w:t>&amp;gt;</w:t>
      </w:r>
      <w:r>
        <w:rPr>
          <w:vertAlign w:val="subscript"/>
        </w:rPr>
        <w:t>1</w:t>
      </w:r>
      <w:r>
        <w:t>. Crucially, local electric fields (LEFs), arising from charged substituents dominate reactivity, surpassing traditional steric or inductive considerations. Applying an oriented electric field of + 0.21 V Å</w:t>
      </w:r>
      <w:r>
        <w:t xml:space="preserve"> </w:t>
      </w:r>
      <w:r>
        <w:t>−1</w:t>
      </w:r>
      <w:r>
        <w:t xml:space="preserve"> </w:t>
      </w:r>
      <w:r>
        <w:t>to</w:t>
      </w:r>
      <w:r>
        <w:rPr>
          <w:vertAlign w:val="subscript"/>
        </w:rPr>
        <w:t>1</w:t>
      </w:r>
      <w:r>
        <w:t>reproduces the performance of</w:t>
      </w:r>
      <w:r>
        <w:rPr>
          <w:vertAlign w:val="subscript"/>
        </w:rPr>
        <w:t>3</w:t>
      </w:r>
      <w:r>
        <w:t>, confirming LEF as a unifying descriptor. Guided by this, we in silico design next‐generation catalysts, setting a new paradigm in CO</w:t>
      </w:r>
      <w:r>
        <w:rPr>
          <w:vertAlign w:val="subscript"/>
        </w:rPr>
        <w:t>2</w:t>
      </w:r>
      <w:r>
        <w:t>reduction catalysis.</w:t>
      </w:r>
    </w:p>
    <w:p>
      <w:pPr>
        <w:spacing w:before="120" w:after="120"/>
      </w:pPr>
      <w:r>
        <w:rPr>
          <w:sz w:val="18"/>
        </w:rPr>
        <w:t>——————————————————————————————————————————————————————————————————————</w:t>
      </w:r>
    </w:p>
    <w:p>
      <w:pPr>
        <w:spacing w:before="160" w:after="80" w:line="240" w:lineRule="auto"/>
      </w:pPr>
      <w:r>
        <w:rPr>
          <w:b/>
        </w:rPr>
        <w:t xml:space="preserve">[178] </w:t>
      </w:r>
      <w:hyperlink r:id="rId316">
        <w:r>
          <w:rPr>
            <w:color w:val="1155CC"/>
            <w:u w:val="single"/>
          </w:rPr>
          <w:t>The Chemistry of Space: From Crystallographic Abstraction to Framework Design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17">
        <w:r>
          <w:rPr>
            <w:color w:val="1155CC"/>
            <w:u w:val="single"/>
          </w:rPr>
          <w:t>10.1002/anie.202523850</w:t>
        </w:r>
      </w:hyperlink>
    </w:p>
    <w:p>
      <w:pPr>
        <w:spacing w:before="0" w:after="120"/>
      </w:pPr>
      <w:r>
        <w:rPr>
          <w:b/>
        </w:rPr>
        <w:t xml:space="preserve">Notes: </w:t>
      </w:r>
      <w:r>
        <w:t>abstract_source=crossref</w:t>
      </w:r>
    </w:p>
    <w:p>
      <w:pPr>
        <w:spacing w:before="0" w:after="200" w:lineRule="auto" w:line="276"/>
      </w:pPr>
      <w:r>
        <w:rPr>
          <w:b/>
        </w:rPr>
        <w:t xml:space="preserve">Abstract: </w:t>
      </w:r>
      <w:r>
        <w:t>The 2025 Nobel Prize in Chemistry celebrates the groundbreaking development of metal–organic frameworks (MOFs), which revolutionised porous materials through the application of crystallography and reticular chemistry principles. Building on the pioneering contributions of Kitagawa, Robson, and Yaghi, MOF chemistry is now pursued with a level of precision comparable to that long established in molecular chemistry. Looking ahead, the field is exploring dynamic frameworks, defect engineering, and expanding practical applications, all in pursuit of designing high‐performance materials driven by molecular design to meet pressing societal challenges.</w:t>
      </w:r>
    </w:p>
    <w:p>
      <w:pPr>
        <w:spacing w:before="120" w:after="120"/>
      </w:pPr>
      <w:r>
        <w:rPr>
          <w:sz w:val="18"/>
        </w:rPr>
        <w:t>——————————————————————————————————————————————————————————————————————</w:t>
      </w:r>
    </w:p>
    <w:p>
      <w:pPr>
        <w:spacing w:before="160" w:after="80" w:line="240" w:lineRule="auto"/>
      </w:pPr>
      <w:r>
        <w:rPr>
          <w:b/>
        </w:rPr>
        <w:t xml:space="preserve">[179] </w:t>
      </w:r>
      <w:hyperlink r:id="rId318">
        <w:r>
          <w:rPr>
            <w:color w:val="1155CC"/>
            <w:u w:val="single"/>
          </w:rPr>
          <w:t>Polymer‐Templated In Situ Growth of Centimeter‐Scale Perovskite Nanocrystal Arrays with Ultrasmall Pixel Size and High Stability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19">
        <w:r>
          <w:rPr>
            <w:color w:val="1155CC"/>
            <w:u w:val="single"/>
          </w:rPr>
          <w:t>10.1002/anie.202513138</w:t>
        </w:r>
      </w:hyperlink>
    </w:p>
    <w:p>
      <w:pPr>
        <w:spacing w:before="0" w:after="120"/>
      </w:pPr>
      <w:r>
        <w:rPr>
          <w:b/>
        </w:rPr>
        <w:t xml:space="preserve">Notes: </w:t>
      </w:r>
      <w:r>
        <w:t>abstract_source=crossref</w:t>
      </w:r>
    </w:p>
    <w:p>
      <w:pPr>
        <w:spacing w:before="0" w:after="200" w:lineRule="auto" w:line="276"/>
      </w:pPr>
      <w:r>
        <w:rPr>
          <w:b/>
        </w:rPr>
        <w:t xml:space="preserve">Abstract: </w:t>
      </w:r>
      <w:r>
        <w:t>Miniaturizing the perovskite nanocrystal (PNC) pattern is critical for advancing integrated chip‐level devices and next‐generation displays. However, scalable fabrication of nanoscale PNC patterns remains challenging. In this study, we report a polymer‐templated in situ growth strategy for fabricating centimeter‐scale PNC arrays with ultrasmall pixel size and excellent environmental stability. The method involves the use of nanoimprinting soft lithography to generate crosslinked polymer arrays, and subsequent selective nucleation and growth of PNCs within the polymeric nanodomains. The PNC‐loaded nanoarrays achieve a pixel resolution of 59 325 ppi. By varying the dimension of polymeric nanocylinders, the pixel size of nanoarrays can be precisely tuned from 167.8 to 64.5 nm, breaking the limit of pixel size reported so far. Furthermore, the nanoarrays exhibit exceptional stability, retaining 91.8% of their initial photoluminescence (PL) intensity after immersion in water for over 1000 h. They also preserve 86% of their initial PL intensity after 10 thermal treatment cycles between 30 and 100 °C, and nearly 100% after 6.5 h of UV light irradiation. Finally, we demonstrate the application of PNC nanoarrays as scintillators for X‐ray imaging. This study presents a simple yet effective approach for the scalable production of robust perovskite nanocrystal arrays with potential in optoelectronic applications.</w:t>
      </w:r>
    </w:p>
    <w:p>
      <w:pPr>
        <w:spacing w:before="120" w:after="120"/>
      </w:pPr>
      <w:r>
        <w:rPr>
          <w:sz w:val="18"/>
        </w:rPr>
        <w:t>——————————————————————————————————————————————————————————————————————</w:t>
      </w:r>
    </w:p>
    <w:p>
      <w:pPr>
        <w:spacing w:before="160" w:after="80" w:line="240" w:lineRule="auto"/>
      </w:pPr>
      <w:r>
        <w:rPr>
          <w:b/>
        </w:rPr>
        <w:t xml:space="preserve">[180] </w:t>
      </w:r>
      <w:hyperlink r:id="rId320">
        <w:r>
          <w:rPr>
            <w:color w:val="1155CC"/>
            <w:u w:val="single"/>
          </w:rPr>
          <w:t>Nucleophilic Oxygen‐Engineering Dual‐Gradient Cathode‐Electrolyte‐Interphase for High‐Voltage Lithium‐Rich Manganese Oxide Cathodes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21">
        <w:r>
          <w:rPr>
            <w:color w:val="1155CC"/>
            <w:u w:val="single"/>
          </w:rPr>
          <w:t>10.1002/anie.202514748</w:t>
        </w:r>
      </w:hyperlink>
    </w:p>
    <w:p>
      <w:pPr>
        <w:spacing w:before="0" w:after="120"/>
      </w:pPr>
      <w:r>
        <w:rPr>
          <w:b/>
        </w:rPr>
        <w:t xml:space="preserve">Notes: </w:t>
      </w:r>
      <w:r>
        <w:t>abstract_source=crossref</w:t>
      </w:r>
    </w:p>
    <w:p>
      <w:pPr>
        <w:spacing w:before="0" w:after="200" w:lineRule="auto" w:line="276"/>
      </w:pPr>
      <w:r>
        <w:rPr>
          <w:b/>
        </w:rPr>
        <w:t xml:space="preserve">Abstract: </w:t>
      </w:r>
      <w:r>
        <w:t>The high‐voltage stability of lithium‐rich manganese‐based layered oxide (LRMO), particularly at voltages approaching 4.8 V, is governed by the structure of the cathode electrolyte interphase (CEI), the oxidative stability of the electrolyte, and lattice degradation caused by transition metals dissolution. In this work, a molecular engineering strategy is employed to design nucleophilic oxygen‐functionalized additives that construct a dual‐gradient inorganic CEI, effectively modulate interfacial redox reactions, and stabilize the lattice Mn dissolution of the LRMO cathode. Driven by the strong electron‐donating characteristics of the nucleophilic species, the engineered CEI exhibits a robust and zipper‐like architecture composed of an inner lithium borates‐rich layer and an outer lithium phosphates‐dominated layer, promoting fast Li</w:t>
      </w:r>
      <w:r>
        <w:t xml:space="preserve"> </w:t>
      </w:r>
      <w:r>
        <w:t>+</w:t>
      </w:r>
      <w:r>
        <w:t xml:space="preserve"> </w:t>
      </w:r>
      <w:r>
        <w:t>transport and enhancing interfacial kinetics. The nucleophilic oxygen‐driven electrolyte mitigates oxidative degradation and suppresses Mn dissolution, enabling LRMO cathodes to exhibit a reversible capacity retention of 80% after 580 cycles at a high‐voltage of 4.8 V‐class. This work provides the efficiency of nucleophilic oxygen‐mediated interfacial engineering in enabling durable high‐voltage operation of LRMO cathodes.</w:t>
      </w:r>
    </w:p>
    <w:p>
      <w:pPr>
        <w:spacing w:before="120" w:after="120"/>
      </w:pPr>
      <w:r>
        <w:rPr>
          <w:sz w:val="18"/>
        </w:rPr>
        <w:t>——————————————————————————————————————————————————————————————————————</w:t>
      </w:r>
    </w:p>
    <w:p>
      <w:pPr>
        <w:spacing w:before="160" w:after="80" w:line="240" w:lineRule="auto"/>
      </w:pPr>
      <w:r>
        <w:rPr>
          <w:b/>
        </w:rPr>
        <w:t xml:space="preserve">[181] </w:t>
      </w:r>
      <w:hyperlink r:id="rId322">
        <w:r>
          <w:rPr>
            <w:color w:val="1155CC"/>
            <w:u w:val="single"/>
          </w:rPr>
          <w:t>Asymmetric N‐alkylation of Carbazoles by Cooperative Potassium‐Hydrogen‐Bond‐Aryloxide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23">
        <w:r>
          <w:rPr>
            <w:color w:val="1155CC"/>
            <w:u w:val="single"/>
          </w:rPr>
          <w:t>10.1002/anie.202513667</w:t>
        </w:r>
      </w:hyperlink>
    </w:p>
    <w:p>
      <w:pPr>
        <w:spacing w:before="0" w:after="120"/>
      </w:pPr>
      <w:r>
        <w:rPr>
          <w:b/>
        </w:rPr>
        <w:t xml:space="preserve">Notes: </w:t>
      </w:r>
      <w:r>
        <w:t>abstract_source=crossref</w:t>
      </w:r>
    </w:p>
    <w:p>
      <w:pPr>
        <w:spacing w:before="0" w:after="200" w:lineRule="auto" w:line="276"/>
      </w:pPr>
      <w:r>
        <w:rPr>
          <w:b/>
        </w:rPr>
        <w:t xml:space="preserve">Abstract: </w:t>
      </w:r>
      <w:r>
        <w:t>The catalytic asymmetric N‐alkylation of carbazoles to construct fully substituted stereocenters remains a significant challenge due to issues of regioselectivity, enantioselectivity, and steric hindrance. In this work, we address these obstacles by employing indol‐2‐ones as suitable electrophilic partners in a cooperative catalytic system. An in situ generated polyfunctional potassium catalyst, integrating Lewis acidic, Brønsted basic, and hydrogen‐bond‐donating sites, effectively promotes the nucleophilic amination process, exhibiting broad functional group tolerance and excellent selectivity. Mechanistic studies reveal that coordination of the carbonyl group in indol‐2‐ones to the potassium center is critical for lowering the activation barrier, while both the naphthalenolate and the naphthol moiety in the catalyst facilitate proton transfer. The resulting enantioenriched carbazole–oxindole hybrids, featuring two privileged scaffolds, may hold promising potential for medicinal chemistry applications.</w:t>
      </w:r>
    </w:p>
    <w:p>
      <w:pPr>
        <w:spacing w:before="120" w:after="120"/>
      </w:pPr>
      <w:r>
        <w:rPr>
          <w:sz w:val="18"/>
        </w:rPr>
        <w:t>——————————————————————————————————————————————————————————————————————</w:t>
      </w:r>
    </w:p>
    <w:p>
      <w:pPr>
        <w:spacing w:before="160" w:after="80" w:line="240" w:lineRule="auto"/>
      </w:pPr>
      <w:r>
        <w:rPr>
          <w:b/>
        </w:rPr>
        <w:t xml:space="preserve">[182] </w:t>
      </w:r>
      <w:hyperlink r:id="rId324">
        <w:r>
          <w:rPr>
            <w:color w:val="1155CC"/>
            <w:u w:val="single"/>
          </w:rPr>
          <w:t>A Photo‐ and Cobalt‐Catalyzed Enantioselective Hydroamination of Unactivated Alkenes with Amines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25">
        <w:r>
          <w:rPr>
            <w:color w:val="1155CC"/>
            <w:u w:val="single"/>
          </w:rPr>
          <w:t>10.1002/anie.202513891</w:t>
        </w:r>
      </w:hyperlink>
    </w:p>
    <w:p>
      <w:pPr>
        <w:spacing w:before="0" w:after="120"/>
      </w:pPr>
      <w:r>
        <w:rPr>
          <w:b/>
        </w:rPr>
        <w:t xml:space="preserve">Notes: </w:t>
      </w:r>
      <w:r>
        <w:t>abstract_source=crossref</w:t>
      </w:r>
    </w:p>
    <w:p>
      <w:pPr>
        <w:spacing w:before="0" w:after="200" w:lineRule="auto" w:line="276"/>
      </w:pPr>
      <w:r>
        <w:rPr>
          <w:b/>
        </w:rPr>
        <w:t xml:space="preserve">Abstract: </w:t>
      </w:r>
      <w:r>
        <w:t>The transition‐metal‐catalyzed direct enantioselective addition of N─H bonds to unactivated alkenes is of great significance as it creates high‐value‐added chiral alkylamines from two abundant chemical feedstocks, yet it has long been a considerable challenge. Current state‐of‐the‐art advancements rely on the use of olefins with a tethered heteroatom or heteroaromatic amine, which can readily coordinate with metal catalysts to achieve high stereoselectivity. Herein, we report a photoredox/cobalt‐catalyzed enantioselective hydroamination of nonactivated alkenes with simple amines through Co(III)H‐mediated hydrogen atom transfer followed by a nucleophilic amination of alkylcobalt(IV), enabling the synthesis of</w:t>
      </w:r>
      <w:r>
        <w:t xml:space="preserve"> </w:t>
      </w:r>
      <w:r>
        <w:t>α</w:t>
      </w:r>
      <w:r>
        <w:t xml:space="preserve"> </w:t>
      </w:r>
      <w:r>
        <w:t>‐chiral tertiary amines in high yields and enantioselectivities. The strategy demonstrates a unique capability to control enantioselectivity of the in situ generated alkyl radicals, efficiently differentiating two alkyl substituents (methyl versus methylene), which is significantly less explored in enantioselective radical transformation. This research will spark new ideas for the asymmetric radical hydrofunctionalization of unactivated alkenes with various nucleophiles.</w:t>
      </w:r>
    </w:p>
    <w:p>
      <w:pPr>
        <w:spacing w:before="120" w:after="120"/>
      </w:pPr>
      <w:r>
        <w:rPr>
          <w:sz w:val="18"/>
        </w:rPr>
        <w:t>——————————————————————————————————————————————————————————————————————</w:t>
      </w:r>
    </w:p>
    <w:p>
      <w:pPr>
        <w:spacing w:before="160" w:after="80" w:line="240" w:lineRule="auto"/>
      </w:pPr>
      <w:r>
        <w:rPr>
          <w:b/>
        </w:rPr>
        <w:t xml:space="preserve">[183] </w:t>
      </w:r>
      <w:hyperlink r:id="rId326">
        <w:r>
          <w:rPr>
            <w:color w:val="1155CC"/>
            <w:u w:val="single"/>
          </w:rPr>
          <w:t>Rapid and Reversible Visible‐Light‐Induced Helix Inversion in Chiral Liquid Crystals Doped with a Negative Photochromic Molecule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27">
        <w:r>
          <w:rPr>
            <w:color w:val="1155CC"/>
            <w:u w:val="single"/>
          </w:rPr>
          <w:t>10.1002/anie.202520871</w:t>
        </w:r>
      </w:hyperlink>
    </w:p>
    <w:p>
      <w:pPr>
        <w:spacing w:before="0" w:after="120"/>
      </w:pPr>
      <w:r>
        <w:rPr>
          <w:b/>
        </w:rPr>
        <w:t xml:space="preserve">Notes: </w:t>
      </w:r>
      <w:r>
        <w:t>abstract_source=crossref</w:t>
      </w:r>
    </w:p>
    <w:p>
      <w:pPr>
        <w:spacing w:before="0" w:after="200" w:lineRule="auto" w:line="276"/>
      </w:pPr>
      <w:r>
        <w:rPr>
          <w:b/>
        </w:rPr>
        <w:t xml:space="preserve">Abstract: </w:t>
      </w:r>
      <w:r>
        <w:t>Light‐induced helix inversion in chiral nematic liquid crystals (N*LCs), where helicity reverses under photoirradiation, has emerged as a promising strategy. However, existing systems often suffer from slow response times and limited reversibility, primarily due to inefficient photoisomerization. Here we report a binaphthyl‐bridged imidazole dimer (BN‐ImD) as a negative photochromic chiral dopant that enables rapid, visible‐light‐driven, and fully reversible helix inversion in N*LCs within seconds. BN‐ImD undergoes efficient isomerization between a stable colored and metastable colorless form with a large dihedral angle change in the binaphthyl unit, while operating efficiently even in solid films and exhibiting fast thermal back reaction at room temperature. We also identified a second‐stage, irreversible helix inversion triggered by protonation of the dopant under high‐intensity irradiation, demonstrating a sequential helicity inversion that proceeds through two mechanistically distinct switching pathways of the chiral dopant. These findings highlight a new molecular design strategy for engineering multistage, light‐controlled chirality in photoresponsive materials.</w:t>
      </w:r>
    </w:p>
    <w:p>
      <w:pPr>
        <w:spacing w:before="120" w:after="120"/>
      </w:pPr>
      <w:r>
        <w:rPr>
          <w:sz w:val="18"/>
        </w:rPr>
        <w:t>——————————————————————————————————————————————————————————————————————</w:t>
      </w:r>
    </w:p>
    <w:p>
      <w:pPr>
        <w:spacing w:before="160" w:after="80" w:line="240" w:lineRule="auto"/>
      </w:pPr>
      <w:r>
        <w:rPr>
          <w:b/>
        </w:rPr>
        <w:t xml:space="preserve">[184] </w:t>
      </w:r>
      <w:hyperlink r:id="rId328">
        <w:r>
          <w:rPr>
            <w:color w:val="1155CC"/>
            <w:u w:val="single"/>
          </w:rPr>
          <w:t>CrystalGAT: An AI‐Based Intelligent Flexible Crystal Materials Design Computing Platform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29">
        <w:r>
          <w:rPr>
            <w:color w:val="1155CC"/>
            <w:u w:val="single"/>
          </w:rPr>
          <w:t>10.1002/anie.202518543</w:t>
        </w:r>
      </w:hyperlink>
    </w:p>
    <w:p>
      <w:pPr>
        <w:spacing w:before="0" w:after="120"/>
      </w:pPr>
      <w:r>
        <w:rPr>
          <w:b/>
        </w:rPr>
        <w:t xml:space="preserve">Notes: </w:t>
      </w:r>
      <w:r>
        <w:t>abstract_source=crossref</w:t>
      </w:r>
    </w:p>
    <w:p>
      <w:pPr>
        <w:spacing w:before="0" w:after="200" w:lineRule="auto" w:line="276"/>
      </w:pPr>
      <w:r>
        <w:rPr>
          <w:b/>
        </w:rPr>
        <w:t xml:space="preserve">Abstract: </w:t>
      </w:r>
      <w:r>
        <w:t>Endowing functional crystals with flexibility significantly broadens their potential applications in the field of flexible smart devices. Despite tremendous efforts to understand the foundational structural principles of flexibility, most discoveries of crystals with mechanical flexibility remain accidental. Currently, machine learning has become a transformative research paradigm in materials science. Here, we propose an innovative approach and develop a platform for predicting the mechanical properties of molecular crystals named CrystalGAT. CrystalGAT is a graph neural network model based on attention mechanisms, which constructs a robust optimal model through data augmentation strategies and achieves markedly superior prediction performance compared to established models. A high prediction accuracy of 90% is demonstrated on the validation set, alongside a promising generalization capability that extends to multicomponent systems. Most importantly, we have identified key segments influencing the mechanical properties of molecular crystals using CrystalGAT, successfully achieving a breakthrough in transforming brittle crystals into flexible photoresponsive crystals. Furthermore, it is possible to quickly screen for plastic multicomponent drug crystals, enhancing tableting performance. CrystalGAT provides an efficient method for flexible molecular crystal design, demonstrating its potential applications in material discovery and drug molecular modification. For user convenience, a dedicated website has been established:</w:t>
      </w:r>
      <w:r>
        <w:t xml:space="preserve"> </w:t>
      </w:r>
      <w:r>
        <w:t>https://huggingface.co/spaces/ZZZCCCYYY/CrystalGAT</w:t>
      </w:r>
      <w:r>
        <w:t xml:space="preserve"> </w:t>
      </w:r>
      <w:r>
        <w:t>.</w:t>
      </w:r>
    </w:p>
    <w:p>
      <w:pPr>
        <w:spacing w:before="120" w:after="120"/>
      </w:pPr>
      <w:r>
        <w:rPr>
          <w:sz w:val="18"/>
        </w:rPr>
        <w:t>——————————————————————————————————————————————————————————————————————</w:t>
      </w:r>
    </w:p>
    <w:p>
      <w:pPr>
        <w:spacing w:before="160" w:after="80" w:line="240" w:lineRule="auto"/>
      </w:pPr>
      <w:r>
        <w:rPr>
          <w:b/>
        </w:rPr>
        <w:t xml:space="preserve">[185] </w:t>
      </w:r>
      <w:hyperlink r:id="rId330">
        <w:r>
          <w:rPr>
            <w:color w:val="1155CC"/>
            <w:u w:val="single"/>
          </w:rPr>
          <w:t>Microenvironmental Regulation of Fe─N4 Catalytic Sites for Oxygen Reduction Reaction in Electrochemical Devices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31">
        <w:r>
          <w:rPr>
            <w:color w:val="1155CC"/>
            <w:u w:val="single"/>
          </w:rPr>
          <w:t>10.1002/anie.202516530</w:t>
        </w:r>
      </w:hyperlink>
    </w:p>
    <w:p>
      <w:pPr>
        <w:spacing w:before="0" w:after="120"/>
      </w:pPr>
      <w:r>
        <w:rPr>
          <w:b/>
        </w:rPr>
        <w:t xml:space="preserve">Notes: </w:t>
      </w:r>
      <w:r>
        <w:t>abstract_source=crossref</w:t>
      </w:r>
    </w:p>
    <w:p>
      <w:pPr>
        <w:spacing w:before="0" w:after="200" w:lineRule="auto" w:line="276"/>
      </w:pPr>
      <w:r>
        <w:rPr>
          <w:b/>
        </w:rPr>
        <w:t xml:space="preserve">Abstract: </w:t>
      </w:r>
      <w:r>
        <w:t>The non‐metallic‐Pt materials with high activities for oxygen reduction reaction (ORR) have attracted considerable attentions, but still face challenges related to the mismatched performance in device applications, especially for the atomic site catalysts. In this work, we propose a microenvironment‐regulation strategy on introducing amino‐fluorinated cyclotriphosphazene as grafting agents to address the critical issue on the mass‐transfer limitations for the highly active and well‐defined Fe─N</w:t>
      </w:r>
      <w:r>
        <w:rPr>
          <w:vertAlign w:val="subscript"/>
        </w:rPr>
        <w:t>4</w:t>
      </w:r>
      <w:r>
        <w:t>sites in phthalocyanine macrocycles. When this functional cyclotriphosphazene was grafted to polyphthalocyanines by the amidate linkage, the large steric hindrance of cyclotriphosphazene and the low surface energy of C─F bonding in fluorinate groups provide the enriched channels with low hygroscopicity, which guarantees the oxygen supply to Fe─N</w:t>
      </w:r>
      <w:r>
        <w:rPr>
          <w:vertAlign w:val="subscript"/>
        </w:rPr>
        <w:t>4</w:t>
      </w:r>
      <w:r>
        <w:t>sites and the hydroxyl leave from catalyst molecules. This microenvironment regulation improves the activities of catalyst molecules in electrochemical testing, and an amplified effect are also shown in the corresponding electrode assemblies. As results, the superior peak power densities of 178 mW cm</w:t>
      </w:r>
      <w:r>
        <w:t xml:space="preserve"> </w:t>
      </w:r>
      <w:r>
        <w:t>−2</w:t>
      </w:r>
      <w:r>
        <w:t xml:space="preserve"> </w:t>
      </w:r>
      <w:r>
        <w:t>in aqueous Zn‐air batteries (1.4‐fold enhancements) and 616 mW cm</w:t>
      </w:r>
      <w:r>
        <w:t xml:space="preserve"> </w:t>
      </w:r>
      <w:r>
        <w:t>−2</w:t>
      </w:r>
      <w:r>
        <w:t xml:space="preserve"> </w:t>
      </w:r>
      <w:r>
        <w:t>in alkaline membrane fuel cells (2.5‐fold enhancements) are obtained. These findings offer a deeper understanding of non‐Pt catalysts and provide a promising approach to their applications in advanced electrochemical devices.</w:t>
      </w:r>
    </w:p>
    <w:p>
      <w:pPr>
        <w:spacing w:before="120" w:after="120"/>
      </w:pPr>
      <w:r>
        <w:rPr>
          <w:sz w:val="18"/>
        </w:rPr>
        <w:t>——————————————————————————————————————————————————————————————————————</w:t>
      </w:r>
    </w:p>
    <w:p>
      <w:pPr>
        <w:spacing w:before="160" w:after="80" w:line="240" w:lineRule="auto"/>
      </w:pPr>
      <w:r>
        <w:rPr>
          <w:b/>
        </w:rPr>
        <w:t xml:space="preserve">[186] </w:t>
      </w:r>
      <w:hyperlink r:id="rId332">
        <w:r>
          <w:rPr>
            <w:color w:val="1155CC"/>
            <w:u w:val="single"/>
          </w:rPr>
          <w:t>Visualization of Electrical Trees: Oxygen Metabolism Insights and Organic Room Temperature Phosphorescent Materials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33">
        <w:r>
          <w:rPr>
            <w:color w:val="1155CC"/>
            <w:u w:val="single"/>
          </w:rPr>
          <w:t>10.1002/anie.202520504</w:t>
        </w:r>
      </w:hyperlink>
    </w:p>
    <w:p>
      <w:pPr>
        <w:spacing w:before="0" w:after="120"/>
      </w:pPr>
      <w:r>
        <w:rPr>
          <w:b/>
        </w:rPr>
        <w:t xml:space="preserve">Notes: </w:t>
      </w:r>
      <w:r>
        <w:t>abstract_source=crossref</w:t>
      </w:r>
    </w:p>
    <w:p>
      <w:pPr>
        <w:spacing w:before="0" w:after="200" w:lineRule="auto" w:line="276"/>
      </w:pPr>
      <w:r>
        <w:rPr>
          <w:b/>
        </w:rPr>
        <w:t xml:space="preserve">Abstract: </w:t>
      </w:r>
      <w:r>
        <w:t>Electrical treeing, manifesting as Lichtenberg figures (LFs) is a major cause of dielectric failure in power, communication, and aerospace systems. Visualization of LF evolution has been hindered by passive imaging limits. Here, we introduce phosphorescence imaging of Lichtenberg figures (PI‐LF), which maps both structural damage and localized oxygen depletion via high‐contrast luminescent signals. Guided by a mechanistic understanding of oxygen metabolism in photoactivated phosphorescent systems, indole‐core dopants with tunable chromaticity reveal dual oxygen pathways: energy transfer to singlet oxygen and electron transfer to superoxide radicals. Polymer systems doped with these luminophores resolve fine structural progression of electrical trees, enabling bioimaging‐style analysis that uncovers a previously hidden spherical‐layered growth mode. PI‐LF bridges molecular photophysics and high‐voltage engineering, establishing a paradigm for luminescence‐based visualization of dielectric breakdown.</w:t>
      </w:r>
    </w:p>
    <w:p>
      <w:pPr>
        <w:spacing w:before="120" w:after="120"/>
      </w:pPr>
      <w:r>
        <w:rPr>
          <w:sz w:val="18"/>
        </w:rPr>
        <w:t>——————————————————————————————————————————————————————————————————————</w:t>
      </w:r>
    </w:p>
    <w:p>
      <w:pPr>
        <w:spacing w:before="160" w:after="80" w:line="240" w:lineRule="auto"/>
      </w:pPr>
      <w:r>
        <w:rPr>
          <w:b/>
        </w:rPr>
        <w:t xml:space="preserve">[187] </w:t>
      </w:r>
      <w:hyperlink r:id="rId334">
        <w:r>
          <w:rPr>
            <w:color w:val="1155CC"/>
            <w:u w:val="single"/>
          </w:rPr>
          <w:t>How Does the Precursor Influence the Li‐Rich Layered Oxide Cathode?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35">
        <w:r>
          <w:rPr>
            <w:color w:val="1155CC"/>
            <w:u w:val="single"/>
          </w:rPr>
          <w:t>10.1002/anie.202518277</w:t>
        </w:r>
      </w:hyperlink>
    </w:p>
    <w:p>
      <w:pPr>
        <w:spacing w:before="0" w:after="120"/>
      </w:pPr>
      <w:r>
        <w:rPr>
          <w:b/>
        </w:rPr>
        <w:t xml:space="preserve">Notes: </w:t>
      </w:r>
      <w:r>
        <w:t>abstract_source=crossref</w:t>
      </w:r>
    </w:p>
    <w:p>
      <w:pPr>
        <w:spacing w:before="0" w:after="200" w:lineRule="auto" w:line="276"/>
      </w:pPr>
      <w:r>
        <w:rPr>
          <w:b/>
        </w:rPr>
        <w:t xml:space="preserve">Abstract: </w:t>
      </w:r>
      <w:r>
        <w:t>As a fundamental determinant of Li‐ion battery (LIB) cathode performance and production scalability/feasibility, selection and optimization of precursors represent an essential challenge for the commercialization of layered oxide cathodes. However, for lithium‐rich layered oxide (LRLO) cathodes, the overwhelming majority of laboratory research has rigidly continued to employ carbonate precursors for further modifications while ignoring the potential of hydroxide precursors, which have been undisputedly utilized as commercial precursors for large‐scale production of nickel–cobalt–manganese oxide (NCM) cathodes. This bias toward precursor selection seriously impedes the practical application of the LRLO cathode and largely wastes the resources of lab‐scale scientific research. Herein, through comparative analysis, the structure‐property relationship between carbonate precursor‐derived (CO3‐) and hydroxide precursor‐derived (OH‐) LRLO cathodes was established, elucidating the significance of particle architectural features, especially primary‐particle stacking density (PSD). Specifically, the lower PSD of the CO3‐LRLO cathode facilitates Li⁺ diffusion by enriching the electrolyte‐infiltrated ionic transport pathway but introduces cracks that reduce the volumetric energy density and interfacial/thermal stability. In contrast, the higher PSD of the OH‐LRLO cathode improves structural integrity by enhancing the covalent environment, layered structure, and particle architecture. Moreover, multiple optimization approaches have been proposed and implemented (e.g., electrolyte engineering, lattice doping, and blending strategies) to mitigate inherent drawbacks derived from various precursors.</w:t>
      </w:r>
    </w:p>
    <w:p>
      <w:pPr>
        <w:spacing w:before="120" w:after="120"/>
      </w:pPr>
      <w:r>
        <w:rPr>
          <w:sz w:val="18"/>
        </w:rPr>
        <w:t>——————————————————————————————————————————————————————————————————————</w:t>
      </w:r>
    </w:p>
    <w:p>
      <w:pPr>
        <w:spacing w:before="160" w:after="80" w:line="240" w:lineRule="auto"/>
      </w:pPr>
      <w:r>
        <w:rPr>
          <w:b/>
        </w:rPr>
        <w:t xml:space="preserve">[188] </w:t>
      </w:r>
      <w:hyperlink r:id="rId336">
        <w:r>
          <w:rPr>
            <w:color w:val="1155CC"/>
            <w:u w:val="single"/>
          </w:rPr>
          <w:t>Aminative Suzuki–Miyaura Coupling: Tackling Alkyl Nucleophiles and Addressing the Viability of the Electrophile‐First Mechanism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37">
        <w:r>
          <w:rPr>
            <w:color w:val="1155CC"/>
            <w:u w:val="single"/>
          </w:rPr>
          <w:t>10.1002/anie.202518260</w:t>
        </w:r>
      </w:hyperlink>
    </w:p>
    <w:p>
      <w:pPr>
        <w:spacing w:before="0" w:after="120"/>
      </w:pPr>
      <w:r>
        <w:rPr>
          <w:b/>
        </w:rPr>
        <w:t xml:space="preserve">Notes: </w:t>
      </w:r>
      <w:r>
        <w:t>abstract_source=crossref</w:t>
      </w:r>
    </w:p>
    <w:p>
      <w:pPr>
        <w:spacing w:before="0" w:after="200" w:lineRule="auto" w:line="276"/>
      </w:pPr>
      <w:r>
        <w:rPr>
          <w:b/>
        </w:rPr>
        <w:t xml:space="preserve">Abstract: </w:t>
      </w:r>
      <w:r>
        <w:t>Insertive cross‐coupling reactions provide the option of repurposing widely available coupling partners for the formation of new linkages. By confronting a major limitation of the aminative Suzuki–Miyaura methods we recently reported, we achieve a general method for the Pd‐catalyzed aminative coupling of primary and secondary</w:t>
      </w:r>
      <w:r>
        <w:t xml:space="preserve"> </w:t>
      </w:r>
      <w:r>
        <w:t>alkyl</w:t>
      </w:r>
      <w:r>
        <w:t xml:space="preserve"> </w:t>
      </w:r>
      <w:r>
        <w:t>boronic esters with aryl (pseudo)halides. Introducing a formal nitrene insertion into this Suzuki–Miyaura reaction diverts the outcome from the traditional C(sp</w:t>
      </w:r>
      <w:r>
        <w:rPr>
          <w:vertAlign w:val="subscript"/>
        </w:rPr>
        <w:t>2</w:t>
      </w:r>
      <w:r>
        <w:t>)─C(sp</w:t>
      </w:r>
      <w:r>
        <w:rPr>
          <w:vertAlign w:val="subscript"/>
        </w:rPr>
        <w:t>3</w:t>
      </w:r>
      <w:r>
        <w:t>) products to the C(sp</w:t>
      </w:r>
      <w:r>
        <w:rPr>
          <w:vertAlign w:val="subscript"/>
        </w:rPr>
        <w:t>2</w:t>
      </w:r>
      <w:r>
        <w:t>)─NH─C(sp</w:t>
      </w:r>
      <w:r>
        <w:rPr>
          <w:vertAlign w:val="subscript"/>
        </w:rPr>
        <w:t>3</w:t>
      </w:r>
      <w:r>
        <w:t>) analogues (</w:t>
      </w:r>
      <w:r>
        <w:t xml:space="preserve"> </w:t>
      </w:r>
      <w:r>
        <w:t>N</w:t>
      </w:r>
      <w:r>
        <w:t xml:space="preserve"> </w:t>
      </w:r>
      <w:r>
        <w:t>‐aryl anilines). DFT calculations and experimental mechanistic studies indicate that C─N bond formation from the electrophilic aryl component occurs first, providing further evidence for this previously hypothetical pathway. By comparison of several transition state structures, we find that C─N bond formation likely takes place through an unusual dyotropic rearrangement of a LPd(Ar)NHX complex (X = OPOPh</w:t>
      </w:r>
      <w:r>
        <w:rPr>
          <w:vertAlign w:val="subscript"/>
        </w:rPr>
        <w:t>2</w:t>
      </w:r>
      <w:r>
        <w:t>).</w:t>
      </w:r>
    </w:p>
    <w:p>
      <w:pPr>
        <w:spacing w:before="120" w:after="120"/>
      </w:pPr>
      <w:r>
        <w:rPr>
          <w:sz w:val="18"/>
        </w:rPr>
        <w:t>——————————————————————————————————————————————————————————————————————</w:t>
      </w:r>
    </w:p>
    <w:p>
      <w:pPr>
        <w:spacing w:before="160" w:after="80" w:line="240" w:lineRule="auto"/>
      </w:pPr>
      <w:r>
        <w:rPr>
          <w:b/>
        </w:rPr>
        <w:t xml:space="preserve">[189] </w:t>
      </w:r>
      <w:hyperlink r:id="rId338">
        <w:r>
          <w:rPr>
            <w:color w:val="1155CC"/>
            <w:u w:val="single"/>
          </w:rPr>
          <w:t>“Living Nanosheets” of Covalent Organic Frameworks Aligned into Laminar Membranes for Sharp and Durable Molecular Separations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39">
        <w:r>
          <w:rPr>
            <w:color w:val="1155CC"/>
            <w:u w:val="single"/>
          </w:rPr>
          <w:t>10.1002/anie.202518250</w:t>
        </w:r>
      </w:hyperlink>
    </w:p>
    <w:p>
      <w:pPr>
        <w:spacing w:before="0" w:after="120"/>
      </w:pPr>
      <w:r>
        <w:rPr>
          <w:b/>
        </w:rPr>
        <w:t xml:space="preserve">Notes: </w:t>
      </w:r>
      <w:r>
        <w:t>abstract_source=crossref</w:t>
      </w:r>
    </w:p>
    <w:p>
      <w:pPr>
        <w:spacing w:before="0" w:after="200" w:lineRule="auto" w:line="276"/>
      </w:pPr>
      <w:r>
        <w:rPr>
          <w:b/>
        </w:rPr>
        <w:t xml:space="preserve">Abstract: </w:t>
      </w:r>
      <w:r>
        <w:t>Organic solvent nanofiltration (OSN) requires membranes to have exquisite pore structures and excellent solvent resistance to alter energy‐intensive separation processes. Here, we report a scalable “living nanosheet” strategy for synthesizing covalent organic framework (COF) membranes with robust laminar structures. COF nanosheets and residual monomers are collectively cast onto smooth substrates, followed by heating in an enclosed environment. The slow shear‐flows make COF nanosheets accurately aligned into laminar structures while avoiding possible distortion. The COF nanosheets are still “living”, so that they can continue to react with remaining monomers upon heating, further healing the intercrystalline defects and stabilizing the laminar membranes. This strategy allows upscalable preparation of membranes with a large area of up to 600 cm</w:t>
      </w:r>
      <w:r>
        <w:rPr>
          <w:vertAlign w:val="subscript"/>
        </w:rPr>
        <w:t>2</w:t>
      </w:r>
      <w:r>
        <w:t>. The resulting COF membranes exhibit ultrahigh permeability (1.1 × 10</w:t>
      </w:r>
      <w:r>
        <w:rPr>
          <w:vertAlign w:val="subscript"/>
        </w:rPr>
        <w:t>4</w:t>
      </w:r>
      <w:r>
        <w:t>L m</w:t>
      </w:r>
      <w:r>
        <w:t xml:space="preserve"> </w:t>
      </w:r>
      <w:r>
        <w:t>−2</w:t>
      </w:r>
      <w:r>
        <w:t xml:space="preserve"> </w:t>
      </w:r>
      <w:r>
        <w:t>h</w:t>
      </w:r>
      <w:r>
        <w:t xml:space="preserve"> </w:t>
      </w:r>
      <w:r>
        <w:t>−1</w:t>
      </w:r>
      <w:r>
        <w:t xml:space="preserve"> </w:t>
      </w:r>
      <w:r>
        <w:t>bar</w:t>
      </w:r>
      <w:r>
        <w:t xml:space="preserve"> </w:t>
      </w:r>
      <w:r>
        <w:t>−1</w:t>
      </w:r>
      <w:r>
        <w:t xml:space="preserve"> </w:t>
      </w:r>
      <w:r>
        <w:t>nm for methanol) and a sharp molecular weight cutoff (360 Da), outperforming state‐of‐the‐art OSN membranes. Notably, it achieves a sharp and durable separation process of photosensitizers (e.g., 98.3% rejection of TMPyP4 tosylate) and &amp;gt;92% solvent recovery. This work establishes a versatile approach for scalable synthesis of COF membranes, enabling energy‐efficient molecular separations in pharmaceutical and chemical industries.</w:t>
      </w:r>
    </w:p>
    <w:p>
      <w:pPr>
        <w:spacing w:before="120" w:after="120"/>
      </w:pPr>
      <w:r>
        <w:rPr>
          <w:sz w:val="18"/>
        </w:rPr>
        <w:t>——————————————————————————————————————————————————————————————————————</w:t>
      </w:r>
    </w:p>
    <w:p>
      <w:pPr>
        <w:spacing w:before="160" w:after="80" w:line="240" w:lineRule="auto"/>
      </w:pPr>
      <w:r>
        <w:rPr>
          <w:b/>
        </w:rPr>
        <w:t xml:space="preserve">[190] </w:t>
      </w:r>
      <w:hyperlink r:id="rId340">
        <w:r>
          <w:rPr>
            <w:color w:val="1155CC"/>
            <w:u w:val="single"/>
          </w:rPr>
          <w:t>Multi‐site Relay Catalysts with Regulating Intrinsic Activity of each Functional Site for Efficient Hydrogen Evolution Reaction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41">
        <w:r>
          <w:rPr>
            <w:color w:val="1155CC"/>
            <w:u w:val="single"/>
          </w:rPr>
          <w:t>10.1002/anie.202517861</w:t>
        </w:r>
      </w:hyperlink>
    </w:p>
    <w:p>
      <w:pPr>
        <w:spacing w:before="0" w:after="120"/>
      </w:pPr>
      <w:r>
        <w:rPr>
          <w:b/>
        </w:rPr>
        <w:t xml:space="preserve">Notes: </w:t>
      </w:r>
      <w:r>
        <w:t>abstract_source=crossref</w:t>
      </w:r>
    </w:p>
    <w:p>
      <w:pPr>
        <w:spacing w:before="0" w:after="200" w:lineRule="auto" w:line="276"/>
      </w:pPr>
      <w:r>
        <w:rPr>
          <w:b/>
        </w:rPr>
        <w:t xml:space="preserve">Abstract: </w:t>
      </w:r>
      <w:r>
        <w:t>Ruthenium is emerging as a promising catalyst for the hydrogen evolution reaction (HER) in alkaline water electrolysis. However, the high energy barrier for water dissociation and inappropriate hydrogen adsorption energy often hinders their catalytic efficiency. To address these challenges, Ru‐Fe</w:t>
      </w:r>
      <w:r>
        <w:rPr>
          <w:vertAlign w:val="subscript"/>
        </w:rPr>
        <w:t>7</w:t>
      </w:r>
      <w:r>
        <w:t>C</w:t>
      </w:r>
      <w:r>
        <w:rPr>
          <w:vertAlign w:val="subscript"/>
        </w:rPr>
        <w:t>3</w:t>
      </w:r>
      <w:r>
        <w:t>@CNF with abundant twin boundaries has been rationally designed based on synergistic relay catalysis principles. Experimental results combined with mechanistic analysis demonstrate that the electron‐deficient Fe</w:t>
      </w:r>
      <w:r>
        <w:rPr>
          <w:vertAlign w:val="subscript"/>
        </w:rPr>
        <w:t>7</w:t>
      </w:r>
      <w:r>
        <w:t>C</w:t>
      </w:r>
      <w:r>
        <w:rPr>
          <w:vertAlign w:val="subscript"/>
        </w:rPr>
        <w:t>3</w:t>
      </w:r>
      <w:r>
        <w:t>can accelerate water dissociation, and the resulting protons can rapidly spill over to Ru due to a smaller work function difference, subsequently, the Ru with moderate ΔG</w:t>
      </w:r>
      <w:r>
        <w:t xml:space="preserve"> </w:t>
      </w:r>
      <w:r>
        <w:t>H*</w:t>
      </w:r>
      <w:r>
        <w:t xml:space="preserve"> </w:t>
      </w:r>
      <w:r>
        <w:t>facilitates hydrogen evolution. Notably, Ru‐Fe</w:t>
      </w:r>
      <w:r>
        <w:rPr>
          <w:vertAlign w:val="subscript"/>
        </w:rPr>
        <w:t>7</w:t>
      </w:r>
      <w:r>
        <w:t>C</w:t>
      </w:r>
      <w:r>
        <w:rPr>
          <w:vertAlign w:val="subscript"/>
        </w:rPr>
        <w:t>3</w:t>
      </w:r>
      <w:r>
        <w:t>@CNF with twin‐boundary defects and charge redistribution induced by the heterointerface optimizes the adsorption energy and enhances the intrinsic activity of each functional site. As expected, this catalyst exhibits enhanced HER performance that is superior to commercial Pt/C. Moreover, the assembled anion exchange membrane water electrolysis utilizing Ru‐Fe</w:t>
      </w:r>
      <w:r>
        <w:rPr>
          <w:vertAlign w:val="subscript"/>
        </w:rPr>
        <w:t>7</w:t>
      </w:r>
      <w:r>
        <w:t>C</w:t>
      </w:r>
      <w:r>
        <w:rPr>
          <w:vertAlign w:val="subscript"/>
        </w:rPr>
        <w:t>3</w:t>
      </w:r>
      <w:r>
        <w:t>@CNF//NiFe LDH operates at a voltage of 1.67 V at a current density of 0.5 A cm</w:t>
      </w:r>
      <w:r>
        <w:t xml:space="preserve"> </w:t>
      </w:r>
      <w:r>
        <w:t>−</w:t>
      </w:r>
      <w:r>
        <w:rPr>
          <w:vertAlign w:val="subscript"/>
        </w:rPr>
        <w:t>2</w:t>
      </w:r>
      <w:r>
        <w:t>and maintains remarkable stability over 300 h. This work offers a valuable strategy for the rational design of multisite electrocatalysts.</w:t>
      </w:r>
    </w:p>
    <w:p>
      <w:pPr>
        <w:spacing w:before="120" w:after="120"/>
      </w:pPr>
      <w:r>
        <w:rPr>
          <w:sz w:val="18"/>
        </w:rPr>
        <w:t>——————————————————————————————————————————————————————————————————————</w:t>
      </w:r>
    </w:p>
    <w:p>
      <w:pPr>
        <w:spacing w:before="160" w:after="80" w:line="240" w:lineRule="auto"/>
      </w:pPr>
      <w:r>
        <w:rPr>
          <w:b/>
        </w:rPr>
        <w:t xml:space="preserve">[191] </w:t>
      </w:r>
      <w:hyperlink r:id="rId342">
        <w:r>
          <w:rPr>
            <w:color w:val="1155CC"/>
            <w:u w:val="single"/>
          </w:rPr>
          <w:t>Membrane‐Free Direct Seawater Electrolysis via Redox Mediator for H2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43">
        <w:r>
          <w:rPr>
            <w:color w:val="1155CC"/>
            <w:u w:val="single"/>
          </w:rPr>
          <w:t>10.1002/anie.202519128</w:t>
        </w:r>
      </w:hyperlink>
    </w:p>
    <w:p>
      <w:pPr>
        <w:spacing w:before="0" w:after="120"/>
      </w:pPr>
      <w:r>
        <w:rPr>
          <w:b/>
        </w:rPr>
        <w:t xml:space="preserve">Notes: </w:t>
      </w:r>
      <w:r>
        <w:t>abstract_source=crossref</w:t>
      </w:r>
    </w:p>
    <w:p>
      <w:pPr>
        <w:spacing w:before="0" w:after="200" w:lineRule="auto" w:line="276"/>
      </w:pPr>
      <w:r>
        <w:rPr>
          <w:b/>
        </w:rPr>
        <w:t xml:space="preserve">Abstract: </w:t>
      </w:r>
      <w:r>
        <w:t>Acidic seawater electrolysis offers a promising strategy for sustainable hydrogen production. However, its practical application still faces critical challenges including membrane dependency, complex seawater pretreatment, and limited compatibility with intermittent renewable energy. Herein, we construct a decoupled seawater direct electrolysis (DSDE) system employing TQBQ‐COF (Covalent Organic Framework) as a solid‐state redox mediator, enabling membrane‐ and desalination‐free operation. TQBQ‐COF exhibits excellent electrochemical performances in both acidic deionized water and acidic seawater, demonstrating that common seawater ions do not interfere with its redox activity. When coupled with a Ru‐modified TQBQ‐COF catalyst (COF‐Ru), the DSDE system decouples anode and cathode reactions, allowing flexible integration with intermittent renewable energy for high‐purity H</w:t>
      </w:r>
      <w:r>
        <w:rPr>
          <w:vertAlign w:val="subscript"/>
        </w:rPr>
        <w:t>2</w:t>
      </w:r>
      <w:r>
        <w:t>and Cl</w:t>
      </w:r>
      <w:r>
        <w:rPr>
          <w:vertAlign w:val="subscript"/>
        </w:rPr>
        <w:t>2</w:t>
      </w:r>
      <w:r>
        <w:t>production. This system achieves a hydrogen production cost of US$2.5 per kg H</w:t>
      </w:r>
      <w:r>
        <w:rPr>
          <w:vertAlign w:val="subscript"/>
        </w:rPr>
        <w:t>2</w:t>
      </w:r>
      <w:r>
        <w:t>, offering a simplified, robust, and scalable solution for practical seawater electrolysis.</w:t>
      </w:r>
    </w:p>
    <w:p>
      <w:pPr>
        <w:spacing w:before="120" w:after="120"/>
      </w:pPr>
      <w:r>
        <w:rPr>
          <w:sz w:val="18"/>
        </w:rPr>
        <w:t>——————————————————————————————————————————————————————————————————————</w:t>
      </w:r>
    </w:p>
    <w:p>
      <w:pPr>
        <w:spacing w:before="160" w:after="80" w:line="240" w:lineRule="auto"/>
      </w:pPr>
      <w:r>
        <w:rPr>
          <w:b/>
        </w:rPr>
        <w:t xml:space="preserve">[192] </w:t>
      </w:r>
      <w:hyperlink r:id="rId344">
        <w:r>
          <w:rPr>
            <w:color w:val="1155CC"/>
            <w:u w:val="single"/>
          </w:rPr>
          <w:t>Covalent Organic Framework Membranes with Asymmetric Wettability for Efficient Photocatalytic H2O2 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45">
        <w:r>
          <w:rPr>
            <w:color w:val="1155CC"/>
            <w:u w:val="single"/>
          </w:rPr>
          <w:t>10.1002/anie.202519513</w:t>
        </w:r>
      </w:hyperlink>
    </w:p>
    <w:p>
      <w:pPr>
        <w:spacing w:before="0" w:after="120"/>
      </w:pPr>
      <w:r>
        <w:rPr>
          <w:b/>
        </w:rPr>
        <w:t xml:space="preserve">Notes: </w:t>
      </w:r>
      <w:r>
        <w:t>abstract_source=crossref</w:t>
      </w:r>
    </w:p>
    <w:p>
      <w:pPr>
        <w:spacing w:before="0" w:after="200" w:lineRule="auto" w:line="276"/>
      </w:pPr>
      <w:r>
        <w:rPr>
          <w:b/>
        </w:rPr>
        <w:t xml:space="preserve">Abstract: </w:t>
      </w:r>
      <w:r>
        <w:t>Photocatalytic H</w:t>
      </w:r>
      <w:r>
        <w:rPr>
          <w:vertAlign w:val="subscript"/>
        </w:rPr>
        <w:t>2</w:t>
      </w:r>
      <w:r>
        <w:t>O</w:t>
      </w:r>
      <w:r>
        <w:rPr>
          <w:vertAlign w:val="subscript"/>
        </w:rPr>
        <w:t>2</w:t>
      </w:r>
      <w:r>
        <w:t>synthesis from air and water is a sustainable route but hindered by mass transport and charge separation issues. Here, covalent organic framework (COF) membranes with asymmetric wettability are developed to construct triphase interfaces, locally enriching O</w:t>
      </w:r>
      <w:r>
        <w:rPr>
          <w:vertAlign w:val="subscript"/>
        </w:rPr>
        <w:t>2</w:t>
      </w:r>
      <w:r>
        <w:t>and H</w:t>
      </w:r>
      <w:r>
        <w:rPr>
          <w:vertAlign w:val="subscript"/>
        </w:rPr>
        <w:t>2</w:t>
      </w:r>
      <w:r>
        <w:t>O for efficient reactions. Converting COF powders into nanostructured membranes enhances light absorption and band alignment, promoting water oxidation and charge separation. These synergistic effects boost H</w:t>
      </w:r>
      <w:r>
        <w:rPr>
          <w:vertAlign w:val="subscript"/>
        </w:rPr>
        <w:t>2</w:t>
      </w:r>
      <w:r>
        <w:t>O</w:t>
      </w:r>
      <w:r>
        <w:rPr>
          <w:vertAlign w:val="subscript"/>
        </w:rPr>
        <w:t>2</w:t>
      </w:r>
      <w:r>
        <w:t>production to 52.5 mmol g</w:t>
      </w:r>
      <w:r>
        <w:t xml:space="preserve"> </w:t>
      </w:r>
      <w:r>
        <w:t>−1</w:t>
      </w:r>
      <w:r>
        <w:t xml:space="preserve"> </w:t>
      </w:r>
      <w:r>
        <w:t>h</w:t>
      </w:r>
      <w:r>
        <w:t xml:space="preserve"> </w:t>
      </w:r>
      <w:r>
        <w:t>−1</w:t>
      </w:r>
      <w:r>
        <w:t xml:space="preserve"> </w:t>
      </w:r>
      <w:r>
        <w:t>under O</w:t>
      </w:r>
      <w:r>
        <w:rPr>
          <w:vertAlign w:val="subscript"/>
        </w:rPr>
        <w:t>2</w:t>
      </w:r>
      <w:r>
        <w:t>, with an apparent quantum yield 27.8 times higher than powders, and up to 148.9‐fold under air. The flexible membranes can be integrated into reactors, and the in situ generated H</w:t>
      </w:r>
      <w:r>
        <w:rPr>
          <w:vertAlign w:val="subscript"/>
        </w:rPr>
        <w:t>2</w:t>
      </w:r>
      <w:r>
        <w:t>O</w:t>
      </w:r>
      <w:r>
        <w:rPr>
          <w:vertAlign w:val="subscript"/>
        </w:rPr>
        <w:t>2</w:t>
      </w:r>
      <w:r>
        <w:t>enables pollutant degradation. This work demonstrates a versatile strategy for high‐performance triphase photocatalysis and multifunctional membrane catalysts toward sustainable chemical synthesis.</w:t>
      </w:r>
    </w:p>
    <w:p>
      <w:pPr>
        <w:spacing w:before="120" w:after="120"/>
      </w:pPr>
      <w:r>
        <w:rPr>
          <w:sz w:val="18"/>
        </w:rPr>
        <w:t>——————————————————————————————————————————————————————————————————————</w:t>
      </w:r>
    </w:p>
    <w:p>
      <w:pPr>
        <w:spacing w:before="160" w:after="80" w:line="240" w:lineRule="auto"/>
      </w:pPr>
      <w:r>
        <w:rPr>
          <w:b/>
        </w:rPr>
        <w:t xml:space="preserve">[193] </w:t>
      </w:r>
      <w:hyperlink r:id="rId346">
        <w:r>
          <w:rPr>
            <w:color w:val="1155CC"/>
            <w:u w:val="single"/>
          </w:rPr>
          <w:t>Dual‐Quinoid Backbone Synergistic with Side‐Chain Engineering Enables Ultrahigh‐Temperature Conjugated Polymers for Bridging Solar‐ and Laser‐Driven Photothermal Applications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47">
        <w:r>
          <w:rPr>
            <w:color w:val="1155CC"/>
            <w:u w:val="single"/>
          </w:rPr>
          <w:t>10.1002/anie.202520757</w:t>
        </w:r>
      </w:hyperlink>
    </w:p>
    <w:p>
      <w:pPr>
        <w:spacing w:before="0" w:after="120"/>
      </w:pPr>
      <w:r>
        <w:rPr>
          <w:b/>
        </w:rPr>
        <w:t xml:space="preserve">Notes: </w:t>
      </w:r>
      <w:r>
        <w:t>abstract_source=crossref</w:t>
      </w:r>
    </w:p>
    <w:p>
      <w:pPr>
        <w:spacing w:before="0" w:after="200" w:lineRule="auto" w:line="276"/>
      </w:pPr>
      <w:r>
        <w:rPr>
          <w:b/>
        </w:rPr>
        <w:t xml:space="preserve">Abstract: </w:t>
      </w:r>
      <w:r>
        <w:t>Organic photothermal materials often perform efficiently under either solar or laser irradiation, yet achieving dual high performance within one system remains a formidable challenge due to stringent molecular design requirements. Here, we present a dual‐quinoid backbone strategy—incorporating quinoidal and proquinoidal units—synergistically combined with side‐chain engineering in conjugated polymers. Two dual‐quinoid polymers with linear or bulky alkyl side chains are synthesized and benchmarked against the mono‐quinoid analogue PAQM‐3T. Incorporation of proquinoidal unit enhances quinoidal resonance, diradical character, and reorganization energy, yielding broadened near‐infrared absorption with a laser‐resonant peak near 808 nm, suppressed radiative loss, and superior photothermal conversion. Side‐chain engineering further regulates backbone planarity and intramolecular rotation, with the bulky‐chain derivative PAQM‐TbT‐2C</w:t>
      </w:r>
      <w:r>
        <w:rPr>
          <w:vertAlign w:val="subscript"/>
        </w:rPr>
        <w:t>8</w:t>
      </w:r>
      <w:r>
        <w:t>exhibiting greater rotational freedom and weaker interchain interactions. Under 808 nm laser irradiation (1.2 W cm</w:t>
      </w:r>
      <w:r>
        <w:t xml:space="preserve"> </w:t>
      </w:r>
      <w:r>
        <w:t>‒2</w:t>
      </w:r>
      <w:r>
        <w:t xml:space="preserve"> </w:t>
      </w:r>
      <w:r>
        <w:t>), PAQM‐TbT‐2C</w:t>
      </w:r>
      <w:r>
        <w:rPr>
          <w:vertAlign w:val="subscript"/>
        </w:rPr>
        <w:t>8</w:t>
      </w:r>
      <w:r>
        <w:t>achieves an ultrahigh temperature of 356.0 °C, one of the highest values reported among all photothermal material classes, and maintains excellent photostability. Beyond laser‐driven high‐temperature applications, PAQM‐TbT‐2C</w:t>
      </w:r>
      <w:r>
        <w:rPr>
          <w:vertAlign w:val="subscript"/>
        </w:rPr>
        <w:t>8</w:t>
      </w:r>
      <w:r>
        <w:t>enables solar‐driven water evaporation rate of 2.78 kg m</w:t>
      </w:r>
      <w:r>
        <w:t xml:space="preserve"> </w:t>
      </w:r>
      <w:r>
        <w:t>‒2</w:t>
      </w:r>
      <w:r>
        <w:t xml:space="preserve"> </w:t>
      </w:r>
      <w:r>
        <w:t>h</w:t>
      </w:r>
      <w:r>
        <w:t xml:space="preserve"> </w:t>
      </w:r>
      <w:r>
        <w:t>‒1</w:t>
      </w:r>
      <w:r>
        <w:t xml:space="preserve"> </w:t>
      </w:r>
      <w:r>
        <w:t>under 1 sun, setting a new record for Janus interfacial evaporators employing pure organic photothermal absorbers. This synergistic molecular design enables multifunctional organic photothermal materials bridging solar energy harvesting with laser‐driven thermal applications.</w:t>
      </w:r>
    </w:p>
    <w:p>
      <w:pPr>
        <w:spacing w:before="120" w:after="120"/>
      </w:pPr>
      <w:r>
        <w:rPr>
          <w:sz w:val="18"/>
        </w:rPr>
        <w:t>——————————————————————————————————————————————————————————————————————</w:t>
      </w:r>
    </w:p>
    <w:p>
      <w:pPr>
        <w:spacing w:before="160" w:after="80" w:line="240" w:lineRule="auto"/>
      </w:pPr>
      <w:r>
        <w:rPr>
          <w:b/>
        </w:rPr>
        <w:t xml:space="preserve">[194] </w:t>
      </w:r>
      <w:hyperlink r:id="rId348">
        <w:r>
          <w:rPr>
            <w:color w:val="1155CC"/>
            <w:u w:val="single"/>
          </w:rPr>
          <w:t>Decoding Molecular Conformations of Dimeric Non‐Fullerene Acceptors for High‐Sensitivity Near‐Infrared Organic Photodetectors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49">
        <w:r>
          <w:rPr>
            <w:color w:val="1155CC"/>
            <w:u w:val="single"/>
          </w:rPr>
          <w:t>10.1002/anie.202519630</w:t>
        </w:r>
      </w:hyperlink>
    </w:p>
    <w:p>
      <w:pPr>
        <w:spacing w:before="0" w:after="120"/>
      </w:pPr>
      <w:r>
        <w:rPr>
          <w:b/>
        </w:rPr>
        <w:t xml:space="preserve">Notes: </w:t>
      </w:r>
      <w:r>
        <w:t>abstract_source=crossref</w:t>
      </w:r>
    </w:p>
    <w:p>
      <w:pPr>
        <w:spacing w:before="0" w:after="200" w:lineRule="auto" w:line="276"/>
      </w:pPr>
      <w:r>
        <w:rPr>
          <w:b/>
        </w:rPr>
        <w:t xml:space="preserve">Abstract: </w:t>
      </w:r>
      <w:r>
        <w:t>The molecular conformation and packing behavior of dimeric non‐fullerene acceptors (NFAs) remain largely unexplored, limiting their rational design for optoelectronic applications. Here, we report the first single‐crystal structures of two imidazole‐based dimeric NFAs, revealing well‐defined intramolecular π–π stacking and compact molecular packing in the monomolecular state. These structural features lead to shorter π–π stacking distances and enhanced electronic coupling compared to their monomeric counterpart, resulting in improved charge carrier mobility and photoresponse. By varying the length of the alkyl linker, we tailor the optoelectronic properties and suppress the dark current in organic photodetectors (OPDs), enhancing both external quantum efficiency and specific detectivity. Devices based on the C8‐linked dimer (H2‐C8) achieve a peak detectivity (</w:t>
      </w:r>
      <w:r>
        <w:t xml:space="preserve"> </w:t>
      </w:r>
      <w:r>
        <w:t>D</w:t>
      </w:r>
      <w:r>
        <w:t xml:space="preserve"> </w:t>
      </w:r>
      <w:r>
        <w:t>sh</w:t>
      </w:r>
      <w:r>
        <w:t xml:space="preserve"> </w:t>
      </w:r>
      <w:r>
        <w:t>*</w:t>
      </w:r>
      <w:r>
        <w:t xml:space="preserve"> </w:t>
      </w:r>
      <w:r>
        <w:t>) of 2.1 × 10</w:t>
      </w:r>
      <w:r>
        <w:rPr>
          <w:vertAlign w:val="subscript"/>
        </w:rPr>
        <w:t>14</w:t>
      </w:r>
      <w:r>
        <w:t>Jones at 880 nm, and maintain values above 3.3 × 10</w:t>
      </w:r>
      <w:r>
        <w:rPr>
          <w:vertAlign w:val="subscript"/>
        </w:rPr>
        <w:t>13</w:t>
      </w:r>
      <w:r>
        <w:t>Jones across 340–960 nm with an ultra‐fast photoresponse time of 1.94 (</w:t>
      </w:r>
      <w:r>
        <w:t xml:space="preserve"> </w:t>
      </w:r>
      <w:r>
        <w:t>t</w:t>
      </w:r>
      <w:r>
        <w:t xml:space="preserve"> </w:t>
      </w:r>
      <w:r>
        <w:t>rise</w:t>
      </w:r>
      <w:r>
        <w:t xml:space="preserve"> </w:t>
      </w:r>
      <w:r>
        <w:t>) and 2.11 (</w:t>
      </w:r>
      <w:r>
        <w:t xml:space="preserve"> </w:t>
      </w:r>
      <w:r>
        <w:t>t</w:t>
      </w:r>
      <w:r>
        <w:t xml:space="preserve"> </w:t>
      </w:r>
      <w:r>
        <w:t>fall</w:t>
      </w:r>
      <w:r>
        <w:t xml:space="preserve"> </w:t>
      </w:r>
      <w:r>
        <w:t>) µs. These figures of merit place H2‐C8 among the best‐performing self‐powered near‐infrared OPDs, with performance on par with commercial silicon photodiodes. Our findings provide direct structural insights into dimeric NFAs and establish a new design pathway for high‐performance organic optoelectronic materials.</w:t>
      </w:r>
    </w:p>
    <w:p>
      <w:pPr>
        <w:spacing w:before="120" w:after="120"/>
      </w:pPr>
      <w:r>
        <w:rPr>
          <w:sz w:val="18"/>
        </w:rPr>
        <w:t>——————————————————————————————————————————————————————————————————————</w:t>
      </w:r>
    </w:p>
    <w:p>
      <w:pPr>
        <w:spacing w:before="160" w:after="80" w:line="240" w:lineRule="auto"/>
      </w:pPr>
      <w:r>
        <w:rPr>
          <w:b/>
        </w:rPr>
        <w:t xml:space="preserve">[195] </w:t>
      </w:r>
      <w:hyperlink r:id="rId350">
        <w:r>
          <w:rPr>
            <w:color w:val="1155CC"/>
            <w:u w:val="single"/>
          </w:rPr>
          <w:t>Built‐In Electric Field Triggered Interfacial Water Activation for Industrial‐Level Electrosynthesis of Ethylene from CO2</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51">
        <w:r>
          <w:rPr>
            <w:color w:val="1155CC"/>
            <w:u w:val="single"/>
          </w:rPr>
          <w:t>10.1002/anie.202517221</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reduction of CO</w:t>
      </w:r>
      <w:r>
        <w:rPr>
          <w:vertAlign w:val="subscript"/>
        </w:rPr>
        <w:t>2</w:t>
      </w:r>
      <w:r>
        <w:t>to ethylene (C</w:t>
      </w:r>
      <w:r>
        <w:rPr>
          <w:vertAlign w:val="subscript"/>
        </w:rPr>
        <w:t>2</w:t>
      </w:r>
      <w:r>
        <w:t>H</w:t>
      </w:r>
      <w:r>
        <w:rPr>
          <w:vertAlign w:val="subscript"/>
        </w:rPr>
        <w:t>4</w:t>
      </w:r>
      <w:r>
        <w:t>), as opposed to traditional industrial methods, stands out as an environmentally friendly benign and promising technical solution for producing value‐added chemicals using renewable electricity. Here, we introduce a built‐in electric field in La(OH)</w:t>
      </w:r>
      <w:r>
        <w:rPr>
          <w:vertAlign w:val="subscript"/>
        </w:rPr>
        <w:t>3</w:t>
      </w:r>
      <w:r>
        <w:t>‐Cu (BEF@La(OH)</w:t>
      </w:r>
      <w:r>
        <w:rPr>
          <w:vertAlign w:val="subscript"/>
        </w:rPr>
        <w:t>3</w:t>
      </w:r>
      <w:r>
        <w:t>‐Cu) electrocatalyst that can exclusively convert from CO</w:t>
      </w:r>
      <w:r>
        <w:rPr>
          <w:vertAlign w:val="subscript"/>
        </w:rPr>
        <w:t>2</w:t>
      </w:r>
      <w:r>
        <w:t>to C</w:t>
      </w:r>
      <w:r>
        <w:rPr>
          <w:vertAlign w:val="subscript"/>
        </w:rPr>
        <w:t>2</w:t>
      </w:r>
      <w:r>
        <w:t>H</w:t>
      </w:r>
      <w:r>
        <w:rPr>
          <w:vertAlign w:val="subscript"/>
        </w:rPr>
        <w:t>4</w:t>
      </w:r>
      <w:r>
        <w:t>with a maximum Faradaic efficiency of 84.2% and high intrinsic activity exceeding 842.0 mA cm</w:t>
      </w:r>
      <w:r>
        <w:t xml:space="preserve"> </w:t>
      </w:r>
      <w:r>
        <w:t>−2</w:t>
      </w:r>
      <w:r>
        <w:t xml:space="preserve"> </w:t>
      </w:r>
      <w:r>
        <w:t>, while maintaining robust stability of 110 h. Furthermore, the corresponding C</w:t>
      </w:r>
      <w:r>
        <w:rPr>
          <w:vertAlign w:val="subscript"/>
        </w:rPr>
        <w:t>2</w:t>
      </w:r>
      <w:r>
        <w:t>H</w:t>
      </w:r>
      <w:r>
        <w:rPr>
          <w:vertAlign w:val="subscript"/>
        </w:rPr>
        <w:t>4</w:t>
      </w:r>
      <w:r>
        <w:t>formation rate and energy efficiency can reach 2618.0 µmol cm</w:t>
      </w:r>
      <w:r>
        <w:t xml:space="preserve"> </w:t>
      </w:r>
      <w:r>
        <w:t>−2</w:t>
      </w:r>
      <w:r>
        <w:t xml:space="preserve"> </w:t>
      </w:r>
      <w:r>
        <w:t>h</w:t>
      </w:r>
      <w:r>
        <w:t xml:space="preserve"> </w:t>
      </w:r>
      <w:r>
        <w:t>−1</w:t>
      </w:r>
      <w:r>
        <w:t xml:space="preserve"> </w:t>
      </w:r>
      <w:r>
        <w:t>and 31.2%, respectively. The BEF@La(OH)</w:t>
      </w:r>
      <w:r>
        <w:rPr>
          <w:vertAlign w:val="subscript"/>
        </w:rPr>
        <w:t>3</w:t>
      </w:r>
      <w:r>
        <w:t>‐Cu electrocatalyst was constructed by stacking La(OH)</w:t>
      </w:r>
      <w:r>
        <w:rPr>
          <w:vertAlign w:val="subscript"/>
        </w:rPr>
        <w:t>3</w:t>
      </w:r>
      <w:r>
        <w:t>and Cu layers, forming a built‐in electric field induced by electron transfer between La→O←Cu. The electric field effectively triggered H</w:t>
      </w:r>
      <w:r>
        <w:rPr>
          <w:vertAlign w:val="subscript"/>
        </w:rPr>
        <w:t>2</w:t>
      </w:r>
      <w:r>
        <w:t>O dissociation on La(OH)</w:t>
      </w:r>
      <w:r>
        <w:rPr>
          <w:vertAlign w:val="subscript"/>
        </w:rPr>
        <w:t>3</w:t>
      </w:r>
      <w:r>
        <w:t>‐Cu interface for supplying active hydrogen (*H) species, which promoted multiple protonation steps in the process of CO</w:t>
      </w:r>
      <w:r>
        <w:rPr>
          <w:vertAlign w:val="subscript"/>
        </w:rPr>
        <w:t>2</w:t>
      </w:r>
      <w:r>
        <w:t>‐to‐C</w:t>
      </w:r>
      <w:r>
        <w:rPr>
          <w:vertAlign w:val="subscript"/>
        </w:rPr>
        <w:t>2</w:t>
      </w:r>
      <w:r>
        <w:t>H</w:t>
      </w:r>
      <w:r>
        <w:rPr>
          <w:vertAlign w:val="subscript"/>
        </w:rPr>
        <w:t>4</w:t>
      </w:r>
      <w:r>
        <w:t>conversion. The *H species then easily migrate to Cu sites, reducing the energy barrier for the conversion from *CO to *COH, thus enhancing the efficient asymmetric *CO−*COH coupling and ultimately boosting the C</w:t>
      </w:r>
      <w:r>
        <w:rPr>
          <w:vertAlign w:val="subscript"/>
        </w:rPr>
        <w:t>2</w:t>
      </w:r>
      <w:r>
        <w:t>H</w:t>
      </w:r>
      <w:r>
        <w:rPr>
          <w:vertAlign w:val="subscript"/>
        </w:rPr>
        <w:t>4</w:t>
      </w:r>
      <w:r>
        <w:t>production under ampere‐level operation.</w:t>
      </w:r>
    </w:p>
    <w:p>
      <w:pPr>
        <w:spacing w:before="120" w:after="120"/>
      </w:pPr>
      <w:r>
        <w:rPr>
          <w:sz w:val="18"/>
        </w:rPr>
        <w:t>——————————————————————————————————————————————————————————————————————</w:t>
      </w:r>
    </w:p>
    <w:p>
      <w:pPr>
        <w:spacing w:before="160" w:after="80" w:line="240" w:lineRule="auto"/>
      </w:pPr>
      <w:r>
        <w:rPr>
          <w:b/>
        </w:rPr>
        <w:t xml:space="preserve">[196] </w:t>
      </w:r>
      <w:hyperlink r:id="rId352">
        <w:r>
          <w:rPr>
            <w:color w:val="1155CC"/>
            <w:u w:val="single"/>
          </w:rPr>
          <w:t>In Situ Crosslinked Self‐Assembled Monolayer as Processing Stable Hole Selective Contact in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53">
        <w:r>
          <w:rPr>
            <w:color w:val="1155CC"/>
            <w:u w:val="single"/>
          </w:rPr>
          <w:t>10.1002/anie.202517058</w:t>
        </w:r>
      </w:hyperlink>
    </w:p>
    <w:p>
      <w:pPr>
        <w:spacing w:before="0" w:after="120"/>
      </w:pPr>
      <w:r>
        <w:rPr>
          <w:b/>
        </w:rPr>
        <w:t xml:space="preserve">Notes: </w:t>
      </w:r>
      <w:r>
        <w:t>abstract_source=crossref</w:t>
      </w:r>
    </w:p>
    <w:p>
      <w:pPr>
        <w:spacing w:before="0" w:after="200" w:lineRule="auto" w:line="276"/>
      </w:pPr>
      <w:r>
        <w:rPr>
          <w:b/>
        </w:rPr>
        <w:t xml:space="preserve">Abstract: </w:t>
      </w:r>
      <w:r>
        <w:t>Self‐assembled monolayers (SAMs) have demonstrated remarkable potential in advancing the efficiency and operational stability of p‐i‐n structured perovskite solar cells (PSCs) for scalable manufacturing. However, nonuniform surface coverage and weak interfacial adhesion of SAMs on substrates remain critical bottlenecks for further performance enhancement. The polar solvent processing steps during PSC device fabrication have been shown to induce desorption of weakly adsorbed SAM molecules. To address this, we developed a novel SAM material bearing in situ crosslinking moieties—4‐(5,9‐diallyl‐7</w:t>
      </w:r>
      <w:r>
        <w:t xml:space="preserve"> </w:t>
      </w:r>
      <w:r>
        <w:t>H</w:t>
      </w:r>
      <w:r>
        <w:t xml:space="preserve"> </w:t>
      </w:r>
      <w:r>
        <w:t>‐dibenzo[</w:t>
      </w:r>
      <w:r>
        <w:t xml:space="preserve"> </w:t>
      </w:r>
      <w:r>
        <w:t>c</w:t>
      </w:r>
      <w:r>
        <w:t xml:space="preserve"> </w:t>
      </w:r>
      <w:r>
        <w:t>,</w:t>
      </w:r>
      <w:r>
        <w:t xml:space="preserve"> </w:t>
      </w:r>
      <w:r>
        <w:t>g</w:t>
      </w:r>
      <w:r>
        <w:t xml:space="preserve"> </w:t>
      </w:r>
      <w:r>
        <w:t>]carbazol‐7‐yl)butyl phosphonic acid (4PADCB‐V)—which undergoes rapid polymerization upon UV irradiation. The crosslinked SAM (crs‐4PADCB‐V) retained structural integrity upon polar solvent exposure, mitigating interfacial defect formation while enhancing charge carrier transport properties and improving perovskite film crystallinity. Consequently, crs‐4PADCB‐V‐based devices achieved a champion power conversion efficiency (PCE) of 26.46% (certified efficiency of 25.96%) and retained 91% of initial efficiency after 1000 h of maximum power point (MPP) tracking under continuous illumination.</w:t>
      </w:r>
    </w:p>
    <w:p>
      <w:pPr>
        <w:spacing w:before="120" w:after="120"/>
      </w:pPr>
      <w:r>
        <w:rPr>
          <w:sz w:val="18"/>
        </w:rPr>
        <w:t>——————————————————————————————————————————————————————————————————————</w:t>
      </w:r>
    </w:p>
    <w:p>
      <w:pPr>
        <w:spacing w:before="160" w:after="80" w:line="240" w:lineRule="auto"/>
      </w:pPr>
      <w:r>
        <w:rPr>
          <w:b/>
        </w:rPr>
        <w:t xml:space="preserve">[197] </w:t>
      </w:r>
      <w:hyperlink r:id="rId354">
        <w:r>
          <w:rPr>
            <w:color w:val="1155CC"/>
            <w:u w:val="single"/>
          </w:rPr>
          <w:t>A Family of Cobalt(II) Complexes Exhibiting Record Dissymmetry Factors in Vibrational Circular Dichroism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55">
        <w:r>
          <w:rPr>
            <w:color w:val="1155CC"/>
            <w:u w:val="single"/>
          </w:rPr>
          <w:t>10.1002/anie.202517057</w:t>
        </w:r>
      </w:hyperlink>
    </w:p>
    <w:p>
      <w:pPr>
        <w:spacing w:before="0" w:after="120"/>
      </w:pPr>
      <w:r>
        <w:rPr>
          <w:b/>
        </w:rPr>
        <w:t xml:space="preserve">Notes: </w:t>
      </w:r>
      <w:r>
        <w:t>abstract_source=crossref</w:t>
      </w:r>
    </w:p>
    <w:p>
      <w:pPr>
        <w:spacing w:before="0" w:after="200" w:lineRule="auto" w:line="276"/>
      </w:pPr>
      <w:r>
        <w:rPr>
          <w:b/>
        </w:rPr>
        <w:t xml:space="preserve">Abstract: </w:t>
      </w:r>
      <w:r>
        <w:t>A family of novel chiral cobalt(II) complexes with two diketonate and one bis(oxazoline) ligand, [Co(dkt)</w:t>
      </w:r>
      <w:r>
        <w:rPr>
          <w:vertAlign w:val="subscript"/>
        </w:rPr>
        <w:t>2</w:t>
      </w:r>
      <w:r>
        <w:t>(BOX)], is reported. These complexes exhibit octahedral coordination geometry and feature a chiroptical superspectrum extending from UV to mid‐IR regions. Vibrational circular dichroism (VCD) enhancement occurs thanks to the coupling between ligand vibrations and low‐lying electronic transitions allied to the distorted octahedral high‐spin Co</w:t>
      </w:r>
      <w:r>
        <w:t xml:space="preserve"> </w:t>
      </w:r>
      <w:r>
        <w:t>II</w:t>
      </w:r>
      <w:r>
        <w:t xml:space="preserve"> </w:t>
      </w:r>
      <w:r>
        <w:t>d</w:t>
      </w:r>
      <w:r>
        <w:rPr>
          <w:vertAlign w:val="subscript"/>
        </w:rPr>
        <w:t>7</w:t>
      </w:r>
      <w:r>
        <w:t>core, generating VCD bands of unprecedented intensity in the mid‐IR region with dissymmetry factors up to 3.6 × 10</w:t>
      </w:r>
      <w:r>
        <w:t xml:space="preserve"> </w:t>
      </w:r>
      <w:r>
        <w:t>−2</w:t>
      </w:r>
      <w:r>
        <w:t xml:space="preserve"> </w:t>
      </w:r>
      <w:r>
        <w:t>for a VCD peak at 1453 cm</w:t>
      </w:r>
      <w:r>
        <w:t xml:space="preserve"> </w:t>
      </w:r>
      <w:r>
        <w:t>−1</w:t>
      </w:r>
      <w:r>
        <w:t xml:space="preserve"> </w:t>
      </w:r>
      <w:r>
        <w:t>and &amp;gt; 5 × 10</w:t>
      </w:r>
      <w:r>
        <w:t xml:space="preserve"> </w:t>
      </w:r>
      <w:r>
        <w:t>−2</w:t>
      </w:r>
      <w:r>
        <w:t xml:space="preserve"> </w:t>
      </w:r>
      <w:r>
        <w:t>for its shoulder at 1430 cm</w:t>
      </w:r>
      <w:r>
        <w:t xml:space="preserve"> </w:t>
      </w:r>
      <w:r>
        <w:t>−1</w:t>
      </w:r>
      <w:r>
        <w:t xml:space="preserve"> </w:t>
      </w:r>
      <w:r>
        <w:t>. These values correspond to a ≈ 100‐fold enhancement with respect to the diamagnetic Zn</w:t>
      </w:r>
      <w:r>
        <w:t xml:space="preserve"> </w:t>
      </w:r>
      <w:r>
        <w:t>II</w:t>
      </w:r>
      <w:r>
        <w:t xml:space="preserve"> </w:t>
      </w:r>
      <w:r>
        <w:t>analog and set a record among non‐aggregated species in solution. The extraordinarily enhanced intensity allows recording a VCD spectrum with a signal‐to‐noise (S/N) ratio of ≈ 30 in a single acquisition.</w:t>
      </w:r>
    </w:p>
    <w:p>
      <w:pPr>
        <w:spacing w:before="120" w:after="120"/>
      </w:pPr>
      <w:r>
        <w:rPr>
          <w:sz w:val="18"/>
        </w:rPr>
        <w:t>——————————————————————————————————————————————————————————————————————</w:t>
      </w:r>
    </w:p>
    <w:p>
      <w:pPr>
        <w:spacing w:before="160" w:after="80" w:line="240" w:lineRule="auto"/>
      </w:pPr>
      <w:r>
        <w:rPr>
          <w:b/>
        </w:rPr>
        <w:t xml:space="preserve">[198] </w:t>
      </w:r>
      <w:hyperlink r:id="rId356">
        <w:r>
          <w:rPr>
            <w:color w:val="1155CC"/>
            <w:u w:val="single"/>
          </w:rPr>
          <w:t>Selective Reductive Amination of Carbonyls to Primary Amines Under Ambient Conditions Over Rh/MFM‐300(Cr)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57">
        <w:r>
          <w:rPr>
            <w:color w:val="1155CC"/>
            <w:u w:val="single"/>
          </w:rPr>
          <w:t>10.1002/anie.202519641</w:t>
        </w:r>
      </w:hyperlink>
    </w:p>
    <w:p>
      <w:pPr>
        <w:spacing w:before="0" w:after="120"/>
      </w:pPr>
      <w:r>
        <w:rPr>
          <w:b/>
        </w:rPr>
        <w:t xml:space="preserve">Notes: </w:t>
      </w:r>
      <w:r>
        <w:t>abstract_source=crossref</w:t>
      </w:r>
    </w:p>
    <w:p>
      <w:pPr>
        <w:spacing w:before="0" w:after="200" w:lineRule="auto" w:line="276"/>
      </w:pPr>
      <w:r>
        <w:rPr>
          <w:b/>
        </w:rPr>
        <w:t xml:space="preserve">Abstract: </w:t>
      </w:r>
      <w:r>
        <w:t>The synthesis of organic amines via reductive amination of biomass‐derived carbonyl compounds is an important target for sustainable chemical industries. The control of selectivity for the formation of primary amines versus secondary amines is challenging, and high temperature and pressures using H</w:t>
      </w:r>
      <w:r>
        <w:rPr>
          <w:vertAlign w:val="subscript"/>
        </w:rPr>
        <w:t>2</w:t>
      </w:r>
      <w:r>
        <w:t>are required to generate the desired selectivity. Herein, we report the highly selective reductive amination of a broad range of aldehydes and ketones by NH</w:t>
      </w:r>
      <w:r>
        <w:rPr>
          <w:vertAlign w:val="subscript"/>
        </w:rPr>
        <w:t>3</w:t>
      </w:r>
      <w:r>
        <w:t>and H</w:t>
      </w:r>
      <w:r>
        <w:rPr>
          <w:vertAlign w:val="subscript"/>
        </w:rPr>
        <w:t>2</w:t>
      </w:r>
      <w:r>
        <w:t>over Rh/MFM‐300(Cr) to form primary amines with a selectivity of up to 99% under ambient conditions. Inelastic neutron scattering reveals that the Rh species not only promote the hydrogenation process, but also catalyzes the ammonolysis of the Schiff base intermediate, facilitating the selective synthesis of primary amines. This protocol achieves selective reductive amination at 25 °C and 1 atm, providing an energy‐efficient route to a broad spectrum of amines.</w:t>
      </w:r>
    </w:p>
    <w:p>
      <w:pPr>
        <w:spacing w:before="120" w:after="120"/>
      </w:pPr>
      <w:r>
        <w:rPr>
          <w:sz w:val="18"/>
        </w:rPr>
        <w:t>——————————————————————————————————————————————————————————————————————</w:t>
      </w:r>
    </w:p>
    <w:p>
      <w:pPr>
        <w:spacing w:before="160" w:after="80" w:line="240" w:lineRule="auto"/>
      </w:pPr>
      <w:r>
        <w:rPr>
          <w:b/>
        </w:rPr>
        <w:t xml:space="preserve">[199] </w:t>
      </w:r>
      <w:hyperlink r:id="rId358">
        <w:r>
          <w:rPr>
            <w:color w:val="1155CC"/>
            <w:u w:val="single"/>
          </w:rPr>
          <w:t>Boolean Logic‐Based Controlled Release of Bioactive Proteins with Diversified Inputs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59">
        <w:r>
          <w:rPr>
            <w:color w:val="1155CC"/>
            <w:u w:val="single"/>
          </w:rPr>
          <w:t>10.1002/anie.202519925</w:t>
        </w:r>
      </w:hyperlink>
    </w:p>
    <w:p>
      <w:pPr>
        <w:spacing w:before="0" w:after="120"/>
      </w:pPr>
      <w:r>
        <w:rPr>
          <w:b/>
        </w:rPr>
        <w:t xml:space="preserve">Notes: </w:t>
      </w:r>
      <w:r>
        <w:t>abstract_source=crossref</w:t>
      </w:r>
    </w:p>
    <w:p>
      <w:pPr>
        <w:spacing w:before="0" w:after="200" w:lineRule="auto" w:line="276"/>
      </w:pPr>
      <w:r>
        <w:rPr>
          <w:b/>
        </w:rPr>
        <w:t xml:space="preserve">Abstract: </w:t>
      </w:r>
      <w:r>
        <w:t>Stimuli‐responsive biomaterials hold great promise in controlled therapeutic delivery, tissue engineering, and biosensing applications. Recently, molecular assembly via autonomous compilation has been employed to create topologically specified protein cargos that can be site‐specifically tethered to and conditionally released from biomaterials following user‐programmable Boolean logic. Prior implementation has been confined to simple fluorescent protein outputs and model protease inputs. In this manuscript, we extend the applicability of this framework by assembling all 7 unique logical operations emanating from a YES/OR/AND 3‐input operator set to deliver bioactive proteins spanning diverse categories: growth factors (epidermal growth factor), model enzymes (β‐lactamase, NanoLuciferase, and thioredoxin A), therapeutic nanobodies (anti‐human epidermal growth factor receptor 2), de novo‐engineered cytokines (Neoleukin), and fluorescent proteins (mGreenLantern). In so doing, we demonstrate programmable biomacromolecule release from material anchors in response to precise combinations of three orthogonal protease actuators while maintaining native bioactivity. Through inclusion of a photocleavable protein motif, we further establish that visible light can be employed as an additional input in specifying logic‐based protein release. We anticipate these methods will powerfully expand opportunities for targeted therapeutic delivery and beyond.</w:t>
      </w:r>
    </w:p>
    <w:p>
      <w:pPr>
        <w:spacing w:before="120" w:after="120"/>
      </w:pPr>
      <w:r>
        <w:rPr>
          <w:sz w:val="18"/>
        </w:rPr>
        <w:t>——————————————————————————————————————————————————————————————————————</w:t>
      </w:r>
    </w:p>
    <w:p>
      <w:pPr>
        <w:spacing w:before="160" w:after="80" w:line="240" w:lineRule="auto"/>
      </w:pPr>
      <w:r>
        <w:rPr>
          <w:b/>
        </w:rPr>
        <w:t xml:space="preserve">[200] </w:t>
      </w:r>
      <w:hyperlink r:id="rId360">
        <w:r>
          <w:rPr>
            <w:color w:val="1155CC"/>
            <w:u w:val="single"/>
          </w:rPr>
          <w:t>Photoexcitation‐Induced Chiral Self‐Assembly for Phosphorescence‐to‐Thermally Activated Delayed Fluorescence Transformation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61">
        <w:r>
          <w:rPr>
            <w:color w:val="1155CC"/>
            <w:u w:val="single"/>
          </w:rPr>
          <w:t>10.1002/anie.202516591</w:t>
        </w:r>
      </w:hyperlink>
    </w:p>
    <w:p>
      <w:pPr>
        <w:spacing w:before="0" w:after="120"/>
      </w:pPr>
      <w:r>
        <w:rPr>
          <w:b/>
        </w:rPr>
        <w:t xml:space="preserve">Notes: </w:t>
      </w:r>
      <w:r>
        <w:t>abstract_source=crossref</w:t>
      </w:r>
    </w:p>
    <w:p>
      <w:pPr>
        <w:spacing w:before="0" w:after="200" w:lineRule="auto" w:line="276"/>
      </w:pPr>
      <w:r>
        <w:rPr>
          <w:b/>
        </w:rPr>
        <w:t xml:space="preserve">Abstract: </w:t>
      </w:r>
      <w:r>
        <w:t>Phosphorescence and thermally activated delayed fluorescence are currently two important photophysical pathways that have greatly promoted the development of display, sensing, and bioimaging. However, achieving in situ conversion of these two photophysical pathways within the same molecule is extremely challenging. In this study, we covalently bond chiral donor–acceptor–donor' structures into a photoexcitation‐induced aggregated molecule, specifically hexathiobenzene, to achieve this goal through light irradiation. Initially, the target molecules predominantly exhibit phosphorescent properties. Upon photoirradiation, chiral self‐assembly occurs within the target molecules, which gives rise to a thermally activated delayed fluorescence (TADF)‐dominant emission behavior. This TADF emission relies on a self‐assembly structure that can effectively prevent oxygen from quenching triplet excitons, resulting in stronger signal intensity and longer photoluminescence lifetime. Consequently, a real time improvement of time‐resolved bioimaging can be achieved with the utilization of our strategy, rendering selectively dynamic control of imaging parameters at the desired time‐ and spatial resolution.</w:t>
      </w:r>
    </w:p>
    <w:p>
      <w:pPr>
        <w:spacing w:before="120" w:after="120"/>
      </w:pPr>
      <w:r>
        <w:rPr>
          <w:sz w:val="18"/>
        </w:rPr>
        <w:t>——————————————————————————————————————————————————————————————————————</w:t>
      </w:r>
    </w:p>
    <w:p>
      <w:pPr>
        <w:spacing w:before="160" w:after="80" w:line="240" w:lineRule="auto"/>
      </w:pPr>
      <w:r>
        <w:rPr>
          <w:b/>
        </w:rPr>
        <w:t xml:space="preserve">[201] </w:t>
      </w:r>
      <w:hyperlink r:id="rId362">
        <w:r>
          <w:rPr>
            <w:color w:val="1155CC"/>
            <w:u w:val="single"/>
          </w:rPr>
          <w:t>Catalytic Asymmetric Aza‐[2+2] Cyclization Reaction of Simple Ketoimine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63">
        <w:r>
          <w:rPr>
            <w:color w:val="1155CC"/>
            <w:u w:val="single"/>
          </w:rPr>
          <w:t>10.1002/anie.202518427</w:t>
        </w:r>
      </w:hyperlink>
    </w:p>
    <w:p>
      <w:pPr>
        <w:spacing w:before="0" w:after="120"/>
      </w:pPr>
      <w:r>
        <w:rPr>
          <w:b/>
        </w:rPr>
        <w:t xml:space="preserve">Notes: </w:t>
      </w:r>
      <w:r>
        <w:t>abstract_source=crossref</w:t>
      </w:r>
    </w:p>
    <w:p>
      <w:pPr>
        <w:spacing w:before="0" w:after="200" w:lineRule="auto" w:line="276"/>
      </w:pPr>
      <w:r>
        <w:rPr>
          <w:b/>
        </w:rPr>
        <w:t xml:space="preserve">Abstract: </w:t>
      </w:r>
      <w:r>
        <w:t>Herein, we report the first catalytic enantioselective aza‐[2+2] cyclization of simple ketoimines, thereby addressing a persistent challenge in four‐membered aza‐ring construction. While the aza‐[2+2] cyclization represents the most straightforward approach to azetidine synthesis, previous methodologies have been strictly limited to ketoimines, all with an EWG at the central reactive carbon, and predominantly employing cyclic imine substrates. Through rational design of an in situ‐generated magnesium catalytic system and systematic investigation of imine electronic effects, we have successfully developed an asymmetric protocol for simple ketoimines. This breakthrough enables efficient access to enantioenriched monocyclic azetidines with excellent stereocontrol. Moreover, a streamlined one‐pot tandem oxidation readily converts these azetidines into valuable quaternary chiral β‐lactams—privileged scaffolds that are prominent in numerous pharmaceuticals and bioactive agents. A combination of comparative studies, the calculation results of the HOMO and LUMO energies of different imines, relative control experiments, and a series of detailed NLE analysis revealed the coordination difference and the catalytic cycle. The catalytic protocol was used for the synthesis of a series of β‐lactams containing aryl or alkyl groups, as well as for pharmaceutical active molecules’ β‐lactam‐modifications. Importantly, the preliminary attempt to take advantage of the significant ring strain of β‐lactam for peptide modifications was also achieved on tryptophan.</w:t>
      </w:r>
    </w:p>
    <w:p>
      <w:pPr>
        <w:spacing w:before="120" w:after="120"/>
      </w:pPr>
      <w:r>
        <w:rPr>
          <w:sz w:val="18"/>
        </w:rPr>
        <w:t>——————————————————————————————————————————————————————————————————————</w:t>
      </w:r>
    </w:p>
    <w:p>
      <w:pPr>
        <w:spacing w:before="160" w:after="80" w:line="240" w:lineRule="auto"/>
      </w:pPr>
      <w:r>
        <w:rPr>
          <w:b/>
        </w:rPr>
        <w:t xml:space="preserve">[202] </w:t>
      </w:r>
      <w:hyperlink r:id="rId364">
        <w:r>
          <w:rPr>
            <w:color w:val="1155CC"/>
            <w:u w:val="single"/>
          </w:rPr>
          <w:t>Topology‐Tuned Structural Flexibility Toward Customized Piezofluorochromism in Stable Zirconium MOFs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65">
        <w:r>
          <w:rPr>
            <w:color w:val="1155CC"/>
            <w:u w:val="single"/>
          </w:rPr>
          <w:t>10.1002/anie.202516124</w:t>
        </w:r>
      </w:hyperlink>
    </w:p>
    <w:p>
      <w:pPr>
        <w:spacing w:before="0" w:after="120"/>
      </w:pPr>
      <w:r>
        <w:rPr>
          <w:b/>
        </w:rPr>
        <w:t xml:space="preserve">Notes: </w:t>
      </w:r>
      <w:r>
        <w:t>abstract_source=crossref</w:t>
      </w:r>
    </w:p>
    <w:p>
      <w:pPr>
        <w:spacing w:before="0" w:after="200" w:lineRule="auto" w:line="276"/>
      </w:pPr>
      <w:r>
        <w:rPr>
          <w:b/>
        </w:rPr>
        <w:t xml:space="preserve">Abstract: </w:t>
      </w:r>
      <w:r>
        <w:t>Albeit serving important roles in high‐techs, the rapid development of crystalline pressure‐responsive materials still heavily relied on the de novo synthesis. Regarding pressure‐responsive metal–organic frameworks (MOFs), their fascinating designability on the metal/ligand component has been extensively utilized, but yet for their network or topology tunability. Derived from the reticular chemistry, we, herein, present a distinctive exploration toward altered piezofluorochromic behaviors of highly‐stable MOFs under GPa‐level, of which is highly topology‐focused. Specifically, each of the three selected organic ligand have yielded its corresponding zirconium‐MOFs under</w:t>
      </w:r>
      <w:r>
        <w:t xml:space="preserve"> </w:t>
      </w:r>
      <w:r>
        <w:t>csq</w:t>
      </w:r>
      <w:r>
        <w:t xml:space="preserve"> </w:t>
      </w:r>
      <w:r>
        <w:t>‐ and</w:t>
      </w:r>
      <w:r>
        <w:t xml:space="preserve"> </w:t>
      </w:r>
      <w:r>
        <w:t>scu</w:t>
      </w:r>
      <w:r>
        <w:t xml:space="preserve"> </w:t>
      </w:r>
      <w:r>
        <w:t>‐topology, whom all possessed well‐behaved, reversible pressure‐altered photoluminescence (PL). Comprehensive experimental and theoretical investigations revealed that the intrinsic network flexibility of</w:t>
      </w:r>
      <w:r>
        <w:t xml:space="preserve"> </w:t>
      </w:r>
      <w:r>
        <w:t>scu</w:t>
      </w:r>
      <w:r>
        <w:t xml:space="preserve"> </w:t>
      </w:r>
      <w:r>
        <w:t>‐topology rendered the MOFs with larger PL response sensitivity, while the relatively rigid</w:t>
      </w:r>
      <w:r>
        <w:t xml:space="preserve"> </w:t>
      </w:r>
      <w:r>
        <w:t>csq</w:t>
      </w:r>
      <w:r>
        <w:t xml:space="preserve"> </w:t>
      </w:r>
      <w:r>
        <w:t>‐topology could induce the rarely‐reported pressure‐induced emission enhancement (PIEE). This observed topology‐dependent piezofluorochromism regulation proactively establishes a novel structure‐property relationship in crystalline piezofluorochromic materials, while also spearheads a new horizon for customized smart pressure sensors and optoelectronic devices.</w:t>
      </w:r>
    </w:p>
    <w:p>
      <w:pPr>
        <w:spacing w:before="120" w:after="120"/>
      </w:pPr>
      <w:r>
        <w:rPr>
          <w:sz w:val="18"/>
        </w:rPr>
        <w:t>——————————————————————————————————————————————————————————————————————</w:t>
      </w:r>
    </w:p>
    <w:p>
      <w:pPr>
        <w:spacing w:before="160" w:after="80" w:line="240" w:lineRule="auto"/>
      </w:pPr>
      <w:r>
        <w:rPr>
          <w:b/>
        </w:rPr>
        <w:t xml:space="preserve">[203] </w:t>
      </w:r>
      <w:hyperlink r:id="rId366">
        <w:r>
          <w:rPr>
            <w:color w:val="1155CC"/>
            <w:u w:val="single"/>
          </w:rPr>
          <w:t>Layered Double Hydroxides as Building Blocks for Precise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67">
        <w:r>
          <w:rPr>
            <w:color w:val="1155CC"/>
            <w:u w:val="single"/>
          </w:rPr>
          <w:t>10.1002/anie.202517103</w:t>
        </w:r>
      </w:hyperlink>
    </w:p>
    <w:p>
      <w:pPr>
        <w:spacing w:before="0" w:after="120"/>
      </w:pPr>
      <w:r>
        <w:rPr>
          <w:b/>
        </w:rPr>
        <w:t xml:space="preserve">Notes: </w:t>
      </w:r>
      <w:r>
        <w:t>abstract_source=crossref</w:t>
      </w:r>
    </w:p>
    <w:p>
      <w:pPr>
        <w:spacing w:before="0" w:after="200" w:lineRule="auto" w:line="276"/>
      </w:pPr>
      <w:r>
        <w:rPr>
          <w:b/>
        </w:rPr>
        <w:t xml:space="preserve">Abstract: </w:t>
      </w:r>
      <w:r>
        <w:t>Layered double hydroxides (LDHs) are structurally tunable, 2D materials that serve as versatile precursors for the design of heterogeneous catalysts. Their unique lamellar architecture, topotactic transformation ability, and compositional flexibility enable the fabrication of monometallic, bimetallic, and intermetallic catalysts with atomically controlled active sites. These LDH‐derived catalysts feature high metal dispersion, strong metal–support interactions, and defect‐rich interfaces, which are key attributes for precise catalysis. Recent advances have demonstrated their broad applicability in electrocatalysis (e.g., oxygen evolution and CO</w:t>
      </w:r>
      <w:r>
        <w:rPr>
          <w:vertAlign w:val="subscript"/>
        </w:rPr>
        <w:t>2</w:t>
      </w:r>
      <w:r>
        <w:t>reduction), selective hydrogenation, direct and oxidative dehydrogenation, and syngas conversion. Across these reactions, LDH‐derived systems offer enhanced activity, selectivity, and stability by tailoring active site geometry, electronic structure, and interfacial properties. This review summarizes the advances in synthesis, structure–function relationships, and catalytic applications of LDH‐based catalysts. Despite significant progress, challenges remain in understanding transformation mechanisms, capturing dynamic active sites under working conditions, and establishing predictive design rules. Future efforts combining operando spectroscopy, theory, and data‐driven approaches are expected to unlock the full potential of LDH‐derived materials for precise catalysis in sustainable energy and chemical transformations.</w:t>
      </w:r>
    </w:p>
    <w:p>
      <w:pPr>
        <w:spacing w:before="120" w:after="120"/>
      </w:pPr>
      <w:r>
        <w:rPr>
          <w:sz w:val="18"/>
        </w:rPr>
        <w:t>——————————————————————————————————————————————————————————————————————</w:t>
      </w:r>
    </w:p>
    <w:p>
      <w:pPr>
        <w:spacing w:before="160" w:after="80" w:line="240" w:lineRule="auto"/>
      </w:pPr>
      <w:r>
        <w:rPr>
          <w:b/>
        </w:rPr>
        <w:t xml:space="preserve">[204] </w:t>
      </w:r>
      <w:hyperlink r:id="rId368">
        <w:r>
          <w:rPr>
            <w:color w:val="1155CC"/>
            <w:u w:val="single"/>
          </w:rPr>
          <w:t>Disulfide‐Initiated Addition–Fragmentation Chain Transfer in Allyl Sulfide‐Based Vitrimers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2025-12-23 08:51:30+00:00</w:t>
      </w:r>
      <w:r>
        <w:t xml:space="preserve">    </w:t>
      </w:r>
      <w:r>
        <w:rPr>
          <w:b/>
        </w:rPr>
        <w:t xml:space="preserve">DOI: </w:t>
      </w:r>
      <w:hyperlink r:id="rId369">
        <w:r>
          <w:rPr>
            <w:color w:val="1155CC"/>
            <w:u w:val="single"/>
          </w:rPr>
          <w:t>10.1002/anie.202519880</w:t>
        </w:r>
      </w:hyperlink>
    </w:p>
    <w:p>
      <w:pPr>
        <w:spacing w:before="0" w:after="120"/>
      </w:pPr>
      <w:r>
        <w:rPr>
          <w:b/>
        </w:rPr>
        <w:t xml:space="preserve">Notes: </w:t>
      </w:r>
      <w:r>
        <w:t>abstract_source=crossref</w:t>
      </w:r>
    </w:p>
    <w:p>
      <w:pPr>
        <w:spacing w:before="0" w:after="200" w:lineRule="auto" w:line="276"/>
      </w:pPr>
      <w:r>
        <w:rPr>
          <w:b/>
        </w:rPr>
        <w:t xml:space="preserve">Abstract: </w:t>
      </w:r>
      <w:r>
        <w:t>Covalent adaptable networks (CANs) have emerged as a promising class of materials that incorporate dynamic covalent bonds, enabling reprocessability and recyclability while retaining the advantageous properties of traditional thermosets. Herein, we report a class of radical‐based vitrimers employing addition–fragmentation chain transfer reactions. The vitrimer was synthesized via crosslinking of an epoxy monomer containing embedded allylic functionalities capable of undergoing exchange through a degenerative transfer mechanism. The generation of thiyl radicals necessary for the exchange is triggered by a disulfide‐containing hardener which reversibly generates radicals upon thermal activation. Vitrimers were prepared with varying proportions of the disulfide hardener relative to a permanent hardener. All materials exhibited stress relaxation, with relaxation times dependent on the disulfide content. Incorporation of only 10 mol% of disulfide resulted in a relaxation time of 21 min at 200 °C, demonstrating dynamic behavior. Full reversibility was confirmed after three reprocessing cycles, with no significant change in glass transition temperature (</w:t>
      </w:r>
      <w:r>
        <w:t xml:space="preserve"> </w:t>
      </w:r>
      <w:r>
        <w:t>T</w:t>
      </w:r>
      <w:r>
        <w:t xml:space="preserve"> </w:t>
      </w:r>
      <w:r>
        <w:t>g), storage modulus, and FTIR spectra. Additionally, a model reaction was conducted to prove the exchange mechanism, revealing an activation energy in the range of 48 (± 4) kJ.mol</w:t>
      </w:r>
      <w:r>
        <w:t xml:space="preserve"> </w:t>
      </w:r>
      <w:r>
        <w:t>−1</w:t>
      </w:r>
      <w:r>
        <w:t xml:space="preserve"> </w:t>
      </w:r>
      <w:r>
        <w:t>. This study introduces a novel approach to thermally activated, radical‐based vitrimers, expanding the design for recyclable thermoset materials.</w:t>
      </w:r>
    </w:p>
    <w:p>
      <w:pPr>
        <w:spacing w:before="120" w:after="120"/>
      </w:pPr>
      <w:r>
        <w:rPr>
          <w:sz w:val="18"/>
        </w:rPr>
        <w:t>——————————————————————————————————————————————————————————————————————</w:t>
      </w:r>
    </w:p>
    <w:p>
      <w:pPr>
        <w:spacing w:before="160" w:after="80" w:line="240" w:lineRule="auto"/>
      </w:pPr>
      <w:r>
        <w:rPr>
          <w:b/>
        </w:rPr>
        <w:t xml:space="preserve">[205] </w:t>
      </w:r>
      <w:hyperlink r:id="rId370">
        <w:r>
          <w:rPr>
            <w:color w:val="1155CC"/>
            <w:u w:val="single"/>
          </w:rPr>
          <w:t>[ASAP] Super Durable Acidic Oxygen Evolution Catalyst of Ruthenium Oxide for Proton Exchange Membrane Electrocatalytic Water Splitting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09:26:50+00:00</w:t>
      </w:r>
      <w:r>
        <w:t xml:space="preserve">    </w:t>
      </w:r>
      <w:r>
        <w:rPr>
          <w:b/>
        </w:rPr>
        <w:t xml:space="preserve">DOI: </w:t>
      </w:r>
      <w:hyperlink r:id="rId371">
        <w:r>
          <w:rPr>
            <w:color w:val="1155CC"/>
            <w:u w:val="single"/>
          </w:rPr>
          <w:t>10.1021/jacs.5c16939</w:t>
        </w:r>
      </w:hyperlink>
    </w:p>
    <w:p>
      <w:pPr>
        <w:spacing w:before="0" w:after="120"/>
      </w:pPr>
      <w:r>
        <w:rPr>
          <w:b/>
        </w:rPr>
        <w:t xml:space="preserve">Notes: </w:t>
      </w:r>
      <w:r>
        <w:t>abstract_source=pubmed</w:t>
      </w:r>
    </w:p>
    <w:p>
      <w:pPr>
        <w:spacing w:before="0" w:after="200" w:lineRule="auto" w:line="276"/>
      </w:pPr>
      <w:r>
        <w:rPr>
          <w:b/>
        </w:rPr>
        <w:t xml:space="preserve">Abstract: </w:t>
      </w:r>
      <w:r>
        <w:t>Ruthenium oxide (RuO2) is a promising candidate for proton exchange membrane water electrolyzers (PEMWEs) due to its high activity and relatively low cost. However, its limited stability remains a critical challenge. Although substantial efforts have been made to improve the stability, the advance is insufficient for requirement of practical PEMWEs. In this study, the intrinsic structure of RuO2-δ, specifically oxygen vacancies (OVs), was precisely manipulated to quantitatively investigate the underlying principles governing its activity-stability balance. Combining theoretical calculations and experimental results, it is revealed that the spatial distance between OVs controlled by the density of OV dictates the catalytic performance, e. g. activity decays exponentially as intervacancy distance decreases while stability exhibits Gaussian-like fluctuations. Electrochemical analysis demonstrates that the as-synthesized h-RuO2-δ nanosheet, with an OV density of 33%, achieves an optimal activity-stability synergy, exhibiting exceptional activity (1 A cm-2@1.63 V) and stability (over 120 h) in a PEMWE, far surpassing the performance of commercial RuO2 catalyst. In situ FTIR and DFT calculations demonstrate that RuO2-δ with an optimal spatial arrangement of OVs (Meta-OVs configuration) weakens the hydrogen-bonding network of interfacial water, facilitating water dissociation, and exhibits enhanced structural stability during the oxygen evolution reaction. The findings of this study establish a quantitative structure-property relationship for defect engineering in Ru-based catalysts.</w:t>
      </w:r>
    </w:p>
    <w:p>
      <w:pPr>
        <w:spacing w:before="120" w:after="120"/>
      </w:pPr>
      <w:r>
        <w:rPr>
          <w:sz w:val="18"/>
        </w:rPr>
        <w:t>——————————————————————————————————————————————————————————————————————</w:t>
      </w:r>
    </w:p>
    <w:p>
      <w:pPr>
        <w:spacing w:before="160" w:after="80" w:line="240" w:lineRule="auto"/>
      </w:pPr>
      <w:r>
        <w:rPr>
          <w:b/>
        </w:rPr>
        <w:t xml:space="preserve">[206] </w:t>
      </w:r>
      <w:hyperlink r:id="rId372">
        <w:r>
          <w:rPr>
            <w:color w:val="1155CC"/>
            <w:u w:val="single"/>
          </w:rPr>
          <w:t>[ASAP] Catassembly Triad: A Catalytic Framework for Enantioselective Chiral Molecular Assembly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09:57:35+00:00</w:t>
      </w:r>
      <w:r>
        <w:t xml:space="preserve">    </w:t>
      </w:r>
      <w:r>
        <w:rPr>
          <w:b/>
        </w:rPr>
        <w:t xml:space="preserve">DOI: </w:t>
      </w:r>
      <w:hyperlink r:id="rId373">
        <w:r>
          <w:rPr>
            <w:color w:val="1155CC"/>
            <w:u w:val="single"/>
          </w:rPr>
          <w:t>10.1021/jacs.5c16840</w:t>
        </w:r>
      </w:hyperlink>
    </w:p>
    <w:p>
      <w:pPr>
        <w:spacing w:before="0" w:after="120"/>
      </w:pPr>
      <w:r>
        <w:rPr>
          <w:b/>
        </w:rPr>
        <w:t xml:space="preserve">Notes: </w:t>
      </w:r>
      <w:r>
        <w:t>abstract_source=pubmed</w:t>
      </w:r>
    </w:p>
    <w:p>
      <w:pPr>
        <w:spacing w:before="0" w:after="200" w:lineRule="auto" w:line="276"/>
      </w:pPr>
      <w:r>
        <w:rPr>
          <w:b/>
        </w:rPr>
        <w:t xml:space="preserve">Abstract: </w:t>
      </w:r>
      <w:r>
        <w:t>Chiral molecular assembly represents a frontier in creating life-inspired functional materials; yet, a predictive framework for its enantioselective catalysis remains elusive. Here, we introduce the Catassembly Triad - a mechanistic paradigm for catalytic enantioselective assembly, demonstrated using chiral supramolecular cages as a model system. Combining in situ characterization, ab initio calculations, and machine learning, we resolve how catalysts must harmonize attachment, chiral control, and detachment to direct assembly pathways. Kinetic and structural analyses reveal that chiral diamine catalysts (e.g., cyclohexanediamine) enforce enantioselectivity by templating transient intermediates with deformation-induced affinity changes driving timely catalyst release. We establish a predictive framework based on quantitative triad metrics (ΔEatt, ΔEctl, and ΔEdet) from calculations, validated by Bayesian clustering and experimental testing. The framework achieves a perfect concordance between predicted and observed catalyst efficacy across diverse molecular classes. This framework bridges enzymatic cooperativity and supramolecular assembly, enabling programmable chirality transfer and unlocking catalyst design for adaptive chiral materials.</w:t>
      </w:r>
    </w:p>
    <w:p>
      <w:pPr>
        <w:spacing w:before="120" w:after="120"/>
      </w:pPr>
      <w:r>
        <w:rPr>
          <w:sz w:val="18"/>
        </w:rPr>
        <w:t>——————————————————————————————————————————————————————————————————————</w:t>
      </w:r>
    </w:p>
    <w:p>
      <w:pPr>
        <w:spacing w:before="160" w:after="80" w:line="240" w:lineRule="auto"/>
      </w:pPr>
      <w:r>
        <w:rPr>
          <w:b/>
        </w:rPr>
        <w:t xml:space="preserve">[207] </w:t>
      </w:r>
      <w:hyperlink r:id="rId374">
        <w:r>
          <w:rPr>
            <w:color w:val="1155CC"/>
            <w:u w:val="single"/>
          </w:rPr>
          <w:t>[ASAP] Impact of Ligand-Mediated Inductive Effects on Electrochemical p-Doping of CsPbBr3 Nanocrystals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2025-12-23 10:47:10+00:00</w:t>
      </w:r>
      <w:r>
        <w:t xml:space="preserve">    </w:t>
      </w:r>
      <w:r>
        <w:rPr>
          <w:b/>
        </w:rPr>
        <w:t xml:space="preserve">DOI: </w:t>
      </w:r>
      <w:hyperlink r:id="rId375">
        <w:r>
          <w:rPr>
            <w:color w:val="1155CC"/>
            <w:u w:val="single"/>
          </w:rPr>
          <w:t>10.1021/acsenergylett.5c03184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[208] </w:t>
      </w:r>
      <w:hyperlink r:id="rId376">
        <w:r>
          <w:rPr>
            <w:color w:val="1155CC"/>
            <w:u w:val="single"/>
          </w:rPr>
          <w:t>[ASAP] Light-Based 3D Printing of Polyesters: From Synthesis to Fabrication</w:t>
        </w:r>
      </w:hyperlink>
    </w:p>
    <w:p>
      <w:pPr>
        <w:spacing w:before="0" w:after="120" w:line="240" w:lineRule="auto"/>
      </w:pPr>
      <w:r>
        <w:rPr>
          <w:b/>
        </w:rPr>
        <w:t xml:space="preserve">Source: </w:t>
      </w:r>
      <w:r>
        <w:t>Chemical Reviews: Latest Articles (ACS Publications)</w:t>
      </w:r>
      <w:r>
        <w:t xml:space="preserve">    </w:t>
      </w:r>
      <w:r>
        <w:rPr>
          <w:b/>
        </w:rPr>
        <w:t xml:space="preserve">Pub date: </w:t>
      </w:r>
      <w:r>
        <w:t>2025-12-23 10:47:30+00:00</w:t>
      </w:r>
      <w:r>
        <w:t xml:space="preserve">    </w:t>
      </w:r>
      <w:r>
        <w:rPr>
          <w:b/>
        </w:rPr>
        <w:t xml:space="preserve">DOI: </w:t>
      </w:r>
      <w:hyperlink r:id="rId377">
        <w:r>
          <w:rPr>
            <w:color w:val="1155CC"/>
            <w:u w:val="single"/>
          </w:rPr>
          <w:t>10.1021/acs.chemrev.5c00611</w:t>
        </w:r>
      </w:hyperlink>
    </w:p>
    <w:p>
      <w:pPr>
        <w:spacing w:before="0" w:after="120"/>
      </w:pPr>
      <w:r>
        <w:rPr>
          <w:b/>
        </w:rPr>
        <w:t xml:space="preserve">Notes: </w:t>
      </w:r>
      <w:r>
        <w:t>abstract_source=pubmed</w:t>
      </w:r>
    </w:p>
    <w:p>
      <w:pPr>
        <w:spacing w:before="0" w:after="200" w:lineRule="auto" w:line="276"/>
      </w:pPr>
      <w:r>
        <w:rPr>
          <w:b/>
        </w:rPr>
        <w:t xml:space="preserve">Abstract: </w:t>
      </w:r>
      <w:r>
        <w:t>Polyesters represent a versatile class of materials whose biodegradability, biocompatibility, mechanical tunability, and broad chemical design space have made them valuable across a wide range of application areas, including tissue engineering, biomedical engineering, sustainable manufacturing, and soft robotics. Light-based 3D printing has further expanded their potential by enabling precise spatial control across nano- to macroscales, supporting the fabrication of resorbable implants, drug-delivery systems, microneedle arrays, and stimuli-responsive materials. This review discusses the essential steps toward light-based 3D printing of polyesters from synthetic strategies for producing these materials to functionalization methods that render them suitable for light-based 3D printing. Particular attention is given to the synthetic origin of the polyester, the way photoreactive groups are introduced and organized within the network, and how the formulation of the resulting photoresin together govern the ultimate photoreactivity, degradation behavior, print resolution, and mechanical performance. Advantages and limitations of current photochemical approaches are discussed across different light-based 3D printing technologies. With continuing advancements in manufacturing, the field of light-based 3D printing of polyesters shows substantial promise, poised to redefine material design, and influence a broad range of future technologies.</w:t>
      </w:r>
    </w:p>
    <w:p>
      <w:pPr>
        <w:spacing w:before="120" w:after="120"/>
      </w:pPr>
      <w:r>
        <w:rPr>
          <w:sz w:val="18"/>
        </w:rPr>
        <w:t>——————————————————————————————————————————————————————————————————————</w:t>
      </w:r>
    </w:p>
    <w:p>
      <w:pPr>
        <w:spacing w:before="160" w:after="80" w:line="240" w:lineRule="auto"/>
      </w:pPr>
      <w:r>
        <w:rPr>
          <w:b/>
        </w:rPr>
        <w:t xml:space="preserve">[209] </w:t>
      </w:r>
      <w:hyperlink r:id="rId378">
        <w:r>
          <w:rPr>
            <w:color w:val="1155CC"/>
            <w:u w:val="single"/>
          </w:rPr>
          <w:t>[ASAP] Construction of Well-Defined Yet Adaptable Oligo(Amino Acid) Cavities within an Aromatic Micelle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11:00:17+00:00</w:t>
      </w:r>
      <w:r>
        <w:t xml:space="preserve">    </w:t>
      </w:r>
      <w:r>
        <w:rPr>
          <w:b/>
        </w:rPr>
        <w:t xml:space="preserve">DOI: </w:t>
      </w:r>
      <w:hyperlink r:id="rId379">
        <w:r>
          <w:rPr>
            <w:color w:val="1155CC"/>
            <w:u w:val="single"/>
          </w:rPr>
          <w:t>10.1021/jacs.5c17009</w:t>
        </w:r>
      </w:hyperlink>
    </w:p>
    <w:p>
      <w:pPr>
        <w:spacing w:before="0" w:after="120"/>
      </w:pPr>
      <w:r>
        <w:rPr>
          <w:b/>
        </w:rPr>
        <w:t xml:space="preserve">Notes: </w:t>
      </w:r>
      <w:r>
        <w:t>abstract_source=pubmed</w:t>
      </w:r>
    </w:p>
    <w:p>
      <w:pPr>
        <w:spacing w:before="0" w:after="200" w:lineRule="auto" w:line="276"/>
      </w:pPr>
      <w:r>
        <w:rPr>
          <w:b/>
        </w:rPr>
        <w:t xml:space="preserve">Abstract: </w:t>
      </w:r>
      <w:r>
        <w:t>The construction of small and highly condensed, oligo(amino acid)-based cavities has been challenging with previous synthetic approaches, unlike the natural formation of protein cavities. Using a tri-l-phenylalanine-attached, bent polyaromatic amphiphile, here we report the quantitative and instantaneous formation of a well-defined yet adaptable oligo(amino acid) cavity within an aromatic micelle in water. The new micelle, with ∼3 nm in spherical core diameter, displays high thermal stability (∼100 °C), with the aid of the hydrophobic aromatic-aromatic interactions, in contrast to common proteins in vivo. An analogue with a mono-l-phenylalanine-based cavity is also prepared in the same way. The obtained oligo(amino acid) cavities provide adaptable binding abilities toward aromatic dyes (e.g., BODIPYs and coumarins), displaying chirality induction toward the achiral dyes, as well as aliphatic substrates (e.g., oligocyclic and macrocyclic drugs) in water. This is the first success in the rational preparation of oligo(amino acid)-filled cavities, surrounded by a polyaromatic shell, featuring synthetic modularity, high assembly stability, and wide-ranging host ability in water.</w:t>
      </w:r>
    </w:p>
    <w:p>
      <w:pPr>
        <w:spacing w:before="120" w:after="120"/>
      </w:pPr>
      <w:r>
        <w:rPr>
          <w:sz w:val="18"/>
        </w:rPr>
        <w:t>——————————————————————————————————————————————————————————————————————</w:t>
      </w:r>
    </w:p>
    <w:p>
      <w:pPr>
        <w:spacing w:before="160" w:after="80" w:line="240" w:lineRule="auto"/>
      </w:pPr>
      <w:r>
        <w:rPr>
          <w:b/>
        </w:rPr>
        <w:t xml:space="preserve">[210] </w:t>
      </w:r>
      <w:hyperlink r:id="rId380">
        <w:r>
          <w:rPr>
            <w:color w:val="1155CC"/>
            <w:u w:val="single"/>
          </w:rPr>
          <w:t>[ASAP] Covalent Organic Frameworks on Cu2O Nanocubes as Rapid Proton/Electron Transfer Gates for Efficient NH3 Electrosynthesis from Nitrate in Neutral Media</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11:01:58+00:00</w:t>
      </w:r>
      <w:r>
        <w:t xml:space="preserve">    </w:t>
      </w:r>
      <w:r>
        <w:rPr>
          <w:b/>
        </w:rPr>
        <w:t xml:space="preserve">DOI: </w:t>
      </w:r>
      <w:hyperlink r:id="rId381">
        <w:r>
          <w:rPr>
            <w:color w:val="1155CC"/>
            <w:u w:val="single"/>
          </w:rPr>
          <w:t>10.1021/jacs.5c16080</w:t>
        </w:r>
      </w:hyperlink>
    </w:p>
    <w:p>
      <w:pPr>
        <w:spacing w:before="0" w:after="120"/>
      </w:pPr>
      <w:r>
        <w:rPr>
          <w:b/>
        </w:rPr>
        <w:t xml:space="preserve">Notes: </w:t>
      </w:r>
      <w:r>
        <w:t>abstract_source=pubmed</w:t>
      </w:r>
    </w:p>
    <w:p>
      <w:pPr>
        <w:spacing w:before="0" w:after="200" w:lineRule="auto" w:line="276"/>
      </w:pPr>
      <w:r>
        <w:rPr>
          <w:b/>
        </w:rPr>
        <w:t xml:space="preserve">Abstract: </w:t>
      </w:r>
      <w:r>
        <w:t>Nitrate electroreduction to ammonia offers a dual opportunity: decarbonizing NH3 production by replacing the energy-intensive Haber-Bosch process and remediating nitrate-contaminated wastewater. While copper-based catalysts show promise for this transformation, their practical implementation is hindered by sluggish kinetics and competing hydrogen evolution pathways. Here, we report the integration of covalent organic framework (COF) layers onto a Cu2O surface, which enables rapid proton/electron transfer and substrate activation for efficient NH3 electrosynthesis from NO3- in neutral media. By growing pyridine- or imidazole-decorated COF shells with varying thickness on Cu2O nanocubes, we achieve precise control over the microenvironment of the electrocatalyst surface. The pyridine-COF on Cu2O demonstrates 84% Faradaic efficiency for NH3 production with 92.11% selectivity and a record yield of 2.3 mg h-1 cm-2. In situ spectroscopic investigations reveal that the COF shells have multifunctional roles: they selectively transport reactants, stabilize key intermediates through hydrogen bonding interactions, and steer the reaction along an associative pathway that bypasses common side reactions. Our findings establish COF-gated core-shell architectures as a generalizable platform for designing efficient, selective, and durable electrocatalysts for broad applications.</w:t>
      </w:r>
    </w:p>
    <w:p>
      <w:pPr>
        <w:spacing w:before="120" w:after="120"/>
      </w:pPr>
      <w:r>
        <w:rPr>
          <w:sz w:val="18"/>
        </w:rPr>
        <w:t>——————————————————————————————————————————————————————————————————————</w:t>
      </w:r>
    </w:p>
    <w:p>
      <w:pPr>
        <w:spacing w:before="160" w:after="80" w:line="240" w:lineRule="auto"/>
      </w:pPr>
      <w:r>
        <w:rPr>
          <w:b/>
        </w:rPr>
        <w:t xml:space="preserve">[211] </w:t>
      </w:r>
      <w:hyperlink r:id="rId382">
        <w:r>
          <w:rPr>
            <w:color w:val="1155CC"/>
            <w:u w:val="single"/>
          </w:rPr>
          <w:t>[ASAP] Mechanical Energy Drives Dissipative Self-Assembly of Nanocoacervates into Vesicles with Cell-like Properties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11:20:36+00:00</w:t>
      </w:r>
      <w:r>
        <w:t xml:space="preserve">    </w:t>
      </w:r>
      <w:r>
        <w:rPr>
          <w:b/>
        </w:rPr>
        <w:t xml:space="preserve">DOI: </w:t>
      </w:r>
      <w:hyperlink r:id="rId383">
        <w:r>
          <w:rPr>
            <w:color w:val="1155CC"/>
            <w:u w:val="single"/>
          </w:rPr>
          <w:t>10.1021/jacs.5c14198</w:t>
        </w:r>
      </w:hyperlink>
    </w:p>
    <w:p>
      <w:pPr>
        <w:spacing w:before="0" w:after="120"/>
      </w:pPr>
      <w:r>
        <w:rPr>
          <w:b/>
        </w:rPr>
        <w:t xml:space="preserve">Notes: </w:t>
      </w:r>
      <w:r>
        <w:t>abstract_source=pubmed</w:t>
      </w:r>
    </w:p>
    <w:p>
      <w:pPr>
        <w:spacing w:before="0" w:after="200" w:lineRule="auto" w:line="276"/>
      </w:pPr>
      <w:r>
        <w:rPr>
          <w:b/>
        </w:rPr>
        <w:t xml:space="preserve">Abstract: </w:t>
      </w:r>
      <w:r>
        <w:t>Dissipative self-assembly, which relies on continuous energy input to form and sustain functional structures, underpins the adaptive behaviors of biological systems and is essential for creating synthetic materials with life-like properties. While chemical, thermal, photonic, or electrical energy sources have been used for dissipative self-assembly of nanostructures, this work pioneers mechanical energy as a novel driver to create dissipative polyelectrolyte micrometrical vesicles, with a half-life of ca. 2 days that exhibit cell-like properties such as selective molecular uptake and catalytic functionality. Our strategy works with different polyelectrolyte systems, including DNA and peptides, suggesting relevance to natural systems and the origins of life. Finally, we demonstrate that mechanical energy can also drive the evolution of distinct dissipative vesicle populations into a single, higher-order population with advanced compartmentalization and enhanced synthetic capabilities. Our work establishes mechanical energy as a key driver of dissipative self-assembly, with implications for life-like materials engineering, biotechnology, and microreactor design.</w:t>
      </w:r>
    </w:p>
    <w:p>
      <w:pPr>
        <w:spacing w:before="120" w:after="120"/>
      </w:pPr>
      <w:r>
        <w:rPr>
          <w:sz w:val="18"/>
        </w:rPr>
        <w:t>——————————————————————————————————————————————————————————————————————</w:t>
      </w:r>
    </w:p>
    <w:p>
      <w:pPr>
        <w:spacing w:before="160" w:after="80" w:line="240" w:lineRule="auto"/>
      </w:pPr>
      <w:r>
        <w:rPr>
          <w:b/>
        </w:rPr>
        <w:t xml:space="preserve">[212] </w:t>
      </w:r>
      <w:hyperlink r:id="rId384">
        <w:r>
          <w:rPr>
            <w:color w:val="1155CC"/>
            <w:u w:val="single"/>
          </w:rPr>
          <w:t>[ASAP] Direct Aziridine Synthesis from Amines and Styrene Derivatives via a Base-Promoted Oxidative Cascade Reaction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12:22:58+00:00</w:t>
      </w:r>
      <w:r>
        <w:t xml:space="preserve">    </w:t>
      </w:r>
      <w:r>
        <w:rPr>
          <w:b/>
        </w:rPr>
        <w:t xml:space="preserve">DOI: </w:t>
      </w:r>
      <w:hyperlink r:id="rId385">
        <w:r>
          <w:rPr>
            <w:color w:val="1155CC"/>
            <w:u w:val="single"/>
          </w:rPr>
          <w:t>10.1021/jacs.5c14493</w:t>
        </w:r>
      </w:hyperlink>
    </w:p>
    <w:p>
      <w:pPr>
        <w:spacing w:before="0" w:after="120"/>
      </w:pPr>
      <w:r>
        <w:rPr>
          <w:b/>
        </w:rPr>
        <w:t xml:space="preserve">Notes: </w:t>
      </w:r>
      <w:r>
        <w:t>abstract_source=pubmed</w:t>
      </w:r>
    </w:p>
    <w:p>
      <w:pPr>
        <w:spacing w:before="0" w:after="200" w:lineRule="auto" w:line="276"/>
      </w:pPr>
      <w:r>
        <w:rPr>
          <w:b/>
        </w:rPr>
        <w:t xml:space="preserve">Abstract: </w:t>
      </w:r>
      <w:r>
        <w:t>We report a base-promoted protocol for direct aziridine synthesis from primary amines and styrene derivatives. The reaction proceeds via base-promoted styrene hydroamination to generate a β-arylamine intermediate that undergoes deprotonative benzylic halogenation followed by cyclization to an aziridine. A Curtin-Hammett oxidative scenario underpins this cascade process, where 2-halothiophenes selectively transfer a halogen to transient benzylic carbanionic species generated in the presence of amine anions. This unique oxidative strategy provides new and complementary synthetic capabilities over established aziridination methods that rely on alkene or amine oxidation. Most importantly, abundantly available primary anilines and alkylamines are used to directly access aziridines with diverse N-substituents in a modular fashion. The anionic and mild nature of this oxidative approach is further distinguished by its suitability for difficult-to-oxidize vinyl(hetero)arene substrates and the tolerance of groups that are classically prone to oxidation (e.g., weak C-H bonds and nucleophilic π-systems). Quantum chemical modeling is used to rationalize the selective X-transfer of 2-halothiophenes over more traditional electrophilic halogen sources, which further inspired the development of a protocol to transform β-phenethylamines into N-H aziridine derivatives. This work thus illustrates the utility and broad potential of incorporating base-promoted X-transfer within cascade processes to build complex products from simple precursors.</w:t>
      </w:r>
    </w:p>
    <w:p>
      <w:pPr>
        <w:spacing w:before="120" w:after="120"/>
      </w:pPr>
      <w:r>
        <w:rPr>
          <w:sz w:val="18"/>
        </w:rPr>
        <w:t>——————————————————————————————————————————————————————————————————————</w:t>
      </w:r>
    </w:p>
    <w:p>
      <w:pPr>
        <w:spacing w:before="160" w:after="80" w:line="240" w:lineRule="auto"/>
      </w:pPr>
      <w:r>
        <w:rPr>
          <w:b/>
        </w:rPr>
        <w:t xml:space="preserve">[213] </w:t>
      </w:r>
      <w:hyperlink r:id="rId386">
        <w:r>
          <w:rPr>
            <w:color w:val="1155CC"/>
            <w:u w:val="single"/>
          </w:rPr>
          <w:t>[ASAP] Modular Total Synthesis of Lasalocid Acid A through Direct C(sp3)–C(sp3) Attached Ring Construction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12:44:50+00:00</w:t>
      </w:r>
      <w:r>
        <w:t xml:space="preserve">    </w:t>
      </w:r>
      <w:r>
        <w:rPr>
          <w:b/>
        </w:rPr>
        <w:t xml:space="preserve">DOI: </w:t>
      </w:r>
      <w:hyperlink r:id="rId387">
        <w:r>
          <w:rPr>
            <w:color w:val="1155CC"/>
            <w:u w:val="single"/>
          </w:rPr>
          <w:t>10.1021/jacs.5c11543</w:t>
        </w:r>
      </w:hyperlink>
    </w:p>
    <w:p>
      <w:pPr>
        <w:spacing w:before="0" w:after="120"/>
      </w:pPr>
      <w:r>
        <w:rPr>
          <w:b/>
        </w:rPr>
        <w:t xml:space="preserve">Notes: </w:t>
      </w:r>
      <w:r>
        <w:t>abstract_source=pubmed</w:t>
      </w:r>
    </w:p>
    <w:p>
      <w:pPr>
        <w:spacing w:before="0" w:after="200" w:lineRule="auto" w:line="276"/>
      </w:pPr>
      <w:r>
        <w:rPr>
          <w:b/>
        </w:rPr>
        <w:t xml:space="preserve">Abstract: </w:t>
      </w:r>
      <w:r>
        <w:t>Lasalocid acid A is a natural product polyether antibiotic used in veterinary medicine to prevent parasitic infections which also displays potent inhibitory activity against drug-resistant Gram-positive bacteria and bacterial biofilms. The possibilities for improving the therapeutic potential of lasalocid acid A, through structural optimization, are restricted by the current, prohibitively lengthy syntheses required to construct the complex scaffold. Here, we report a highly concise and module-based synthesis of lasalocid acid A in 11 steps in the longest linear sequence, which is enabled by a new Tsuji-Trost C-glycosylation reaction to directly access the hindered, attached oxacyclic rings constituting the most challenging structural motif. This new reaction accomplishes the chemo-, regio-, and stereoselective C-C coupling of silyloxyfurans with acetoxy-dihydropyranones, affording a hindered C(sp3)-C(sp3) bond, including a quaternary stereocenter, and we demonstrate compatibility with multiple substrate variations. Overall, our results have afforded a new method allowing access to complex chiral scaffolds of relevance for medicinal chemistry and have unlocked the potential for conducting deep structural exploration of lasalocid acid A.</w:t>
      </w:r>
    </w:p>
    <w:p>
      <w:pPr>
        <w:spacing w:before="120" w:after="120"/>
      </w:pPr>
      <w:r>
        <w:rPr>
          <w:sz w:val="18"/>
        </w:rPr>
        <w:t>——————————————————————————————————————————————————————————————————————</w:t>
      </w:r>
    </w:p>
    <w:p>
      <w:pPr>
        <w:spacing w:before="160" w:after="80" w:line="240" w:lineRule="auto"/>
      </w:pPr>
      <w:r>
        <w:rPr>
          <w:b/>
        </w:rPr>
        <w:t xml:space="preserve">[214] </w:t>
      </w:r>
      <w:hyperlink r:id="rId388">
        <w:r>
          <w:rPr>
            <w:color w:val="1155CC"/>
            <w:u w:val="single"/>
          </w:rPr>
          <w:t>[ASAP] Spin Polarization by Magnetic Proximity Enhances Electron Transport in Catalysts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13:01:12+00:00</w:t>
      </w:r>
      <w:r>
        <w:t xml:space="preserve">    </w:t>
      </w:r>
      <w:r>
        <w:rPr>
          <w:b/>
        </w:rPr>
        <w:t xml:space="preserve">DOI: </w:t>
      </w:r>
      <w:hyperlink r:id="rId389">
        <w:r>
          <w:rPr>
            <w:color w:val="1155CC"/>
            <w:u w:val="single"/>
          </w:rPr>
          <w:t>10.1021/jacs.5c16624</w:t>
        </w:r>
      </w:hyperlink>
    </w:p>
    <w:p>
      <w:pPr>
        <w:spacing w:before="0" w:after="120"/>
      </w:pPr>
      <w:r>
        <w:rPr>
          <w:b/>
        </w:rPr>
        <w:t xml:space="preserve">Notes: </w:t>
      </w:r>
      <w:r>
        <w:t>abstract_source=pubmed</w:t>
      </w:r>
    </w:p>
    <w:p>
      <w:pPr>
        <w:spacing w:before="0" w:after="200" w:lineRule="auto" w:line="276"/>
      </w:pPr>
      <w:r>
        <w:rPr>
          <w:b/>
        </w:rPr>
        <w:t xml:space="preserve">Abstract: </w:t>
      </w:r>
      <w:r>
        <w:t>The interfacial coupling between metals and graphene-like carbon has demonstrated great potential in tuning electronic structures and spin behavior, emerging as a frontier in the development of high-performance catalytic systems and spintronic materials. Most studies on spin catalysis target open-shell molecules, in which spin-state matching can accelerate reaction kinetics. In contrast, closed-shell molecules have fully occupied orbitals, which restrict direct spin-mediated effects. Here, we introduce a strategy that bypasses direct spin manipulation of reactants. By selectively tuning the catalyst's electronic structure via spin polarization, this approach indirectly optimizes adsorption and activation. Based on this strategy, we constructed a Pd-C-FeOx architecture featuring synergistic charge-spin regulation. Pd nanoparticles (NPs) are encapsulated by graphene-like layers and interfaced with magnetic FeOx species. This design couples with the magnetic substrate to induce spin splitting in graphene-like carbon. As a result, spin-dependent electron transport is enhanced, enabling more effective control over closed-shell molecular transformations and improving both the hydrogenation activity and sulfur tolerance. The graphene-like layer simultaneously protects Pd cores from sulfur poisoning and facilitates H2 activation, ensuring high catalytic performance under harsh conditions. Experimental and theoretical results reveal that ferromagnetic driving induces asymmetric spin polarization, which strengthens d-p coupling between Pd and carbon; additionally, it enriches the surface electron density, collectively delivering a pronounced synergistic catalytic enhancement. This approach broadens the scope of spin-related regulation in closed-shell molecular catalysis and provides a design paradigm for developing hydrogenation catalysts that combine high activity with robust sulfur resistance.</w:t>
      </w:r>
    </w:p>
    <w:p>
      <w:pPr>
        <w:spacing w:before="120" w:after="120"/>
      </w:pPr>
      <w:r>
        <w:rPr>
          <w:sz w:val="18"/>
        </w:rPr>
        <w:t>——————————————————————————————————————————————————————————————————————</w:t>
      </w:r>
    </w:p>
    <w:p>
      <w:pPr>
        <w:spacing w:before="160" w:after="80" w:line="240" w:lineRule="auto"/>
      </w:pPr>
      <w:r>
        <w:rPr>
          <w:b/>
        </w:rPr>
        <w:t xml:space="preserve">[215] </w:t>
      </w:r>
      <w:hyperlink r:id="rId390">
        <w:r>
          <w:rPr>
            <w:color w:val="1155CC"/>
            <w:u w:val="single"/>
          </w:rPr>
          <w:t>[ASAP] Double-Layer Design Enables Independent Kinetic Modulation in CO2 Electrolysis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2025-12-23 13:04:31+00:00</w:t>
      </w:r>
      <w:r>
        <w:t xml:space="preserve">    </w:t>
      </w:r>
      <w:r>
        <w:rPr>
          <w:b/>
        </w:rPr>
        <w:t xml:space="preserve">DOI: </w:t>
      </w:r>
      <w:hyperlink r:id="rId391">
        <w:r>
          <w:rPr>
            <w:color w:val="1155CC"/>
            <w:u w:val="single"/>
          </w:rPr>
          <w:t>10.1021/acsenergylett.5c03397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[216] </w:t>
      </w:r>
      <w:hyperlink r:id="rId392">
        <w:r>
          <w:rPr>
            <w:color w:val="1155CC"/>
            <w:u w:val="single"/>
          </w:rPr>
          <w:t>[ASAP] Organoplatinum(II) Type II Immunogenic Cell Death Inducers Target Protein Tyrosine Phosphatase 1B to Drive Immunogenicity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13:32:25+00:00</w:t>
      </w:r>
      <w:r>
        <w:t xml:space="preserve">    </w:t>
      </w:r>
      <w:r>
        <w:rPr>
          <w:b/>
        </w:rPr>
        <w:t xml:space="preserve">DOI: </w:t>
      </w:r>
      <w:hyperlink r:id="rId393">
        <w:r>
          <w:rPr>
            <w:color w:val="1155CC"/>
            <w:u w:val="single"/>
          </w:rPr>
          <w:t>10.1021/jacs.5c18904</w:t>
        </w:r>
      </w:hyperlink>
    </w:p>
    <w:p>
      <w:pPr>
        <w:spacing w:before="0" w:after="120"/>
      </w:pPr>
      <w:r>
        <w:rPr>
          <w:b/>
        </w:rPr>
        <w:t xml:space="preserve">Notes: </w:t>
      </w:r>
      <w:r>
        <w:t>abstract_source=pubmed</w:t>
      </w:r>
    </w:p>
    <w:p>
      <w:pPr>
        <w:spacing w:before="0" w:after="200" w:lineRule="auto" w:line="276"/>
      </w:pPr>
      <w:r>
        <w:rPr>
          <w:b/>
        </w:rPr>
        <w:t xml:space="preserve">Abstract: </w:t>
      </w:r>
      <w:r>
        <w:t>Immunogenic cell death (ICD) inducers are valuable chemotherapeutic agents that elicit protective immune responses against tumors. Although many ICD inducers have emerged in recent years, specific molecular targets directly associated with ICD remain relatively unexplored. Here, two Type II ICD inducers, Pt-NHC and PlatinER (Pt-ER), were validated as bona fide ICD inducers with the ability to establish immunity against colorectal cancer in vivo. Based on Pt-ER, several ICD-inducing photoactivable probes were designed to capture their potential targets. By integrating quantitative proteomics analysis with biochemical assays, we identified PTP1B as a direct target of Pt-ER that engages in ICD. Both Pt-ER and Pt-NHC were shown to directly interact with PTP1B and inhibit its enzymatic activity. The suppression of PTP1B, by either genetic knockdown or pharmacological inhibition, enhanced the immunogenicity of tumor cells by increasing surface-exposed calreticulin and phagocytosis of cancer cells. Bioinformatic analysis also revealed that PTP1B plays a role in tumor progression and immune regulation in colorectal cancer. Therefore, our study first reveals a previously unrecognized role of PTP1B in modulating ICD and highlights its potential therapeutic values in cancer chemoimmunotherapy.</w:t>
      </w:r>
    </w:p>
    <w:p>
      <w:pPr>
        <w:spacing w:before="120" w:after="120"/>
      </w:pPr>
      <w:r>
        <w:rPr>
          <w:sz w:val="18"/>
        </w:rPr>
        <w:t>——————————————————————————————————————————————————————————————————————</w:t>
      </w:r>
    </w:p>
    <w:p>
      <w:pPr>
        <w:spacing w:before="160" w:after="80" w:line="240" w:lineRule="auto"/>
      </w:pPr>
      <w:r>
        <w:rPr>
          <w:b/>
        </w:rPr>
        <w:t xml:space="preserve">[217] </w:t>
      </w:r>
      <w:hyperlink r:id="rId394">
        <w:r>
          <w:rPr>
            <w:color w:val="1155CC"/>
            <w:u w:val="single"/>
          </w:rPr>
          <w:t>[ASAP] Electrochemical Hydrogenation of Aza-Arenes Using H2O as H Source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13:43:48+00:00</w:t>
      </w:r>
      <w:r>
        <w:t xml:space="preserve">    </w:t>
      </w:r>
      <w:r>
        <w:rPr>
          <w:b/>
        </w:rPr>
        <w:t xml:space="preserve">DOI: </w:t>
      </w:r>
      <w:hyperlink r:id="rId395">
        <w:r>
          <w:rPr>
            <w:color w:val="1155CC"/>
            <w:u w:val="single"/>
          </w:rPr>
          <w:t>10.1021/jacs.5c21117</w:t>
        </w:r>
      </w:hyperlink>
    </w:p>
    <w:p>
      <w:pPr>
        <w:spacing w:before="0" w:after="120"/>
      </w:pPr>
      <w:r>
        <w:rPr>
          <w:b/>
        </w:rPr>
        <w:t xml:space="preserve">Notes: </w:t>
      </w:r>
      <w:r>
        <w:t>abstract_source=pubmed</w:t>
      </w:r>
    </w:p>
    <w:p>
      <w:pPr>
        <w:spacing w:before="0" w:after="200" w:lineRule="auto" w:line="276"/>
      </w:pPr>
      <w:r>
        <w:rPr>
          <w:b/>
        </w:rPr>
        <w:t xml:space="preserve">Abstract: </w:t>
      </w:r>
      <w:r>
        <w:t>Electrochemical hydrogenation of aza-arenes is an appealing strategy to gain access to privileged saturated heterocycles for drug discovery, overcoming the limitations of classical hydrogenations that often suffer from energy-intensive conditions and safety hazards. Herein, we demonstrate an operationally simple, sustainable, and general electrochemical hydrogenation of aza-arenes with commercialized Ni foam electrodes and setup. With water as the hydrogen donor under acidic conditions, the reaction proceeds at ambient temperature and pressure to deliver broad substrate generality, excellent functional group tolerance, and excellent selectivity. The method tolerates a wide range of aza-arenes─including (iso)quinolines, quinoxalines, pyridines, and their nium salts─highlighting its generality and robustness. Synthetic utility was showcased through the preparation of bioactive molecules, while scalability was achieved up to 25 g of product, highlighting the method's technical applicability with stable 22 h operation without changes in the cell voltage or significant electrode degradation. Extensive mechanistic investigations using a combination of cyclic and RDE linear sweep voltammetry suggest two plausible routes based on the substrate's redox properties: hydrogenation by chemisorbed hydrogen (Hads) or initial substrate reduction followed by Hads transfer. This work sets a clean, practical, and versatile platform for aza-arene dearomatization, bridging academic interest with industrial targets in electrochemical hydrogenation.</w:t>
      </w:r>
    </w:p>
    <w:p>
      <w:pPr>
        <w:spacing w:before="120" w:after="120"/>
      </w:pPr>
      <w:r>
        <w:rPr>
          <w:sz w:val="18"/>
        </w:rPr>
        <w:t>——————————————————————————————————————————————————————————————————————</w:t>
      </w:r>
    </w:p>
    <w:p>
      <w:pPr>
        <w:spacing w:before="160" w:after="80" w:line="240" w:lineRule="auto"/>
      </w:pPr>
      <w:r>
        <w:rPr>
          <w:b/>
        </w:rPr>
        <w:t xml:space="preserve">[218] </w:t>
      </w:r>
      <w:hyperlink r:id="rId396">
        <w:r>
          <w:rPr>
            <w:color w:val="1155CC"/>
            <w:u w:val="single"/>
          </w:rPr>
          <w:t>[ASAP] Catalytic Asymmetric 1,2-Migration/Allylation of Alkynyl Boronate Complexes: A Modular Route to Enantioenriched Skipped 1,4-Dienes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13:51:21+00:00</w:t>
      </w:r>
      <w:r>
        <w:t xml:space="preserve">    </w:t>
      </w:r>
      <w:r>
        <w:rPr>
          <w:b/>
        </w:rPr>
        <w:t xml:space="preserve">DOI: </w:t>
      </w:r>
      <w:hyperlink r:id="rId397">
        <w:r>
          <w:rPr>
            <w:color w:val="1155CC"/>
            <w:u w:val="single"/>
          </w:rPr>
          <w:t>10.1021/jacs.5c19143</w:t>
        </w:r>
      </w:hyperlink>
    </w:p>
    <w:p>
      <w:pPr>
        <w:spacing w:before="0" w:after="120"/>
      </w:pPr>
      <w:r>
        <w:rPr>
          <w:b/>
        </w:rPr>
        <w:t xml:space="preserve">Notes: </w:t>
      </w:r>
      <w:r>
        <w:t>abstract_source=pubmed</w:t>
      </w:r>
    </w:p>
    <w:p>
      <w:pPr>
        <w:spacing w:before="0" w:after="200" w:lineRule="auto" w:line="276"/>
      </w:pPr>
      <w:r>
        <w:rPr>
          <w:b/>
        </w:rPr>
        <w:t xml:space="preserve">Abstract: </w:t>
      </w:r>
      <w:r>
        <w:t>Stereodefined skipped 1,4-dienes are key structural motifs found in a wide range of natural products and bioactive molecules. However, their stereo- and enantioselective syntheses remain a significant challenge. While electrophilic-allylation-triggered 1,2-migration reactions of alkynyl boronate complexes are in principle a straightforward method to produce skipped dienes, such reactions suffer from poor stereoselectivity or undesired regioselectivity. We now report that, through judicious selection of the alkynyl boronate complex, we can achieve a highly regio-, diastereo-, and enantioselective construction of polysubstituted skipped 1,4-dienes via an Ir-catalyzed 1,2-migration/allylation strategy. Furthermore, the resulting alkenylboron species could be intercepted, which provides a gateway to even more challenging tetrasubstituted alkene-containing skipped dienes.</w:t>
      </w:r>
    </w:p>
    <w:p>
      <w:pPr>
        <w:spacing w:before="120" w:after="120"/>
      </w:pPr>
      <w:r>
        <w:rPr>
          <w:sz w:val="18"/>
        </w:rPr>
        <w:t>——————————————————————————————————————————————————————————————————————</w:t>
      </w:r>
    </w:p>
    <w:p>
      <w:pPr>
        <w:spacing w:before="160" w:after="80" w:line="240" w:lineRule="auto"/>
      </w:pPr>
      <w:r>
        <w:rPr>
          <w:b/>
        </w:rPr>
        <w:t xml:space="preserve">[219] </w:t>
      </w:r>
      <w:hyperlink r:id="rId398">
        <w:r>
          <w:rPr>
            <w:color w:val="1155CC"/>
            <w:u w:val="single"/>
          </w:rPr>
          <w:t>[ASAP] Selective Hydrogenation of Heteroarenes Using Supported Ruthenium Phosphide Nanoparticle Catalysts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13:52:20+00:00</w:t>
      </w:r>
      <w:r>
        <w:t xml:space="preserve">    </w:t>
      </w:r>
      <w:r>
        <w:rPr>
          <w:b/>
        </w:rPr>
        <w:t xml:space="preserve">DOI: </w:t>
      </w:r>
      <w:hyperlink r:id="rId399">
        <w:r>
          <w:rPr>
            <w:color w:val="1155CC"/>
            <w:u w:val="single"/>
          </w:rPr>
          <w:t>10.1021/jacs.5c16144</w:t>
        </w:r>
      </w:hyperlink>
    </w:p>
    <w:p>
      <w:pPr>
        <w:spacing w:before="0" w:after="120"/>
      </w:pPr>
      <w:r>
        <w:rPr>
          <w:b/>
        </w:rPr>
        <w:t xml:space="preserve">Notes: </w:t>
      </w:r>
      <w:r>
        <w:t>abstract_source=pubmed</w:t>
      </w:r>
    </w:p>
    <w:p>
      <w:pPr>
        <w:spacing w:before="0" w:after="200" w:lineRule="auto" w:line="276"/>
      </w:pPr>
      <w:r>
        <w:rPr>
          <w:b/>
        </w:rPr>
        <w:t xml:space="preserve">Abstract: </w:t>
      </w:r>
      <w:r>
        <w:t>The selective hydrogenation of heteroarenes, including quinolines, indoles, benzofurans, and benzothiophenes, to the corresponding aromatic compounds is enabled by ruthenium phosphide nanoparticles on imidazolium-based supported ionic liquid phases, RuxP100-x@SILP, as catalysts. The organometallic approach to the synthesis and immobilization of ruthenium phosphide nanoparticles (NPs) allows preparation under mild wet-chemistry conditions and systematic variation of the Ru/P ratio. The novel materials are characterized using various techniques, including electron microscopy and X-ray spectroscopies, and are found to be highly active, selective, and robust for application under batch and continuous flow conditions. The synthetic potential of Ru50P50@SILP as the most promising catalyst is demonstrated for a wide variety of substrates, enabling the synthesis of valuable drug molecules (e.g., cuspareine and salsolidine) and providing access to useful synthons including isotope labeling for fine chemicals and pharmaceuticals.</w:t>
      </w:r>
    </w:p>
    <w:p>
      <w:pPr>
        <w:spacing w:before="120" w:after="120"/>
      </w:pPr>
      <w:r>
        <w:rPr>
          <w:sz w:val="18"/>
        </w:rPr>
        <w:t>——————————————————————————————————————————————————————————————————————</w:t>
      </w:r>
    </w:p>
    <w:p>
      <w:pPr>
        <w:spacing w:before="160" w:after="80" w:line="240" w:lineRule="auto"/>
      </w:pPr>
      <w:r>
        <w:rPr>
          <w:b/>
        </w:rPr>
        <w:t xml:space="preserve">[220] </w:t>
      </w:r>
      <w:hyperlink r:id="rId400">
        <w:r>
          <w:rPr>
            <w:color w:val="1155CC"/>
            <w:u w:val="single"/>
          </w:rPr>
          <w:t>[ASAP] Precision Labeling of Native Antibodies with Lock Coupling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14:18:24+00:00</w:t>
      </w:r>
      <w:r>
        <w:t xml:space="preserve">    </w:t>
      </w:r>
      <w:r>
        <w:rPr>
          <w:b/>
        </w:rPr>
        <w:t xml:space="preserve">DOI: </w:t>
      </w:r>
      <w:hyperlink r:id="rId401">
        <w:r>
          <w:rPr>
            <w:color w:val="1155CC"/>
            <w:u w:val="single"/>
          </w:rPr>
          <w:t>10.1021/jacs.5c20725</w:t>
        </w:r>
      </w:hyperlink>
    </w:p>
    <w:p>
      <w:pPr>
        <w:spacing w:before="0" w:after="120"/>
      </w:pPr>
      <w:r>
        <w:rPr>
          <w:b/>
        </w:rPr>
        <w:t xml:space="preserve">Notes: </w:t>
      </w:r>
      <w:r>
        <w:t>abstract_source=pubmed</w:t>
      </w:r>
    </w:p>
    <w:p>
      <w:pPr>
        <w:spacing w:before="0" w:after="200" w:lineRule="auto" w:line="276"/>
      </w:pPr>
      <w:r>
        <w:rPr>
          <w:b/>
        </w:rPr>
        <w:t xml:space="preserve">Abstract: </w:t>
      </w:r>
      <w:r>
        <w:t>The formation of stable protein complexes enables much of biotechnology, but even high-affinity complexes can dissociate, limiting potential applications in biomaterials, bioimaging, nanomedicine, and other protein-based technologies. Here, we describe lock coupling, a simple and selective one-step reaction between interfacial lysine and glutamate or aspartate side chains to form stable isopeptide bonds and be used for the precise labeling of native antibodies. We identify conditions in which short-lived activated esters formed by the aqueous carbodiimide EDC promote isopeptide bond formation specifically at preassociated amine-acid pairs. Indiscriminate cross-linking is minimized by formation of protein complexes before addition of catalyst, use of acidic pH to suppress exposed Lys reactivity, and limiting the aqueous stability of activated esters. For native antibody (Ab) labeling, we show that the small IgG-binding protein GB1 can be covalently attached to the Ab Fc domain and that introduction of Cys into GB1 loops allows for facile conjugation of fluorophores, micelles, or inorganic nanocrystals for imaging in live cells and animals. By varying Cys substituents and protein stoichiometry, a defined number of probes can be uniformly attached without the need for extensive purification. In live-cell confocal microscopy, labeled GB1 serves as a stable replacement for secondary Abs, enabling simple multicolor immunostaining and imaging. Lock coupling requires just a single reagent in aqueous buffer and leverages both the innate ability of proteins to form high-affinity complexes and the widespread presence of Lys-Glu/Asp pairs at their interfaces, with the potential for precision synthesis of protein-based probes for imaging, biomaterials, biophysics, and medicine.</w:t>
      </w:r>
    </w:p>
    <w:p>
      <w:pPr>
        <w:spacing w:before="120" w:after="120"/>
      </w:pPr>
      <w:r>
        <w:rPr>
          <w:sz w:val="18"/>
        </w:rPr>
        <w:t>——————————————————————————————————————————————————————————————————————</w:t>
      </w:r>
    </w:p>
    <w:p>
      <w:pPr>
        <w:spacing w:before="160" w:after="80" w:line="240" w:lineRule="auto"/>
      </w:pPr>
      <w:r>
        <w:rPr>
          <w:b/>
        </w:rPr>
        <w:t xml:space="preserve">[221] </w:t>
      </w:r>
      <w:hyperlink r:id="rId402">
        <w:r>
          <w:rPr>
            <w:color w:val="1155CC"/>
            <w:u w:val="single"/>
          </w:rPr>
          <w:t>[ASAP] Platinum–Ruthenium Alloys Are Not Bifunctional CO Electro-Oxidation Catalysts: A Kinetic Analysis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2025-12-23 14:37:54+00:00</w:t>
      </w:r>
      <w:r>
        <w:t xml:space="preserve">    </w:t>
      </w:r>
      <w:r>
        <w:rPr>
          <w:b/>
        </w:rPr>
        <w:t xml:space="preserve">DOI: </w:t>
      </w:r>
      <w:hyperlink r:id="rId403">
        <w:r>
          <w:rPr>
            <w:color w:val="1155CC"/>
            <w:u w:val="single"/>
          </w:rPr>
          <w:t>10.1021/acsenergylett.5c03371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[222] </w:t>
      </w:r>
      <w:hyperlink r:id="rId404">
        <w:r>
          <w:rPr>
            <w:color w:val="1155CC"/>
            <w:u w:val="single"/>
          </w:rPr>
          <w:t>[ASAP] An Aluminum-Stabilized Aminonitrene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14:58:14+00:00</w:t>
      </w:r>
      <w:r>
        <w:t xml:space="preserve">    </w:t>
      </w:r>
      <w:r>
        <w:rPr>
          <w:b/>
        </w:rPr>
        <w:t xml:space="preserve">DOI: </w:t>
      </w:r>
      <w:hyperlink r:id="rId405">
        <w:r>
          <w:rPr>
            <w:color w:val="1155CC"/>
            <w:u w:val="single"/>
          </w:rPr>
          <w:t>10.1021/jacs.5c16639</w:t>
        </w:r>
      </w:hyperlink>
    </w:p>
    <w:p>
      <w:pPr>
        <w:spacing w:before="0" w:after="120"/>
      </w:pPr>
      <w:r>
        <w:rPr>
          <w:b/>
        </w:rPr>
        <w:t xml:space="preserve">Notes: </w:t>
      </w:r>
      <w:r>
        <w:t>abstract_source=pubmed</w:t>
      </w:r>
    </w:p>
    <w:p>
      <w:pPr>
        <w:spacing w:before="0" w:after="200" w:lineRule="auto" w:line="276"/>
      </w:pPr>
      <w:r>
        <w:rPr>
          <w:b/>
        </w:rPr>
        <w:t xml:space="preserve">Abstract: </w:t>
      </w:r>
      <w:r>
        <w:t>Aminonitrenes (1,1-diazenes) are central intermediates in nitrogen chemistry and organic synthesis. However, their high reactivity has limited investigations to transient observations, with only a few transition metal-stabilized variants reported to date. Here we report the first isolable main group metal-stabilized aminonitrene, enabled by a novel NNN ligand scaffold. Steric shielding and weak dative interactions between the terminal nitrogen and two aluminum centers allow room-temperature isolation. Optical spectroscopy and quantum-chemical analysis elucidate the electronic structure of this deep blue chromophore, confirming its singlet ground state. In-crystallo photolysis of the azide precursor uncovers an unprecedented pathway involving the formation of N-N bonds to a highly distorted hydrazido intermediate. The findings exemplify an unconventional formation and taming strategy for reactive intermediates through ligand noninnocence and Lewis acid cooperation, opening new avenues for reactive nitrogen chemistry.</w:t>
      </w:r>
    </w:p>
    <w:p>
      <w:pPr>
        <w:spacing w:before="120" w:after="120"/>
      </w:pPr>
      <w:r>
        <w:rPr>
          <w:sz w:val="18"/>
        </w:rPr>
        <w:t>——————————————————————————————————————————————————————————————————————</w:t>
      </w:r>
    </w:p>
    <w:p>
      <w:pPr>
        <w:spacing w:before="160" w:after="80" w:line="240" w:lineRule="auto"/>
      </w:pPr>
      <w:r>
        <w:rPr>
          <w:b/>
        </w:rPr>
        <w:t xml:space="preserve">[223] </w:t>
      </w:r>
      <w:hyperlink r:id="rId406">
        <w:r>
          <w:rPr>
            <w:color w:val="1155CC"/>
            <w:u w:val="single"/>
          </w:rPr>
          <w:t>[ASAP] Unraveling Anodic Reaction Challenges and Mitigation Strategies in Anion Exchange Membrane Water Electrolyzer (AEMWE) Systems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2025-12-23 14:58:49+00:00</w:t>
      </w:r>
      <w:r>
        <w:t xml:space="preserve">    </w:t>
      </w:r>
      <w:r>
        <w:rPr>
          <w:b/>
        </w:rPr>
        <w:t xml:space="preserve">DOI: </w:t>
      </w:r>
      <w:hyperlink r:id="rId407">
        <w:r>
          <w:rPr>
            <w:color w:val="1155CC"/>
            <w:u w:val="single"/>
          </w:rPr>
          <w:t>10.1021/acsenergylett.5c03259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[224] </w:t>
      </w:r>
      <w:hyperlink r:id="rId408">
        <w:r>
          <w:rPr>
            <w:color w:val="1155CC"/>
            <w:u w:val="single"/>
          </w:rPr>
          <w:t>[ASAP] Tunable n- and p-Type Behavior of Ruddlesden–Popper and Dion–Jacobson 2D Perovskites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2025-12-23 16:08:46+00:00</w:t>
      </w:r>
      <w:r>
        <w:t xml:space="preserve">    </w:t>
      </w:r>
      <w:r>
        <w:rPr>
          <w:b/>
        </w:rPr>
        <w:t xml:space="preserve">DOI: </w:t>
      </w:r>
      <w:hyperlink r:id="rId409">
        <w:r>
          <w:rPr>
            <w:color w:val="1155CC"/>
            <w:u w:val="single"/>
          </w:rPr>
          <w:t>10.1021/acsenergylett.5c03731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[225] </w:t>
      </w:r>
      <w:hyperlink r:id="rId410">
        <w:r>
          <w:rPr>
            <w:color w:val="1155CC"/>
            <w:u w:val="single"/>
          </w:rPr>
          <w:t>[ASAP] Catalytic Deracemization of 1,2-Aminoalcohols through Enantioselective Hydrogen Atom Abstraction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16:14:28+00:00</w:t>
      </w:r>
      <w:r>
        <w:t xml:space="preserve">    </w:t>
      </w:r>
      <w:r>
        <w:rPr>
          <w:b/>
        </w:rPr>
        <w:t xml:space="preserve">DOI: </w:t>
      </w:r>
      <w:hyperlink r:id="rId411">
        <w:r>
          <w:rPr>
            <w:color w:val="1155CC"/>
            <w:u w:val="single"/>
          </w:rPr>
          <w:t>10.1021/jacs.5c20160</w:t>
        </w:r>
      </w:hyperlink>
    </w:p>
    <w:p>
      <w:pPr>
        <w:spacing w:before="0" w:after="120"/>
      </w:pPr>
      <w:r>
        <w:rPr>
          <w:b/>
        </w:rPr>
        <w:t xml:space="preserve">Notes: </w:t>
      </w:r>
      <w:r>
        <w:t>abstract_source=pubmed</w:t>
      </w:r>
    </w:p>
    <w:p>
      <w:pPr>
        <w:spacing w:before="0" w:after="200" w:lineRule="auto" w:line="276"/>
      </w:pPr>
      <w:r>
        <w:rPr>
          <w:b/>
        </w:rPr>
        <w:t xml:space="preserve">Abstract: </w:t>
      </w:r>
      <w:r>
        <w:t>Catalytic deracemization appears a superficially simple way to obtain enantioenriched chiral compounds but is deceptively challenging. The popularization of photochemical methods which utilize excited state pathways have permitted breakthroughs, but application to simple functional motifs that constitute common chiral building blocks is still rare. We report the catalytic deracemization of N-acyl-1,2-aminoalcohols using a cinchona alkaloid-derived catalyst that operates through enantioselective hydrogen atom abstraction, once oxidized by an excited photocatalyst. In combination with an achiral thiol to return the hydrogen atom, accumulation of the unreactive enantiomer occurs. Our catalyst exhibits extremely high chemoselectivity for abstraction adjacent to alcohols and permits a range of useful functionality to be incorporated into the substrates for deracemization. The method generates versatile small molecule building blocks with very high levels of enantioenrichment and demonstrates the synthetic potential of catalysts able to perform hydrogen atom abstraction in a stereoselective manner.</w:t>
      </w:r>
    </w:p>
    <w:p>
      <w:pPr>
        <w:spacing w:before="120" w:after="120"/>
      </w:pPr>
      <w:r>
        <w:rPr>
          <w:sz w:val="18"/>
        </w:rPr>
        <w:t>——————————————————————————————————————————————————————————————————————</w:t>
      </w:r>
    </w:p>
    <w:p>
      <w:pPr>
        <w:spacing w:before="160" w:after="80" w:line="240" w:lineRule="auto"/>
      </w:pPr>
      <w:r>
        <w:rPr>
          <w:b/>
        </w:rPr>
        <w:t xml:space="preserve">[226] </w:t>
      </w:r>
      <w:hyperlink r:id="rId412">
        <w:r>
          <w:rPr>
            <w:color w:val="1155CC"/>
            <w:u w:val="single"/>
          </w:rPr>
          <w:t>[ASAP] A Fluorescence-Afterglow Reporter for In Vivo Differentiation of Three Tumor Immunophenotypes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17:54:42+00:00</w:t>
      </w:r>
      <w:r>
        <w:t xml:space="preserve">    </w:t>
      </w:r>
      <w:r>
        <w:rPr>
          <w:b/>
        </w:rPr>
        <w:t xml:space="preserve">DOI: </w:t>
      </w:r>
      <w:hyperlink r:id="rId413">
        <w:r>
          <w:rPr>
            <w:color w:val="1155CC"/>
            <w:u w:val="single"/>
          </w:rPr>
          <w:t>10.1021/jacs.5c17176</w:t>
        </w:r>
      </w:hyperlink>
    </w:p>
    <w:p>
      <w:pPr>
        <w:spacing w:before="0" w:after="120"/>
      </w:pPr>
      <w:r>
        <w:rPr>
          <w:b/>
        </w:rPr>
        <w:t xml:space="preserve">Notes: </w:t>
      </w:r>
      <w:r>
        <w:t>abstract_source=pubmed</w:t>
      </w:r>
    </w:p>
    <w:p>
      <w:pPr>
        <w:spacing w:before="0" w:after="200" w:lineRule="auto" w:line="276"/>
      </w:pPr>
      <w:r>
        <w:rPr>
          <w:b/>
        </w:rPr>
        <w:t xml:space="preserve">Abstract: </w:t>
      </w:r>
      <w:r>
        <w:t>The success of cancer immunotherapy is strongly influenced by the tumor immunophenotype, which is categorized as inflamed, immune-excluded, or immune-desert. However, noninvasively differentiating these key immunophenotypes to predict therapeutic outcomes remains a major challenge. Here, we report a fluorescence-afterglow reporter (FAR) for the real-time, in vivo differentiation of these three immunophenotypes. FAR operates on a dual-signal logic, simultaneously reporting on M1 macrophage polarization via a nitric oxide (NO)-responsive near-infrared fluorescence (NIRF) signal and on tumor cell apoptosis via a Caspase-3-activatable afterglow signal. This logical integration enables the accurate differentiation of inflamed [NIRF (ON)-Afterglow (ON)], immune-excluded [NIRF (ON)-Afterglow (OFF)], and immune-desert [NIRF (OFF)-Afterglow (OFF)] phenotypes in living mice. FAR also sensitively monitored the therapeutic conversion of an immune-excluded tumor to an inflamed state following combination therapy. Notably, FAR's signal patterns, whether from direct tumor imaging or a complementary urinalysis enabled by its renal-clearable design, strongly correlated with therapeutic outcomes, providing early predictive value for immunotherapy efficacy. Thus, this dual-signal logic probe provides functional insights into the tumor immune microenvironment, offering a powerful tool to guide the development and application of personalized cancer immunotherapy.</w:t>
      </w:r>
    </w:p>
    <w:p>
      <w:pPr>
        <w:spacing w:before="120" w:after="120"/>
      </w:pPr>
      <w:r>
        <w:rPr>
          <w:sz w:val="18"/>
        </w:rPr>
        <w:t>——————————————————————————————————————————————————————————————————————</w:t>
      </w:r>
    </w:p>
    <w:p>
      <w:pPr>
        <w:spacing w:before="160" w:after="80" w:line="240" w:lineRule="auto"/>
      </w:pPr>
      <w:r>
        <w:rPr>
          <w:b/>
        </w:rPr>
        <w:t xml:space="preserve">[227] </w:t>
      </w:r>
      <w:hyperlink r:id="rId414">
        <w:r>
          <w:rPr>
            <w:color w:val="1155CC"/>
            <w:u w:val="single"/>
          </w:rPr>
          <w:t>[ASAP] Potent Biological Activity by a Synthetic Cu(I) Cationophore Redistributing Intracellular Copper Pools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20:30:29+00:00</w:t>
      </w:r>
      <w:r>
        <w:t xml:space="preserve">    </w:t>
      </w:r>
      <w:r>
        <w:rPr>
          <w:b/>
        </w:rPr>
        <w:t xml:space="preserve">DOI: </w:t>
      </w:r>
      <w:hyperlink r:id="rId415">
        <w:r>
          <w:rPr>
            <w:color w:val="1155CC"/>
            <w:u w:val="single"/>
          </w:rPr>
          <w:t>10.1021/jacs.5c15335</w:t>
        </w:r>
      </w:hyperlink>
    </w:p>
    <w:p>
      <w:pPr>
        <w:spacing w:before="0" w:after="120"/>
      </w:pPr>
      <w:r>
        <w:rPr>
          <w:b/>
        </w:rPr>
        <w:t xml:space="preserve">Notes: </w:t>
      </w:r>
      <w:r>
        <w:t>abstract_source=pubmed</w:t>
      </w:r>
    </w:p>
    <w:p>
      <w:pPr>
        <w:spacing w:before="0" w:after="200" w:lineRule="auto" w:line="276"/>
      </w:pPr>
      <w:r>
        <w:rPr>
          <w:b/>
        </w:rPr>
        <w:t xml:space="preserve">Abstract: </w:t>
      </w:r>
      <w:r>
        <w:t>Copper is an essential trace element for life and is present in the active site of various enzymes, whereas free copper is toxic to cells. Copper homeostasis is thus finely regulated, involving Cu(I) transporting membrane proteins Ctr1 and ATP7A/B. Disruption of copper homeostasis has been reported as a potential anticancer strategy. With this objective, we have developed a family of lipophilic compounds featuring two preorganized coordinating (benz)imidazole groups designed biomimetically to bind Cu(I) in a linear geometry and function as ionophores. The transport of Cu(I) cations across membranes by these compounds was first demonstrated in liposomes using an encapsulated Cu(I) sensitive fluorescent probe. Furthermore, six of the ionophores restored the growth of yeast cells lacking Ctr1, indicating their ability to also transport copper into cells. In hepatocarcinoma cells, four of these six ionophores exhibited potent anticancer activity, with IC50 values ranging from 3 to 5 μM. These active ionophores share a relatively narrow lipophilicity range (cLogP = 7-9.2), underscoring the critical role of lipophilicity in their cellular activity. Further investigations of one of the most active compounds, named Cuphoralix, revealed no increase in intracellular Cu levels in hepatocytes but clear indications of metal-induced stress. State-of-the-art synchrotron X-ray fluorescence studies demonstrated that Cuphoralix alters the subcellular copper distribution, redistributing it from the vesicles to the cytosol. This redistribution likely accounts for the potent cytotoxicity of this novel class of Cu(I) ionophores, supporting further studies on their anticancer potential.</w:t>
      </w:r>
    </w:p>
    <w:p>
      <w:pPr>
        <w:spacing w:before="120" w:after="120"/>
      </w:pPr>
      <w:r>
        <w:rPr>
          <w:sz w:val="18"/>
        </w:rPr>
        <w:t>——————————————————————————————————————————————————————————————————————</w:t>
      </w:r>
    </w:p>
    <w:p>
      <w:pPr>
        <w:spacing w:before="160" w:after="80" w:line="240" w:lineRule="auto"/>
      </w:pPr>
      <w:r>
        <w:rPr>
          <w:b/>
        </w:rPr>
        <w:t xml:space="preserve">[228] </w:t>
      </w:r>
      <w:hyperlink r:id="rId416">
        <w:r>
          <w:rPr>
            <w:color w:val="1155CC"/>
            <w:u w:val="single"/>
          </w:rPr>
          <w:t>[ASAP] Synthesis and Structural Confirmation of Secalosides A and B</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2025-12-23 20:58:39+00:00</w:t>
      </w:r>
      <w:r>
        <w:t xml:space="preserve">    </w:t>
      </w:r>
      <w:r>
        <w:rPr>
          <w:b/>
        </w:rPr>
        <w:t xml:space="preserve">DOI: </w:t>
      </w:r>
      <w:hyperlink r:id="rId417">
        <w:r>
          <w:rPr>
            <w:color w:val="1155CC"/>
            <w:u w:val="single"/>
          </w:rPr>
          <w:t>10.1021/jacs.5c18864</w:t>
        </w:r>
      </w:hyperlink>
    </w:p>
    <w:p>
      <w:pPr>
        <w:spacing w:before="0" w:after="120"/>
      </w:pPr>
      <w:r>
        <w:rPr>
          <w:b/>
        </w:rPr>
        <w:t xml:space="preserve">Notes: </w:t>
      </w:r>
      <w:r>
        <w:t>abstract_source=pubmed</w:t>
      </w:r>
    </w:p>
    <w:p>
      <w:pPr>
        <w:spacing w:before="0" w:after="200" w:lineRule="auto" w:line="276"/>
      </w:pPr>
      <w:r>
        <w:rPr>
          <w:b/>
        </w:rPr>
        <w:t xml:space="preserve">Abstract: </w:t>
      </w:r>
      <w:r>
        <w:t>Secalosides A and B are a pair of glycosides isolated from rye pollen (Secale cereale) that exhibit in vivo anticancer activity against various cancer cell lines. The underlying mode of action was proposed to be immunomodulatory. However, their three-dimensional chemical structures remained ambiguous for nearly 30 years, impeding further biological investigation. We report the definitive structural determination of the secalosides, achieved by total synthesis. The formation of the highly strained ten-membered bis-lactone and the indane core required the development of a late-stage ring contraction strategy enabled by an unprecedented transannular oxidative enolate coupling. Our structural assignment and synthetic route provide a foundation for exploring the molecular mechanism of action and structural-activity relationship of secalosides A and B.</w:t>
      </w:r>
    </w:p>
    <w:p>
      <w:pPr>
        <w:spacing w:before="120" w:after="120"/>
      </w:pPr>
      <w:r>
        <w:rPr>
          <w:sz w:val="18"/>
        </w:rPr>
        <w:t>——————————————————————————————————————————————————————————————————————</w:t>
      </w:r>
    </w:p>
    <w:p>
      <w:pPr>
        <w:spacing w:before="160" w:after="80" w:line="240" w:lineRule="auto"/>
      </w:pPr>
      <w:r>
        <w:rPr>
          <w:b/>
        </w:rPr>
        <w:t xml:space="preserve">[229] </w:t>
      </w:r>
      <w:hyperlink r:id="rId418">
        <w:r>
          <w:rPr>
            <w:color w:val="1155CC"/>
            <w:u w:val="single"/>
          </w:rPr>
          <w:t>Strength in numbers: how multimerization drives HpHb uptake by CD163 scavenging receptor</w:t>
        </w:r>
      </w:hyperlink>
    </w:p>
    <w:p>
      <w:pPr>
        <w:spacing w:before="0" w:after="120" w:line="240" w:lineRule="auto"/>
      </w:pPr>
      <w:r>
        <w:rPr>
          <w:b/>
        </w:rPr>
        <w:t xml:space="preserve">Source: </w:t>
      </w:r>
      <w:r>
        <w:t>Nature Communications</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[230] </w:t>
      </w:r>
      <w:hyperlink r:id="rId419">
        <w:r>
          <w:rPr>
            <w:color w:val="1155CC"/>
            <w:u w:val="single"/>
          </w:rPr>
          <w:t>An integrated power, energy, and thermal management strategy using cascaded Control for off-road autonomous hybrid vehicles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[231] </w:t>
      </w:r>
      <w:hyperlink r:id="rId420">
        <w:r>
          <w:rPr>
            <w:color w:val="1155CC"/>
            <w:u w:val="single"/>
          </w:rPr>
          <w:t>Decoding the function of the human glycome using chemical glycoprobes and glycosensor arrays</w:t>
        </w:r>
      </w:hyperlink>
    </w:p>
    <w:p>
      <w:pPr>
        <w:spacing w:before="0" w:after="120" w:line="240" w:lineRule="auto"/>
      </w:pPr>
      <w:r>
        <w:rPr>
          <w:b/>
        </w:rPr>
        <w:t xml:space="preserve">Source: </w:t>
      </w:r>
      <w:r>
        <w:t>RSC - Chem. Soc. Rev. latest articles</w:t>
      </w:r>
      <w:r>
        <w:t xml:space="preserve">    </w:t>
      </w:r>
      <w:r>
        <w:rPr>
          <w:b/>
        </w:rPr>
        <w:t xml:space="preserve">Pub date: </w:t>
      </w:r>
      <w:r>
        <w:t>2025-12-24 00:00:00+00:00</w:t>
      </w:r>
    </w:p>
    <w:p>
      <w:pPr>
        <w:spacing w:before="0" w:after="120"/>
      </w:pPr>
      <w:r>
        <w:rPr>
          <w:b/>
        </w:rPr>
        <w:t xml:space="preserve">Notes: </w:t>
      </w:r>
      <w:r>
        <w:t>abstract_source=rsc_html</w:t>
      </w:r>
    </w:p>
    <w:p>
      <w:pPr>
        <w:spacing w:before="0" w:after="200" w:lineRule="auto" w:line="276"/>
      </w:pPr>
      <w:r>
        <w:rPr>
          <w:b/>
        </w:rPr>
        <w:t xml:space="preserve">Abstract: </w:t>
      </w:r>
      <w:r>
        <w:t>With evolutionary selection, a number of glycotransferases (GTs) and glycosidases (GAs) are expressed in human cells to biosynthesize human glycans. These biopolymers, including N-glycans, O-glycans and glycosaminoglycans, are synthetic products from the synergistic action of hundreds of GTs and GAs, and are thereby highly heterogeneous in nature. This results in ambiguity in the functional study of the human glycome with molecular precision. Recent literature has seen the rapid development of chemical glycoprobes for GTs and GAs in live cells and animals under various physiological and disease-relevant conditions, as well as the construction of glycosensor arrays consisting of fluorescently labelled human glycans to decipher their recognition patterns for biological targets (e.g. pathogens and cancer cells) assisted by dimension-reduction analyses. These studies have advanced basic glycobiological research as well as disease diagnosis and therapy. This tutorial review highlights a selection of examples relevant to this interdisciplinary research area and proposes future directions anticipated to make the functional decoding of the human glycome more effective, thus facilitating precision medicine.</w:t>
      </w:r>
    </w:p>
    <w:p>
      <w:pPr>
        <w:spacing w:before="120" w:after="120"/>
      </w:pPr>
      <w:r>
        <w:rPr>
          <w:sz w:val="18"/>
        </w:rPr>
        <w:t>——————————————————————————————————————————————————————————————————————</w:t>
      </w:r>
    </w:p>
    <w:p>
      <w:pPr>
        <w:spacing w:before="160" w:after="80" w:line="240" w:lineRule="auto"/>
      </w:pPr>
      <w:r>
        <w:rPr>
          <w:b/>
        </w:rPr>
        <w:t xml:space="preserve">[232] </w:t>
      </w:r>
      <w:hyperlink r:id="rId421">
        <w:r>
          <w:rPr>
            <w:color w:val="1155CC"/>
            <w:u w:val="single"/>
          </w:rPr>
          <w:t>Momentum space AC Josephson effect and intervalley coherence in multilayer graphene</w:t>
        </w:r>
      </w:hyperlink>
    </w:p>
    <w:p>
      <w:pPr>
        <w:spacing w:before="0" w:after="120" w:line="240" w:lineRule="auto"/>
      </w:pPr>
      <w:r>
        <w:rPr>
          <w:b/>
        </w:rPr>
        <w:t xml:space="preserve">Source: </w:t>
      </w:r>
      <w:r>
        <w:t>Nature Communications</w:t>
      </w:r>
      <w:r>
        <w:t xml:space="preserve">    </w:t>
      </w:r>
      <w:r>
        <w:rPr>
          <w:b/>
        </w:rPr>
        <w:t xml:space="preserve">Pub date: </w:t>
      </w:r>
      <w:r>
        <w:t>2025-12-24 00:00:00+00:00</w:t>
      </w:r>
    </w:p>
    <w:p>
      <w:pPr>
        <w:spacing w:before="0" w:after="120"/>
      </w:pPr>
      <w:r>
        <w:rPr>
          <w:b/>
        </w:rPr>
        <w:t xml:space="preserve">Notes: </w:t>
      </w:r>
      <w:r>
        <w:t>abstract_source=nature_html</w:t>
      </w:r>
    </w:p>
    <w:p>
      <w:pPr>
        <w:spacing w:before="0" w:after="200" w:lineRule="auto" w:line="276"/>
      </w:pPr>
      <w:r>
        <w:rPr>
          <w:b/>
        </w:rPr>
        <w:t xml:space="preserve">Abstract: </w:t>
      </w:r>
      <w:r>
        <w:t>Electron transport driven by the phase coherence and interference of quantum many-body wavefunctions is a fascinating phenomenon with potential technological significance. Superconductivity, for example, enables dissipationless transport through macroscopic phase twisting, while charge-density waves show broadband noise and AC-DC interference once their phase is depinned. We identify an analogous phase-coherent dynamics in the intervalley-coherent (IVC) state frequently observed in rhombohedral multilayer graphene. We show that a static magnetic field drives an oscillating intervalley current, which produces an oscillating orbital magnetization and thereby a detectable AC Hall response. This mechanism is similar to the Josephson effect observed in superconductors but now happening in momentum space. In this analogy, the static magnetic field acts as the DC voltage, while the oscillating intervalley current is the AC Josephson current. We provide microscopic calculations of all the phase-number free-energy parameters in rhombohedral trilayer graphene, establishing this effect as an experimental signature of IVC order.</w:t>
      </w:r>
    </w:p>
    <w:p>
      <w:pPr>
        <w:spacing w:before="120" w:after="120"/>
      </w:pPr>
      <w:r>
        <w:rPr>
          <w:sz w:val="18"/>
        </w:rPr>
        <w:t>——————————————————————————————————————————————————————————————————————</w:t>
      </w:r>
    </w:p>
    <w:p>
      <w:pPr>
        <w:spacing w:before="160" w:after="80" w:line="240" w:lineRule="auto"/>
      </w:pPr>
      <w:r>
        <w:rPr>
          <w:b/>
        </w:rPr>
        <w:t xml:space="preserve">[233] </w:t>
      </w:r>
      <w:hyperlink r:id="rId422">
        <w:r>
          <w:rPr>
            <w:color w:val="1155CC"/>
            <w:u w:val="single"/>
          </w:rPr>
          <w:t>Assessment of the provincial hydrogen potential through photovoltaic generation in China from the perspective of water resources limits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[234] </w:t>
      </w:r>
      <w:hyperlink r:id="rId423">
        <w:r>
          <w:rPr>
            <w:color w:val="1155CC"/>
            <w:u w:val="single"/>
          </w:rPr>
          <w:t>Dynamic modeling and techno-economic analysis of a heat-integrated NH3 cracking plant for cost-effective H2 production under uncertainty</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[235] </w:t>
      </w:r>
      <w:hyperlink r:id="rId424">
        <w:r>
          <w:rPr>
            <w:color w:val="1155CC"/>
            <w:u w:val="single"/>
          </w:rPr>
          <w:t>Extended networks</w:t>
        </w:r>
      </w:hyperlink>
    </w:p>
    <w:p>
      <w:pPr>
        <w:spacing w:before="0" w:after="120" w:line="240" w:lineRule="auto"/>
      </w:pPr>
      <w:r>
        <w:rPr>
          <w:b/>
        </w:rPr>
        <w:t xml:space="preserve">Source: </w:t>
      </w:r>
      <w:r>
        <w:t>Nature Materials</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[236] </w:t>
      </w:r>
      <w:hyperlink r:id="rId425">
        <w:r>
          <w:rPr>
            <w:color w:val="1155CC"/>
            <w:u w:val="single"/>
          </w:rPr>
          <w:t>Operation optimization and configuration of a novel wide-power hybrid electrolytic water-to‑hydrogen system in response to fluctuations in renewable energy sources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[237] </w:t>
      </w:r>
      <w:hyperlink r:id="rId426">
        <w:r>
          <w:rPr>
            <w:color w:val="1155CC"/>
            <w:u w:val="single"/>
          </w:rPr>
          <w:t>Directional flows using capillary assembly of photo-deformable colloidal particles at water-air interfaces</w:t>
        </w:r>
      </w:hyperlink>
    </w:p>
    <w:p>
      <w:pPr>
        <w:spacing w:before="0" w:after="120" w:line="240" w:lineRule="auto"/>
      </w:pPr>
      <w:r>
        <w:rPr>
          <w:b/>
        </w:rPr>
        <w:t xml:space="preserve">Source: </w:t>
      </w:r>
      <w:r>
        <w:t>Nature Communications</w:t>
      </w:r>
      <w:r>
        <w:t xml:space="preserve">    </w:t>
      </w:r>
      <w:r>
        <w:rPr>
          <w:b/>
        </w:rPr>
        <w:t xml:space="preserve">Pub date: </w:t>
      </w:r>
      <w:r>
        <w:t>2025-12-24 00:00:00+00:00</w:t>
      </w:r>
    </w:p>
    <w:p>
      <w:pPr>
        <w:spacing w:before="0" w:after="120"/>
      </w:pPr>
      <w:r>
        <w:rPr>
          <w:b/>
        </w:rPr>
        <w:t xml:space="preserve">Notes: </w:t>
      </w:r>
      <w:r>
        <w:t>abstract_source=nature_html</w:t>
      </w:r>
    </w:p>
    <w:p>
      <w:pPr>
        <w:spacing w:before="0" w:after="200" w:lineRule="auto" w:line="276"/>
      </w:pPr>
      <w:r>
        <w:rPr>
          <w:b/>
        </w:rPr>
        <w:t xml:space="preserve">Abstract: </w:t>
      </w:r>
      <w:r>
        <w:t>Colloidal particles at liquid interfaces experience long-ranged capillary interactions, whose magnitude and directionality depend on the particle shapes. When particle shapes are determined by fabrication or synthesis, the resulting shape-mediated interactions are predefined and often lead to the formation of persistent interfacial structures. Here, we introduce polymer particles at water-air interfaces whose shape and, therefore, interactions can be altered by illumination with polarized light. Specifically, we selectively trigger capillary self-assembly by anisotropically deforming the particles at the interface. Intriguingly, further deformation of already assembled particles induces sustained interfacial flows with velocities of up to 90 μm/s. Benefitting from polarization-defined deformation directions, we create flow-patterns that do not simply follow the illumination intensity pattern, such as shear flows along a single rectangular illumination stripe. We anticipate that this interplay between photo-deformation and capillary interactions of particles will enable various forms of mixing, manipulation, and assembly of soft matter at liquid interfaces.</w:t>
      </w:r>
    </w:p>
    <w:p>
      <w:pPr>
        <w:spacing w:before="120" w:after="120"/>
      </w:pPr>
      <w:r>
        <w:rPr>
          <w:sz w:val="18"/>
        </w:rPr>
        <w:t>——————————————————————————————————————————————————————————————————————</w:t>
      </w:r>
    </w:p>
    <w:p>
      <w:pPr>
        <w:spacing w:before="160" w:after="80" w:line="240" w:lineRule="auto"/>
      </w:pPr>
      <w:r>
        <w:rPr>
          <w:b/>
        </w:rPr>
        <w:t xml:space="preserve">[238] </w:t>
      </w:r>
      <w:hyperlink r:id="rId427">
        <w:r>
          <w:rPr>
            <w:color w:val="1155CC"/>
            <w:u w:val="single"/>
          </w:rPr>
          <w:t>Optimization of electrolyte and cathode thickness for solid oxide electrolysis cells considering residual stresses and thermal–electrical–chemical–mechanical coupling-induced stresses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[239] </w:t>
      </w:r>
      <w:hyperlink r:id="rId428">
        <w:r>
          <w:rPr>
            <w:color w:val="1155CC"/>
            <w:u w:val="single"/>
          </w:rPr>
          <w:t>Comparison of energy vectors for heavy-duty transportation based on integrated driving and TCO simulations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[240] </w:t>
      </w:r>
      <w:hyperlink r:id="rId429">
        <w:r>
          <w:rPr>
            <w:color w:val="1155CC"/>
            <w:u w:val="single"/>
          </w:rPr>
          <w:t>The Nature Podcast highlights of 2025</w:t>
        </w:r>
      </w:hyperlink>
    </w:p>
    <w:p>
      <w:pPr>
        <w:spacing w:before="0" w:after="120" w:line="240" w:lineRule="auto"/>
      </w:pPr>
      <w:r>
        <w:rPr>
          <w:b/>
        </w:rPr>
        <w:t xml:space="preserve">Source: </w:t>
      </w:r>
      <w:r>
        <w:t>Nature</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[241] </w:t>
      </w:r>
      <w:hyperlink r:id="rId430">
        <w:r>
          <w:rPr>
            <w:color w:val="1155CC"/>
            <w:u w:val="single"/>
          </w:rPr>
          <w:t>Generative AI impact assessment through a life cycle analysis of multiple data center typologies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[242] </w:t>
      </w:r>
      <w:hyperlink r:id="rId431">
        <w:r>
          <w:rPr>
            <w:color w:val="1155CC"/>
            <w:u w:val="single"/>
          </w:rPr>
          <w:t>Global optimization of wake steering for large-scale wind farms using generalized serial refinement method</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[243] </w:t>
      </w:r>
      <w:hyperlink r:id="rId432">
        <w:r>
          <w:rPr>
            <w:color w:val="1155CC"/>
            <w:u w:val="single"/>
          </w:rPr>
          <w:t>Sky cooling-driven radiant-capacitive hydronic system for all-day building cooling</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[244] </w:t>
      </w:r>
      <w:hyperlink r:id="rId433">
        <w:r>
          <w:rPr>
            <w:color w:val="1155CC"/>
            <w:u w:val="single"/>
          </w:rPr>
          <w:t>Lithium-ion batteries for space applications in low earth orbits: Promising Technologies and testing methods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[245] </w:t>
      </w:r>
      <w:hyperlink r:id="rId434">
        <w:r>
          <w:rPr>
            <w:color w:val="1155CC"/>
            <w:u w:val="single"/>
          </w:rPr>
          <w:t>Enhanced cyber-resilience in flexible energy markets for microgrids: A trust-aware federated deep reinforcement learning framework</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[246] </w:t>
      </w:r>
      <w:hyperlink r:id="rId435">
        <w:r>
          <w:rPr>
            <w:color w:val="1155CC"/>
            <w:u w:val="single"/>
          </w:rPr>
          <w:t>A digital twin framework for intelligent electric vehicle charging optimization in smart manufacturing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[247] </w:t>
      </w:r>
      <w:hyperlink r:id="rId436">
        <w:r>
          <w:rPr>
            <w:color w:val="1155CC"/>
            <w:u w:val="single"/>
          </w:rPr>
          <w:t>Multistage optimized planning for the alliance expansion of multiple island microgrids with shared hybrid energy storage systems: A Nash bargaining-based game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[248] </w:t>
      </w:r>
      <w:hyperlink r:id="rId437">
        <w:r>
          <w:rPr>
            <w:color w:val="1155CC"/>
            <w:u w:val="single"/>
          </w:rPr>
          <w:t>Progress of surface-modified inorganic phosphors for performance improvement: from methods to applications</w:t>
        </w:r>
      </w:hyperlink>
    </w:p>
    <w:p>
      <w:pPr>
        <w:spacing w:before="0" w:after="120" w:line="240" w:lineRule="auto"/>
      </w:pPr>
      <w:r>
        <w:rPr>
          <w:b/>
        </w:rPr>
        <w:t xml:space="preserve">Source: </w:t>
      </w:r>
      <w:r>
        <w:t>RSC - Chem. Soc. Rev. latest articles</w:t>
      </w:r>
      <w:r>
        <w:t xml:space="preserve">    </w:t>
      </w:r>
      <w:r>
        <w:rPr>
          <w:b/>
        </w:rPr>
        <w:t xml:space="preserve">Pub date: </w:t>
      </w:r>
      <w:r>
        <w:t>2025-12-24 00:00:00+00:00</w:t>
      </w:r>
    </w:p>
    <w:p>
      <w:pPr>
        <w:spacing w:before="0" w:after="120"/>
      </w:pPr>
      <w:r>
        <w:rPr>
          <w:b/>
        </w:rPr>
        <w:t xml:space="preserve">Notes: </w:t>
      </w:r>
      <w:r>
        <w:t>abstract_source=rsc_html</w:t>
      </w:r>
    </w:p>
    <w:p>
      <w:pPr>
        <w:spacing w:before="0" w:after="200" w:lineRule="auto" w:line="276"/>
      </w:pPr>
      <w:r>
        <w:rPr>
          <w:b/>
        </w:rPr>
        <w:t xml:space="preserve">Abstract: </w:t>
      </w:r>
      <w:r>
        <w:t>Surface modification strategies exhibit superior interface control capability and functional scalability, which can not only protect the structure and performance stability but also endow the materials with new features. In particular, surface modification plays an important role in performance optimization of inorganic phosphor materials to improve their luminous efficacy, thermal stability, chemical resistance and compatibility. This strategy can promote a wide range of studies in light-emitting diodes, optical sensing, anti-counterfeiting, and biomedical imaging fields. Nevertheless, a profound understanding of the effects of surface modification on the structure and performance of phosphor materials is lacking. This review focuses on the recent advances in surface modification of the inorganic, organic, and organic–inorganic layer coatings of phosphor materials. The design principles, intrinsic structure variations, luminescence performance, underlying mechanisms and applications are comprehensively summarized. Notably, the relationship between interface engineering and luminescence optimization is proposed. Furthermore, we highlight the challenges faced by the coated phosphors in emerging fields and discuss the limitations of the current cladding technologies. This review provides new perspectives for the design of multifunctional phosphor materials with surface modification for advanced emerging platforms, and the proposed interface engineering mechanism offers theoretical guidelines for the performance manipulation of other functional materials.</w:t>
      </w:r>
    </w:p>
    <w:p>
      <w:pPr>
        <w:spacing w:before="120" w:after="120"/>
      </w:pPr>
      <w:r>
        <w:rPr>
          <w:sz w:val="18"/>
        </w:rPr>
        <w:t>——————————————————————————————————————————————————————————————————————</w:t>
      </w:r>
    </w:p>
    <w:p>
      <w:pPr>
        <w:spacing w:before="160" w:after="80" w:line="240" w:lineRule="auto"/>
      </w:pPr>
      <w:r>
        <w:rPr>
          <w:b/>
        </w:rPr>
        <w:t xml:space="preserve">[249] </w:t>
      </w:r>
      <w:hyperlink r:id="rId438">
        <w:r>
          <w:rPr>
            <w:color w:val="1155CC"/>
            <w:u w:val="single"/>
          </w:rPr>
          <w:t>Toward electrified CO2-free hydrogen production: A multiphysics model investigating microwave-driven methane pyrolysis in fluidized beds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[250] </w:t>
      </w:r>
      <w:hyperlink r:id="rId439">
        <w:r>
          <w:rPr>
            <w:color w:val="1155CC"/>
            <w:u w:val="single"/>
          </w:rPr>
          <w:t>RSynLLM: A risk-aware routing mixture-of-experts large language model for multi-energy load forecasting in large-scale distribution networks</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[251] </w:t>
      </w:r>
      <w:hyperlink r:id="rId440">
        <w:r>
          <w:rPr>
            <w:color w:val="1155CC"/>
            <w:u w:val="single"/>
          </w:rPr>
          <w:t>Machine perception liquid biopsy identifies brain tumours via systemic immune and tumour microenvironment signature</w:t>
        </w:r>
      </w:hyperlink>
    </w:p>
    <w:p>
      <w:pPr>
        <w:spacing w:before="0" w:after="120" w:line="240" w:lineRule="auto"/>
      </w:pPr>
      <w:r>
        <w:rPr>
          <w:b/>
        </w:rPr>
        <w:t xml:space="preserve">Source: </w:t>
      </w:r>
      <w:r>
        <w:t>Nature Nanotechnology</w:t>
      </w:r>
      <w:r>
        <w:t xml:space="preserve">    </w:t>
      </w:r>
      <w:r>
        <w:rPr>
          <w:b/>
        </w:rPr>
        <w:t xml:space="preserve">Pub date: </w:t>
      </w:r>
      <w:r>
        <w:t>2025-12-24 00:00:00+00:00</w:t>
      </w:r>
    </w:p>
    <w:p>
      <w:pPr>
        <w:spacing w:before="0" w:after="120"/>
      </w:pPr>
      <w:r>
        <w:rPr>
          <w:b/>
        </w:rPr>
        <w:t xml:space="preserve">Notes: </w:t>
      </w:r>
      <w:r>
        <w:t>abstract_source=nature_html</w:t>
      </w:r>
    </w:p>
    <w:p>
      <w:pPr>
        <w:spacing w:before="0" w:after="200" w:lineRule="auto" w:line="276"/>
      </w:pPr>
      <w:r>
        <w:rPr>
          <w:b/>
        </w:rPr>
        <w:t xml:space="preserve">Abstract: </w:t>
      </w:r>
      <w:r>
        <w:t>The detection and identification of intracranial tumours is limited by the lack of accurate biomarkers and requires invasive biopsy procedures. We investigated a machine perception liquid biopsy approach to detect and identify intracranial tumours from peripheral blood and to discover biomarkers responsible for the predictions. Quantum well defect-modified single-walled carbon nanotubes stabilized with single-stranded DNA, interrogating 739 plasma samples from brain tumour patients, were used to train and validate machine-learning models to detect intracranial tumours with 98% accuracy and identify tumour type. The protein corona of the top model-contributing nanosensor was interrogated using quantitative proteomics, resulting in the identification of tumour ecosystem-secreted factors, both previously reported and newly discovered, originating from intracranial tumour cells, the tumour microenvironment and the innate immune system of patients with glioblastoma and meningioma. Newly discovered factors elicited linear nanosensor responses and were elevated in one or both tumour types, matching the original protein corona enrichment. This investigation reveals that a perception-based detection of disease in blood can identify biomarkers responsible for the signal and also amplify cancer detection signals by detecting factors beyond tumour cells, thereby recruiting the entire tumour ecosystem for cancer diagnosis.</w:t>
      </w:r>
    </w:p>
    <w:p>
      <w:pPr>
        <w:spacing w:before="120" w:after="120"/>
      </w:pPr>
      <w:r>
        <w:rPr>
          <w:sz w:val="18"/>
        </w:rPr>
        <w:t>——————————————————————————————————————————————————————————————————————</w:t>
      </w:r>
    </w:p>
    <w:p>
      <w:pPr>
        <w:spacing w:before="160" w:after="80" w:line="240" w:lineRule="auto"/>
      </w:pPr>
      <w:r>
        <w:rPr>
          <w:b/>
        </w:rPr>
        <w:t xml:space="preserve">[252] </w:t>
      </w:r>
      <w:hyperlink r:id="rId441">
        <w:r>
          <w:rPr>
            <w:color w:val="1155CC"/>
            <w:u w:val="single"/>
          </w:rPr>
          <w:t>SMART-EV: a stochastic macroscopic DRL-based method for enhancing distribution network resilience via EV coordination</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[253] </w:t>
      </w:r>
      <w:hyperlink r:id="rId442">
        <w:r>
          <w:rPr>
            <w:color w:val="1155CC"/>
            <w:u w:val="single"/>
          </w:rPr>
          <w:t>Low-temperature aqueous-phase dehydrogenation of methanol catalyzed by synergistic Ir single-atom and cluster dual sites</w:t>
        </w:r>
      </w:hyperlink>
    </w:p>
    <w:p>
      <w:pPr>
        <w:spacing w:before="0" w:after="120" w:line="240" w:lineRule="auto"/>
      </w:pPr>
      <w:r>
        <w:rPr>
          <w:b/>
        </w:rPr>
        <w:t xml:space="preserve">Source: </w:t>
      </w:r>
      <w:r>
        <w:t>National Science Review Advance Access</w:t>
      </w:r>
      <w:r>
        <w:t xml:space="preserve">    </w:t>
      </w:r>
      <w:r>
        <w:rPr>
          <w:b/>
        </w:rPr>
        <w:t xml:space="preserve">Pub date: </w:t>
      </w:r>
      <w:r>
        <w:t>2025-12-24 00:00:00+00:00</w:t>
      </w:r>
      <w:r>
        <w:t xml:space="preserve">    </w:t>
      </w:r>
      <w:r>
        <w:rPr>
          <w:b/>
        </w:rPr>
        <w:t xml:space="preserve">DOI: </w:t>
      </w:r>
      <w:hyperlink r:id="rId443">
        <w:r>
          <w:rPr>
            <w:color w:val="1155CC"/>
            <w:u w:val="single"/>
          </w:rPr>
          <w:t>10.1093/nsr/nwaf585/8404160</w:t>
        </w:r>
      </w:hyperlink>
    </w:p>
    <w:p>
      <w:pPr>
        <w:spacing w:before="0" w:after="120"/>
      </w:pPr>
      <w:r>
        <w:rPr>
          <w:b/>
        </w:rPr>
        <w:t xml:space="preserve">Notes: </w:t>
      </w:r>
      <w:r>
        <w:t>abstract_source=rss_oup</w:t>
      </w:r>
    </w:p>
    <w:p>
      <w:pPr>
        <w:spacing w:before="0" w:after="200" w:lineRule="auto" w:line="276"/>
      </w:pPr>
      <w:r>
        <w:rPr>
          <w:b/>
        </w:rPr>
        <w:t xml:space="preserve">Abstract: </w:t>
      </w:r>
      <w:r>
        <w:t>Aqueous-phase reforming of methanol (APRM) offers a promising route for efficient hydrogen generation and safe transportation, yet it typically requires harsh conditions (above 200°C, 25–50 bar) and energy-intensive purification. Here, we report a heterogeneous catalyst featuring synergistic Ir single-atom and cluster dual sites that enables efficient hydrogen production from methanol and water at record-low temperatures (75–95°C) and ambient pressure. This unique ensemble effect drives a tandem reaction pathway, with Ir clusters promoting methanol dehydrogenation to formic acid, while adjacent Ir single atoms facilitating rapid formic acid decomposition into H2 and CO2 to suppress CO intermediates. As a result, the developed catalyst achieves a remarkable hydrogen production rate of 346.9 molH2 molIr−1 h−1 and 100% H2 selectivity with no detectable CO formation. To the best of our knowledge, this represents one of the lowest temperature ranges demonstrated for efficient methanol-to-hydrogen conversion via heterogeneous catalysis, advancing methanol as a practical liquid H2 carrier for on-demand high-purity hydrogen production.</w:t>
      </w:r>
    </w:p>
    <w:p>
      <w:pPr>
        <w:spacing w:before="120" w:after="120"/>
      </w:pPr>
      <w:r>
        <w:rPr>
          <w:sz w:val="18"/>
        </w:rPr>
        <w:t>——————————————————————————————————————————————————————————————————————</w:t>
      </w:r>
    </w:p>
    <w:p>
      <w:pPr>
        <w:spacing w:before="160" w:after="80" w:line="240" w:lineRule="auto"/>
      </w:pPr>
      <w:r>
        <w:rPr>
          <w:b/>
        </w:rPr>
        <w:t xml:space="preserve">[254] </w:t>
      </w:r>
      <w:hyperlink r:id="rId444">
        <w:r>
          <w:rPr>
            <w:color w:val="1155CC"/>
            <w:u w:val="single"/>
          </w:rPr>
          <w:t>Advanced carbon supports for elevated-temperature PEMFCs: Multiscale thermal transport, graphitization strategies, and interfacial engineering</w:t>
        </w:r>
      </w:hyperlink>
    </w:p>
    <w:p>
      <w:pPr>
        <w:spacing w:before="0" w:after="120" w:line="240" w:lineRule="auto"/>
      </w:pPr>
      <w:r>
        <w:rPr>
          <w:b/>
        </w:rPr>
        <w:t xml:space="preserve">Source: </w:t>
      </w:r>
      <w:r>
        <w:t>ScienceDirect Publication: Applied Energy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[255] </w:t>
      </w:r>
      <w:hyperlink r:id="rId445">
        <w:r>
          <w:rPr>
            <w:color w:val="1155CC"/>
            <w:u w:val="single"/>
          </w:rPr>
          <w:t>Synergies in environmental and agricultural water availability under climate change</w:t>
        </w:r>
      </w:hyperlink>
    </w:p>
    <w:p>
      <w:pPr>
        <w:spacing w:before="0" w:after="120" w:line="240" w:lineRule="auto"/>
      </w:pPr>
      <w:r>
        <w:rPr>
          <w:b/>
        </w:rPr>
        <w:t xml:space="preserve">Source: </w:t>
      </w:r>
      <w:r>
        <w:t>Nature Sustainability</w:t>
      </w:r>
      <w:r>
        <w:t xml:space="preserve">    </w:t>
      </w:r>
      <w:r>
        <w:rPr>
          <w:b/>
        </w:rPr>
        <w:t xml:space="preserve">Pub date: </w:t>
      </w:r>
      <w:r>
        <w:t>2025-12-24 00:00:00+00:00</w:t>
      </w:r>
    </w:p>
    <w:p>
      <w:pPr>
        <w:spacing w:before="0" w:after="120"/>
      </w:pPr>
      <w:r>
        <w:rPr>
          <w:b/>
        </w:rPr>
        <w:t xml:space="preserve">Notes: </w:t>
      </w:r>
      <w:r>
        <w:t>abstract_source=nature_html</w:t>
      </w:r>
    </w:p>
    <w:p>
      <w:pPr>
        <w:spacing w:before="0" w:after="200" w:lineRule="auto" w:line="276"/>
      </w:pPr>
      <w:r>
        <w:rPr>
          <w:b/>
        </w:rPr>
        <w:t xml:space="preserve">Abstract: </w:t>
      </w:r>
      <w:r>
        <w:t>Freshwater resources need to simultaneously support environmental and agricultural outcomes; this is a critical challenge under climate change. Many environmental and agricultural outcomes have contrasting requirements for water, leading to difficult trade-offs which should be supported by integrated assessments. Here we analysed the effect of climate change and climate variability on key ecological values and agricultural economic activity simultaneously in the Macquarie catchment in Australia and assessed the effect of plausible management adaptation options. Under severe climate change, ecological outcomes were rarely met while the impact on agricultural outcomes was less severe; annual cropping reliant on insecure water allocations was most vulnerable. Under moderate climate change, altering flow delivery patterns was as effective as altering the total licence volume of environmental water. Neither change adversely affected agricultural benefits. Thus, environmental water management can potentially influence environmental outcomes, while continuing to meet the needs of core agricultural activities.</w:t>
      </w:r>
    </w:p>
    <w:p>
      <w:pPr>
        <w:spacing w:before="120" w:after="120"/>
      </w:pPr>
      <w:r>
        <w:rPr>
          <w:sz w:val="18"/>
        </w:rPr>
        <w:t>——————————————————————————————————————————————————————————————————————</w:t>
      </w:r>
    </w:p>
    <w:p>
      <w:pPr>
        <w:spacing w:before="160" w:after="80" w:line="240" w:lineRule="auto"/>
      </w:pPr>
      <w:r>
        <w:rPr>
          <w:b/>
        </w:rPr>
        <w:t xml:space="preserve">[256] </w:t>
      </w:r>
      <w:hyperlink r:id="rId446">
        <w:r>
          <w:rPr>
            <w:color w:val="1155CC"/>
            <w:u w:val="single"/>
          </w:rPr>
          <w:t>Ethanol vs. gasoline: conventional policies and the slow uptake</w:t>
        </w:r>
      </w:hyperlink>
    </w:p>
    <w:p>
      <w:pPr>
        <w:spacing w:before="0" w:after="120" w:line="240" w:lineRule="auto"/>
      </w:pPr>
      <w:r>
        <w:rPr>
          <w:b/>
        </w:rPr>
        <w:t xml:space="preserve">Source: </w:t>
      </w:r>
      <w:r>
        <w:t>ScienceDirect Publication: Energy Policy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[257] </w:t>
      </w:r>
      <w:hyperlink r:id="rId447">
        <w:r>
          <w:rPr>
            <w:color w:val="1155CC"/>
            <w:u w:val="single"/>
          </w:rPr>
          <w:t>Dealing with the ILUC risk of biofuel production for the energy transition</w:t>
        </w:r>
      </w:hyperlink>
    </w:p>
    <w:p>
      <w:pPr>
        <w:spacing w:before="0" w:after="120" w:line="240" w:lineRule="auto"/>
      </w:pPr>
      <w:r>
        <w:rPr>
          <w:b/>
        </w:rPr>
        <w:t xml:space="preserve">Source: </w:t>
      </w:r>
      <w:r>
        <w:t>ScienceDirect Publication: Energy Policy</w:t>
      </w:r>
      <w:r>
        <w:t xml:space="preserve">    </w:t>
      </w:r>
      <w:r>
        <w:rPr>
          <w:b/>
        </w:rPr>
        <w:t xml:space="preserve">Pub date: </w:t>
      </w:r>
      <w:r>
        <w:t>2025-12-24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[258] </w:t>
      </w:r>
      <w:hyperlink r:id="rId448">
        <w:r>
          <w:rPr>
            <w:color w:val="1155CC"/>
            <w:u w:val="single"/>
          </w:rPr>
          <w:t>Zwitterion‐Induced Interfacial‐Potential Regulation Stabilizes Micron‐Sized Silicon Anodes in Quasi‐Solid‐State Lithium‐Ion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06:20:22+00:00</w:t>
      </w:r>
      <w:r>
        <w:t xml:space="preserve">    </w:t>
      </w:r>
      <w:r>
        <w:rPr>
          <w:b/>
        </w:rPr>
        <w:t xml:space="preserve">DOI: </w:t>
      </w:r>
      <w:hyperlink r:id="rId449">
        <w:r>
          <w:rPr>
            <w:color w:val="1155CC"/>
            <w:u w:val="single"/>
          </w:rPr>
          <w:t>10.1002/anie.202522965</w:t>
        </w:r>
      </w:hyperlink>
    </w:p>
    <w:p>
      <w:pPr>
        <w:spacing w:before="0" w:after="120"/>
      </w:pPr>
      <w:r>
        <w:rPr>
          <w:b/>
        </w:rPr>
        <w:t xml:space="preserve">Notes: </w:t>
      </w:r>
      <w:r>
        <w:t>abstract_source=crossref</w:t>
      </w:r>
    </w:p>
    <w:p>
      <w:pPr>
        <w:spacing w:before="0" w:after="200" w:lineRule="auto" w:line="276"/>
      </w:pPr>
      <w:r>
        <w:rPr>
          <w:b/>
        </w:rPr>
        <w:t xml:space="preserve">Abstract: </w:t>
      </w:r>
      <w:r>
        <w:t>Micron‐sized silicon (μ‐Si) is an attractive anode material for high‐energy lithium‐ion batteries owing to its high tap density, large specific capacity, and compatibility with scalable manufacturing. Its practical deployment, however, is impeded by an uncontrolled interfacial‐potential landscape that drives heterogeneous Li</w:t>
      </w:r>
      <w:r>
        <w:t xml:space="preserve"> </w:t>
      </w:r>
      <w:r>
        <w:t>+</w:t>
      </w:r>
      <w:r>
        <w:t xml:space="preserve"> </w:t>
      </w:r>
      <w:r>
        <w:t>transport, spatially non‐uniform reduction and recurrent solid‐electrolyte interphase (SEI) rupture, thereby accelerating capacity fade. Here, we report a zwitterion‐modified quasi‐solid‐state electrolyte that regulates the interfacial‐potential distribution at the μ‐Si/electrolyte interface. In situ polymerization of 3‐(1‐vinyl‐3‐imidazolyl)propanesulfonate (VIPS) within a conventional carbonate electrolyte yields PVIPSE, whose spatially proximate imidazolium and sulfonate groups stabilize μ‐Si anodes through synergistic effects: (i) electrostatic screening that equalizes potential across the inner/outer Helmholtz planes and homogenizes Li</w:t>
      </w:r>
      <w:r>
        <w:t xml:space="preserve"> </w:t>
      </w:r>
      <w:r>
        <w:t>+</w:t>
      </w:r>
      <w:r>
        <w:t xml:space="preserve"> </w:t>
      </w:r>
      <w:r>
        <w:t>flux; (ii) Li</w:t>
      </w:r>
      <w:r>
        <w:t xml:space="preserve"> </w:t>
      </w:r>
      <w:r>
        <w:t>+</w:t>
      </w:r>
      <w:r>
        <w:t xml:space="preserve"> </w:t>
      </w:r>
      <w:r>
        <w:t>–sulfonate coordination that restructures the solvation environment and biases reduction pathways toward an inorganic‐rich, electronically insulating SEI; and (iii) selective partitioning of fluoroethylene carbonate at the interface to promote uniform LiF‐rich passivation. Scanning electrochemical microscopy directly visualizes the reduced interfacial‐potential heterogeneity and improved SEI uniformity. As a result, the quasi‐solid‐state PVIPSE enables stable long‐term cycling of μ‐Si anodes, establishing interfacial‐potential regulation as a distinct and effective design principle, orthogonal to solvation engineering and mechanical reinforcement, for stabilizing high‐capacity alloying anodes.</w:t>
      </w:r>
    </w:p>
    <w:p>
      <w:pPr>
        <w:spacing w:before="120" w:after="120"/>
      </w:pPr>
      <w:r>
        <w:rPr>
          <w:sz w:val="18"/>
        </w:rPr>
        <w:t>——————————————————————————————————————————————————————————————————————</w:t>
      </w:r>
    </w:p>
    <w:p>
      <w:pPr>
        <w:spacing w:before="160" w:after="80" w:line="240" w:lineRule="auto"/>
      </w:pPr>
      <w:r>
        <w:rPr>
          <w:b/>
        </w:rPr>
        <w:t xml:space="preserve">[259] </w:t>
      </w:r>
      <w:hyperlink r:id="rId450">
        <w:r>
          <w:rPr>
            <w:color w:val="1155CC"/>
            <w:u w:val="single"/>
          </w:rPr>
          <w:t>A Redox‐Active Mesoporous Cobalt–Pyrazolate Framework for Reversible O2 Sorption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06:21:54+00:00</w:t>
      </w:r>
      <w:r>
        <w:t xml:space="preserve">    </w:t>
      </w:r>
      <w:r>
        <w:rPr>
          <w:b/>
        </w:rPr>
        <w:t xml:space="preserve">DOI: </w:t>
      </w:r>
      <w:hyperlink r:id="rId451">
        <w:r>
          <w:rPr>
            <w:color w:val="1155CC"/>
            <w:u w:val="single"/>
          </w:rPr>
          <w:t>10.1002/anie.202522510</w:t>
        </w:r>
      </w:hyperlink>
    </w:p>
    <w:p>
      <w:pPr>
        <w:spacing w:before="0" w:after="120"/>
      </w:pPr>
      <w:r>
        <w:rPr>
          <w:b/>
        </w:rPr>
        <w:t xml:space="preserve">Notes: </w:t>
      </w:r>
      <w:r>
        <w:t>abstract_source=crossref</w:t>
      </w:r>
    </w:p>
    <w:p>
      <w:pPr>
        <w:spacing w:before="0" w:after="200" w:lineRule="auto" w:line="276"/>
      </w:pPr>
      <w:r>
        <w:rPr>
          <w:b/>
        </w:rPr>
        <w:t xml:space="preserve">Abstract: </w:t>
      </w:r>
      <w:r>
        <w:t>Expanding pyrazolate metal–organic frameworks (MOFs) beyond microporous architectures is a formidable synthetic challenge, as the strong and directional M–N bonds impose strict geometric constraints that hinder the integration of mesoporosity and active sites. Such limitations have restricted the structural diversity of pyrazolate MOFs compared with their carboxylate analogues, despite the former offering superior chemical stability and fantastic performance in gas storage, separation, and catalysis. Here we present mesoporous BUT‐45 as the first example of</w:t>
      </w:r>
      <w:r>
        <w:t xml:space="preserve"> </w:t>
      </w:r>
      <w:r>
        <w:t>csq</w:t>
      </w:r>
      <w:r>
        <w:t xml:space="preserve"> </w:t>
      </w:r>
      <w:r>
        <w:t>‐type pyrazolate MOF, which was constructed from the low‐symmetry (C</w:t>
      </w:r>
      <w:r>
        <w:t xml:space="preserve"> </w:t>
      </w:r>
      <w:r>
        <w:t>s</w:t>
      </w:r>
      <w:r>
        <w:t xml:space="preserve"> </w:t>
      </w:r>
      <w:r>
        <w:t>) tetra‐pyrazolate ligand 1,3,6,8‐tetra(1</w:t>
      </w:r>
      <w:r>
        <w:t xml:space="preserve"> </w:t>
      </w:r>
      <w:r>
        <w:t>H</w:t>
      </w:r>
      <w:r>
        <w:t xml:space="preserve"> </w:t>
      </w:r>
      <w:r>
        <w:t>‐pyrazolate‐4‐yl)‐9</w:t>
      </w:r>
      <w:r>
        <w:t xml:space="preserve"> </w:t>
      </w:r>
      <w:r>
        <w:t>H</w:t>
      </w:r>
      <w:r>
        <w:t xml:space="preserve"> </w:t>
      </w:r>
      <w:r>
        <w:t>‐carbazole (CTP</w:t>
      </w:r>
      <w:r>
        <w:t xml:space="preserve"> </w:t>
      </w:r>
      <w:r>
        <w:t>4–</w:t>
      </w:r>
      <w:r>
        <w:t xml:space="preserve"> </w:t>
      </w:r>
      <w:r>
        <w:t>) and 8‐connected Co</w:t>
      </w:r>
      <w:r>
        <w:rPr>
          <w:vertAlign w:val="subscript"/>
        </w:rPr>
        <w:t>6</w:t>
      </w:r>
      <w:r>
        <w:t>clusters (D</w:t>
      </w:r>
      <w:r>
        <w:t xml:space="preserve"> </w:t>
      </w:r>
      <w:r>
        <w:t>2h</w:t>
      </w:r>
      <w:r>
        <w:t xml:space="preserve"> </w:t>
      </w:r>
      <w:r>
        <w:t>). Interestingly, the presence of rich active Co sites enables instantaneous O</w:t>
      </w:r>
      <w:r>
        <w:rPr>
          <w:vertAlign w:val="subscript"/>
        </w:rPr>
        <w:t>2</w:t>
      </w:r>
      <w:r>
        <w:t>chemisorption at ambient temperature in BUT‐45, and good framework stability allows this process to be fully reversible. Single‐crystal x‐ray diffraction and in situ spectroscopy analyses provide structural insights into the as‐synthesized, O</w:t>
      </w:r>
      <w:r>
        <w:rPr>
          <w:vertAlign w:val="subscript"/>
        </w:rPr>
        <w:t>2</w:t>
      </w:r>
      <w:r>
        <w:t>‐loaded, and regenerated phases, revealing the mechanism of Co–O</w:t>
      </w:r>
      <w:r>
        <w:rPr>
          <w:vertAlign w:val="subscript"/>
        </w:rPr>
        <w:t>2</w:t>
      </w:r>
      <w:r>
        <w:t>adduct formation and demonstrating complete reversibility via hydrazine hydrate reduction. This work highlights how reticular chemistry can map target nets from carboxylate to pyrazolate, while offering desired properties and direct visualization of redox chemistry in MOFs.</w:t>
      </w:r>
    </w:p>
    <w:p>
      <w:pPr>
        <w:spacing w:before="120" w:after="120"/>
      </w:pPr>
      <w:r>
        <w:rPr>
          <w:sz w:val="18"/>
        </w:rPr>
        <w:t>——————————————————————————————————————————————————————————————————————</w:t>
      </w:r>
    </w:p>
    <w:p>
      <w:pPr>
        <w:spacing w:before="160" w:after="80" w:line="240" w:lineRule="auto"/>
      </w:pPr>
      <w:r>
        <w:rPr>
          <w:b/>
        </w:rPr>
        <w:t xml:space="preserve">[260] </w:t>
      </w:r>
      <w:hyperlink r:id="rId452">
        <w:r>
          <w:rPr>
            <w:color w:val="1155CC"/>
            <w:u w:val="single"/>
          </w:rPr>
          <w:t>One‐Pot Incorporation of Quantum Defects into Single‐Walled Carbon Nanotubes with Arylazo Sulfonates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06:27:42+00:00</w:t>
      </w:r>
      <w:r>
        <w:t xml:space="preserve">    </w:t>
      </w:r>
      <w:r>
        <w:rPr>
          <w:b/>
        </w:rPr>
        <w:t xml:space="preserve">DOI: </w:t>
      </w:r>
      <w:hyperlink r:id="rId453">
        <w:r>
          <w:rPr>
            <w:color w:val="1155CC"/>
            <w:u w:val="single"/>
          </w:rPr>
          <w:t>10.1002/anie.202521215</w:t>
        </w:r>
      </w:hyperlink>
    </w:p>
    <w:p>
      <w:pPr>
        <w:spacing w:before="0" w:after="120"/>
      </w:pPr>
      <w:r>
        <w:rPr>
          <w:b/>
        </w:rPr>
        <w:t xml:space="preserve">Notes: </w:t>
      </w:r>
      <w:r>
        <w:t>abstract_source=crossref</w:t>
      </w:r>
    </w:p>
    <w:p>
      <w:pPr>
        <w:spacing w:before="0" w:after="200" w:lineRule="auto" w:line="276"/>
      </w:pPr>
      <w:r>
        <w:rPr>
          <w:b/>
        </w:rPr>
        <w:t xml:space="preserve">Abstract: </w:t>
      </w:r>
      <w:r>
        <w:t>Single‐walled carbon nanotubes (SWCNTs) consist of a carbon monolayer and fluoresce in the near‐infrared (NIR, 800–2500 nm) region. Introduction of sp</w:t>
      </w:r>
      <w:r>
        <w:rPr>
          <w:vertAlign w:val="subscript"/>
        </w:rPr>
        <w:t>3</w:t>
      </w:r>
      <w:r>
        <w:t>quantum defects (QDs) creates novel NIR emission features, which promise huge potential for (bio)photonics. However, so far defect chemistry based on diazonium salts is mainly limited to benzene derivatives. The reaction side products also quench SWCNT fluorescence and impair additional surface chemistry. Here, we introduce a photochemical strategy based on arylazo sulfonates to a) create more complex aromatic QDs and b) avoid side products that adsorb and quench. We show that this way coumarin and other QDs are incorporated, which increases overall NIR emission by more than 90% without purification. These materials can be non‐covalently modified with biocompatible polymers (polyethyleneglycoles, DNA) without a change in photophysical properties and we demonstrate mechanical (viscosity) and chemical (neurotransmitter dopamine) sensing. This one‐pot approach creates QDs in SWCNTs and provides access to advanced hybrid materials for photonic applications.</w:t>
      </w:r>
    </w:p>
    <w:p>
      <w:pPr>
        <w:spacing w:before="120" w:after="120"/>
      </w:pPr>
      <w:r>
        <w:rPr>
          <w:sz w:val="18"/>
        </w:rPr>
        <w:t>——————————————————————————————————————————————————————————————————————</w:t>
      </w:r>
    </w:p>
    <w:p>
      <w:pPr>
        <w:spacing w:before="160" w:after="80" w:line="240" w:lineRule="auto"/>
      </w:pPr>
      <w:r>
        <w:rPr>
          <w:b/>
        </w:rPr>
        <w:t xml:space="preserve">[261] </w:t>
      </w:r>
      <w:hyperlink r:id="rId454">
        <w:r>
          <w:rPr>
            <w:color w:val="1155CC"/>
            <w:u w:val="single"/>
          </w:rPr>
          <w:t>Apoptosis‐Amplified Intracellular Paclitaxel Nanoparticle Formation Enhances Microtubule Aggregation and PANoptosis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06:29:29+00:00</w:t>
      </w:r>
      <w:r>
        <w:t xml:space="preserve">    </w:t>
      </w:r>
      <w:r>
        <w:rPr>
          <w:b/>
        </w:rPr>
        <w:t xml:space="preserve">DOI: </w:t>
      </w:r>
      <w:hyperlink r:id="rId455">
        <w:r>
          <w:rPr>
            <w:color w:val="1155CC"/>
            <w:u w:val="single"/>
          </w:rPr>
          <w:t>10.1002/anie.202517035</w:t>
        </w:r>
      </w:hyperlink>
    </w:p>
    <w:p>
      <w:pPr>
        <w:spacing w:before="0" w:after="120"/>
      </w:pPr>
      <w:r>
        <w:rPr>
          <w:b/>
        </w:rPr>
        <w:t xml:space="preserve">Notes: </w:t>
      </w:r>
      <w:r>
        <w:t>abstract_source=crossref</w:t>
      </w:r>
    </w:p>
    <w:p>
      <w:pPr>
        <w:spacing w:before="0" w:after="200" w:lineRule="auto" w:line="276"/>
      </w:pPr>
      <w:r>
        <w:rPr>
          <w:b/>
        </w:rPr>
        <w:t xml:space="preserve">Abstract: </w:t>
      </w:r>
      <w:r>
        <w:t>The clinical efficacy of paclitaxel is limited by systemic toxicity at high doses and poor cellular uptake of nanoformulations. Intracellular paclitaxel nanostructure formation is a promising strategy, yet further enhancing its anticancer effect remains challenging. Herein, we propose a strategy of intracellular apoptosis‐amplified paclitaxel nanoparticle formation by rationally designing a caspase‐3‐responsive peptide‐paclitaxel conjugate Ac‐Asp‐Glu‐Val‐Asp‐Cys(StBu)‐Lys(paclitaxel)‐CBT (Ac‐DEVDC(StBu)K(PTX)‐CBT). Upon intracellular glutathione reduction and caspase‐3 cleavage, Ac‐DEVDC(StBu)K(PTX)‐CBT undergoes a CBT‐Cys click reaction and subsequent self‐assembly into paclitaxel nanoparticles. These nanoparticles aggregate microtubules and promote apoptosis, thereby activating more caspase‐3 to drive further nanoparticle formation, creating an amplification loop for enhancing therapeutic outcome. In vitro, Ac‐DEVDC(StBu)K(PTX)‐CBT remarkably inhibited cell cycle, downregulated phosphorylated YAP‐1 level by ∼48%, and induced ZBP‐1/AIM2‐based PANoptosis. Furthermore, in orthotopic tumor models, Ac‐DEVDC(StBu)K(PTX)‐CBT significantly increased caspase‐3 expression compared to free paclitaxel treatment and markedly prolonged survival via cytoskeleton disruption. This strategy holds high promise for enhanced tumor treatment in the clinic.</w:t>
      </w:r>
    </w:p>
    <w:p>
      <w:pPr>
        <w:spacing w:before="120" w:after="120"/>
      </w:pPr>
      <w:r>
        <w:rPr>
          <w:sz w:val="18"/>
        </w:rPr>
        <w:t>——————————————————————————————————————————————————————————————————————</w:t>
      </w:r>
    </w:p>
    <w:p>
      <w:pPr>
        <w:spacing w:before="160" w:after="80" w:line="240" w:lineRule="auto"/>
      </w:pPr>
      <w:r>
        <w:rPr>
          <w:b/>
        </w:rPr>
        <w:t xml:space="preserve">[262] </w:t>
      </w:r>
      <w:hyperlink r:id="rId456">
        <w:r>
          <w:rPr>
            <w:color w:val="1155CC"/>
            <w:u w:val="single"/>
          </w:rPr>
          <w:t>Site‐Selective Ligand Selection by Mutational Profiling for Covalent RNA Targeting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06:30:07+00:00</w:t>
      </w:r>
      <w:r>
        <w:t xml:space="preserve">    </w:t>
      </w:r>
      <w:r>
        <w:rPr>
          <w:b/>
        </w:rPr>
        <w:t xml:space="preserve">DOI: </w:t>
      </w:r>
      <w:hyperlink r:id="rId457">
        <w:r>
          <w:rPr>
            <w:color w:val="1155CC"/>
            <w:u w:val="single"/>
          </w:rPr>
          <w:t>10.1002/anie.202517243</w:t>
        </w:r>
      </w:hyperlink>
    </w:p>
    <w:p>
      <w:pPr>
        <w:spacing w:before="0" w:after="120"/>
      </w:pPr>
      <w:r>
        <w:rPr>
          <w:b/>
        </w:rPr>
        <w:t xml:space="preserve">Notes: </w:t>
      </w:r>
      <w:r>
        <w:t>abstract_source=crossref</w:t>
      </w:r>
    </w:p>
    <w:p>
      <w:pPr>
        <w:spacing w:before="0" w:after="200" w:lineRule="auto" w:line="276"/>
      </w:pPr>
      <w:r>
        <w:rPr>
          <w:b/>
        </w:rPr>
        <w:t xml:space="preserve">Abstract: </w:t>
      </w:r>
      <w:r>
        <w:t>To facilitate the design of RNA‐targeted covalent probes we report a bottom‐up, structure‐informed approach using mutational profiling. We designed a compact library of covalent probes based on the scaffold of Ribocil, a selective inhibitor targeting the bacterial FMN riboswitch and screened them against the FMN riboswitch aptamer from</w:t>
      </w:r>
      <w:r>
        <w:t xml:space="preserve"> </w:t>
      </w:r>
      <w:r>
        <w:t>Fusobacterium nucleatum</w:t>
      </w:r>
      <w:r>
        <w:t xml:space="preserve"> </w:t>
      </w:r>
      <w:r>
        <w:t>,</w:t>
      </w:r>
      <w:r>
        <w:t xml:space="preserve"> </w:t>
      </w:r>
      <w:r>
        <w:t>Bacillus subtilis</w:t>
      </w:r>
      <w:r>
        <w:t xml:space="preserve"> </w:t>
      </w:r>
      <w:r>
        <w:t>,</w:t>
      </w:r>
      <w:r>
        <w:t xml:space="preserve"> </w:t>
      </w:r>
      <w:r>
        <w:t>Escherichia coli</w:t>
      </w:r>
      <w:r>
        <w:t xml:space="preserve"> </w:t>
      </w:r>
      <w:r>
        <w:t>, and</w:t>
      </w:r>
      <w:r>
        <w:t xml:space="preserve"> </w:t>
      </w:r>
      <w:r>
        <w:t>Staphylococcus aureus</w:t>
      </w:r>
      <w:r>
        <w:t xml:space="preserve"> </w:t>
      </w:r>
      <w:r>
        <w:t>. This yielded Covacil, a highly base‐selective probe that covalently modifies the FMN riboswitch aptamer at low micromolar concentrations, within 10 minutes. We validate the site‐selectivity and covalency of the probe by competitive photo‐affinity labelling and mass‐spectrometry. When compared to non‐targeted covalent probes, Covacil displayed &amp;gt;1,000‐fold increased selectivity toward a specific base within the FMN riboswitch aptamer. Finally, we apply Covacil to total RNA and demonstrate that it maintains its base‐selective reactivity for the FMN riboswitch within the entire transcriptome.</w:t>
      </w:r>
    </w:p>
    <w:p>
      <w:pPr>
        <w:spacing w:before="120" w:after="120"/>
      </w:pPr>
      <w:r>
        <w:rPr>
          <w:sz w:val="18"/>
        </w:rPr>
        <w:t>——————————————————————————————————————————————————————————————————————</w:t>
      </w:r>
    </w:p>
    <w:p>
      <w:pPr>
        <w:spacing w:before="160" w:after="80" w:line="240" w:lineRule="auto"/>
      </w:pPr>
      <w:r>
        <w:rPr>
          <w:b/>
        </w:rPr>
        <w:t xml:space="preserve">[263] </w:t>
      </w:r>
      <w:hyperlink r:id="rId458">
        <w:r>
          <w:rPr>
            <w:color w:val="1155CC"/>
            <w:u w:val="single"/>
          </w:rPr>
          <w:t>Twist‐Induced All‐Flat‐Band Higher‐Order Acoustic Topological Insulator</w:t>
        </w:r>
      </w:hyperlink>
    </w:p>
    <w:p>
      <w:pPr>
        <w:spacing w:before="0" w:after="120" w:line="240" w:lineRule="auto"/>
      </w:pPr>
      <w:r>
        <w:rPr>
          <w:b/>
        </w:rPr>
        <w:t xml:space="preserve">Source: </w:t>
      </w:r>
      <w:r>
        <w:t>Wiley: Advanced Materials: Table of Contents</w:t>
      </w:r>
      <w:r>
        <w:t xml:space="preserve">    </w:t>
      </w:r>
      <w:r>
        <w:rPr>
          <w:b/>
        </w:rPr>
        <w:t xml:space="preserve">Pub date: </w:t>
      </w:r>
      <w:r>
        <w:t>2025-12-24 06:40:36+00:00</w:t>
      </w:r>
      <w:r>
        <w:t xml:space="preserve">    </w:t>
      </w:r>
      <w:r>
        <w:rPr>
          <w:b/>
        </w:rPr>
        <w:t xml:space="preserve">DOI: </w:t>
      </w:r>
      <w:hyperlink r:id="rId459">
        <w:r>
          <w:rPr>
            <w:color w:val="1155CC"/>
            <w:u w:val="single"/>
          </w:rPr>
          <w:t>10.1002/adma.202519287</w:t>
        </w:r>
      </w:hyperlink>
    </w:p>
    <w:p>
      <w:pPr>
        <w:spacing w:before="0" w:after="120"/>
      </w:pPr>
      <w:r>
        <w:rPr>
          <w:b/>
        </w:rPr>
        <w:t xml:space="preserve">Notes: </w:t>
      </w:r>
      <w:r>
        <w:t>abstract_source=crossref</w:t>
      </w:r>
    </w:p>
    <w:p>
      <w:pPr>
        <w:spacing w:before="0" w:after="200" w:lineRule="auto" w:line="276"/>
      </w:pPr>
      <w:r>
        <w:rPr>
          <w:b/>
        </w:rPr>
        <w:t xml:space="preserve">Abstract: </w:t>
      </w:r>
      <w:r>
        <w:t>Twisted Moiré superlattices (TMSs) exhibit unique geometric periodicity and interlayer Bragg scattering effects, which have been widely exploited for flat‐band engineering. However, to date, no report has directly addressed the mechanism of achieving all‐flat‐band topology with the intrinsic eigenmodes of Moiré periodicity. In this work, by introducing periodic strong localized resonances into the superlattices, a novel acoustic flat‐band higher‐order topological insulator is proposed. Based on the standing‐wave effect of multipolar Mie resonances, varied‐frequency edge states and high‐quality (high‐Q) corner states are observed in the topological all‐flat‐bandgaps. More interestingly, owing to the operational simplicity of acoustic TMS, it can be readily stacked into a 3D configuration, yielding out‐of‐phase topological hinge states. This study unveils a simple strategy to construct acoustic all‐flat‐band topological insulators, providing new potential for applications such as energy harvesting and sensing.</w:t>
      </w:r>
    </w:p>
    <w:p>
      <w:pPr>
        <w:spacing w:before="120" w:after="120"/>
      </w:pPr>
      <w:r>
        <w:rPr>
          <w:sz w:val="18"/>
        </w:rPr>
        <w:t>——————————————————————————————————————————————————————————————————————</w:t>
      </w:r>
    </w:p>
    <w:p>
      <w:pPr>
        <w:spacing w:before="160" w:after="80" w:line="240" w:lineRule="auto"/>
      </w:pPr>
      <w:r>
        <w:rPr>
          <w:b/>
        </w:rPr>
        <w:t xml:space="preserve">[264] </w:t>
      </w:r>
      <w:hyperlink r:id="rId460">
        <w:r>
          <w:rPr>
            <w:color w:val="1155CC"/>
            <w:u w:val="single"/>
          </w:rPr>
          <w:t>Halogenated Chiral Spacer Integration in Silver Bismuth Double Perovskites for Efficient and Selective CPL Photodetection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2025-12-24 06:50:45+00:00</w:t>
      </w:r>
      <w:r>
        <w:t xml:space="preserve">    </w:t>
      </w:r>
      <w:r>
        <w:rPr>
          <w:b/>
        </w:rPr>
        <w:t xml:space="preserve">DOI: </w:t>
      </w:r>
      <w:hyperlink r:id="rId461">
        <w:r>
          <w:rPr>
            <w:color w:val="1155CC"/>
            <w:u w:val="single"/>
          </w:rPr>
          <w:t>10.1002/adma.202512947</w:t>
        </w:r>
      </w:hyperlink>
    </w:p>
    <w:p>
      <w:pPr>
        <w:spacing w:before="0" w:after="120"/>
      </w:pPr>
      <w:r>
        <w:rPr>
          <w:b/>
        </w:rPr>
        <w:t xml:space="preserve">Notes: </w:t>
      </w:r>
      <w:r>
        <w:t>abstract_source=crossref</w:t>
      </w:r>
    </w:p>
    <w:p>
      <w:pPr>
        <w:spacing w:before="0" w:after="200" w:lineRule="auto" w:line="276"/>
      </w:pPr>
      <w:r>
        <w:rPr>
          <w:b/>
        </w:rPr>
        <w:t xml:space="preserve">Abstract: </w:t>
      </w:r>
      <w:r>
        <w:t>Chiral double perovskites (DPs) have emerged as a versatile class of materials for detecting circularly polarized light (CPL), offering sustainable alternatives to toxic Pb‐based systems. Despite their superior oxidative stability, the interplay between A‐site chiral cations and B‐site metal cations in DPs remains poorly understood, particularly regarding its influence on the electronic structure and chiroptical activity. In this study, we propose a rational chiral cation design strategy in which halogen substitution facilitates cooperative coupling with bond elongation induced by Jahn–Teller distortion in the inorganic layer, thereby revealing an enhanced chirality transfer phenomenon across the hybrid framework. Moreover, halogen···halogen interactions contribute to increased lattice rigidity in the 2D DPs, enhancing phase stability in thin‐film configurations. As a result, a CPL photodetector based on Br‐substituted chiral DPs achieves a CPL distinguishability of 0.32, the highest reported value among 2D chiral DP‐based devices, alongside high photodetection performance and extended operational stability.</w:t>
      </w:r>
    </w:p>
    <w:p>
      <w:pPr>
        <w:spacing w:before="120" w:after="120"/>
      </w:pPr>
      <w:r>
        <w:rPr>
          <w:sz w:val="18"/>
        </w:rPr>
        <w:t>——————————————————————————————————————————————————————————————————————</w:t>
      </w:r>
    </w:p>
    <w:p>
      <w:pPr>
        <w:spacing w:before="160" w:after="80" w:line="240" w:lineRule="auto"/>
      </w:pPr>
      <w:r>
        <w:rPr>
          <w:b/>
        </w:rPr>
        <w:t xml:space="preserve">[265] </w:t>
      </w:r>
      <w:hyperlink r:id="rId462">
        <w:r>
          <w:rPr>
            <w:color w:val="1155CC"/>
            <w:u w:val="single"/>
          </w:rPr>
          <w:t>In Situ Grown Inorganic Covalent Surface Barriers Enable High‐Temperature Capacitive Energy Storage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2025-12-24 06:52:26+00:00</w:t>
      </w:r>
      <w:r>
        <w:t xml:space="preserve">    </w:t>
      </w:r>
      <w:r>
        <w:rPr>
          <w:b/>
        </w:rPr>
        <w:t xml:space="preserve">DOI: </w:t>
      </w:r>
      <w:hyperlink r:id="rId463">
        <w:r>
          <w:rPr>
            <w:color w:val="1155CC"/>
            <w:u w:val="single"/>
          </w:rPr>
          <w:t>10.1002/aenm.202505932</w:t>
        </w:r>
      </w:hyperlink>
    </w:p>
    <w:p>
      <w:pPr>
        <w:spacing w:before="0" w:after="120"/>
      </w:pPr>
      <w:r>
        <w:rPr>
          <w:b/>
        </w:rPr>
        <w:t xml:space="preserve">Notes: </w:t>
      </w:r>
      <w:r>
        <w:t>abstract_source=crossref</w:t>
      </w:r>
    </w:p>
    <w:p>
      <w:pPr>
        <w:spacing w:before="0" w:after="200" w:lineRule="auto" w:line="276"/>
      </w:pPr>
      <w:r>
        <w:rPr>
          <w:b/>
        </w:rPr>
        <w:t xml:space="preserve">Abstract: </w:t>
      </w:r>
      <w:r>
        <w:t>Polymer dielectrics are crucial for high‐energy‐density electrostatic capacitors yet suffer from severe high‐temperature performance degradation due to escalated conduction loss and diminished breakdown strength. While conventional construction of nanoscale inorganic surface layers on dielectric polymer films can partially suppress conduction losses at elevated temperatures, poor interfacial adhesion coupled with complex, expensive fabrication technology hinders industrial scalability. Herein, we develop a solution‐processed nanoscale inorganic covalent surface barrier (SNICS) strategy. Specifically, scalable ultrathin SiO</w:t>
      </w:r>
      <w:r>
        <w:t xml:space="preserve"> </w:t>
      </w:r>
      <w:r>
        <w:t>x</w:t>
      </w:r>
      <w:r>
        <w:t xml:space="preserve"> </w:t>
      </w:r>
      <w:r>
        <w:t>barrier layers featuring covalently bonded Si─C transition interphases are conformally fabricated on both surfaces of polyetherimide (PEI) films via facile ultrasonic spray‐coating (USC) of perhydropolysilazane (PHPS) precursor solution followed by room‐temperature ultraviolet (UV) irradiation. The SNICS architecture ensures robust interfacial cohesion while effectively suppressing conduction loss through: 1) substantial elevation of the Schottky emission barrier height; 2) introduction of deep charge traps by the high‐electron‐affinity Si─C interphase; and 3) enhanced thermal/mechanical stability from the covalent bonding, outperforming traditional magnetron‐sputtered counterparts. Consequently, SNICS‐engineered films with optimized 186 nm SNICS achieve an exceptional discharged energy density (</w:t>
      </w:r>
      <w:r>
        <w:t xml:space="preserve"> </w:t>
      </w:r>
      <w:r>
        <w:t>U</w:t>
      </w:r>
      <w:r>
        <w:t xml:space="preserve"> </w:t>
      </w:r>
      <w:r>
        <w:t>d</w:t>
      </w:r>
      <w:r>
        <w:t xml:space="preserve"> </w:t>
      </w:r>
      <w:r>
        <w:t>) of 5.05 J cm</w:t>
      </w:r>
      <w:r>
        <w:t xml:space="preserve"> </w:t>
      </w:r>
      <w:r>
        <w:t>−3</w:t>
      </w:r>
      <w:r>
        <w:t xml:space="preserve"> </w:t>
      </w:r>
      <w:r>
        <w:t>with 90 % efficiency at 200 °C, which is significantly higher than the reported values obtained in the composites fabricated with multilayered structures, with along siding excellent self‐healing capability and outstanding cyclability. This surface engineering presents a scalable pathway for high‐temperature high‐performance polymer capacitors.</w:t>
      </w:r>
    </w:p>
    <w:p>
      <w:pPr>
        <w:spacing w:before="120" w:after="120"/>
      </w:pPr>
      <w:r>
        <w:rPr>
          <w:sz w:val="18"/>
        </w:rPr>
        <w:t>——————————————————————————————————————————————————————————————————————</w:t>
      </w:r>
    </w:p>
    <w:p>
      <w:pPr>
        <w:spacing w:before="160" w:after="80" w:line="240" w:lineRule="auto"/>
      </w:pPr>
      <w:r>
        <w:rPr>
          <w:b/>
        </w:rPr>
        <w:t xml:space="preserve">[266] </w:t>
      </w:r>
      <w:hyperlink r:id="rId464">
        <w:r>
          <w:rPr>
            <w:color w:val="1155CC"/>
            <w:u w:val="single"/>
          </w:rPr>
          <w:t>Dual‐Enhanced Iodine Confinement and Conversion of Single‐Atom Mn‐N3‐C Catalyst for Long‐life Electrolytic Zn‐I2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2025-12-24 06:53:03+00:00</w:t>
      </w:r>
      <w:r>
        <w:t xml:space="preserve">    </w:t>
      </w:r>
      <w:r>
        <w:rPr>
          <w:b/>
        </w:rPr>
        <w:t xml:space="preserve">DOI: </w:t>
      </w:r>
      <w:hyperlink r:id="rId465">
        <w:r>
          <w:rPr>
            <w:color w:val="1155CC"/>
            <w:u w:val="single"/>
          </w:rPr>
          <w:t>10.1002/aenm.202505589</w:t>
        </w:r>
      </w:hyperlink>
    </w:p>
    <w:p>
      <w:pPr>
        <w:spacing w:before="0" w:after="120"/>
      </w:pPr>
      <w:r>
        <w:rPr>
          <w:b/>
        </w:rPr>
        <w:t xml:space="preserve">Notes: </w:t>
      </w:r>
      <w:r>
        <w:t>abstract_source=crossref</w:t>
      </w:r>
    </w:p>
    <w:p>
      <w:pPr>
        <w:spacing w:before="0" w:after="200" w:lineRule="auto" w:line="276"/>
      </w:pPr>
      <w:r>
        <w:rPr>
          <w:b/>
        </w:rPr>
        <w:t xml:space="preserve">Abstract: </w:t>
      </w:r>
      <w:r>
        <w:t>Aqueous zinc‐iodine (Zn‐I</w:t>
      </w:r>
      <w:r>
        <w:rPr>
          <w:vertAlign w:val="subscript"/>
        </w:rPr>
        <w:t>2</w:t>
      </w:r>
      <w:r>
        <w:t>) batteries are gaining increasing attention because of their environmental friendliness, high capacity, and cost‐effectiveness. The performance of Zn‐I</w:t>
      </w:r>
      <w:r>
        <w:rPr>
          <w:vertAlign w:val="subscript"/>
        </w:rPr>
        <w:t>2</w:t>
      </w:r>
      <w:r>
        <w:t>batteries is generally limited by the polyiodide shuttle effect and sluggish conversion kinetics. In this study, a highly efficient catalyst of single‐atom Mn anchored into energetic MOFs (MET‐6) derived porous carbon matrix (SAMn‐N</w:t>
      </w:r>
      <w:r>
        <w:rPr>
          <w:vertAlign w:val="subscript"/>
        </w:rPr>
        <w:t>3</w:t>
      </w:r>
      <w:r>
        <w:t>‐C) is developed for a stable electrolyte Zn‐I</w:t>
      </w:r>
      <w:r>
        <w:rPr>
          <w:vertAlign w:val="subscript"/>
        </w:rPr>
        <w:t>2</w:t>
      </w:r>
      <w:r>
        <w:t>battery. The rich mesoporous structure offers ample space for electrolyte (KI) infiltration and abundant sites for physical adsorption toward iodine species. Simultaneously, the atomically dispersed SAMn‐N</w:t>
      </w:r>
      <w:r>
        <w:rPr>
          <w:vertAlign w:val="subscript"/>
        </w:rPr>
        <w:t>3</w:t>
      </w:r>
      <w:r>
        <w:t>catalytic sites not only enable strong chemical combination to suppress the shuttle effect of polyiodides, but also reduce the activation energy of the I</w:t>
      </w:r>
      <w:r>
        <w:t xml:space="preserve"> </w:t>
      </w:r>
      <w:r>
        <w:t>−</w:t>
      </w:r>
      <w:r>
        <w:t>/I</w:t>
      </w:r>
      <w:r>
        <w:rPr>
          <w:vertAlign w:val="subscript"/>
        </w:rPr>
        <w:t>2</w:t>
      </w:r>
      <w:r>
        <w:t>conversion to accelerate kinetics. Consequently, the prototypical Zn‐I</w:t>
      </w:r>
      <w:r>
        <w:rPr>
          <w:vertAlign w:val="subscript"/>
        </w:rPr>
        <w:t>2</w:t>
      </w:r>
      <w:r>
        <w:t>battery equipped with SAMn‐N</w:t>
      </w:r>
      <w:r>
        <w:rPr>
          <w:vertAlign w:val="subscript"/>
        </w:rPr>
        <w:t>3</w:t>
      </w:r>
      <w:r>
        <w:t>‐C cathode delivers a high discharge capacity of 336.2 mAh g</w:t>
      </w:r>
      <w:r>
        <w:t xml:space="preserve"> </w:t>
      </w:r>
      <w:r>
        <w:t>−1</w:t>
      </w:r>
      <w:r>
        <w:t xml:space="preserve"> </w:t>
      </w:r>
      <w:r>
        <w:t>at 1 A g</w:t>
      </w:r>
      <w:r>
        <w:t xml:space="preserve"> </w:t>
      </w:r>
      <w:r>
        <w:t>−1</w:t>
      </w:r>
      <w:r>
        <w:t xml:space="preserve"> </w:t>
      </w:r>
      <w:r>
        <w:t>and exceptional cycling stability with 95.7% capacity retention after 50 000 cycles at 20 A g</w:t>
      </w:r>
      <w:r>
        <w:t xml:space="preserve"> </w:t>
      </w:r>
      <w:r>
        <w:t>−1</w:t>
      </w:r>
      <w:r>
        <w:t xml:space="preserve"> </w:t>
      </w:r>
      <w:r>
        <w:t>. Moreover, the assembled Zn‐I</w:t>
      </w:r>
      <w:r>
        <w:rPr>
          <w:vertAlign w:val="subscript"/>
        </w:rPr>
        <w:t>2</w:t>
      </w:r>
      <w:r>
        <w:t>soft‐pack cell achieves an areal capacity of 25.6 mAh and stable operation for 100 times. This work demonstrates a hybrid strategy to design ideal iodine hosts with dual‐enhanced iodine confinement and conversion, facilitating the practical application of Zn‐I</w:t>
      </w:r>
      <w:r>
        <w:rPr>
          <w:vertAlign w:val="subscript"/>
        </w:rPr>
        <w:t>2</w:t>
      </w:r>
      <w:r>
        <w:t>batteries.</w:t>
      </w:r>
    </w:p>
    <w:p>
      <w:pPr>
        <w:spacing w:before="120" w:after="120"/>
      </w:pPr>
      <w:r>
        <w:rPr>
          <w:sz w:val="18"/>
        </w:rPr>
        <w:t>——————————————————————————————————————————————————————————————————————</w:t>
      </w:r>
    </w:p>
    <w:p>
      <w:pPr>
        <w:spacing w:before="160" w:after="80" w:line="240" w:lineRule="auto"/>
      </w:pPr>
      <w:r>
        <w:rPr>
          <w:b/>
        </w:rPr>
        <w:t xml:space="preserve">[267] </w:t>
      </w:r>
      <w:hyperlink r:id="rId466">
        <w:r>
          <w:rPr>
            <w:color w:val="1155CC"/>
            <w:u w:val="single"/>
          </w:rPr>
          <w:t>Photo‐Activated Emission and Chirality Transfer Based on Host–Guest Chemistry of a Motorized All‐Benzene Nanohoop</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06:53:28+00:00</w:t>
      </w:r>
      <w:r>
        <w:t xml:space="preserve">    </w:t>
      </w:r>
      <w:r>
        <w:rPr>
          <w:b/>
        </w:rPr>
        <w:t xml:space="preserve">DOI: </w:t>
      </w:r>
      <w:hyperlink r:id="rId467">
        <w:r>
          <w:rPr>
            <w:color w:val="1155CC"/>
            <w:u w:val="single"/>
          </w:rPr>
          <w:t>10.1002/anie.202525767</w:t>
        </w:r>
      </w:hyperlink>
    </w:p>
    <w:p>
      <w:pPr>
        <w:spacing w:before="0" w:after="120"/>
      </w:pPr>
      <w:r>
        <w:rPr>
          <w:b/>
        </w:rPr>
        <w:t xml:space="preserve">Notes: </w:t>
      </w:r>
      <w:r>
        <w:t>abstract_source=crossref</w:t>
      </w:r>
    </w:p>
    <w:p>
      <w:pPr>
        <w:spacing w:before="0" w:after="200" w:lineRule="auto" w:line="276"/>
      </w:pPr>
      <w:r>
        <w:rPr>
          <w:b/>
        </w:rPr>
        <w:t xml:space="preserve">Abstract: </w:t>
      </w:r>
      <w:r>
        <w:t>In this study, a series of motorized carbon nanohoops</w:t>
      </w:r>
      <w:r>
        <w:t xml:space="preserve"> </w:t>
      </w:r>
      <w:r>
        <w:t>M[8]CPP</w:t>
      </w:r>
      <w:r>
        <w:t xml:space="preserve"> </w:t>
      </w:r>
      <w:r>
        <w:t>,</w:t>
      </w:r>
      <w:r>
        <w:t xml:space="preserve"> </w:t>
      </w:r>
      <w:r>
        <w:t>M[9]CPP</w:t>
      </w:r>
      <w:r>
        <w:t xml:space="preserve"> </w:t>
      </w:r>
      <w:r>
        <w:t>and</w:t>
      </w:r>
      <w:r>
        <w:t xml:space="preserve"> </w:t>
      </w:r>
      <w:r>
        <w:t>M[11]CPP</w:t>
      </w:r>
      <w:r>
        <w:t xml:space="preserve"> </w:t>
      </w:r>
      <w:r>
        <w:t>are designed. Transient absorption (TA) spectra reveal these cyclic motors exhibit unprecedented acceleration of rotary speed upon incorporation into an all‐benzene macrocyclic stator, which is attributed to ring strain induced decrease of the steric hindrance at the fjord region. Especially,</w:t>
      </w:r>
      <w:r>
        <w:t xml:space="preserve"> </w:t>
      </w:r>
      <w:r>
        <w:t>M[8]CPP</w:t>
      </w:r>
      <w:r>
        <w:t xml:space="preserve"> </w:t>
      </w:r>
      <w:r>
        <w:t>realizes 10</w:t>
      </w:r>
      <w:r>
        <w:rPr>
          <w:vertAlign w:val="subscript"/>
        </w:rPr>
        <w:t>7</w:t>
      </w:r>
      <w:r>
        <w:t>‐fold increase of the rotation speed compared with the noncyclic motor. Such high rotation speed leads to the fluorescence quenching of the motorized carbon nanohoops. Interestingly,</w:t>
      </w:r>
      <w:r>
        <w:t xml:space="preserve"> </w:t>
      </w:r>
      <w:r>
        <w:t>M[11]CPP</w:t>
      </w:r>
      <w:r>
        <w:t xml:space="preserve"> </w:t>
      </w:r>
      <w:r>
        <w:t>possesses a rigid macrocyclic cavity, which can bind with C</w:t>
      </w:r>
      <w:r>
        <w:rPr>
          <w:vertAlign w:val="subscript"/>
        </w:rPr>
        <w:t>60</w:t>
      </w:r>
      <w:r>
        <w:t>and C</w:t>
      </w:r>
      <w:r>
        <w:rPr>
          <w:vertAlign w:val="subscript"/>
        </w:rPr>
        <w:t>70</w:t>
      </w:r>
      <w:r>
        <w:t>in 1:1 stoichiometric ratio. The formation of host–guest complexes decelerates the photo‐isomerization processes of</w:t>
      </w:r>
      <w:r>
        <w:t xml:space="preserve"> </w:t>
      </w:r>
      <w:r>
        <w:t>M[11]CPP</w:t>
      </w:r>
      <w:r>
        <w:t xml:space="preserve"> </w:t>
      </w:r>
      <w:r>
        <w:t>and achieves photo‐activated fluorescence emission of the host–guest systems. Furthermore, taking advantage of the intrinsic chirality of</w:t>
      </w:r>
      <w:r>
        <w:t xml:space="preserve"> </w:t>
      </w:r>
      <w:r>
        <w:t>M[11]CPP</w:t>
      </w:r>
      <w:r>
        <w:t xml:space="preserve"> </w:t>
      </w:r>
      <w:r>
        <w:t>, as well as the CH–</w:t>
      </w:r>
      <w:r>
        <w:t xml:space="preserve"> </w:t>
      </w:r>
      <w:r>
        <w:t>π</w:t>
      </w:r>
      <w:r>
        <w:t xml:space="preserve"> </w:t>
      </w:r>
      <w:r>
        <w:t>interactions between</w:t>
      </w:r>
      <w:r>
        <w:t xml:space="preserve"> </w:t>
      </w:r>
      <w:r>
        <w:t>M[11]CPP</w:t>
      </w:r>
      <w:r>
        <w:t xml:space="preserve"> </w:t>
      </w:r>
      <w:r>
        <w:t>and perylene, the chirality is transferred onto perylene, and circularly polarized luminescence is realized. This work not only provides a novel strategy for tuning the optical properties of cycloparaphenylenes through host–guest interactions but also demonstrates the potential of integrating molecular motors into macrocyclic systems to achieve dynamic control over molecular behavior.</w:t>
      </w:r>
    </w:p>
    <w:p>
      <w:pPr>
        <w:spacing w:before="120" w:after="120"/>
      </w:pPr>
      <w:r>
        <w:rPr>
          <w:sz w:val="18"/>
        </w:rPr>
        <w:t>——————————————————————————————————————————————————————————————————————</w:t>
      </w:r>
    </w:p>
    <w:p>
      <w:pPr>
        <w:spacing w:before="160" w:after="80" w:line="240" w:lineRule="auto"/>
      </w:pPr>
      <w:r>
        <w:rPr>
          <w:b/>
        </w:rPr>
        <w:t xml:space="preserve">[268] </w:t>
      </w:r>
      <w:hyperlink r:id="rId468">
        <w:r>
          <w:rPr>
            <w:color w:val="1155CC"/>
            <w:u w:val="single"/>
          </w:rPr>
          <w:t>Storage Failure Mechanism of Sodium‐Ion Full Cells: Unsteady Structural Transformation and Interfacial Chemical Reconstruction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2025-12-24 06:58:57+00:00</w:t>
      </w:r>
      <w:r>
        <w:t xml:space="preserve">    </w:t>
      </w:r>
      <w:r>
        <w:rPr>
          <w:b/>
        </w:rPr>
        <w:t xml:space="preserve">DOI: </w:t>
      </w:r>
      <w:hyperlink r:id="rId469">
        <w:r>
          <w:rPr>
            <w:color w:val="1155CC"/>
            <w:u w:val="single"/>
          </w:rPr>
          <w:t>10.1002/aenm.202506068</w:t>
        </w:r>
      </w:hyperlink>
    </w:p>
    <w:p>
      <w:pPr>
        <w:spacing w:before="0" w:after="120"/>
      </w:pPr>
      <w:r>
        <w:rPr>
          <w:b/>
        </w:rPr>
        <w:t xml:space="preserve">Notes: </w:t>
      </w:r>
      <w:r>
        <w:t>abstract_source=crossref</w:t>
      </w:r>
    </w:p>
    <w:p>
      <w:pPr>
        <w:spacing w:before="0" w:after="200" w:lineRule="auto" w:line="276"/>
      </w:pPr>
      <w:r>
        <w:rPr>
          <w:b/>
        </w:rPr>
        <w:t xml:space="preserve">Abstract: </w:t>
      </w:r>
      <w:r>
        <w:t>Resource‐rich sodium‐ion batteries (SIBs) stand as a highly promising energy storage alternative for large‐scale energy storage. Although research on their failure mechanisms and optimization under ideal conditions is relatively sufficient, studies on failure mechanisms under practical/harsh operating conditions (e.g., high‐temperature storage) remain severely insufficient, limiting safety improvement and commercialization. Combining multiple characterization techniques and electrochemical tests, this study reveals SIBs’ storage failure mechanism involving unsteady structural transformation and interfacial chemical evolution. The results show that the hard carbon anode exhibits significant extraction of Na⁺ and quasi‐sodium metal clusters—this greatly depletes the limited sodium source and is the primary cause of shortened service life; the anode interfacial layer undergoes repeated dissolution‐reformation, which disrupts ion transport channels and increases charge transfer impedance. The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cathode undergoes spontaneous Na⁺ intercalation (preferring bulk surfaces), and the stress induced by uneven Na⁺ distribution easily causes electrode particle cracking; increased oxygen vacancies and Mn reduction thicken the disordered rock‐salt phase, boosting Na⁺ diffusion resistance. Electrolyte decomposition forms a low‐modulus, low‐conductivity, organic‐rich cathode interfacial layer, exacerbating charge transfer impedance. This study clarifies the core mechanism of storage degradation in SIBs and provides key guidance for the selection and design of electrode materials for SIBs.</w:t>
      </w:r>
    </w:p>
    <w:p>
      <w:pPr>
        <w:spacing w:before="120" w:after="120"/>
      </w:pPr>
      <w:r>
        <w:rPr>
          <w:sz w:val="18"/>
        </w:rPr>
        <w:t>——————————————————————————————————————————————————————————————————————</w:t>
      </w:r>
    </w:p>
    <w:p>
      <w:pPr>
        <w:spacing w:before="160" w:after="80" w:line="240" w:lineRule="auto"/>
      </w:pPr>
      <w:r>
        <w:rPr>
          <w:b/>
        </w:rPr>
        <w:t xml:space="preserve">[269] </w:t>
      </w:r>
      <w:hyperlink r:id="rId470">
        <w:r>
          <w:rPr>
            <w:color w:val="1155CC"/>
            <w:u w:val="single"/>
          </w:rPr>
          <w:t>A Photoelectrocatalytic Platform for Sequence‐Unrestricted Modification of Oligonucleotide Backbones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06:59:21+00:00</w:t>
      </w:r>
      <w:r>
        <w:t xml:space="preserve">    </w:t>
      </w:r>
      <w:r>
        <w:rPr>
          <w:b/>
        </w:rPr>
        <w:t xml:space="preserve">DOI: </w:t>
      </w:r>
      <w:hyperlink r:id="rId471">
        <w:r>
          <w:rPr>
            <w:color w:val="1155CC"/>
            <w:u w:val="single"/>
          </w:rPr>
          <w:t>10.1002/anie.202524814</w:t>
        </w:r>
      </w:hyperlink>
    </w:p>
    <w:p>
      <w:pPr>
        <w:spacing w:before="0" w:after="120"/>
      </w:pPr>
      <w:r>
        <w:rPr>
          <w:b/>
        </w:rPr>
        <w:t xml:space="preserve">Notes: </w:t>
      </w:r>
      <w:r>
        <w:t>abstract_source=crossref</w:t>
      </w:r>
    </w:p>
    <w:p>
      <w:pPr>
        <w:spacing w:before="0" w:after="200" w:lineRule="auto" w:line="276"/>
      </w:pPr>
      <w:r>
        <w:rPr>
          <w:b/>
        </w:rPr>
        <w:t xml:space="preserve">Abstract: </w:t>
      </w:r>
      <w:r>
        <w:t>Oligonucleotide‐based therapeutics represent a transformative modality for treating genetic disorders, yet their clinical translation is often hindered by poor nuclease stability, limited cellular uptake, and sequence‐dependent toxicity. Chemical modification of the phosphodiester backbone is a central strategy to address these challenges. Among these, charge‐neutral alkyl phosphonate analogues featuring P─C linkages have attracted considerable attention for their potential to enhance stability and safety. However, general and programmable methods for site‐specific installation of diverse alkyl groups at the nonbridging oxygen position remain scarce, particularly for sterically demanding secondary and tertiary motifs. Herein, we report a modular photoelectrochemical strategy for direct alkyl modification of oligonucleotide backbones via radical‐mediated C(sp</w:t>
      </w:r>
      <w:r>
        <w:rPr>
          <w:vertAlign w:val="subscript"/>
        </w:rPr>
        <w:t>3</w:t>
      </w:r>
      <w:r>
        <w:t>)─P bond formation. This method harnesses the synergistic interplay of photoredox and electrochemical activation to generate alkyl radicals from simple carboxylic acids under mild conditions, thereby bypassing the need for highly reactive Grignard reagents or carbocation intermediates. The protocol accommodates a broad range of alkyl groups and is compatible with all canonical nucleobases, enabling sequence‐unrestricted diversification. The resulting alkylphosphonate dimers were transformed into phosphoramidite monomers and incorporated into oligonucleotides by automated solid‐phase synthesis. Biophysical and biochemical studies showed that these modifications preserve duplex hybridization while enhancing nuclease resistance. Notably, incorporation into the antisense drug Prexigebersen significantly enhanced anti‐leukemic efficacy in cellular and primary patient‐derived models, underscoring the translational potential of this strategy for next‐generation nucleic acid therapeutics.</w:t>
      </w:r>
    </w:p>
    <w:p>
      <w:pPr>
        <w:spacing w:before="120" w:after="120"/>
      </w:pPr>
      <w:r>
        <w:rPr>
          <w:sz w:val="18"/>
        </w:rPr>
        <w:t>——————————————————————————————————————————————————————————————————————</w:t>
      </w:r>
    </w:p>
    <w:p>
      <w:pPr>
        <w:spacing w:before="160" w:after="80" w:line="240" w:lineRule="auto"/>
      </w:pPr>
      <w:r>
        <w:rPr>
          <w:b/>
        </w:rPr>
        <w:t xml:space="preserve">[270] </w:t>
      </w:r>
      <w:hyperlink r:id="rId472">
        <w:r>
          <w:rPr>
            <w:color w:val="1155CC"/>
            <w:u w:val="single"/>
          </w:rPr>
          <w:t>Cellulose‐Based Solid‐State Electrolytes for Solid‐State Lithium Metal Batteries: Advances in Functionalization Strategies and Interfacial Engineering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2025-12-24 07:00:10+00:00</w:t>
      </w:r>
      <w:r>
        <w:t xml:space="preserve">    </w:t>
      </w:r>
      <w:r>
        <w:rPr>
          <w:b/>
        </w:rPr>
        <w:t xml:space="preserve">DOI: </w:t>
      </w:r>
      <w:hyperlink r:id="rId473">
        <w:r>
          <w:rPr>
            <w:color w:val="1155CC"/>
            <w:u w:val="single"/>
          </w:rPr>
          <w:t>10.1002/aenm.202504386</w:t>
        </w:r>
      </w:hyperlink>
    </w:p>
    <w:p>
      <w:pPr>
        <w:spacing w:before="0" w:after="120"/>
      </w:pPr>
      <w:r>
        <w:rPr>
          <w:b/>
        </w:rPr>
        <w:t xml:space="preserve">Notes: </w:t>
      </w:r>
      <w:r>
        <w:t>abstract_source=crossref</w:t>
      </w:r>
    </w:p>
    <w:p>
      <w:pPr>
        <w:spacing w:before="0" w:after="200" w:lineRule="auto" w:line="276"/>
      </w:pPr>
      <w:r>
        <w:rPr>
          <w:b/>
        </w:rPr>
        <w:t xml:space="preserve">Abstract: </w:t>
      </w:r>
      <w:r>
        <w:t>Cellulose‐based solid‐state electrolytes (CBSEs) exhibit unique potential in addressing the interfacial stability and safety challenges of high‐energy‐density solid‐state lithium metal batteries (SSLMBs) due to their renewable properties, tunable hierarchical structures, and eco‐friendly advantages. This review focuses on the preparation strategies, functional design, and battery performance optimization mechanisms of CBSEs, systematically reviewing their research progress and challenges. First, we elucidate the structure–performance relationship based on six typical preparation methods, detailing the construction of microstructures and their electrochemical performance. Second, the multi‐scale interfacial stabilization mechanisms are revealed through the design of cellulose dimensions and structural regulation. Furthermore, we explore performance optimization strategies for CBSEs in the context of SSLMBs, proposing solutions to electrolyte material and structural design as well as interfacial issues. Finally, we point out future research directions that should focus on the analysis of multi‐scale mass transmission mechanisms, the design of wide temperature adaptability, and the development of scalable manufacturing processes. We emphasize the potential of CBSEs in compatibility with high‐voltage cathodes and closed‐loop recycling systems. This review provides a theoretical framework and technical pathway for constructing safe and sustainable next‐generation SSLMBs.</w:t>
      </w:r>
    </w:p>
    <w:p>
      <w:pPr>
        <w:spacing w:before="120" w:after="120"/>
      </w:pPr>
      <w:r>
        <w:rPr>
          <w:sz w:val="18"/>
        </w:rPr>
        <w:t>——————————————————————————————————————————————————————————————————————</w:t>
      </w:r>
    </w:p>
    <w:p>
      <w:pPr>
        <w:spacing w:before="160" w:after="80" w:line="240" w:lineRule="auto"/>
      </w:pPr>
      <w:r>
        <w:rPr>
          <w:b/>
        </w:rPr>
        <w:t xml:space="preserve">[271] </w:t>
      </w:r>
      <w:hyperlink r:id="rId474">
        <w:r>
          <w:rPr>
            <w:color w:val="1155CC"/>
            <w:u w:val="single"/>
          </w:rPr>
          <w:t>A Convergent Hybrid Gram‐Scale Synthesis of Tirzepatide: Tangential Flow Filtration Assisted Native Chemical Ligation‐Desulfurization Approach</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07:00:42+00:00</w:t>
      </w:r>
      <w:r>
        <w:t xml:space="preserve">    </w:t>
      </w:r>
      <w:r>
        <w:rPr>
          <w:b/>
        </w:rPr>
        <w:t xml:space="preserve">DOI: </w:t>
      </w:r>
      <w:hyperlink r:id="rId475">
        <w:r>
          <w:rPr>
            <w:color w:val="1155CC"/>
            <w:u w:val="single"/>
          </w:rPr>
          <w:t>10.1002/anie.202520060</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scalable and efficient manufacturing of high‐volume complex synthetic peptides and proteins, like tirzepatide (TZP, 1), faces major hurdles due to the limitations of traditional Solid Phase Peptide Synthesis (SPPS) and Liquid Phase Peptide Synthesis (LPPS). To enable the commercial synthesis of tirzepatide, we pioneered an innovative four‐fragment convergent hybrid SPPS/LPPS strategy combining their individual strengths. Integrating advanced techniques, like flow chemistry for fragment condensation and nanofiltration for intermediate purification, ensures high efficiency and scalability, setting a new standard for large‐scale production. Given the broader reliance on inefficient linear SPPS in the field, our work underscores the potential of hybrid synthesis strategies to transform peptide manufacturing. The convergent approach allows for the simultaneous synthesis of high purity peptide fragments, significantly reducing overall manufacturing time and increasing API throughput. Concurrently, we established a two‐fragment route leveraging Native Chemical Ligation (NCL) followed by tandem desulfurization. This method achieves the chemoselective coupling of unprotected peptide fragments in aqueous media, without epimerization. Crucially, we employed tangential flow filtration (TFF) to effectively purify intermediates between ligation and desulfurization, circumventing solvent‐intensive steps. This NCL/TFF combination offers a powerful, orthogonal, and greener path to TZP, representing a meaningful innovation in synthetic peptide process chemistry.</w:t>
      </w:r>
    </w:p>
    <w:p>
      <w:pPr>
        <w:spacing w:before="120" w:after="120"/>
      </w:pPr>
      <w:r>
        <w:rPr>
          <w:sz w:val="18"/>
        </w:rPr>
        <w:t>——————————————————————————————————————————————————————————————————————</w:t>
      </w:r>
    </w:p>
    <w:p>
      <w:pPr>
        <w:spacing w:before="160" w:after="80" w:line="240" w:lineRule="auto"/>
      </w:pPr>
      <w:r>
        <w:rPr>
          <w:b/>
        </w:rPr>
        <w:t xml:space="preserve">[272] </w:t>
      </w:r>
      <w:hyperlink r:id="rId476">
        <w:r>
          <w:rPr>
            <w:color w:val="1155CC"/>
            <w:u w:val="single"/>
          </w:rPr>
          <w:t>Low‐Concentration Electrolytes Based on Weakly Coordinating Anions for Applications in Lithium‐Ion‐Batteries and Lithium‐Metal‐Batteries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07:00:44+00:00</w:t>
      </w:r>
      <w:r>
        <w:t xml:space="preserve">    </w:t>
      </w:r>
      <w:r>
        <w:rPr>
          <w:b/>
        </w:rPr>
        <w:t xml:space="preserve">DOI: </w:t>
      </w:r>
      <w:hyperlink r:id="rId477">
        <w:r>
          <w:rPr>
            <w:color w:val="1155CC"/>
            <w:u w:val="single"/>
          </w:rPr>
          <w:t>10.1002/anie.202523246</w:t>
        </w:r>
      </w:hyperlink>
    </w:p>
    <w:p>
      <w:pPr>
        <w:spacing w:before="0" w:after="120"/>
      </w:pPr>
      <w:r>
        <w:rPr>
          <w:b/>
        </w:rPr>
        <w:t xml:space="preserve">Notes: </w:t>
      </w:r>
      <w:r>
        <w:t>abstract_source=crossref</w:t>
      </w:r>
    </w:p>
    <w:p>
      <w:pPr>
        <w:spacing w:before="0" w:after="200" w:lineRule="auto" w:line="276"/>
      </w:pPr>
      <w:r>
        <w:rPr>
          <w:b/>
        </w:rPr>
        <w:t xml:space="preserve">Abstract: </w:t>
      </w:r>
      <w:r>
        <w:t>0.2 M Low Concentration Electrolytes (LCEs) for lithium‐based batteries formed from lithium salts with very weakly coordinating anions, i.e., the aluminate Li[Al{OC(CF</w:t>
      </w:r>
      <w:r>
        <w:rPr>
          <w:vertAlign w:val="subscript"/>
        </w:rPr>
        <w:t>3</w:t>
      </w:r>
      <w:r>
        <w:t>)</w:t>
      </w:r>
      <w:r>
        <w:rPr>
          <w:vertAlign w:val="subscript"/>
        </w:rPr>
        <w:t>3</w:t>
      </w:r>
      <w:r>
        <w:t>}</w:t>
      </w:r>
      <w:r>
        <w:rPr>
          <w:vertAlign w:val="subscript"/>
        </w:rPr>
        <w:t>4</w:t>
      </w:r>
      <w:r>
        <w:t>] and the gallate Li[Ga(C</w:t>
      </w:r>
      <w:r>
        <w:rPr>
          <w:vertAlign w:val="subscript"/>
        </w:rPr>
        <w:t>2</w:t>
      </w:r>
      <w:r>
        <w:t>F</w:t>
      </w:r>
      <w:r>
        <w:rPr>
          <w:vertAlign w:val="subscript"/>
        </w:rPr>
        <w:t>5</w:t>
      </w:r>
      <w:r>
        <w:t>)</w:t>
      </w:r>
      <w:r>
        <w:rPr>
          <w:vertAlign w:val="subscript"/>
        </w:rPr>
        <w:t>4</w:t>
      </w:r>
      <w:r>
        <w:t>] in</w:t>
      </w:r>
      <w:r>
        <w:t xml:space="preserve"> </w:t>
      </w:r>
      <w:r>
        <w:t>ortho</w:t>
      </w:r>
      <w:r>
        <w:t xml:space="preserve"> </w:t>
      </w:r>
      <w:r>
        <w:t>‐difluorobenzene (</w:t>
      </w:r>
      <w:r>
        <w:t xml:space="preserve"> </w:t>
      </w:r>
      <w:r>
        <w:t>o</w:t>
      </w:r>
      <w:r>
        <w:t xml:space="preserve"> </w:t>
      </w:r>
      <w:r>
        <w:t>‐DFB), showed competitive conductivity to classical electrolytes of up to 5.0 mS cm</w:t>
      </w:r>
      <w:r>
        <w:t xml:space="preserve"> </w:t>
      </w:r>
      <w:r>
        <w:t>−1</w:t>
      </w:r>
      <w:r>
        <w:t xml:space="preserve"> </w:t>
      </w:r>
      <w:r>
        <w:t>at 25 °C combined with electrochemical stability at least up to 4.5 V vs. Li/Li</w:t>
      </w:r>
      <w:r>
        <w:t xml:space="preserve"> </w:t>
      </w:r>
      <w:r>
        <w:t>+</w:t>
      </w:r>
      <w:r>
        <w:t xml:space="preserve"> </w:t>
      </w:r>
      <w:r>
        <w:t>. Given that a stoichiometric amount of 2 equivalents dimethoxyethane (DME) per lithium ion (as Li</w:t>
      </w:r>
      <w:r>
        <w:t xml:space="preserve"> </w:t>
      </w:r>
      <w:r>
        <w:t>+</w:t>
      </w:r>
      <w:r>
        <w:t xml:space="preserve"> </w:t>
      </w:r>
      <w:r>
        <w:t>complexing agent) and 2 wt.% fluoroethylene carbonate (as solid electrolyte interphase (SEI) former) were present in the LCEs, half and full‐cell measurements confirmed stable LCE cycling over 300 cycles in Lithium‐Ion‐Batteries. Even at high currents (5C), the discharge retained two thirds of the practical 1C capacities of NMC622. By contrast, a LCE made from 0.2 M LiPF</w:t>
      </w:r>
      <w:r>
        <w:rPr>
          <w:vertAlign w:val="subscript"/>
        </w:rPr>
        <w:t>6</w:t>
      </w:r>
      <w:r>
        <w:t>in EC/EMC 3:7 solution already led at a 2C rate to cell death, while a simple switch of the conducting salt to 0.2 M Li[Al{OC(CF</w:t>
      </w:r>
      <w:r>
        <w:rPr>
          <w:vertAlign w:val="subscript"/>
        </w:rPr>
        <w:t>3</w:t>
      </w:r>
      <w:r>
        <w:t>)</w:t>
      </w:r>
      <w:r>
        <w:rPr>
          <w:vertAlign w:val="subscript"/>
        </w:rPr>
        <w:t>3</w:t>
      </w:r>
      <w:r>
        <w:t>}</w:t>
      </w:r>
      <w:r>
        <w:rPr>
          <w:vertAlign w:val="subscript"/>
        </w:rPr>
        <w:t>4</w:t>
      </w:r>
      <w:r>
        <w:t>] led to stable cycling including rate tests for over 300 cycles and approached closely the values of the standard 1.0 M LiPF</w:t>
      </w:r>
      <w:r>
        <w:rPr>
          <w:vertAlign w:val="subscript"/>
        </w:rPr>
        <w:t>6</w:t>
      </w:r>
      <w:r>
        <w:t>electrolyte in EC/EMC 3:7 – attributed to the anions’ stability. The performance of the aluminate LCE was further evaluated in symmetrical Li‐Li cells and Lithium‐Metal‐Batteries containing 48 µm thin Lithium‐Metal‐Anodes (LMAs): LCEs improved the cell's lifetime by a factor of 3–6 at a current density of 1 mA cm</w:t>
      </w:r>
      <w:r>
        <w:t xml:space="preserve"> </w:t>
      </w:r>
      <w:r>
        <w:t>−2</w:t>
      </w:r>
      <w:r>
        <w:t xml:space="preserve"> </w:t>
      </w:r>
      <w:r>
        <w:t>. Scanning electron microscope/energy‐dispersive X‐ray and potentiostatic electrochemical impedance spectroscopy measurements confirmed the exceptional stabilization of the LMAs by the aluminate LCE throughout the cycling, especially when combined with an artificial, adaptive and self‐healing SEI based on Li[PO</w:t>
      </w:r>
      <w:r>
        <w:rPr>
          <w:vertAlign w:val="subscript"/>
        </w:rPr>
        <w:t>2</w:t>
      </w:r>
      <w:r>
        <w:t>(OCH</w:t>
      </w:r>
      <w:r>
        <w:rPr>
          <w:vertAlign w:val="subscript"/>
        </w:rPr>
        <w:t>2</w:t>
      </w:r>
      <w:r>
        <w:t>CF</w:t>
      </w:r>
      <w:r>
        <w:rPr>
          <w:vertAlign w:val="subscript"/>
        </w:rPr>
        <w:t>3</w:t>
      </w:r>
      <w:r>
        <w:t>)</w:t>
      </w:r>
      <w:r>
        <w:rPr>
          <w:vertAlign w:val="subscript"/>
        </w:rPr>
        <w:t>2</w:t>
      </w:r>
      <w:r>
        <w:t>]. The solvation structure of standard and LCEs was investigated by NMR spectroscopic diffusion measurements and quantum chemical calculations. A three‐to‐fourfold increased Li ion mobility was found in LCEs compared to the system with 0.2 M LiPF</w:t>
      </w:r>
      <w:r>
        <w:rPr>
          <w:vertAlign w:val="subscript"/>
        </w:rPr>
        <w:t>6</w:t>
      </w:r>
      <w:r>
        <w:t>in standard carbonate solution. The presence of stable and compact Li(DME)</w:t>
      </w:r>
      <w:r>
        <w:rPr>
          <w:vertAlign w:val="subscript"/>
        </w:rPr>
        <w:t>2</w:t>
      </w:r>
      <w:r>
        <w:t>+</w:t>
      </w:r>
      <w:r>
        <w:t xml:space="preserve"> </w:t>
      </w:r>
      <w:r>
        <w:t>structures as moving ions was shown and the relevance of Li</w:t>
      </w:r>
      <w:r>
        <w:t xml:space="preserve"> </w:t>
      </w:r>
      <w:r>
        <w:t>+</w:t>
      </w:r>
      <w:r>
        <w:t xml:space="preserve"> </w:t>
      </w:r>
      <w:r>
        <w:t>ions solvated with fluoro‐ethylene carbonate or</w:t>
      </w:r>
      <w:r>
        <w:t xml:space="preserve"> </w:t>
      </w:r>
      <w:r>
        <w:t>o</w:t>
      </w:r>
      <w:r>
        <w:t xml:space="preserve"> </w:t>
      </w:r>
      <w:r>
        <w:t>‐DFB for SEI‐formation is discussed.</w:t>
      </w:r>
    </w:p>
    <w:p>
      <w:pPr>
        <w:spacing w:before="120" w:after="120"/>
      </w:pPr>
      <w:r>
        <w:rPr>
          <w:sz w:val="18"/>
        </w:rPr>
        <w:t>——————————————————————————————————————————————————————————————————————</w:t>
      </w:r>
    </w:p>
    <w:p>
      <w:pPr>
        <w:spacing w:before="160" w:after="80" w:line="240" w:lineRule="auto"/>
      </w:pPr>
      <w:r>
        <w:rPr>
          <w:b/>
        </w:rPr>
        <w:t xml:space="preserve">[273] </w:t>
      </w:r>
      <w:hyperlink r:id="rId478">
        <w:r>
          <w:rPr>
            <w:color w:val="1155CC"/>
            <w:u w:val="single"/>
          </w:rPr>
          <w:t>Sensitized Disequilibration of Water‐Soluble Azopolymers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07:02:01+00:00</w:t>
      </w:r>
      <w:r>
        <w:t xml:space="preserve">    </w:t>
      </w:r>
      <w:r>
        <w:rPr>
          <w:b/>
        </w:rPr>
        <w:t xml:space="preserve">DOI: </w:t>
      </w:r>
      <w:hyperlink r:id="rId479">
        <w:r>
          <w:rPr>
            <w:color w:val="1155CC"/>
            <w:u w:val="single"/>
          </w:rPr>
          <w:t>10.1002/anie.202523447</w:t>
        </w:r>
      </w:hyperlink>
    </w:p>
    <w:p>
      <w:pPr>
        <w:spacing w:before="0" w:after="120"/>
      </w:pPr>
      <w:r>
        <w:rPr>
          <w:b/>
        </w:rPr>
        <w:t xml:space="preserve">Notes: </w:t>
      </w:r>
      <w:r>
        <w:t>abstract_source=crossref</w:t>
      </w:r>
    </w:p>
    <w:p>
      <w:pPr>
        <w:spacing w:before="0" w:after="200" w:lineRule="auto" w:line="276"/>
      </w:pPr>
      <w:r>
        <w:rPr>
          <w:b/>
        </w:rPr>
        <w:t xml:space="preserve">Abstract: </w:t>
      </w:r>
      <w:r>
        <w:t>Photo‐responsive systems based on azobenzenes usually require UV light for</w:t>
      </w:r>
      <w:r>
        <w:t xml:space="preserve"> </w:t>
      </w:r>
      <w:r>
        <w:t>E</w:t>
      </w:r>
      <w:r>
        <w:t xml:space="preserve"> </w:t>
      </w:r>
      <w:r>
        <w:t>→</w:t>
      </w:r>
      <w:r>
        <w:t xml:space="preserve"> </w:t>
      </w:r>
      <w:r>
        <w:t>Z</w:t>
      </w:r>
      <w:r>
        <w:t xml:space="preserve"> </w:t>
      </w:r>
      <w:r>
        <w:t>isomerization, limiting their applicability, especially in biomedical contexts. Disequilibration by sensitization of azobenzene under confinement (DESC) has recently emerged as a supramolecular strategy to bypass this limitation without the need to derivatize the azobenzene scaffold. Here, we expand DESC to water‐soluble azopolymers obtained by RAFT polymerization and systematically investigate the interplay between the polymer structure and DESC efficiency. Using this approach, we achieved as much as 85% of the direct photoexcitation (UV) switching efficiency, while utilizing low‐energy (yellow) light. These results establish general design principles for combining DESC with polymeric systems, opening new opportunities for the development of functional materials driven with low‐energy light.</w:t>
      </w:r>
    </w:p>
    <w:p>
      <w:pPr>
        <w:spacing w:before="120" w:after="120"/>
      </w:pPr>
      <w:r>
        <w:rPr>
          <w:sz w:val="18"/>
        </w:rPr>
        <w:t>——————————————————————————————————————————————————————————————————————</w:t>
      </w:r>
    </w:p>
    <w:p>
      <w:pPr>
        <w:spacing w:before="160" w:after="80" w:line="240" w:lineRule="auto"/>
      </w:pPr>
      <w:r>
        <w:rPr>
          <w:b/>
        </w:rPr>
        <w:t xml:space="preserve">[274] </w:t>
      </w:r>
      <w:hyperlink r:id="rId480">
        <w:r>
          <w:rPr>
            <w:color w:val="1155CC"/>
            <w:u w:val="single"/>
          </w:rPr>
          <w:t>Dynamic Metal‐Organic Tube Isomers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07:07:57+00:00</w:t>
      </w:r>
      <w:r>
        <w:t xml:space="preserve">    </w:t>
      </w:r>
      <w:r>
        <w:rPr>
          <w:b/>
        </w:rPr>
        <w:t xml:space="preserve">DOI: </w:t>
      </w:r>
      <w:hyperlink r:id="rId481">
        <w:r>
          <w:rPr>
            <w:color w:val="1155CC"/>
            <w:u w:val="single"/>
          </w:rPr>
          <w:t>10.1002/anie.202518872</w:t>
        </w:r>
      </w:hyperlink>
    </w:p>
    <w:p>
      <w:pPr>
        <w:spacing w:before="0" w:after="120"/>
      </w:pPr>
      <w:r>
        <w:rPr>
          <w:b/>
        </w:rPr>
        <w:t xml:space="preserve">Notes: </w:t>
      </w:r>
      <w:r>
        <w:t>abstract_source=crossref</w:t>
      </w:r>
    </w:p>
    <w:p>
      <w:pPr>
        <w:spacing w:before="0" w:after="200" w:lineRule="auto" w:line="276"/>
      </w:pPr>
      <w:r>
        <w:rPr>
          <w:b/>
        </w:rPr>
        <w:t xml:space="preserve">Abstract: </w:t>
      </w:r>
      <w:r>
        <w:t>Preparing artificial assemblies that can achieve multi‐stimuli‐responsive and multi‐level transformations remains a huge challenge. Here, a pair of dynamic metal‐organic tube isomers was prepared from a ligand with multiple coordination modes and flexible conformations. They can undergo multi‐level transformations in response to different types of stimuli, including conformational isomerization driven by physical factors (e.g., concentration, temperature, and polarity), adaptive deformations driven by neutral guests, adaptive reconstructions induced by anionic templates. Notably, the guest‐driven deformed tubes can continue to undergo reconstruction induced by the PF</w:t>
      </w:r>
      <w:r>
        <w:rPr>
          <w:vertAlign w:val="subscript"/>
        </w:rPr>
        <w:t>6</w:t>
      </w:r>
      <w:r>
        <w:t>−</w:t>
      </w:r>
      <w:r>
        <w:t>template, and DMSO can simultaneously serve as a physical factor and a chemical template to continuously regulate isomerization and reconstruction of the dynamic tube. The dynamic tube can be used to regulate the stacking modes of encapsulated 1‐formylpyrene and 1‐acetylpyrene through adaptive deformations, thereby generating stable guest radicals, enhancing guest fluorescence and achieving white light emission.</w:t>
      </w:r>
    </w:p>
    <w:p>
      <w:pPr>
        <w:spacing w:before="120" w:after="120"/>
      </w:pPr>
      <w:r>
        <w:rPr>
          <w:sz w:val="18"/>
        </w:rPr>
        <w:t>——————————————————————————————————————————————————————————————————————</w:t>
      </w:r>
    </w:p>
    <w:p>
      <w:pPr>
        <w:spacing w:before="160" w:after="80" w:line="240" w:lineRule="auto"/>
      </w:pPr>
      <w:r>
        <w:rPr>
          <w:b/>
        </w:rPr>
        <w:t xml:space="preserve">[275] </w:t>
      </w:r>
      <w:hyperlink r:id="rId482">
        <w:r>
          <w:rPr>
            <w:color w:val="1155CC"/>
            <w:u w:val="single"/>
          </w:rPr>
          <w:t>Hyperquaternized Biomass‐Derived Solid Electrolytes: Architecting Superionic Conduction for Sustainable Flexible Zinc‐Air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2025-12-24 07:08:52+00:00</w:t>
      </w:r>
      <w:r>
        <w:t xml:space="preserve">    </w:t>
      </w:r>
      <w:r>
        <w:rPr>
          <w:b/>
        </w:rPr>
        <w:t xml:space="preserve">DOI: </w:t>
      </w:r>
      <w:hyperlink r:id="rId483">
        <w:r>
          <w:rPr>
            <w:color w:val="1155CC"/>
            <w:u w:val="single"/>
          </w:rPr>
          <w:t>10.1002/aenm.202505711</w:t>
        </w:r>
      </w:hyperlink>
    </w:p>
    <w:p>
      <w:pPr>
        <w:spacing w:before="0" w:after="120"/>
      </w:pPr>
      <w:r>
        <w:rPr>
          <w:b/>
        </w:rPr>
        <w:t xml:space="preserve">Notes: </w:t>
      </w:r>
      <w:r>
        <w:t>abstract_source=crossref</w:t>
      </w:r>
    </w:p>
    <w:p>
      <w:pPr>
        <w:spacing w:before="0" w:after="200" w:lineRule="auto" w:line="276"/>
      </w:pPr>
      <w:r>
        <w:rPr>
          <w:b/>
        </w:rPr>
        <w:t xml:space="preserve">Abstract: </w:t>
      </w:r>
      <w:r>
        <w:t>Flexible zinc‐air batteries are pivotal next‐generation energy storage solutions but face critical solid‐state electrolyte challenges: resource scarcity, low ionic conductivity (&amp;lt;0.05 S cm</w:t>
      </w:r>
      <w:r>
        <w:t xml:space="preserve"> </w:t>
      </w:r>
      <w:r>
        <w:t>−1</w:t>
      </w:r>
      <w:r>
        <w:t xml:space="preserve"> </w:t>
      </w:r>
      <w:r>
        <w:t>), and poor cycling stability (&amp;lt;100 h). Urgently needed are sustainable electrolytes combining high ion transport, material abundance, and durability. This study develops a chitosan (CS)‐based membrane with exceptional quaternization (109%), biodegradability, and superionic conductivity (0.196 S cm</w:t>
      </w:r>
      <w:r>
        <w:t xml:space="preserve"> </w:t>
      </w:r>
      <w:r>
        <w:t>−1</w:t>
      </w:r>
      <w:r>
        <w:t xml:space="preserve"> </w:t>
      </w:r>
      <w:r>
        <w:t>at 25°C). Simulations reveal hydroxide ion (OH</w:t>
      </w:r>
      <w:r>
        <w:t xml:space="preserve"> </w:t>
      </w:r>
      <w:r>
        <w:t>−</w:t>
      </w:r>
      <w:r>
        <w:t>) transport follows the Grotthuss mechanism, with a supplementary contribution from the vehicle mechanism. The resulting solid‐state battery achieves a stable 1.2 V discharge plateau at 10 mA cm</w:t>
      </w:r>
      <w:r>
        <w:t xml:space="preserve"> </w:t>
      </w:r>
      <w:r>
        <w:t>−2</w:t>
      </w:r>
      <w:r>
        <w:t xml:space="preserve"> </w:t>
      </w:r>
      <w:r>
        <w:t>, 90 mW cm</w:t>
      </w:r>
      <w:r>
        <w:t xml:space="preserve"> </w:t>
      </w:r>
      <w:r>
        <w:t>−2</w:t>
      </w:r>
      <w:r>
        <w:t xml:space="preserve"> </w:t>
      </w:r>
      <w:r>
        <w:t>peak power density, and 6000‐min cycle life. Crucially, the biomass‐derived membrane degrades fully within 9 weeks, yielding N/K/Zn‐rich residues as eco‐fertilizers—validating a closed‐loop “energy‐storage‐to‐nutrient” pathway. This work advances highly quaternized chitosan electrolytes, delivering record conductivity and lifecycle sustainability while enhancing zinc‐air battery performance and environmental compatibility.</w:t>
      </w:r>
    </w:p>
    <w:p>
      <w:pPr>
        <w:spacing w:before="120" w:after="120"/>
      </w:pPr>
      <w:r>
        <w:rPr>
          <w:sz w:val="18"/>
        </w:rPr>
        <w:t>——————————————————————————————————————————————————————————————————————</w:t>
      </w:r>
    </w:p>
    <w:p>
      <w:pPr>
        <w:spacing w:before="160" w:after="80" w:line="240" w:lineRule="auto"/>
      </w:pPr>
      <w:r>
        <w:rPr>
          <w:b/>
        </w:rPr>
        <w:t xml:space="preserve">[276] </w:t>
      </w:r>
      <w:hyperlink r:id="rId484">
        <w:r>
          <w:rPr>
            <w:color w:val="1155CC"/>
            <w:u w:val="single"/>
          </w:rPr>
          <w:t>Ampere‐Level Membrane‐Free Bipolar Ammonia Electrosynthesis with Faradaic Efficiency Exceeding 100% on a Surface‐Reconstructed NiFe‐Hydroxide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07:10:48+00:00</w:t>
      </w:r>
      <w:r>
        <w:t xml:space="preserve">    </w:t>
      </w:r>
      <w:r>
        <w:rPr>
          <w:b/>
        </w:rPr>
        <w:t xml:space="preserve">DOI: </w:t>
      </w:r>
      <w:hyperlink r:id="rId485">
        <w:r>
          <w:rPr>
            <w:color w:val="1155CC"/>
            <w:u w:val="single"/>
          </w:rPr>
          <w:t>10.1002/anie.202521629</w:t>
        </w:r>
      </w:hyperlink>
    </w:p>
    <w:p>
      <w:pPr>
        <w:spacing w:before="0" w:after="120"/>
      </w:pPr>
      <w:r>
        <w:rPr>
          <w:b/>
        </w:rPr>
        <w:t xml:space="preserve">Notes: </w:t>
      </w:r>
      <w:r>
        <w:t>abstract_source=crossref</w:t>
      </w:r>
    </w:p>
    <w:p>
      <w:pPr>
        <w:spacing w:before="0" w:after="200" w:lineRule="auto" w:line="276"/>
      </w:pPr>
      <w:r>
        <w:rPr>
          <w:b/>
        </w:rPr>
        <w:t xml:space="preserve">Abstract: </w:t>
      </w:r>
      <w:r>
        <w:t>Awaking the force of materials for specific efficacy by precise electronic modulation remains a fundamental challenge in catalysis. Herein, we transform ordinary NiFe‐layered double hydroxide (NiFe‐LDH) into a high‐performance NO</w:t>
      </w:r>
      <w:r>
        <w:rPr>
          <w:vertAlign w:val="subscript"/>
        </w:rPr>
        <w:t>3</w:t>
      </w:r>
      <w:r>
        <w:t>−</w:t>
      </w:r>
      <w:r>
        <w:t>‐to‐NH</w:t>
      </w:r>
      <w:r>
        <w:rPr>
          <w:vertAlign w:val="subscript"/>
        </w:rPr>
        <w:t>3</w:t>
      </w:r>
      <w:r>
        <w:t>electrocatalyst via cathodic electrochemical restructuring, which effectively induces oxygen vacancy (O</w:t>
      </w:r>
      <w:r>
        <w:t xml:space="preserve"> </w:t>
      </w:r>
      <w:r>
        <w:t>v</w:t>
      </w:r>
      <w:r>
        <w:t xml:space="preserve"> </w:t>
      </w:r>
      <w:r>
        <w:t>) clusters preferentially localized around low‐valence Ni sites. The resultant restructured NiFe‐LDH (NiFe‐LDH‐R) demonstrates excellent concentration‐universal NH</w:t>
      </w:r>
      <w:r>
        <w:rPr>
          <w:vertAlign w:val="subscript"/>
        </w:rPr>
        <w:t>3</w:t>
      </w:r>
      <w:r>
        <w:t>electrosynthesis activity in 1 M KOH, notably sustaining high Faradaic efficiencies (FEs, 88.5%–95%) across a broad potential range and attaining an ampere‐level current density (−1.46 A cm</w:t>
      </w:r>
      <w:r>
        <w:t xml:space="preserve"> </w:t>
      </w:r>
      <w:r>
        <w:t>−2</w:t>
      </w:r>
      <w:r>
        <w:t xml:space="preserve"> </w:t>
      </w:r>
      <w:r>
        <w:t>) together with a remarkable yield rate of 104.1 mg</w:t>
      </w:r>
      <w:r>
        <w:t xml:space="preserve"> </w:t>
      </w:r>
      <w:r>
        <w:t>NH3</w:t>
      </w:r>
      <w:r>
        <w:t xml:space="preserve"> </w:t>
      </w:r>
      <w:r>
        <w:t>h</w:t>
      </w:r>
      <w:r>
        <w:t xml:space="preserve"> </w:t>
      </w:r>
      <w:r>
        <w:t>−1</w:t>
      </w:r>
      <w:r>
        <w:t xml:space="preserve"> </w:t>
      </w:r>
      <w:r>
        <w:t>cm</w:t>
      </w:r>
      <w:r>
        <w:t xml:space="preserve"> </w:t>
      </w:r>
      <w:r>
        <w:t>−2</w:t>
      </w:r>
      <w:r>
        <w:t xml:space="preserve"> </w:t>
      </w:r>
      <w:r>
        <w:t>. In situ spectroscopic analyses reveal boosted hydrogenation kinetics and a thermodynamically favorable NOH pathway for NiFe‐LDH‐R, which is further decoded by theoretical calculations indicating that synergized O</w:t>
      </w:r>
      <w:r>
        <w:t xml:space="preserve"> </w:t>
      </w:r>
      <w:r>
        <w:t>v</w:t>
      </w:r>
      <w:r>
        <w:t xml:space="preserve"> </w:t>
      </w:r>
      <w:r>
        <w:t>/Fe and low‐valence Ni sites, respectively enhance NO</w:t>
      </w:r>
      <w:r>
        <w:rPr>
          <w:vertAlign w:val="subscript"/>
        </w:rPr>
        <w:t>3</w:t>
      </w:r>
      <w:r>
        <w:t>−</w:t>
      </w:r>
      <w:r>
        <w:t>adsorption and directional active hydrogen (*H) supply, thus streamlining overall energy barriers. Moreover, a new‐style membrane‐free bipolar electrosynthesis system is established, which enables unprecedent NH</w:t>
      </w:r>
      <w:r>
        <w:rPr>
          <w:vertAlign w:val="subscript"/>
        </w:rPr>
        <w:t>3</w:t>
      </w:r>
      <w:r>
        <w:t>FEs exceeding 100% and scalable NH</w:t>
      </w:r>
      <w:r>
        <w:rPr>
          <w:vertAlign w:val="subscript"/>
        </w:rPr>
        <w:t>3</w:t>
      </w:r>
      <w:r>
        <w:t>valorization into 4.1 g of methenamine. This study rekindles power of electrochemical restructuring in catalyst advance and pioneers a new paradigm for energy‐efficient electrochemical NH</w:t>
      </w:r>
      <w:r>
        <w:rPr>
          <w:vertAlign w:val="subscript"/>
        </w:rPr>
        <w:t>3</w:t>
      </w:r>
      <w:r>
        <w:t>production and fixation.</w:t>
      </w:r>
    </w:p>
    <w:p>
      <w:pPr>
        <w:spacing w:before="120" w:after="120"/>
      </w:pPr>
      <w:r>
        <w:rPr>
          <w:sz w:val="18"/>
        </w:rPr>
        <w:t>——————————————————————————————————————————————————————————————————————</w:t>
      </w:r>
    </w:p>
    <w:p>
      <w:pPr>
        <w:spacing w:before="160" w:after="80" w:line="240" w:lineRule="auto"/>
      </w:pPr>
      <w:r>
        <w:rPr>
          <w:b/>
        </w:rPr>
        <w:t xml:space="preserve">[277] </w:t>
      </w:r>
      <w:hyperlink r:id="rId486">
        <w:r>
          <w:rPr>
            <w:color w:val="1155CC"/>
            <w:u w:val="single"/>
          </w:rPr>
          <w:t>Interfacial Charge Orchestration for Durable Aqueous Zn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07:10:52+00:00</w:t>
      </w:r>
      <w:r>
        <w:t xml:space="preserve">    </w:t>
      </w:r>
      <w:r>
        <w:rPr>
          <w:b/>
        </w:rPr>
        <w:t xml:space="preserve">DOI: </w:t>
      </w:r>
      <w:hyperlink r:id="rId487">
        <w:r>
          <w:rPr>
            <w:color w:val="1155CC"/>
            <w:u w:val="single"/>
          </w:rPr>
          <w:t>10.1002/anie.202523672</w:t>
        </w:r>
      </w:hyperlink>
    </w:p>
    <w:p>
      <w:pPr>
        <w:spacing w:before="0" w:after="120"/>
      </w:pPr>
      <w:r>
        <w:rPr>
          <w:b/>
        </w:rPr>
        <w:t xml:space="preserve">Notes: </w:t>
      </w:r>
      <w:r>
        <w:t>abstract_source=crossref</w:t>
      </w:r>
    </w:p>
    <w:p>
      <w:pPr>
        <w:spacing w:before="0" w:after="200" w:lineRule="auto" w:line="276"/>
      </w:pPr>
      <w:r>
        <w:rPr>
          <w:b/>
        </w:rPr>
        <w:t xml:space="preserve">Abstract: </w:t>
      </w:r>
      <w:r>
        <w:t>Aqueous Zn||MnO</w:t>
      </w:r>
      <w:r>
        <w:rPr>
          <w:vertAlign w:val="subscript"/>
        </w:rPr>
        <w:t>2</w:t>
      </w:r>
      <w:r>
        <w:t>batteries offer a compelling solution for large‐scale, low‐cost, and safe energy storage, yet their cycle life remains inadequate for practical applications. This instability stems from intertwined H⁺/OH</w:t>
      </w:r>
      <w:r>
        <w:t xml:space="preserve"> </w:t>
      </w:r>
      <w:r>
        <w:t>−</w:t>
      </w:r>
      <w:r>
        <w:t>interfacial reactions and the intrinsically low conductivity of MnO</w:t>
      </w:r>
      <w:r>
        <w:rPr>
          <w:vertAlign w:val="subscript"/>
        </w:rPr>
        <w:t>2</w:t>
      </w:r>
      <w:r>
        <w:t>, leading to poor redox reversibility and electrode passivation. Here, we report a MoS</w:t>
      </w:r>
      <w:r>
        <w:rPr>
          <w:vertAlign w:val="subscript"/>
        </w:rPr>
        <w:t>2</w:t>
      </w:r>
      <w:r>
        <w:t>–MnO</w:t>
      </w:r>
      <w:r>
        <w:rPr>
          <w:vertAlign w:val="subscript"/>
        </w:rPr>
        <w:t>2</w:t>
      </w:r>
      <w:r>
        <w:t>–electrolyte triple‐interface design that enables interfacial charge orchestration to reshape interfacial chemistry and charge transport dynamics. MoS</w:t>
      </w:r>
      <w:r>
        <w:rPr>
          <w:vertAlign w:val="subscript"/>
        </w:rPr>
        <w:t>2</w:t>
      </w:r>
      <w:r>
        <w:t>catalyzes H</w:t>
      </w:r>
      <w:r>
        <w:rPr>
          <w:vertAlign w:val="subscript"/>
        </w:rPr>
        <w:t>2</w:t>
      </w:r>
      <w:r>
        <w:t>O dissociation to facilitate efficient H⁺‐redox, while Mo sites stabilize the interfacial pH via OH</w:t>
      </w:r>
      <w:r>
        <w:t xml:space="preserve"> </w:t>
      </w:r>
      <w:r>
        <w:t>−</w:t>
      </w:r>
      <w:r>
        <w:t>adsorption. Concurrently, the MoS</w:t>
      </w:r>
      <w:r>
        <w:rPr>
          <w:vertAlign w:val="subscript"/>
        </w:rPr>
        <w:t>2</w:t>
      </w:r>
      <w:r>
        <w:t>–MnO</w:t>
      </w:r>
      <w:r>
        <w:rPr>
          <w:vertAlign w:val="subscript"/>
        </w:rPr>
        <w:t>2</w:t>
      </w:r>
      <w:r>
        <w:t>heterojunction accelerates electron transfer through synergistic chemical‐electrochemical pathways. The resulting Zn||MoS</w:t>
      </w:r>
      <w:r>
        <w:rPr>
          <w:vertAlign w:val="subscript"/>
        </w:rPr>
        <w:t>2</w:t>
      </w:r>
      <w:r>
        <w:t>–MnO</w:t>
      </w:r>
      <w:r>
        <w:rPr>
          <w:vertAlign w:val="subscript"/>
        </w:rPr>
        <w:t>2</w:t>
      </w:r>
      <w:r>
        <w:t>cells deliver extraordinary durability, maintaining 92.7% capacity after 10,000 cycles at 20 C, and pouch‐scale devices with 5.2 mAh cm</w:t>
      </w:r>
      <w:r>
        <w:t xml:space="preserve"> </w:t>
      </w:r>
      <w:r>
        <w:t>−2</w:t>
      </w:r>
      <w:r>
        <w:t xml:space="preserve"> </w:t>
      </w:r>
      <w:r>
        <w:t>high areal capacity exhibit stable cycling. This work establishes a cross‐scale strategy in which ordered interfacial charge orchestration couples microenvironment regulation with multi‐step transport control, advancing aqueous Zn batteries toward grid‐level application.</w:t>
      </w:r>
    </w:p>
    <w:p>
      <w:pPr>
        <w:spacing w:before="120" w:after="120"/>
      </w:pPr>
      <w:r>
        <w:rPr>
          <w:sz w:val="18"/>
        </w:rPr>
        <w:t>——————————————————————————————————————————————————————————————————————</w:t>
      </w:r>
    </w:p>
    <w:p>
      <w:pPr>
        <w:spacing w:before="160" w:after="80" w:line="240" w:lineRule="auto"/>
      </w:pPr>
      <w:r>
        <w:rPr>
          <w:b/>
        </w:rPr>
        <w:t xml:space="preserve">[278] </w:t>
      </w:r>
      <w:hyperlink r:id="rId488">
        <w:r>
          <w:rPr>
            <w:color w:val="1155CC"/>
            <w:u w:val="single"/>
          </w:rPr>
          <w:t>Photochemical Deracemization of Chromanes and its Application to the Synthesis of Enantiopure Bioactive Compounds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07:24:07+00:00</w:t>
      </w:r>
      <w:r>
        <w:t xml:space="preserve">    </w:t>
      </w:r>
      <w:r>
        <w:rPr>
          <w:b/>
        </w:rPr>
        <w:t xml:space="preserve">DOI: </w:t>
      </w:r>
      <w:hyperlink r:id="rId489">
        <w:r>
          <w:rPr>
            <w:color w:val="1155CC"/>
            <w:u w:val="single"/>
          </w:rPr>
          <w:t>10.1002/anie.202521436</w:t>
        </w:r>
      </w:hyperlink>
    </w:p>
    <w:p>
      <w:pPr>
        <w:spacing w:before="0" w:after="120"/>
      </w:pPr>
      <w:r>
        <w:rPr>
          <w:b/>
        </w:rPr>
        <w:t xml:space="preserve">Notes: </w:t>
      </w:r>
      <w:r>
        <w:t>abstract_source=crossref</w:t>
      </w:r>
    </w:p>
    <w:p>
      <w:pPr>
        <w:spacing w:before="0" w:after="200" w:lineRule="auto" w:line="276"/>
      </w:pPr>
      <w:r>
        <w:rPr>
          <w:b/>
        </w:rPr>
        <w:t xml:space="preserve">Abstract: </w:t>
      </w:r>
      <w:r>
        <w:t>Chromanes are frequently encountered as chiral structure elements in active pharmaceutical ingredients (APIs). We have now discovered an access to enantiopure chromanes, which employs a 1:1 mixture of their enantiomers (racemate) in a photochemical deracemization reaction (21 examples, 71%–90% yield, 80%–99%</w:t>
      </w:r>
      <w:r>
        <w:t xml:space="preserve"> </w:t>
      </w:r>
      <w:r>
        <w:t>ee</w:t>
      </w:r>
      <w:r>
        <w:t xml:space="preserve"> </w:t>
      </w:r>
      <w:r>
        <w:t>). A chiral photocatalyst (10 mol%) acts by selective hydrogen abstraction at one chromane enantiomer and establishes a photostationary state in which the other enantiomer prevails. A thiol additive (20 mol%) was found to improve the enantioselectivity of the process. The mechanism of the reaction was investigated by experimental and quantum‐chemical studies. The oxygen atom of the chromane locks the rotation around the exocyclic C─C bond to the amide by forming an intramolecular hydrogen bond. Forward hydrogen atom transfer (HAT) occurs exclusively in one diastereomeric complex via a readily accessible transition state. Reasonable pathways for back HAT were identified which are in line with deuterium labeling experiments. The method was applied to the concise preparation of five chromane‐containing drugs (Doxazosin, Fidarestat, Nebivolol, Repinotan, Sarizotan) as single enantiomers.</w:t>
      </w:r>
    </w:p>
    <w:p>
      <w:pPr>
        <w:spacing w:before="120" w:after="120"/>
      </w:pPr>
      <w:r>
        <w:rPr>
          <w:sz w:val="18"/>
        </w:rPr>
        <w:t>——————————————————————————————————————————————————————————————————————</w:t>
      </w:r>
    </w:p>
    <w:p>
      <w:pPr>
        <w:spacing w:before="160" w:after="80" w:line="240" w:lineRule="auto"/>
      </w:pPr>
      <w:r>
        <w:rPr>
          <w:b/>
        </w:rPr>
        <w:t xml:space="preserve">[279] </w:t>
      </w:r>
      <w:hyperlink r:id="rId490">
        <w:r>
          <w:rPr>
            <w:color w:val="1155CC"/>
            <w:u w:val="single"/>
          </w:rPr>
          <w:t>Correction to “Metal‐Free Catalysis Triarylborane‐Catalyzed Alkenylation Reactions of Aryl Esters with Diazo Compounds”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07:26:08+00:00</w:t>
      </w:r>
      <w:r>
        <w:t xml:space="preserve">    </w:t>
      </w:r>
      <w:r>
        <w:rPr>
          <w:b/>
        </w:rPr>
        <w:t xml:space="preserve">DOI: </w:t>
      </w:r>
      <w:hyperlink r:id="rId491">
        <w:r>
          <w:rPr>
            <w:color w:val="1155CC"/>
            <w:u w:val="single"/>
          </w:rPr>
          <w:t>10.1002/anie.4747825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[280] </w:t>
      </w:r>
      <w:hyperlink r:id="rId492">
        <w:r>
          <w:rPr>
            <w:color w:val="1155CC"/>
            <w:u w:val="single"/>
          </w:rPr>
          <w:t>An ultrapotent human antibody neutralizes all maturation states of Zika virus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493">
        <w:r>
          <w:rPr>
            <w:color w:val="1155CC"/>
            <w:u w:val="single"/>
          </w:rPr>
          <w:t>10.1073/pnas.2502522122</w:t>
        </w:r>
      </w:hyperlink>
    </w:p>
    <w:p>
      <w:pPr>
        <w:spacing w:before="0" w:after="120"/>
      </w:pPr>
      <w:r>
        <w:rPr>
          <w:b/>
        </w:rPr>
        <w:t xml:space="preserve">Notes: </w:t>
      </w:r>
      <w:r>
        <w:t>abstract_source=crossref</w:t>
      </w:r>
    </w:p>
    <w:p>
      <w:pPr>
        <w:spacing w:before="0" w:after="200" w:lineRule="auto" w:line="276"/>
      </w:pPr>
      <w:r>
        <w:rPr>
          <w:b/>
        </w:rPr>
        <w:t xml:space="preserve">Abstract: </w:t>
      </w:r>
      <w:r>
        <w:t>Zika virus (ZIKV), a flavivirus, causes a range of clinical complications including microcephaly in human fetuses. Currently, there is no treatment or vaccine. Different maturation states (mature and immature forms) of flavivirus particles have been observed to be released from infected cells and are infectious. To understand how an ultrapotent human antibody (HMAb) A9E can neutralize these Zika particles, we determined the cryoEM structures of the A9E Fab fragment complexed with mature (mZIKV) and immature (immZIKV) ZIKV to 2.8Å and 7.5Å, respectively. A9E binds to an epitope spanning Domain I (EDI), EDIII, and their linker in an E protein protomer in both immZIKV and mZIKV particles. A9E generally inhibited prior to or during virus attachment to cells, via virus aggregation, distortion of virus particles and inhibition of receptor binding. ImmZIKV is particularly sensitive to structural distortion by Fab A9E. The primary mode of infection used by ImmZIKV is via antibody-dependent enhancement of infection (ADE)—the formation of virus complex with nonneutralizing or subneutralizing concentrations of antibodies, that leads to enhanced infection of Fcγ positive myeloid cells. IgG A9E, by itself displays poor ADE activity. When IgG LALA mutant or Fab A9E is added to other enhancing antibody (DV62.5):virus complexes, they can strongly reduce the overall ADE activity. This is likely due to their ability to distort virus particle structure, suggesting that HMAb A9E could be a potential prophylactic and therapeutic candidate against all maturation states of ZIKV.</w:t>
      </w:r>
    </w:p>
    <w:p>
      <w:pPr>
        <w:spacing w:before="120" w:after="120"/>
      </w:pPr>
      <w:r>
        <w:rPr>
          <w:sz w:val="18"/>
        </w:rPr>
        <w:t>——————————————————————————————————————————————————————————————————————</w:t>
      </w:r>
    </w:p>
    <w:p>
      <w:pPr>
        <w:spacing w:before="160" w:after="80" w:line="240" w:lineRule="auto"/>
      </w:pPr>
      <w:r>
        <w:rPr>
          <w:b/>
        </w:rPr>
        <w:t xml:space="preserve">[281] </w:t>
      </w:r>
      <w:hyperlink r:id="rId494">
        <w:r>
          <w:rPr>
            <w:color w:val="1155CC"/>
            <w:u w:val="single"/>
          </w:rPr>
          <w:t>Distinct classes of gut bacterial molybdenum-dependent enzymes produce urolithins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495">
        <w:r>
          <w:rPr>
            <w:color w:val="1155CC"/>
            <w:u w:val="single"/>
          </w:rPr>
          <w:t>10.1073/pnas.2501312122</w:t>
        </w:r>
      </w:hyperlink>
    </w:p>
    <w:p>
      <w:pPr>
        <w:spacing w:before="0" w:after="120"/>
      </w:pPr>
      <w:r>
        <w:rPr>
          <w:b/>
        </w:rPr>
        <w:t xml:space="preserve">Notes: </w:t>
      </w:r>
      <w:r>
        <w:t>abstract_source=crossref</w:t>
      </w:r>
    </w:p>
    <w:p>
      <w:pPr>
        <w:spacing w:before="0" w:after="200" w:lineRule="auto" w:line="276"/>
      </w:pPr>
      <w:r>
        <w:rPr>
          <w:b/>
        </w:rPr>
        <w:t xml:space="preserve">Abstract: </w:t>
      </w:r>
      <w:r>
        <w:t>Urolithin A is an anti-aging and anti-inflammatory gut bacterial metabolite derived from ellagic acid (EA), a polyphenol abundant in berries and nuts. The conversion of EA to urolithin A involves multiple chemically challenging phenol dehydroxylation steps that produce urolithins with varying bioactivities. Despite their biological and chemical significance, the bacterial enzymes responsible for urolithin production remain largely unidentified. Here, we use differential gene expression analysis, anaerobic protein production, and enzyme assays to identify members of two distinct molybdenum enzyme families (the DMSO reductase family and the xanthine oxidase family) capable of regioselective dehydroxylation and urolithin generation. These two enzyme families have distinct substrate requirements, suggesting they employ different catalytic mechanisms for phenol dehydroxylation. Multiomics analysis of a human cohort uncovers decreased levels of urolithin A and genes encoding urolithin A-producing enzymes in patients with inflammatory bowel disease (IBD), implying reduced health effects of EA consumption in this setting. Together, this study elucidates the molecular basis of urolithin production, expands the known enzymatic repertoire of the human gut microbiome, and suggests a potential link between gut bacterial urolithin production and reduced host inflammation.</w:t>
      </w:r>
    </w:p>
    <w:p>
      <w:pPr>
        <w:spacing w:before="120" w:after="120"/>
      </w:pPr>
      <w:r>
        <w:rPr>
          <w:sz w:val="18"/>
        </w:rPr>
        <w:t>——————————————————————————————————————————————————————————————————————</w:t>
      </w:r>
    </w:p>
    <w:p>
      <w:pPr>
        <w:spacing w:before="160" w:after="80" w:line="240" w:lineRule="auto"/>
      </w:pPr>
      <w:r>
        <w:rPr>
          <w:b/>
        </w:rPr>
        <w:t xml:space="preserve">[282] </w:t>
      </w:r>
      <w:hyperlink r:id="rId496">
        <w:r>
          <w:rPr>
            <w:color w:val="1155CC"/>
            <w:u w:val="single"/>
          </w:rPr>
          <w:t>Exposome research comes of age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497">
        <w:r>
          <w:rPr>
            <w:color w:val="1155CC"/>
            <w:u w:val="single"/>
          </w:rPr>
          <w:t>10.1073/pnas.2535078122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[283] </w:t>
      </w:r>
      <w:hyperlink r:id="rId498">
        <w:r>
          <w:rPr>
            <w:color w:val="1155CC"/>
            <w:u w:val="single"/>
          </w:rPr>
          <w:t>Dimerization-activated PP2C-D2 and D5 phosphatases negatively regulate brassinosteroid signaling by antagonizing BRI1</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499">
        <w:r>
          <w:rPr>
            <w:color w:val="1155CC"/>
            <w:u w:val="single"/>
          </w:rPr>
          <w:t>10.1073/pnas.2526122122</w:t>
        </w:r>
      </w:hyperlink>
    </w:p>
    <w:p>
      <w:pPr>
        <w:spacing w:before="0" w:after="120"/>
      </w:pPr>
      <w:r>
        <w:rPr>
          <w:b/>
        </w:rPr>
        <w:t xml:space="preserve">Notes: </w:t>
      </w:r>
      <w:r>
        <w:t>abstract_source=crossref</w:t>
      </w:r>
    </w:p>
    <w:p>
      <w:pPr>
        <w:spacing w:before="0" w:after="200" w:lineRule="auto" w:line="276"/>
      </w:pPr>
      <w:r>
        <w:rPr>
          <w:b/>
        </w:rPr>
        <w:t xml:space="preserve">Abstract: </w:t>
      </w:r>
      <w:r>
        <w:t>Brassinosteroids (BRs) are key hormones that promote plant growth and development. While reversible phosphorylation of the BR receptor BRASSINOSTEROID-INSENSITIVE 1 (BRI1) is critical for BR signaling, much remains to be learned about the dephosphorylation mechanisms of BRI1. Here, we demonstrate that the D-clade type 2C protein phosphatases (PP2C-Ds) negatively regulate BR signaling by dephosphorylating key residues in the kinase activation loop of BRI1. The phosphatase activity of PP2C-D2 and D5 is activated through homo- or heterodimerization, a process antagonized by BR-induced BRI1 phosphorylation or SMALL AUXIN UP RNA15 (SAUR15) binding. BL treatment, BRI1-mediated phosphorylation, or SAUR15 binding disrupts dimerization, returning PPC2C-Ds to a monomeric, inactive state. These data not only reveal another phosphorylation/dephosphorylation cascade regulating BR signaling but also decode unrecognized regulatory mechanisms of PP2C-Ds in plants.</w:t>
      </w:r>
    </w:p>
    <w:p>
      <w:pPr>
        <w:spacing w:before="120" w:after="120"/>
      </w:pPr>
      <w:r>
        <w:rPr>
          <w:sz w:val="18"/>
        </w:rPr>
        <w:t>——————————————————————————————————————————————————————————————————————</w:t>
      </w:r>
    </w:p>
    <w:p>
      <w:pPr>
        <w:spacing w:before="160" w:after="80" w:line="240" w:lineRule="auto"/>
      </w:pPr>
      <w:r>
        <w:rPr>
          <w:b/>
        </w:rPr>
        <w:t xml:space="preserve">[284] </w:t>
      </w:r>
      <w:hyperlink r:id="rId500">
        <w:r>
          <w:rPr>
            <w:color w:val="1155CC"/>
            <w:u w:val="single"/>
          </w:rPr>
          <w:t>DNA mismatch repair mediated by Mlh1–Pms1 endonuclease-catalyzed mispair excision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01">
        <w:r>
          <w:rPr>
            <w:color w:val="1155CC"/>
            <w:u w:val="single"/>
          </w:rPr>
          <w:t>10.1073/pnas.2528670122</w:t>
        </w:r>
      </w:hyperlink>
    </w:p>
    <w:p>
      <w:pPr>
        <w:spacing w:before="0" w:after="120"/>
      </w:pPr>
      <w:r>
        <w:rPr>
          <w:b/>
        </w:rPr>
        <w:t xml:space="preserve">Notes: </w:t>
      </w:r>
      <w:r>
        <w:t>abstract_source=crossref</w:t>
      </w:r>
    </w:p>
    <w:p>
      <w:pPr>
        <w:spacing w:before="0" w:after="200" w:lineRule="auto" w:line="276"/>
      </w:pPr>
      <w:r>
        <w:rPr>
          <w:b/>
        </w:rPr>
        <w:t xml:space="preserve">Abstract: </w:t>
      </w:r>
      <w:r>
        <w:t>Eukaryotic DNA mismatch repair (MMR) involves several excision pathways, including those mediated by exonuclease 1 (Exo1) and by the flap endonuclease Rad27 (human FEN1) coupled with DNA polymerase δ. Simultaneous inactivation of both excision mechanisms causes an MMR defect that is at most 5 to 13% of that caused by complete inactivation of MMR. Here, we reconstituted nicked-strand-specific MMR with the</w:t>
      </w:r>
      <w:r>
        <w:t xml:space="preserve"> </w:t>
      </w:r>
      <w:r>
        <w:t>Saccharomyces cerevisiae</w:t>
      </w:r>
      <w:r>
        <w:t xml:space="preserve"> </w:t>
      </w:r>
      <w:r>
        <w:t>proteins Msh2-Msh6 or Msh2-Msh3, DNA polymerase ε, RFC, PCNA, RPA, and Mlh1-Pms1 (human Mlh1-Pms2) under conditions lacking Exo1, Rad27, or strand-displacement synthesis by DNA polymerase δ. These reactions required the Mlh1-Pms1 endonuclease activity, its activation by RFC and PCNA, and its recruitment by Msh2-Msh6 or Msh2-Msh3. MMR was mediated by nicked-strand-specific excision by Mlh1-Pms1 through formation of single-strand DNA gaps having a broad range of sizes. This reaction is consistent with genetic data demonstrating redundancy between the Exo1, Rad27, and Mlh1-Pms1 excision pathways in MMR.</w:t>
      </w:r>
    </w:p>
    <w:p>
      <w:pPr>
        <w:spacing w:before="120" w:after="120"/>
      </w:pPr>
      <w:r>
        <w:rPr>
          <w:sz w:val="18"/>
        </w:rPr>
        <w:t>——————————————————————————————————————————————————————————————————————</w:t>
      </w:r>
    </w:p>
    <w:p>
      <w:pPr>
        <w:spacing w:before="160" w:after="80" w:line="240" w:lineRule="auto"/>
      </w:pPr>
      <w:r>
        <w:rPr>
          <w:b/>
        </w:rPr>
        <w:t xml:space="preserve">[285] </w:t>
      </w:r>
      <w:hyperlink r:id="rId502">
        <w:r>
          <w:rPr>
            <w:color w:val="1155CC"/>
            <w:u w:val="single"/>
          </w:rPr>
          <w:t>Early activation of bioenergetic metabolism powers bacterial spore germination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03">
        <w:r>
          <w:rPr>
            <w:color w:val="1155CC"/>
            <w:u w:val="single"/>
          </w:rPr>
          <w:t>10.1073/pnas.2510996122</w:t>
        </w:r>
      </w:hyperlink>
    </w:p>
    <w:p>
      <w:pPr>
        <w:spacing w:before="0" w:after="120"/>
      </w:pPr>
      <w:r>
        <w:rPr>
          <w:b/>
        </w:rPr>
        <w:t xml:space="preserve">Notes: </w:t>
      </w:r>
      <w:r>
        <w:t>abstract_source=crossref</w:t>
      </w:r>
    </w:p>
    <w:p>
      <w:pPr>
        <w:spacing w:before="0" w:after="200" w:lineRule="auto" w:line="276"/>
      </w:pPr>
      <w:r>
        <w:rPr>
          <w:b/>
        </w:rPr>
        <w:t xml:space="preserve">Abstract: </w:t>
      </w:r>
      <w:r>
        <w:t>Dormant bacterial spores germinate to become vegetative cells upon germinant exposure. Despite many germinants being energy sources, bioenergetic processes have been overlooked as germination can proceed, albeit slowly, without exogenous energy sources. Here, we apply remission spectroscopy to noninvasively measure energization of the electron transport chain (ETC) in germinating spores. In</w:t>
      </w:r>
      <w:r>
        <w:t xml:space="preserve"> </w:t>
      </w:r>
      <w:r>
        <w:t>Bacillus megaterium</w:t>
      </w:r>
      <w:r>
        <w:t xml:space="preserve"> </w:t>
      </w:r>
      <w:r>
        <w:t>and</w:t>
      </w:r>
      <w:r>
        <w:t xml:space="preserve"> </w:t>
      </w:r>
      <w:r>
        <w:t>Bacillus subtilis</w:t>
      </w:r>
      <w:r>
        <w:t xml:space="preserve"> </w:t>
      </w:r>
      <w:r>
        <w:t>, energization of cytoplasmic metabolism and the ETC occurs early in germination, before or alongside water ingress and bulk CaDPA efflux. The</w:t>
      </w:r>
      <w:r>
        <w:t xml:space="preserve"> </w:t>
      </w:r>
      <w:r>
        <w:t>aa</w:t>
      </w:r>
      <w:r>
        <w:rPr>
          <w:vertAlign w:val="subscript"/>
        </w:rPr>
        <w:t>3</w:t>
      </w:r>
      <w:r>
        <w:t>-type oxidases (Qox, Cta) accumulate nonradical ferryl intermediates of their catalytic cycle, slowed by a high membrane potential. The Yth isoform of the</w:t>
      </w:r>
      <w:r>
        <w:t xml:space="preserve"> </w:t>
      </w:r>
      <w:r>
        <w:t>bd</w:t>
      </w:r>
      <w:r>
        <w:t xml:space="preserve"> </w:t>
      </w:r>
      <w:r>
        <w:t>oxidase, present in spores, allows rapid electron transfer to O</w:t>
      </w:r>
      <w:r>
        <w:rPr>
          <w:vertAlign w:val="subscript"/>
        </w:rPr>
        <w:t>2</w:t>
      </w:r>
      <w:r>
        <w:t>when the</w:t>
      </w:r>
      <w:r>
        <w:t xml:space="preserve"> </w:t>
      </w:r>
      <w:r>
        <w:t>aa</w:t>
      </w:r>
      <w:r>
        <w:rPr>
          <w:vertAlign w:val="subscript"/>
        </w:rPr>
        <w:t>3</w:t>
      </w:r>
      <w:r>
        <w:t>-type oxidases are hindered, establishing a role for this enzyme. Deletion of Yth slows the initiation of “absorbance”/attenuance loss, directly linking bioenergetic processes to germination. We propose a powered germination model, where the Ger-mediated signaling cascade and bioenergetic processes occur in parallel and are mutually influenced by each other. This model explains why germination on energy-rich molecules (e.g., glucose) is often much faster than on energy-poor ones (e.g., KBr).</w:t>
      </w:r>
    </w:p>
    <w:p>
      <w:pPr>
        <w:spacing w:before="120" w:after="120"/>
      </w:pPr>
      <w:r>
        <w:rPr>
          <w:sz w:val="18"/>
        </w:rPr>
        <w:t>——————————————————————————————————————————————————————————————————————</w:t>
      </w:r>
    </w:p>
    <w:p>
      <w:pPr>
        <w:spacing w:before="160" w:after="80" w:line="240" w:lineRule="auto"/>
      </w:pPr>
      <w:r>
        <w:rPr>
          <w:b/>
        </w:rPr>
        <w:t xml:space="preserve">[286] </w:t>
      </w:r>
      <w:hyperlink r:id="rId504">
        <w:r>
          <w:rPr>
            <w:color w:val="1155CC"/>
            <w:u w:val="single"/>
          </w:rPr>
          <w:t>A myosin hypertrophic cardiomyopathy mutation disrupts the super-relaxed state and boosts contractility by enhanced actin attachment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05">
        <w:r>
          <w:rPr>
            <w:color w:val="1155CC"/>
            <w:u w:val="single"/>
          </w:rPr>
          <w:t>10.1073/pnas.2521561122</w:t>
        </w:r>
      </w:hyperlink>
    </w:p>
    <w:p>
      <w:pPr>
        <w:spacing w:before="0" w:after="120"/>
      </w:pPr>
      <w:r>
        <w:rPr>
          <w:b/>
        </w:rPr>
        <w:t xml:space="preserve">Notes: </w:t>
      </w:r>
      <w:r>
        <w:t>abstract_source=crossref</w:t>
      </w:r>
    </w:p>
    <w:p>
      <w:pPr>
        <w:spacing w:before="0" w:after="200" w:lineRule="auto" w:line="276"/>
      </w:pPr>
      <w:r>
        <w:rPr>
          <w:b/>
        </w:rPr>
        <w:t xml:space="preserve">Abstract: </w:t>
      </w:r>
      <w:r>
        <w:t>Hypertrophic cardiomyopathy (HCM) is a leading cause of cardiac failure among individuals under 35. Many genetic mutations that cause HCM seem to enhance ventricular systolic function, suggesting that these HCM mutations are hypercontractile. Among the most common causes of HCM are mutations in the gene MYH7, which encodes for β-cardiac myosin, the principal human ventricular myosin. Previous work has demonstrated that, for purified myosins, some MYH7 mutations are gain-of-function while others cause reduced function, so how they lead to enhanced contractility is not clear. Here, we have characterized the mechanics and kinetics of the severe HCM-causing mutation M493I. Motility assays demonstrate a 70% reduction of actin filament gliding velocities on M493I-coated surfaces relative to wild type (WT). This mutation slows ADP release from actomyosin•ADP fivefold without affecting phosphate release or ATP binding. Yet it enhances steady-state ATPase</w:t>
      </w:r>
      <w:r>
        <w:t xml:space="preserve"> </w:t>
      </w:r>
      <w:r>
        <w:t>V</w:t>
      </w:r>
      <w:r>
        <w:t xml:space="preserve"> </w:t>
      </w:r>
      <w:r>
        <w:t>max</w:t>
      </w:r>
      <w:r>
        <w:t xml:space="preserve"> </w:t>
      </w:r>
      <w:r>
        <w:t>twofold. Through single-molecule mechanical studies, we find that M493I myosin has a normal working stroke of 5 nm but a significantly prolonged actin attachment duration. Under isometric feedback, M493I myosins produce high, sustained force, with an actin detachment rate that is less sensitive to force than that of WT myosin. We also report direct measurement of the equilibrium state of the super-relaxed to disordered relaxed regulatory transition and show its disruption in M493I, with a concomitant enhancement to actin attachment kinetics. Together, these data demonstrate that enhanced myosin binding from inhibition of myosin’s off state, combined with slow ADP release and enhanced force production, underlie the enhanced function and etiology of this HCM mutation.</w:t>
      </w:r>
    </w:p>
    <w:p>
      <w:pPr>
        <w:spacing w:before="120" w:after="120"/>
      </w:pPr>
      <w:r>
        <w:rPr>
          <w:sz w:val="18"/>
        </w:rPr>
        <w:t>——————————————————————————————————————————————————————————————————————</w:t>
      </w:r>
    </w:p>
    <w:p>
      <w:pPr>
        <w:spacing w:before="160" w:after="80" w:line="240" w:lineRule="auto"/>
      </w:pPr>
      <w:r>
        <w:rPr>
          <w:b/>
        </w:rPr>
        <w:t xml:space="preserve">[287] </w:t>
      </w:r>
      <w:hyperlink r:id="rId506">
        <w:r>
          <w:rPr>
            <w:color w:val="1155CC"/>
            <w:u w:val="single"/>
          </w:rPr>
          <w:t>Correction for Li et al., BCL2 regulates antibacterial autophagy in the intestinal epithelium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07">
        <w:r>
          <w:rPr>
            <w:color w:val="1155CC"/>
            <w:u w:val="single"/>
          </w:rPr>
          <w:t>10.1073/pnas.2535281122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[288] </w:t>
      </w:r>
      <w:hyperlink r:id="rId508">
        <w:r>
          <w:rPr>
            <w:color w:val="1155CC"/>
            <w:u w:val="single"/>
          </w:rPr>
          <w:t>Dysregulated NAMPT signaling underlines the immune-suppressive microenvironment in venous leg ulcers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09">
        <w:r>
          <w:rPr>
            <w:color w:val="1155CC"/>
            <w:u w:val="single"/>
          </w:rPr>
          <w:t>10.1073/pnas.2512142122</w:t>
        </w:r>
      </w:hyperlink>
    </w:p>
    <w:p>
      <w:pPr>
        <w:spacing w:before="0" w:after="120"/>
      </w:pPr>
      <w:r>
        <w:rPr>
          <w:b/>
        </w:rPr>
        <w:t xml:space="preserve">Notes: </w:t>
      </w:r>
      <w:r>
        <w:t>abstract_source=crossref</w:t>
      </w:r>
    </w:p>
    <w:p>
      <w:pPr>
        <w:spacing w:before="0" w:after="200" w:lineRule="auto" w:line="276"/>
      </w:pPr>
      <w:r>
        <w:rPr>
          <w:b/>
        </w:rPr>
        <w:t xml:space="preserve">Abstract: </w:t>
      </w:r>
      <w:r>
        <w:t>Venous leg ulcers (VLUs) are the most common form of lower extremity ulceration, with a rising prevalence among the elderly. Despite their clinical significance, the molecular mechanisms underlying VLU remain poorly defined. In this study, we constructed a comprehensive single-cell transcriptional atlas of VLUs, unveiling a widespread immunosuppressive microenvironment within the lesions. Specifically, stromal cells exhibited attenuated inflammatory responses coupled with enhanced fibrotic activity. Keratinocytes and endothelial cells demonstrated increased proliferative and angiogenic activity, respectively, yet both cell types showed markedly reduced antigen-presenting capacity. Immune cell compartments displayed profound dysfunction characterized by marked reductions and impaired functionality of dendritic cells, polarization of macrophages toward an anti-inflammatory M2 phenotype, and enrichment of T cell exhaustion signatures. Notably, cell–cell communication analysis revealed diminished crosstalk between immune and structural cell populations. Mechanistically, we identified NAMPT-mediated signaling as a critical regulator of myeloid-stromal crosstalk. Targeted depletion of NAMPT in macrophages disrupted fibroblast-mediated inflammatory responses and impaired wound healing, whereas exogenous NAMPT administration reactivated immune responses and promoted tissue repair in chronic wounds. Collectively, these findings provide a comprehensive molecular framework for understanding immune–stromal dysfunction in VLUs and position NAMPT as a central immune regulator and promising therapeutic target for chronic wound treatment.</w:t>
      </w:r>
    </w:p>
    <w:p>
      <w:pPr>
        <w:spacing w:before="120" w:after="120"/>
      </w:pPr>
      <w:r>
        <w:rPr>
          <w:sz w:val="18"/>
        </w:rPr>
        <w:t>——————————————————————————————————————————————————————————————————————</w:t>
      </w:r>
    </w:p>
    <w:p>
      <w:pPr>
        <w:spacing w:before="160" w:after="80" w:line="240" w:lineRule="auto"/>
      </w:pPr>
      <w:r>
        <w:rPr>
          <w:b/>
        </w:rPr>
        <w:t xml:space="preserve">[289] </w:t>
      </w:r>
      <w:hyperlink r:id="rId510">
        <w:r>
          <w:rPr>
            <w:color w:val="1155CC"/>
            <w:u w:val="single"/>
          </w:rPr>
          <w:t>Conjunctive population coding integrates sensory evidence to guide adaptive behavior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11">
        <w:r>
          <w:rPr>
            <w:color w:val="1155CC"/>
            <w:u w:val="single"/>
          </w:rPr>
          <w:t>10.1073/pnas.2520444122</w:t>
        </w:r>
      </w:hyperlink>
    </w:p>
    <w:p>
      <w:pPr>
        <w:spacing w:before="0" w:after="120"/>
      </w:pPr>
      <w:r>
        <w:rPr>
          <w:b/>
        </w:rPr>
        <w:t xml:space="preserve">Notes: </w:t>
      </w:r>
      <w:r>
        <w:t>abstract_source=crossref</w:t>
      </w:r>
    </w:p>
    <w:p>
      <w:pPr>
        <w:spacing w:before="0" w:after="200" w:lineRule="auto" w:line="276"/>
      </w:pPr>
      <w:r>
        <w:rPr>
          <w:b/>
        </w:rPr>
        <w:t xml:space="preserve">Abstract: </w:t>
      </w:r>
      <w:r>
        <w:t>Cognitive flexibility relies on the continuous accumulation and integration of sensory evidence to guide adaptive behavior. In natural environments, behaviorally relevant information unfolds sequentially over time and is constantly evaluated against prior knowledge, task rules, and current demands. Integration of these inputs poses a computational challenge: How is temporally unfolding, predictive information integrated into a stable representation, while preserving the discriminability and flexibility to map individual stimuli to competing context-specific actions? Using large-scale human intracranial electroencephalography, we assessed how neural population activity integrates behaviorally relevant information across multiple sensory events that sequentially unfold over time and jointly determine the current context. The results uncover that the population geometry supports the emergence of conjunctive coding subspaces that integrate prior information with current sensory evidence and jointly define the temporal context that mediates behavioral benefits. Evidence accumulation diversifies the population responses distributed across the cortex, increasing the representational space that embeds context-dependent stimulus-action mappings. Hence, context-dependent sensory coding might constitute the neural basis underlying adaptive human behavior. In sum, these results demonstrate how neural population activity balances integrating predictive information with preserving stimulus discriminability to enable flexibility, while minimizing interference.</w:t>
      </w:r>
    </w:p>
    <w:p>
      <w:pPr>
        <w:spacing w:before="120" w:after="120"/>
      </w:pPr>
      <w:r>
        <w:rPr>
          <w:sz w:val="18"/>
        </w:rPr>
        <w:t>——————————————————————————————————————————————————————————————————————</w:t>
      </w:r>
    </w:p>
    <w:p>
      <w:pPr>
        <w:spacing w:before="160" w:after="80" w:line="240" w:lineRule="auto"/>
      </w:pPr>
      <w:r>
        <w:rPr>
          <w:b/>
        </w:rPr>
        <w:t xml:space="preserve">[290] </w:t>
      </w:r>
      <w:hyperlink r:id="rId512">
        <w:r>
          <w:rPr>
            <w:color w:val="1155CC"/>
            <w:u w:val="single"/>
          </w:rPr>
          <w:t>Pathogen dilution, resource partitioning, and precipitation generate productivity benefits from plant diversity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13">
        <w:r>
          <w:rPr>
            <w:color w:val="1155CC"/>
            <w:u w:val="single"/>
          </w:rPr>
          <w:t>10.1073/pnas.2518980122</w:t>
        </w:r>
      </w:hyperlink>
    </w:p>
    <w:p>
      <w:pPr>
        <w:spacing w:before="0" w:after="120"/>
      </w:pPr>
      <w:r>
        <w:rPr>
          <w:b/>
        </w:rPr>
        <w:t xml:space="preserve">Notes: </w:t>
      </w:r>
      <w:r>
        <w:t>abstract_source=crossref</w:t>
      </w:r>
    </w:p>
    <w:p>
      <w:pPr>
        <w:spacing w:before="0" w:after="200" w:lineRule="auto" w:line="276"/>
      </w:pPr>
      <w:r>
        <w:rPr>
          <w:b/>
        </w:rPr>
        <w:t xml:space="preserve">Abstract: </w:t>
      </w:r>
      <w:r>
        <w:t>Climate change and biodiversity loss threaten terrestrial productivity. Mitigating productivity loss from interactions between these global change drivers requires a mechanistic understanding of the forces generating productivity benefits from species richness (i.e., overyielding). Progress has been limited by two challenges: i) individual mechanisms can be highly context-dependent, yet multiple mechanisms can produce similar responses to functional diversity loss or altered climate, and ii) most experiments test short-term weather events rather than sustained changes in precipitation. We address these limitations using direct tests of multiple mechanisms within a sustained, full factorial manipulation of plant richness, composition, and precipitation within experimental grasslands. Precipitation consistently increased overyielding, as yield declined in monocultures and increased in polycultures, consistent with greater specialist pathogen accumulation in mesic conditions. Resource partitioning and specialist pathogen dilution—estimated from physiochemical trait dissimilarity and soil pathogen dissimilarity—were positive predictors of overyielding, relationships that strengthened over time. Moreover, overyielding was best explained by the joint influence of resource acquisition traits and pathogen dissimilarities, indicating that multiple mechanisms generated productivity responses to richness. These two mechanisms can explain the robust findings across systems that productivity increases with plant biodiversity. Our findings predict that biodiversity loss will be most damaging in wetter climates, where pathogen dilution amplifies the benefits of diversity.</w:t>
      </w:r>
    </w:p>
    <w:p>
      <w:pPr>
        <w:spacing w:before="120" w:after="120"/>
      </w:pPr>
      <w:r>
        <w:rPr>
          <w:sz w:val="18"/>
        </w:rPr>
        <w:t>——————————————————————————————————————————————————————————————————————</w:t>
      </w:r>
    </w:p>
    <w:p>
      <w:pPr>
        <w:spacing w:before="160" w:after="80" w:line="240" w:lineRule="auto"/>
      </w:pPr>
      <w:r>
        <w:rPr>
          <w:b/>
        </w:rPr>
        <w:t xml:space="preserve">[291] </w:t>
      </w:r>
      <w:hyperlink r:id="rId514">
        <w:r>
          <w:rPr>
            <w:color w:val="1155CC"/>
            <w:u w:val="single"/>
          </w:rPr>
          <w:t>Cannabis produces acute hyperphagia in humans and rodents via increased reward valuation for, and motivation to, acquire food</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15">
        <w:r>
          <w:rPr>
            <w:color w:val="1155CC"/>
            <w:u w:val="single"/>
          </w:rPr>
          <w:t>10.1073/pnas.2518863122</w:t>
        </w:r>
      </w:hyperlink>
    </w:p>
    <w:p>
      <w:pPr>
        <w:spacing w:before="0" w:after="120"/>
      </w:pPr>
      <w:r>
        <w:rPr>
          <w:b/>
        </w:rPr>
        <w:t xml:space="preserve">Notes: </w:t>
      </w:r>
      <w:r>
        <w:t>abstract_source=crossref</w:t>
      </w:r>
    </w:p>
    <w:p>
      <w:pPr>
        <w:spacing w:before="0" w:after="200" w:lineRule="auto" w:line="276"/>
      </w:pPr>
      <w:r>
        <w:rPr>
          <w:b/>
        </w:rPr>
        <w:t xml:space="preserve">Abstract: </w:t>
      </w:r>
      <w:r>
        <w:t>With approximately 4% of the world’s population using cannabis, there is a need to better understand its physiological effects. Cannabis consumption acutely promotes food intake (“the munchies”) via delta-9-tetrahydrocannabinol-mediated activation of cannabinoid 1 receptors (CB1R); however, these appetitive effects have not been well characterized. We examined effects of cannabis vapor inhalation on energy and macronutrient intake patterns in human participants and then validated these findings in a translational rat model through which we explored behavioral and physiological mechanisms subserving this response. Vaporized cannabis acutely and robustly increased energy intake. In humans, this occurred in the first 30 min of snack and beverage access, irrespective of dose or gender. In rats, these effects were observed in the first 60 min of food access, irrespective of macronutrient content, satiation, or sex, and were a result of cannabis vapor reducing latency to eat and increasing feeding bout number. Also, cannabis vapor did not change the proportion of macronutrients consumed by human participants and abolished preexisting macronutrient-specific food preferences in rats. Our rat data indicate that cannabis vapor may override homeostatic appetite regulation by increasing motivation to eat and reducing food reward devaluation to promote energy intake. Finally, cannabis vapor did not alter circulating appetite-associated hormones, and these feeding effects were mediated by central, but not peripheral, CB1Rs. This study complements and builds upon previous literature to characterize the appetitive effects of vaporized cannabis and uses a translational approach to examine cannabis-driven energy and macronutrient intake patterns in humans and rodents.</w:t>
      </w:r>
    </w:p>
    <w:p>
      <w:pPr>
        <w:spacing w:before="120" w:after="120"/>
      </w:pPr>
      <w:r>
        <w:rPr>
          <w:sz w:val="18"/>
        </w:rPr>
        <w:t>——————————————————————————————————————————————————————————————————————</w:t>
      </w:r>
    </w:p>
    <w:p>
      <w:pPr>
        <w:spacing w:before="160" w:after="80" w:line="240" w:lineRule="auto"/>
      </w:pPr>
      <w:r>
        <w:rPr>
          <w:b/>
        </w:rPr>
        <w:t xml:space="preserve">[292] </w:t>
      </w:r>
      <w:hyperlink r:id="rId516">
        <w:r>
          <w:rPr>
            <w:color w:val="1155CC"/>
            <w:u w:val="single"/>
          </w:rPr>
          <w:t>Pharmacologic reversion of Merkel cell carcinoma via CBP/p300 inhibition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17">
        <w:r>
          <w:rPr>
            <w:color w:val="1155CC"/>
            <w:u w:val="single"/>
          </w:rPr>
          <w:t>10.1073/pnas.2516667122</w:t>
        </w:r>
      </w:hyperlink>
    </w:p>
    <w:p>
      <w:pPr>
        <w:spacing w:before="0" w:after="120"/>
      </w:pPr>
      <w:r>
        <w:rPr>
          <w:b/>
        </w:rPr>
        <w:t xml:space="preserve">Notes: </w:t>
      </w:r>
      <w:r>
        <w:t>abstract_source=crossref</w:t>
      </w:r>
    </w:p>
    <w:p>
      <w:pPr>
        <w:spacing w:before="0" w:after="200" w:lineRule="auto" w:line="276"/>
      </w:pPr>
      <w:r>
        <w:rPr>
          <w:b/>
        </w:rPr>
        <w:t xml:space="preserve">Abstract: </w:t>
      </w:r>
      <w:r>
        <w:t>Merkel cell polyomavirus (MCV) T antigen functions as an oncoprotein that drives the transformation of Merkel cell carcinoma (MCC) cells by activating transcription factors involved in cell proliferation. The viral T antigen promoter requires the activity of the cellular coactivator CREB-binding protein (CBP)/p300 for its expression. Inhibition of CBP/p300 with two distinct small-molecule inhibitors suppresses T antigen expression, leading to cell cycle arrest and upregulation of the cell cycle inhibitor p27</w:t>
      </w:r>
      <w:r>
        <w:t xml:space="preserve"> </w:t>
      </w:r>
      <w:r>
        <w:t>Kip1</w:t>
      </w:r>
      <w:r>
        <w:t xml:space="preserve"> </w:t>
      </w:r>
      <w:r>
        <w:t>. This shift promotes neuronal differentiation, associated with neurite outgrowth in MCC cells. RNA sequencing revealed downregulation of genes involved in E2F, Myc, mTORC1 oncogenic signaling, as well as markers of the Merkel cell lineage including Sox2 and Atoh1. Notably, a rare MCC case exhibiting a mixed cellular composition, with loss of T antigen expression and neuroblastic phenotype, showed a transcriptomic profile resembling that of MCC cells treated with CBP/p300 inhibitors. This suggests that similar differentiation processes may contribute to tumor heterogeneity in patients. This study presents the model system enabling reversible switching between a transformed and differentiated cell state in a human cancer using small-molecule treatment.</w:t>
      </w:r>
    </w:p>
    <w:p>
      <w:pPr>
        <w:spacing w:before="120" w:after="120"/>
      </w:pPr>
      <w:r>
        <w:rPr>
          <w:sz w:val="18"/>
        </w:rPr>
        <w:t>——————————————————————————————————————————————————————————————————————</w:t>
      </w:r>
    </w:p>
    <w:p>
      <w:pPr>
        <w:spacing w:before="160" w:after="80" w:line="240" w:lineRule="auto"/>
      </w:pPr>
      <w:r>
        <w:rPr>
          <w:b/>
        </w:rPr>
        <w:t xml:space="preserve">[293] </w:t>
      </w:r>
      <w:hyperlink r:id="rId518">
        <w:r>
          <w:rPr>
            <w:color w:val="1155CC"/>
            <w:u w:val="single"/>
          </w:rPr>
          <w:t>Flexible protein–ligand docking with diffusion-based side-chain packing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19">
        <w:r>
          <w:rPr>
            <w:color w:val="1155CC"/>
            <w:u w:val="single"/>
          </w:rPr>
          <w:t>10.1073/pnas.2511925122</w:t>
        </w:r>
      </w:hyperlink>
    </w:p>
    <w:p>
      <w:pPr>
        <w:spacing w:before="0" w:after="120"/>
      </w:pPr>
      <w:r>
        <w:rPr>
          <w:b/>
        </w:rPr>
        <w:t xml:space="preserve">Notes: </w:t>
      </w:r>
      <w:r>
        <w:t>abstract_source=crossref</w:t>
      </w:r>
    </w:p>
    <w:p>
      <w:pPr>
        <w:spacing w:before="0" w:after="200" w:lineRule="auto" w:line="276"/>
      </w:pPr>
      <w:r>
        <w:rPr>
          <w:b/>
        </w:rPr>
        <w:t xml:space="preserve">Abstract: </w:t>
      </w:r>
      <w:r>
        <w:t>Understanding protein structure and dynamics is crucial for basic biology and drug design. Conventional methods often provide static conformations that inadequately capture protein flexibility. We present PackDock, a framework that integrates deep learning and physics-based modeling to represent protein–ligand interactions. PackDock’s core, PackPocket, uses diffusion models to sample diverse binding pocket conformations and predict ligand-induced changes. We validate PackDock through side-chain packing, redocking, and cross-docking experiments, demonstrating its ability to address protein flexibility challenges. In a real-world application, PackDock identified nanomolar affinity compounds with unreported scaffolds for the protein of interest. Additionally, it revealed key amino acid conformational changes, offering insights into protein–ligand interactions. By accurately predicting complex conformations in various scenarios, PackDock enhances our understanding of protein dynamics and provides perspectives for both basic biological research and drug discovery efforts.</w:t>
      </w:r>
    </w:p>
    <w:p>
      <w:pPr>
        <w:spacing w:before="120" w:after="120"/>
      </w:pPr>
      <w:r>
        <w:rPr>
          <w:sz w:val="18"/>
        </w:rPr>
        <w:t>——————————————————————————————————————————————————————————————————————</w:t>
      </w:r>
    </w:p>
    <w:p>
      <w:pPr>
        <w:spacing w:before="160" w:after="80" w:line="240" w:lineRule="auto"/>
      </w:pPr>
      <w:r>
        <w:rPr>
          <w:b/>
        </w:rPr>
        <w:t xml:space="preserve">[294] </w:t>
      </w:r>
      <w:hyperlink r:id="rId520">
        <w:r>
          <w:rPr>
            <w:color w:val="1155CC"/>
            <w:u w:val="single"/>
          </w:rPr>
          <w:t>A fluorescent reporter and single-turnover kinetics reveal insight into BAM complex function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21">
        <w:r>
          <w:rPr>
            <w:color w:val="1155CC"/>
            <w:u w:val="single"/>
          </w:rPr>
          <w:t>10.1073/pnas.2514687122</w:t>
        </w:r>
      </w:hyperlink>
    </w:p>
    <w:p>
      <w:pPr>
        <w:spacing w:before="0" w:after="120"/>
      </w:pPr>
      <w:r>
        <w:rPr>
          <w:b/>
        </w:rPr>
        <w:t xml:space="preserve">Notes: </w:t>
      </w:r>
      <w:r>
        <w:t>abstract_source=crossref</w:t>
      </w:r>
    </w:p>
    <w:p>
      <w:pPr>
        <w:spacing w:before="0" w:after="200" w:lineRule="auto" w:line="276"/>
      </w:pPr>
      <w:r>
        <w:rPr>
          <w:b/>
        </w:rPr>
        <w:t xml:space="preserve">Abstract: </w:t>
      </w:r>
      <w:r>
        <w:t>The β-barrel assembly machine (BAM) is an essential protein complex that folds and inserts outer membrane β-barrel proteins (OMPs) into the bacterial outer membrane. The BAM complex contains the essential BamA OMP with five soluble polypeptide transport-associated (POTRA) domains, which scaffold the essential BamD lipoprotein and the nonessential lipoproteins BamB/C/E. The importance of each BAM component has been investigated primarily using cell-based phenotypic assays, and structural data have revealed insights into the role of the BamA β-barrel in OMP folding. However, in vitro quantitative analysis for the function of each BAM component has been challenging. We describe the development of a fluorescent reporter of OMP folding, bOmpA-A488, which we use to obtain single-turnover kinetic parameters for wild-type BAM complex in vitro. We observe a k</w:t>
      </w:r>
      <w:r>
        <w:t xml:space="preserve"> </w:t>
      </w:r>
      <w:r>
        <w:t>fold</w:t>
      </w:r>
      <w:r>
        <w:t xml:space="preserve"> </w:t>
      </w:r>
      <w:r>
        <w:t>of 0.78 ± 0.15 min</w:t>
      </w:r>
      <w:r>
        <w:t xml:space="preserve"> </w:t>
      </w:r>
      <w:r>
        <w:t>−1</w:t>
      </w:r>
      <w:r>
        <w:t xml:space="preserve"> </w:t>
      </w:r>
      <w:r>
        <w:t>and approximate substrate affinity of 3.1 ± 1.1 µM consistent with estimates of in vivo requirements. Furthermore, we find that while BamA alone is inactive in</w:t>
      </w:r>
      <w:r>
        <w:t xml:space="preserve"> </w:t>
      </w:r>
      <w:r>
        <w:t>Escherichia coli</w:t>
      </w:r>
      <w:r>
        <w:t xml:space="preserve"> </w:t>
      </w:r>
      <w:r>
        <w:t>lipid liposomes, BamAB and BamAD subcomplexes have activities similar to that of the holoBAM complex. This suggests that OMP folding and insertion is catalyzed by BamA while the accessory lipoproteins maintain BamA in a catalytically competent conformation. We also find that, contrary to prevailing models, POTRA domain deletions that include POTRA3, which is essential in cells, do not drastically impact activity. This indicates that the first three POTRA domains do not play a major role in binding or folding OMPs under single-turnover conditions, suggesting a different role in cells.</w:t>
      </w:r>
    </w:p>
    <w:p>
      <w:pPr>
        <w:spacing w:before="120" w:after="120"/>
      </w:pPr>
      <w:r>
        <w:rPr>
          <w:sz w:val="18"/>
        </w:rPr>
        <w:t>——————————————————————————————————————————————————————————————————————</w:t>
      </w:r>
    </w:p>
    <w:p>
      <w:pPr>
        <w:spacing w:before="160" w:after="80" w:line="240" w:lineRule="auto"/>
      </w:pPr>
      <w:r>
        <w:rPr>
          <w:b/>
        </w:rPr>
        <w:t xml:space="preserve">[295] </w:t>
      </w:r>
      <w:hyperlink r:id="rId522">
        <w:r>
          <w:rPr>
            <w:color w:val="1155CC"/>
            <w:u w:val="single"/>
          </w:rPr>
          <w:t>Synchrony of neuromodulatory systems during NREM sleep</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2025-12-24 08:00:00+00:00</w:t>
      </w:r>
      <w:r>
        <w:t xml:space="preserve">    </w:t>
      </w:r>
      <w:r>
        <w:rPr>
          <w:b/>
        </w:rPr>
        <w:t xml:space="preserve">DOI: </w:t>
      </w:r>
      <w:hyperlink r:id="rId523">
        <w:r>
          <w:rPr>
            <w:color w:val="1155CC"/>
            <w:u w:val="single"/>
          </w:rPr>
          <w:t>10.1073/pnas.2514202122</w:t>
        </w:r>
      </w:hyperlink>
    </w:p>
    <w:p>
      <w:pPr>
        <w:spacing w:before="0" w:after="120"/>
      </w:pPr>
      <w:r>
        <w:rPr>
          <w:b/>
        </w:rPr>
        <w:t xml:space="preserve">Notes: </w:t>
      </w:r>
      <w:r>
        <w:t>abstract_source=crossref</w:t>
      </w:r>
    </w:p>
    <w:p>
      <w:pPr>
        <w:spacing w:before="0" w:after="200" w:lineRule="auto" w:line="276"/>
      </w:pPr>
      <w:r>
        <w:rPr>
          <w:b/>
        </w:rPr>
        <w:t xml:space="preserve">Abstract: </w:t>
      </w:r>
      <w:r>
        <w:t>Neuromodulatory systems play an essential role in regulating brain states and functions. The canonical view is that the release of monoamines including norepinephrine (NE) and serotonin (5-HT) is high during wakefulness and attenuated during sleep, particularly during rapid eye movement (REM) sleep, whereas the cholinergic system is active during both wakefulness and REM sleep and quiescent during non–REM (NREM) sleep. Recent studies have revealed a slow and rhythmic release pattern of neuromodulators during NREM sleep that drives infraslow oscillation (ISO) (0.02 to 0.03 Hz) in the brain. A key question is whether/how the release of different neuromodulators during sleep is coordinated. In this study, we combined 2-site fiber photometry with electroencephalogram/electromyography recording to monitor the release of NE, 5-HT, and acetylcholine in the cortex and hippocampus during sleep and wake cycles. We found that the ISO of these neuromodulators is synchronized during NREM sleep. The synchrony between neuromodulatory systems increases in the oscillatory cycles leading to arousal. Furthermore, pharmacological inhibition of either the 5-HT or NE system eliminates the oscillation of other neuromodulators during NREM sleep. Optogenetic activation of 5-HT or NE neurons during NREM sleep induces the release of other neuromodulators in the absence of sleep-to-wake transitions. These results suggest that the rhythmic neuromodulator releases are highly coordinated in the brain. The synchrony among multiple neuromodulatory systems across brain regions provides a powerful neural mechanism to orchestrate sleep architecture and sleep-related neural processes.</w:t>
      </w:r>
    </w:p>
    <w:p>
      <w:pPr>
        <w:spacing w:before="120" w:after="120"/>
      </w:pPr>
      <w:r>
        <w:rPr>
          <w:sz w:val="18"/>
        </w:rPr>
        <w:t>——————————————————————————————————————————————————————————————————————</w:t>
      </w:r>
    </w:p>
    <w:p>
      <w:pPr>
        <w:spacing w:before="160" w:after="80" w:line="240" w:lineRule="auto"/>
      </w:pPr>
      <w:r>
        <w:rPr>
          <w:b/>
        </w:rPr>
        <w:t xml:space="preserve">[296] </w:t>
      </w:r>
      <w:hyperlink r:id="rId524">
        <w:r>
          <w:rPr>
            <w:color w:val="1155CC"/>
            <w:u w:val="single"/>
          </w:rPr>
          <w:t>[ASAP] Entropy-Motivated Solvation Design for Low-Temperature Ether-Based Electrolyte of Sodium-Ion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2025-12-24 09:04:48+00:00</w:t>
      </w:r>
      <w:r>
        <w:t xml:space="preserve">    </w:t>
      </w:r>
      <w:r>
        <w:rPr>
          <w:b/>
        </w:rPr>
        <w:t xml:space="preserve">DOI: </w:t>
      </w:r>
      <w:hyperlink r:id="rId525">
        <w:r>
          <w:rPr>
            <w:color w:val="1155CC"/>
            <w:u w:val="single"/>
          </w:rPr>
          <w:t>10.1021/acsenergylett.5c03431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[297] </w:t>
      </w:r>
      <w:hyperlink r:id="rId526">
        <w:r>
          <w:rPr>
            <w:color w:val="1155CC"/>
            <w:u w:val="single"/>
          </w:rPr>
          <w:t>[ASAP] Reversible Interconversion between a Carbon–Carbon Double Bond and Diradical beyond External Stimulus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12:26:51+00:00</w:t>
      </w:r>
      <w:r>
        <w:t xml:space="preserve">    </w:t>
      </w:r>
      <w:r>
        <w:rPr>
          <w:b/>
        </w:rPr>
        <w:t xml:space="preserve">DOI: </w:t>
      </w:r>
      <w:hyperlink r:id="rId527">
        <w:r>
          <w:rPr>
            <w:color w:val="1155CC"/>
            <w:u w:val="single"/>
          </w:rPr>
          <w:t>10.1021/jacs.5c18532</w:t>
        </w:r>
      </w:hyperlink>
    </w:p>
    <w:p>
      <w:pPr>
        <w:spacing w:before="0" w:after="120"/>
      </w:pPr>
      <w:r>
        <w:rPr>
          <w:b/>
        </w:rPr>
        <w:t xml:space="preserve">Notes: </w:t>
      </w:r>
      <w:r>
        <w:t>abstract_source=pubmed</w:t>
      </w:r>
    </w:p>
    <w:p>
      <w:pPr>
        <w:spacing w:before="0" w:after="200" w:lineRule="auto" w:line="276"/>
      </w:pPr>
      <w:r>
        <w:rPr>
          <w:b/>
        </w:rPr>
        <w:t xml:space="preserve">Abstract: </w:t>
      </w:r>
      <w:r>
        <w:t>The reversible interconversion between a carbon-carbon double bond and a diradical species represents a fundamental challenge in organic chemistry, with implications for molecular design and electronic materials. While steric strain and external stimulus can induce partial twisting of a carbon-carbon double bond, achieving stable diradical states through controlled, reversible bond twisting remains a significant challenge. Here, we report a strategy in which Lewis acid coordination enables the controlled twisting of C═C bonds to form diradical species with torsional angles of over 70°. Through coordination of Al(ORF)3 (RF = C(CF3)3) or SiEt3+ to bianthrone derivatives, we isolate twisted adducts characterized by X-ray crystallography, EPR spectroscopy, and magnetic studies. The process is reversible─competitive displacement of Lewis acids by CH3CN restores folded alkenes, as monitored by UV-vis and NMR spectroscopy. This work provides a strategy for manipulating carbon-carbon double-bond topology with potential applications in reversibly responsive molecular systems.</w:t>
      </w:r>
    </w:p>
    <w:p>
      <w:pPr>
        <w:spacing w:before="120" w:after="120"/>
      </w:pPr>
      <w:r>
        <w:rPr>
          <w:sz w:val="18"/>
        </w:rPr>
        <w:t>——————————————————————————————————————————————————————————————————————</w:t>
      </w:r>
    </w:p>
    <w:p>
      <w:pPr>
        <w:spacing w:before="160" w:after="80" w:line="240" w:lineRule="auto"/>
      </w:pPr>
      <w:r>
        <w:rPr>
          <w:b/>
        </w:rPr>
        <w:t xml:space="preserve">[298] </w:t>
      </w:r>
      <w:hyperlink r:id="rId528">
        <w:r>
          <w:rPr>
            <w:color w:val="1155CC"/>
            <w:u w:val="single"/>
          </w:rPr>
          <w:t>[ASAP] Ultrathin Nanosheets Formed by Metal–Organic Cages Connected via Hydrogen Bonds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12:53:32+00:00</w:t>
      </w:r>
      <w:r>
        <w:t xml:space="preserve">    </w:t>
      </w:r>
      <w:r>
        <w:rPr>
          <w:b/>
        </w:rPr>
        <w:t xml:space="preserve">DOI: </w:t>
      </w:r>
      <w:hyperlink r:id="rId529">
        <w:r>
          <w:rPr>
            <w:color w:val="1155CC"/>
            <w:u w:val="single"/>
          </w:rPr>
          <w:t>10.1021/jacs.5c19910</w:t>
        </w:r>
      </w:hyperlink>
    </w:p>
    <w:p>
      <w:pPr>
        <w:spacing w:before="0" w:after="120"/>
      </w:pPr>
      <w:r>
        <w:rPr>
          <w:b/>
        </w:rPr>
        <w:t xml:space="preserve">Notes: </w:t>
      </w:r>
      <w:r>
        <w:t>abstract_source=pubmed</w:t>
      </w:r>
    </w:p>
    <w:p>
      <w:pPr>
        <w:spacing w:before="0" w:after="200" w:lineRule="auto" w:line="276"/>
      </w:pPr>
      <w:r>
        <w:rPr>
          <w:b/>
        </w:rPr>
        <w:t xml:space="preserve">Abstract: </w:t>
      </w:r>
      <w:r>
        <w:t>Ultrathin two-dimensional (2D) materials commonly feature repeat units interconnected through robust covalent or coordination bonds. In this work, we report a distinctive 2D material formed by assembling discrete metal-organic cages (MOCs) into extended nanosheets through directional hydrogen bonding. Coordination of a dicarboxylate-functionalized boron dipyrromethene (bodipy) ligand with bis(cyclopentadienyl)zirconium dichloride affords a layered crystal composed of bodipy-based tetrahedrons. The tetrahedra within the intralayer possess hydrogen bonds in close contact, while interactions across interlayers are supported by weak van der Waals interactions. This discrepancy enables a freeze-thaw method to exfoliate the layered crystal into nanosheets that are composed of one to three layers, approximately 2-6 nm thick, with aspect ratios up to 15,000:1. These nanosheets are solely stabilized by hydrogen bonds, and their structural integrity is confirmed by high-resolution transmission electron microscopy (HR-TEM), enabling direct observation of the arrangement of tetrahedrons within the nanosheet at high resolution while preserving the integrity of the original structure. As a visible light photocatalyst, the nanosheets exhibit significantly enhanced activity in C(sp2)-H/N-H cross-dehydrogenative coupling (CDC) amination under ambient air, outperforming both the layered crystals and the individual cages. This work introduces a new paradigm for the design of 2D materials and opens new avenues for the synthesis of 2D materials from other hydrogen bond-directed assemblies.</w:t>
      </w:r>
    </w:p>
    <w:p>
      <w:pPr>
        <w:spacing w:before="120" w:after="120"/>
      </w:pPr>
      <w:r>
        <w:rPr>
          <w:sz w:val="18"/>
        </w:rPr>
        <w:t>——————————————————————————————————————————————————————————————————————</w:t>
      </w:r>
    </w:p>
    <w:p>
      <w:pPr>
        <w:spacing w:before="160" w:after="80" w:line="240" w:lineRule="auto"/>
      </w:pPr>
      <w:r>
        <w:rPr>
          <w:b/>
        </w:rPr>
        <w:t xml:space="preserve">[299] </w:t>
      </w:r>
      <w:hyperlink r:id="rId530">
        <w:r>
          <w:rPr>
            <w:color w:val="1155CC"/>
            <w:u w:val="single"/>
          </w:rPr>
          <w:t>[ASAP] How Dispersion Interactions at the Excited State Can Tune Photochromism of Embedded Chromophores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12:54:25+00:00</w:t>
      </w:r>
      <w:r>
        <w:t xml:space="preserve">    </w:t>
      </w:r>
      <w:r>
        <w:rPr>
          <w:b/>
        </w:rPr>
        <w:t xml:space="preserve">DOI: </w:t>
      </w:r>
      <w:hyperlink r:id="rId531">
        <w:r>
          <w:rPr>
            <w:color w:val="1155CC"/>
            <w:u w:val="single"/>
          </w:rPr>
          <w:t>10.1021/jacs.5c19241</w:t>
        </w:r>
      </w:hyperlink>
    </w:p>
    <w:p>
      <w:pPr>
        <w:spacing w:before="0" w:after="120"/>
      </w:pPr>
      <w:r>
        <w:rPr>
          <w:b/>
        </w:rPr>
        <w:t xml:space="preserve">Notes: </w:t>
      </w:r>
      <w:r>
        <w:t>abstract_source=pubmed</w:t>
      </w:r>
    </w:p>
    <w:p>
      <w:pPr>
        <w:spacing w:before="0" w:after="200" w:lineRule="auto" w:line="276"/>
      </w:pPr>
      <w:r>
        <w:rPr>
          <w:b/>
        </w:rPr>
        <w:t xml:space="preserve">Abstract: </w:t>
      </w:r>
      <w:r>
        <w:t>We present QM/MMPol-cLR3, a polarizable embedding quantum mechanics/molecular mechanics (QM/MM) framework that includes explicit, state-specific dispersion terms. This method enables a rigorous treatment of dispersion on top of electrostatic and induction effects in ground- and excited-state calculations. Using QM/MMPol-cLR3, we show that dispersion interactions control excited-state solvatochromism through two distinct mechanisms. In azulene, opposite shifts of the La and Lb states arise from state-specific dispersion linked to changes in excited-state polarizability. In bacteriochlorophyll a, dispersion instead stems from the interplay between polarizability changes and transition-dipole-driven response, governing the Qy and Qx shifts. Finally, application to the LH2 complex reveals pigment-dependent dispersion shifts between the B800 and B850 rings, impacting the excitation-energy transfer. These results establish dispersion as an essential, nonempirical component for predictive excited-state simulations in complex environments.</w:t>
      </w:r>
    </w:p>
    <w:p>
      <w:pPr>
        <w:spacing w:before="120" w:after="120"/>
      </w:pPr>
      <w:r>
        <w:rPr>
          <w:sz w:val="18"/>
        </w:rPr>
        <w:t>——————————————————————————————————————————————————————————————————————</w:t>
      </w:r>
    </w:p>
    <w:p>
      <w:pPr>
        <w:spacing w:before="160" w:after="80" w:line="240" w:lineRule="auto"/>
      </w:pPr>
      <w:r>
        <w:rPr>
          <w:b/>
        </w:rPr>
        <w:t xml:space="preserve">[300] </w:t>
      </w:r>
      <w:hyperlink r:id="rId532">
        <w:r>
          <w:rPr>
            <w:color w:val="1155CC"/>
            <w:u w:val="single"/>
          </w:rPr>
          <w:t>[ASAP] Emerging Multivalent Electrochromic Batteries: Dual-Function Energy Storage with Visual Intelligence</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2025-12-24 13:39:03+00:00</w:t>
      </w:r>
      <w:r>
        <w:t xml:space="preserve">    </w:t>
      </w:r>
      <w:r>
        <w:rPr>
          <w:b/>
        </w:rPr>
        <w:t xml:space="preserve">DOI: </w:t>
      </w:r>
      <w:hyperlink r:id="rId533">
        <w:r>
          <w:rPr>
            <w:color w:val="1155CC"/>
            <w:u w:val="single"/>
          </w:rPr>
          <w:t>10.1021/acsenergylett.5c03306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[301] </w:t>
      </w:r>
      <w:hyperlink r:id="rId534">
        <w:r>
          <w:rPr>
            <w:color w:val="1155CC"/>
            <w:u w:val="single"/>
          </w:rPr>
          <w:t>[ASAP] A Note on Why Low-Symmetry Lanthanide Clusters Can Be Good Single Molecule Magnets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13:40:48+00:00</w:t>
      </w:r>
      <w:r>
        <w:t xml:space="preserve">    </w:t>
      </w:r>
      <w:r>
        <w:rPr>
          <w:b/>
        </w:rPr>
        <w:t xml:space="preserve">DOI: </w:t>
      </w:r>
      <w:hyperlink r:id="rId535">
        <w:r>
          <w:rPr>
            <w:color w:val="1155CC"/>
            <w:u w:val="single"/>
          </w:rPr>
          <w:t>10.1021/jacs.5c16415</w:t>
        </w:r>
      </w:hyperlink>
    </w:p>
    <w:p>
      <w:pPr>
        <w:spacing w:before="0" w:after="120"/>
      </w:pPr>
      <w:r>
        <w:rPr>
          <w:b/>
        </w:rPr>
        <w:t xml:space="preserve">Notes: </w:t>
      </w:r>
      <w:r>
        <w:t>abstract_source=pubmed</w:t>
      </w:r>
    </w:p>
    <w:p>
      <w:pPr>
        <w:spacing w:before="0" w:after="200" w:lineRule="auto" w:line="276"/>
      </w:pPr>
      <w:r>
        <w:rPr>
          <w:b/>
        </w:rPr>
        <w:t xml:space="preserve">Abstract: </w:t>
      </w:r>
      <w:r>
        <w:t>Lanthanide complexes with a low-symmetry ligand environment are frequently observed to exhibit good single molecule magnet (SMM) behavior, which is seemingly at odds with the established understanding that strong Ising-type magnetic anisotropy is essential. This and other paradoxical features of such clusters are shown to follow naturally from a semiclassical treatment of the ligand field, which becomes valid in the limit of large total angular momentum J. Quantum corrections are discussed qualitatively. The resulting physical picture offers clear insight into a broad class of lanthanide-based SMMs.</w:t>
      </w:r>
    </w:p>
    <w:p>
      <w:pPr>
        <w:spacing w:before="120" w:after="120"/>
      </w:pPr>
      <w:r>
        <w:rPr>
          <w:sz w:val="18"/>
        </w:rPr>
        <w:t>——————————————————————————————————————————————————————————————————————</w:t>
      </w:r>
    </w:p>
    <w:p>
      <w:pPr>
        <w:spacing w:before="160" w:after="80" w:line="240" w:lineRule="auto"/>
      </w:pPr>
      <w:r>
        <w:rPr>
          <w:b/>
        </w:rPr>
        <w:t xml:space="preserve">[302] </w:t>
      </w:r>
      <w:hyperlink r:id="rId536">
        <w:r>
          <w:rPr>
            <w:color w:val="1155CC"/>
            <w:u w:val="single"/>
          </w:rPr>
          <w:t>[ASAP] Efficient Multiexciton Energy Transfer from Quantum Dots to Molecular Triplets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13:49:36+00:00</w:t>
      </w:r>
      <w:r>
        <w:t xml:space="preserve">    </w:t>
      </w:r>
      <w:r>
        <w:rPr>
          <w:b/>
        </w:rPr>
        <w:t xml:space="preserve">DOI: </w:t>
      </w:r>
      <w:hyperlink r:id="rId537">
        <w:r>
          <w:rPr>
            <w:color w:val="1155CC"/>
            <w:u w:val="single"/>
          </w:rPr>
          <w:t>10.1021/jacs.5c18414</w:t>
        </w:r>
      </w:hyperlink>
    </w:p>
    <w:p>
      <w:pPr>
        <w:spacing w:before="0" w:after="120"/>
      </w:pPr>
      <w:r>
        <w:rPr>
          <w:b/>
        </w:rPr>
        <w:t xml:space="preserve">Notes: </w:t>
      </w:r>
      <w:r>
        <w:t>abstract_source=pubmed</w:t>
      </w:r>
    </w:p>
    <w:p>
      <w:pPr>
        <w:spacing w:before="0" w:after="200" w:lineRule="auto" w:line="276"/>
      </w:pPr>
      <w:r>
        <w:rPr>
          <w:b/>
        </w:rPr>
        <w:t xml:space="preserve">Abstract: </w:t>
      </w:r>
      <w:r>
        <w:t>Colloidal quantum dots (QDs) have emerged as a class of important materials for light harvesting and conversion applications. Unlike most molecular systems, each QD can accommodate multiple excitons, but these multiexcitons often decay rapidly through nonradiative Auger recombination, strongly limiting their utilization efficiency. Previous studies have adopted molecular acceptors to extract charges from multiexcitons of QDs, but the resulting charge-separated states are eventually lost via recombination. In recent years, triplet energy transfer from QDs to molecules have been established as an effective means for long-time storage of exciton energy for a variety of photochemical applications. To date, however, multiexciton energy transfer from QDs to molecular triplets has never been demonstrated. Here we report efficient energy transfer from the multiexciton states of Cd, Pb-free ZnSe-based QDs to their surface-anchored aggregation-induced-emission (AIE) molecules achieved through stepwise charge-transfer. The key is to first dissociate multiexcitons through rapid interfacial electron transfer, with a remarkable efficiency of 96% even for the average exciton number per QD (⟨N⟩) as large as 5.2. The subsequent hole transfer step then populates multiple AIE molecules to their triplet states, which are utilized for singlet-oxygen generation and organic photocatalysis. Crucially, both the AIE triplet yield and the singlet-oxygen yield increase almost linearly with ⟨N⟩ until ⟨N⟩ reaches 6, indicating that the triplet energy transfer efficiency of multiexcitons is just as efficient as that of single-excitons.</w:t>
      </w:r>
    </w:p>
    <w:p>
      <w:pPr>
        <w:spacing w:before="120" w:after="120"/>
      </w:pPr>
      <w:r>
        <w:rPr>
          <w:sz w:val="18"/>
        </w:rPr>
        <w:t>——————————————————————————————————————————————————————————————————————</w:t>
      </w:r>
    </w:p>
    <w:p>
      <w:pPr>
        <w:spacing w:before="160" w:after="80" w:line="240" w:lineRule="auto"/>
      </w:pPr>
      <w:r>
        <w:rPr>
          <w:b/>
        </w:rPr>
        <w:t xml:space="preserve">[303] </w:t>
      </w:r>
      <w:hyperlink r:id="rId538">
        <w:r>
          <w:rPr>
            <w:color w:val="1155CC"/>
            <w:u w:val="single"/>
          </w:rPr>
          <w:t>[ASAP] Closed-Loop and Precision Synthesis of Polymuconates via Organocatalyzed Group Transfer Polymerization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14:15:58+00:00</w:t>
      </w:r>
      <w:r>
        <w:t xml:space="preserve">    </w:t>
      </w:r>
      <w:r>
        <w:rPr>
          <w:b/>
        </w:rPr>
        <w:t xml:space="preserve">DOI: </w:t>
      </w:r>
      <w:hyperlink r:id="rId539">
        <w:r>
          <w:rPr>
            <w:color w:val="1155CC"/>
            <w:u w:val="single"/>
          </w:rPr>
          <w:t>10.1021/jacs.5c17893</w:t>
        </w:r>
      </w:hyperlink>
    </w:p>
    <w:p>
      <w:pPr>
        <w:spacing w:before="0" w:after="120"/>
      </w:pPr>
      <w:r>
        <w:rPr>
          <w:b/>
        </w:rPr>
        <w:t xml:space="preserve">Notes: </w:t>
      </w:r>
      <w:r>
        <w:t>abstract_source=pubmed</w:t>
      </w:r>
    </w:p>
    <w:p>
      <w:pPr>
        <w:spacing w:before="0" w:after="200" w:lineRule="auto" w:line="276"/>
      </w:pPr>
      <w:r>
        <w:rPr>
          <w:b/>
        </w:rPr>
        <w:t xml:space="preserve">Abstract: </w:t>
      </w:r>
      <w:r>
        <w:t>We report a highly controlled, metal-free polymerization platform for the synthesis and closed-loop recycling of biobased polymuconates, overcoming longstanding limitations in group transfer polymerization (GTP) of conjugated dienes. Using a mild organocatalytic system based on P2-t-Bu in tetrahydrofuran as a solvent, and initiated by 1-ethoxy-1-(trimethylsiloxy)-1,3-butadiene (ETSB), our method enables rapid polymerization (&lt;10 min, room temperature) with excellent control both over molar mass and dispersity (Đ ≤ 1.2) and predictable polymuconate chain lengths. Mechanistic investigations support a dissociative GTP pathway involving 1,6-conjugate addition reactions with dynamic exchange between dormant and propagating species, ensuring uniform chain growth and suppressing side reactions. This strategy extends to all three stereoisomers of muconate esters, including the biobased cis,cis and cis,trans forms, broadening the scope of monomers compatible with GTP. We further demonstrate the living character of this polymerization through successful chain extensions and the synthesis of structurally well-defined muconate-based block copolymers. Importantly, these materials can be thermally depolymerized to recover pure monomers, which are amenable to repolymerization under identical conditions, thus enabling a true closed-loop chemical recycling process. Our work provides a scalable, sustainable route to precision-engineered, degradable polar polydienes, representing a potential alternative to conventional vinyl polymers.</w:t>
      </w:r>
    </w:p>
    <w:p>
      <w:pPr>
        <w:spacing w:before="120" w:after="120"/>
      </w:pPr>
      <w:r>
        <w:rPr>
          <w:sz w:val="18"/>
        </w:rPr>
        <w:t>——————————————————————————————————————————————————————————————————————</w:t>
      </w:r>
    </w:p>
    <w:p>
      <w:pPr>
        <w:spacing w:before="160" w:after="80" w:line="240" w:lineRule="auto"/>
      </w:pPr>
      <w:r>
        <w:rPr>
          <w:b/>
        </w:rPr>
        <w:t xml:space="preserve">[304] </w:t>
      </w:r>
      <w:hyperlink r:id="rId540">
        <w:r>
          <w:rPr>
            <w:color w:val="1155CC"/>
            <w:u w:val="single"/>
          </w:rPr>
          <w:t>Electrified Isoreticular Synthesis of Zeolitic Imidazolate Framework‐90 Membrane Through Self‐Templating for Tunable Gas Separations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15:01:43+00:00</w:t>
      </w:r>
      <w:r>
        <w:t xml:space="preserve">    </w:t>
      </w:r>
      <w:r>
        <w:rPr>
          <w:b/>
        </w:rPr>
        <w:t xml:space="preserve">DOI: </w:t>
      </w:r>
      <w:hyperlink r:id="rId541">
        <w:r>
          <w:rPr>
            <w:color w:val="1155CC"/>
            <w:u w:val="single"/>
          </w:rPr>
          <w:t>10.1002/anie.202525064</w:t>
        </w:r>
      </w:hyperlink>
    </w:p>
    <w:p>
      <w:pPr>
        <w:spacing w:before="0" w:after="120"/>
      </w:pPr>
      <w:r>
        <w:rPr>
          <w:b/>
        </w:rPr>
        <w:t xml:space="preserve">Notes: </w:t>
      </w:r>
      <w:r>
        <w:t>abstract_source=crossref</w:t>
      </w:r>
    </w:p>
    <w:p>
      <w:pPr>
        <w:spacing w:before="0" w:after="200" w:lineRule="auto" w:line="276"/>
      </w:pPr>
      <w:r>
        <w:rPr>
          <w:b/>
        </w:rPr>
        <w:t xml:space="preserve">Abstract: </w:t>
      </w:r>
      <w:r>
        <w:t>Metal–organic frameworks (MOFs) are amenable to isoreticulation, which provides a handle to fine‐tune the pore apertures and thus their gas separation capabilities as molecular‐sieving membranes. Electrified synthesis is an emerging and scalable approach for fabricating MOF membranes, notable for its ultrafast efficiency under ambient conditions. This rapid growth, however, poses a critical challenge to achieving crystallinity during isoreticular synthesis as excessively fast reaction kinetics might lead to the formation of amorphous products lacking long‐range order. Here, we present a self‐templating approach to form in situ structure‐directing subunits, guiding the ordered assembly at extreme kinetics. This strategy enables the electrified isoreticulation of zeolitic imidazolate framework‐8 (ZIF‐8) to ZIF‐90 with slightly larger pore apertures. Compared to the parent ZIF‐8 membrane, which exhibited a propylene permeance of 52 GPU and selectivities of 100–300, the isoreticular ZIF‐90 membrane delivers a ninefold higher permeance of 467 GPU while retaining a robust propylene/propane selectivity of 24.</w:t>
      </w:r>
    </w:p>
    <w:p>
      <w:pPr>
        <w:spacing w:before="120" w:after="120"/>
      </w:pPr>
      <w:r>
        <w:rPr>
          <w:sz w:val="18"/>
        </w:rPr>
        <w:t>——————————————————————————————————————————————————————————————————————</w:t>
      </w:r>
    </w:p>
    <w:p>
      <w:pPr>
        <w:spacing w:before="160" w:after="80" w:line="240" w:lineRule="auto"/>
      </w:pPr>
      <w:r>
        <w:rPr>
          <w:b/>
        </w:rPr>
        <w:t xml:space="preserve">[305] </w:t>
      </w:r>
      <w:hyperlink r:id="rId542">
        <w:r>
          <w:rPr>
            <w:color w:val="1155CC"/>
            <w:u w:val="single"/>
          </w:rPr>
          <w:t>A General Strategy to Access Pharmaceutically Relevant Pyridines from Nitroarenes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15:02:27+00:00</w:t>
      </w:r>
      <w:r>
        <w:t xml:space="preserve">    </w:t>
      </w:r>
      <w:r>
        <w:rPr>
          <w:b/>
        </w:rPr>
        <w:t xml:space="preserve">DOI: </w:t>
      </w:r>
      <w:hyperlink r:id="rId543">
        <w:r>
          <w:rPr>
            <w:color w:val="1155CC"/>
            <w:u w:val="single"/>
          </w:rPr>
          <w:t>10.1002/anie.202517867</w:t>
        </w:r>
      </w:hyperlink>
    </w:p>
    <w:p>
      <w:pPr>
        <w:spacing w:before="0" w:after="120"/>
      </w:pPr>
      <w:r>
        <w:rPr>
          <w:b/>
        </w:rPr>
        <w:t xml:space="preserve">Notes: </w:t>
      </w:r>
      <w:r>
        <w:t>abstract_source=crossref</w:t>
      </w:r>
    </w:p>
    <w:p>
      <w:pPr>
        <w:spacing w:before="0" w:after="200" w:lineRule="auto" w:line="276"/>
      </w:pPr>
      <w:r>
        <w:rPr>
          <w:b/>
        </w:rPr>
        <w:t xml:space="preserve">Abstract: </w:t>
      </w:r>
      <w:r>
        <w:t>The incorporation of nitrogen atoms into aromatic systems is a cornerstone of modern drug design, enabling precise modulation of molecular properties and enhanced bioactivity. Here, we report a general and efficient strategy for the first‐time conversion of nitroarenes into pharmaceutically relevant pyridine heterocycles via a nitrene‐mediated transformation. This process is driven by a bio‐inspired iron–porphyrin catalyst that uniquely serves as a singlet oxygen reservoir, enabling the formation of aminopyridines via C5‐carbon deletion through a controlled ring‐editing cascade. The unprecedented selective C5‐carbon deletion provides a powerful new retrosynthetic logic for heterocycle construction. The reaction proceeds under mild conditions, tolerates a wide range of functional groups, and offers broad substrate scope with high regioselectivity. Furthermore, the method's ability to efficiently convert nitroarenes into bioactive pyridine scaffolds via ipso‐carbon deletion underscores its practicality and step economy. This modular platform also streamlines the synthesis of drug‐like scaffolds from simple building blocks, as demonstrated by the late‐stage functionalization of nimesulide derivatives with improved molecular docking and binding profiles. Overall, this work showcases a distinctive catalytic paradigm for heterocycle construction with direct implications for pharmaceutical development and molecular remodeling.</w:t>
      </w:r>
    </w:p>
    <w:p>
      <w:pPr>
        <w:spacing w:before="120" w:after="120"/>
      </w:pPr>
      <w:r>
        <w:rPr>
          <w:sz w:val="18"/>
        </w:rPr>
        <w:t>——————————————————————————————————————————————————————————————————————</w:t>
      </w:r>
    </w:p>
    <w:p>
      <w:pPr>
        <w:spacing w:before="160" w:after="80" w:line="240" w:lineRule="auto"/>
      </w:pPr>
      <w:r>
        <w:rPr>
          <w:b/>
        </w:rPr>
        <w:t xml:space="preserve">[306] </w:t>
      </w:r>
      <w:hyperlink r:id="rId544">
        <w:r>
          <w:rPr>
            <w:color w:val="1155CC"/>
            <w:u w:val="single"/>
          </w:rPr>
          <w:t>Atroposelective Suzuki–Miyaura Coupling to Form 2‐Amino‐2′‐Hydroxybiphenyls Enabled by sRuPhos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15:03:48+00:00</w:t>
      </w:r>
      <w:r>
        <w:t xml:space="preserve">    </w:t>
      </w:r>
      <w:r>
        <w:rPr>
          <w:b/>
        </w:rPr>
        <w:t xml:space="preserve">DOI: </w:t>
      </w:r>
      <w:hyperlink r:id="rId545">
        <w:r>
          <w:rPr>
            <w:color w:val="1155CC"/>
            <w:u w:val="single"/>
          </w:rPr>
          <w:t>10.1002/anie.202520698</w:t>
        </w:r>
      </w:hyperlink>
    </w:p>
    <w:p>
      <w:pPr>
        <w:spacing w:before="0" w:after="120"/>
      </w:pPr>
      <w:r>
        <w:rPr>
          <w:b/>
        </w:rPr>
        <w:t xml:space="preserve">Notes: </w:t>
      </w:r>
      <w:r>
        <w:t>abstract_source=crossref</w:t>
      </w:r>
    </w:p>
    <w:p>
      <w:pPr>
        <w:spacing w:before="0" w:after="200" w:lineRule="auto" w:line="276"/>
      </w:pPr>
      <w:r>
        <w:rPr>
          <w:b/>
        </w:rPr>
        <w:t xml:space="preserve">Abstract: </w:t>
      </w:r>
      <w:r>
        <w:t>Atropisomeric biaryls are increasingly important in molecules of pharmaceutical interest. Asymmetric versions of the Suzuki–Miyaura coupling arguably constitute the most direct and attractive route to these without resorting to wasteful preparative separations or resolution steps. Herein, we report a new chiral phosphine ligand sRuPhos, a sulfonated form of RuPhos, which permits the coupling of unprotected</w:t>
      </w:r>
      <w:r>
        <w:t xml:space="preserve"> </w:t>
      </w:r>
      <w:r>
        <w:t>ortho</w:t>
      </w:r>
      <w:r>
        <w:t xml:space="preserve"> </w:t>
      </w:r>
      <w:r>
        <w:t>‐bromoanilines and</w:t>
      </w:r>
      <w:r>
        <w:t xml:space="preserve"> </w:t>
      </w:r>
      <w:r>
        <w:t>ortho</w:t>
      </w:r>
      <w:r>
        <w:t xml:space="preserve"> </w:t>
      </w:r>
      <w:r>
        <w:t>‐phenolic boronate esters with extremely high ee (up to 99%) to form 2‐amino‐2′‐hydroxybiphenyls.</w:t>
      </w:r>
      <w:r>
        <w:t xml:space="preserve"> </w:t>
      </w:r>
      <w:r>
        <w:t>N</w:t>
      </w:r>
      <w:r>
        <w:t xml:space="preserve"> </w:t>
      </w:r>
      <w:r>
        <w:t>‐alkylation can be accommodated on the aniline nitrogen and sRuPhos is also able to form highly hindered 2,2′‐biphenols, which could not be achieved in our previous studies using the related chiral ligand sSPhos. Given the great importance of biaryl atropisomers in medicinal chemistry, as well as the potential utility of the 2‐amino‐2′‐hydroxybiphenyl motif in chiral catalyst design, we anticipate that this reaction will soon find utility and that sRuPhos may be a useful ligand in the development of other asymmetric palladium‐catalysed processes.</w:t>
      </w:r>
    </w:p>
    <w:p>
      <w:pPr>
        <w:spacing w:before="120" w:after="120"/>
      </w:pPr>
      <w:r>
        <w:rPr>
          <w:sz w:val="18"/>
        </w:rPr>
        <w:t>——————————————————————————————————————————————————————————————————————</w:t>
      </w:r>
    </w:p>
    <w:p>
      <w:pPr>
        <w:spacing w:before="160" w:after="80" w:line="240" w:lineRule="auto"/>
      </w:pPr>
      <w:r>
        <w:rPr>
          <w:b/>
        </w:rPr>
        <w:t xml:space="preserve">[307] </w:t>
      </w:r>
      <w:hyperlink r:id="rId546">
        <w:r>
          <w:rPr>
            <w:color w:val="1155CC"/>
            <w:u w:val="single"/>
          </w:rPr>
          <w:t>Effective Ionic Potential Guided Dual‐Gradient Structural Engineering for Spent LiCoO2 Upcycling</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15:05:16+00:00</w:t>
      </w:r>
      <w:r>
        <w:t xml:space="preserve">    </w:t>
      </w:r>
      <w:r>
        <w:rPr>
          <w:b/>
        </w:rPr>
        <w:t xml:space="preserve">DOI: </w:t>
      </w:r>
      <w:hyperlink r:id="rId547">
        <w:r>
          <w:rPr>
            <w:color w:val="1155CC"/>
            <w:u w:val="single"/>
          </w:rPr>
          <w:t>10.1002/adma.202519347</w:t>
        </w:r>
      </w:hyperlink>
    </w:p>
    <w:p>
      <w:pPr>
        <w:spacing w:before="0" w:after="120"/>
      </w:pPr>
      <w:r>
        <w:rPr>
          <w:b/>
        </w:rPr>
        <w:t xml:space="preserve">Notes: </w:t>
      </w:r>
      <w:r>
        <w:t>abstract_source=crossref</w:t>
      </w:r>
    </w:p>
    <w:p>
      <w:pPr>
        <w:spacing w:before="0" w:after="200" w:lineRule="auto" w:line="276"/>
      </w:pPr>
      <w:r>
        <w:rPr>
          <w:b/>
        </w:rPr>
        <w:t xml:space="preserve">Abstract: </w:t>
      </w:r>
      <w:r>
        <w:t>Sustainable recycling of degraded LiCoO</w:t>
      </w:r>
      <w:r>
        <w:rPr>
          <w:vertAlign w:val="subscript"/>
        </w:rPr>
        <w:t>2</w:t>
      </w:r>
      <w:r>
        <w:t>(LCO) cathode is critical for minimizing the environmental footprint of lithium‐ion batteries. Herein, we propose an upcycling method that converts degraded LCO into high‐voltage cathodes by constructing a compositional and structural dual‐gradient structure, guided by the effective ionic potential (EIP,</w:t>
      </w:r>
      <w:r>
        <w:t xml:space="preserve"> </w:t>
      </w:r>
      <w:r>
        <w:t>Φ*</w:t>
      </w:r>
      <w:r>
        <w:t xml:space="preserve"> </w:t>
      </w:r>
      <w:r>
        <w:t>), a descriptor for foreign dopant diffusivity in degraded LCO lattices. Specifically, low‐</w:t>
      </w:r>
      <w:r>
        <w:t xml:space="preserve"> </w:t>
      </w:r>
      <w:r>
        <w:t>Φ*</w:t>
      </w:r>
      <w:r>
        <w:t xml:space="preserve"> </w:t>
      </w:r>
      <w:r>
        <w:t>dopants tend to exhibit high bulk diffusivity, whereas high‐</w:t>
      </w:r>
      <w:r>
        <w:t xml:space="preserve"> </w:t>
      </w:r>
      <w:r>
        <w:t>Φ*</w:t>
      </w:r>
      <w:r>
        <w:t xml:space="preserve"> </w:t>
      </w:r>
      <w:r>
        <w:t>dopants are retained near the surface, which promotes the formation of the compositional gradient and leads to a structural transition in LCO from a fully disordered, dense surface to an ordered layered structure in the bulk. This structure endows the upcycled cathode with a stabilized surface and low‐strain bulk structure, enabling its superior electrochemical performance over the commercial counterpart at cut‐off potentials of 4.6 and 4.65 V. Comprehensive kinetic and thermodynamic analyses reveal the critical role of vacancies in spent LCO for this structural engineering: Bulk vacancies facilitate the formation of deeper dopant concentration gradients within particles, while vacancies near the surface promote the development of a continuous and dense surface disordered structure. Multiscale characterizations and theoretical calculations elucidate the relationship between the engineered structure and the electrochemical stability of the upcycled cathode.</w:t>
      </w:r>
    </w:p>
    <w:p>
      <w:pPr>
        <w:spacing w:before="120" w:after="120"/>
      </w:pPr>
      <w:r>
        <w:rPr>
          <w:sz w:val="18"/>
        </w:rPr>
        <w:t>——————————————————————————————————————————————————————————————————————</w:t>
      </w:r>
    </w:p>
    <w:p>
      <w:pPr>
        <w:spacing w:before="160" w:after="80" w:line="240" w:lineRule="auto"/>
      </w:pPr>
      <w:r>
        <w:rPr>
          <w:b/>
        </w:rPr>
        <w:t xml:space="preserve">[308] </w:t>
      </w:r>
      <w:hyperlink r:id="rId548">
        <w:r>
          <w:rPr>
            <w:color w:val="1155CC"/>
            <w:u w:val="single"/>
          </w:rPr>
          <w:t>Strain‐Release Induced 1,2‐Metallate Rearrangement of Geminal Diborons: Multicomponent 1,5‐Difunctionalization via Ring‐Opening Coupling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15:06:44+00:00</w:t>
      </w:r>
      <w:r>
        <w:t xml:space="preserve">    </w:t>
      </w:r>
      <w:r>
        <w:rPr>
          <w:b/>
        </w:rPr>
        <w:t xml:space="preserve">DOI: </w:t>
      </w:r>
      <w:hyperlink r:id="rId549">
        <w:r>
          <w:rPr>
            <w:color w:val="1155CC"/>
            <w:u w:val="single"/>
          </w:rPr>
          <w:t>10.1002/anie.202521702</w:t>
        </w:r>
      </w:hyperlink>
    </w:p>
    <w:p>
      <w:pPr>
        <w:spacing w:before="0" w:after="120"/>
      </w:pPr>
      <w:r>
        <w:rPr>
          <w:b/>
        </w:rPr>
        <w:t xml:space="preserve">Notes: </w:t>
      </w:r>
      <w:r>
        <w:t>abstract_source=crossref</w:t>
      </w:r>
    </w:p>
    <w:p>
      <w:pPr>
        <w:spacing w:before="0" w:after="200" w:lineRule="auto" w:line="276"/>
      </w:pPr>
      <w:r>
        <w:rPr>
          <w:b/>
        </w:rPr>
        <w:t xml:space="preserve">Abstract: </w:t>
      </w:r>
      <w:r>
        <w:t>1,2‐metallate rearrangement of geminal diboryl alkanes typically requires an α‐leaving group and results in monofunctionalization at the proximal carbon. We present a strategy to engage non‐terminal geminal diborons in 1,2‐boronate shift via ring‐opening of strained vinyl cyclopropyl diborons (VCPDBs). This multicomponent reaction enabled proximal and remote 1,5‐difunctionalization yielding densely functionalized homoallylic diboryl alkanes featuring allylic halide or branched 1,5‐diene motifs which are components of bioactive natural products. The VCPDB reaction displayed polarity inversion relative to majority of the previous VCP ring‐opening reactions. The protocol showed broad substrate scope, providing alkenyl products with high</w:t>
      </w:r>
      <w:r>
        <w:t xml:space="preserve"> </w:t>
      </w:r>
      <w:r>
        <w:t>E</w:t>
      </w:r>
      <w:r>
        <w:t xml:space="preserve"> </w:t>
      </w:r>
      <w:r>
        <w:t>‐stereoselectivity, and their downstream synthetic utility was also demonstrated. Employing a chiral ligand in the allylation preserved the reaction efficiency while indicating enantioenrichment in the ring‐opening coupling.</w:t>
      </w:r>
      <w:r>
        <w:rPr>
          <w:vertAlign w:val="subscript"/>
        </w:rPr>
        <w:t>11</w:t>
      </w:r>
      <w:r>
        <w:t>B NMR studies indicated the involvement of “ate‐complex” and the role of</w:t>
      </w:r>
      <w:r>
        <w:t xml:space="preserve"> </w:t>
      </w:r>
      <w:r>
        <w:t>trans</w:t>
      </w:r>
      <w:r>
        <w:t xml:space="preserve"> </w:t>
      </w:r>
      <w:r>
        <w:t>‐orientation of vinyl and boronate groups to facilitate ring opening. To the best of our knowledge, this work represents the first examples of strain‐release induced 1,2‐metallate rearrangement on geminal diborons and Ir catalyzed multicomponent allylation of organoborons beyond 1,2 or 1,3‐addition.</w:t>
      </w:r>
    </w:p>
    <w:p>
      <w:pPr>
        <w:spacing w:before="120" w:after="120"/>
      </w:pPr>
      <w:r>
        <w:rPr>
          <w:sz w:val="18"/>
        </w:rPr>
        <w:t>——————————————————————————————————————————————————————————————————————</w:t>
      </w:r>
    </w:p>
    <w:p>
      <w:pPr>
        <w:spacing w:before="160" w:after="80" w:line="240" w:lineRule="auto"/>
      </w:pPr>
      <w:r>
        <w:rPr>
          <w:b/>
        </w:rPr>
        <w:t xml:space="preserve">[309] </w:t>
      </w:r>
      <w:hyperlink r:id="rId550">
        <w:r>
          <w:rPr>
            <w:color w:val="1155CC"/>
            <w:u w:val="single"/>
          </w:rPr>
          <w:t>Medium‐Entropy Regulation Enables Phase‐Stable Layered Oxide Cathodes with Reversible Anionic Redox for Sodium‐Ion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15:06:58+00:00</w:t>
      </w:r>
      <w:r>
        <w:t xml:space="preserve">    </w:t>
      </w:r>
      <w:r>
        <w:rPr>
          <w:b/>
        </w:rPr>
        <w:t xml:space="preserve">DOI: </w:t>
      </w:r>
      <w:hyperlink r:id="rId551">
        <w:r>
          <w:rPr>
            <w:color w:val="1155CC"/>
            <w:u w:val="single"/>
          </w:rPr>
          <w:t>10.1002/adma.202521118</w:t>
        </w:r>
      </w:hyperlink>
    </w:p>
    <w:p>
      <w:pPr>
        <w:spacing w:before="0" w:after="120"/>
      </w:pPr>
      <w:r>
        <w:rPr>
          <w:b/>
        </w:rPr>
        <w:t xml:space="preserve">Notes: </w:t>
      </w:r>
      <w:r>
        <w:t>abstract_source=crossref</w:t>
      </w:r>
    </w:p>
    <w:p>
      <w:pPr>
        <w:spacing w:before="0" w:after="200" w:lineRule="auto" w:line="276"/>
      </w:pPr>
      <w:r>
        <w:rPr>
          <w:b/>
        </w:rPr>
        <w:t xml:space="preserve">Abstract: </w:t>
      </w:r>
      <w:r>
        <w:t>Layered transition‐metal (TM) oxides with anionic redox reactions are promising cathode candidates for sodium‐ion batteries because of their high theoretical capacity and cost effectiveness, but they still suffer from severe P‐to‐O phase transition, irreversible TM migration, and lattice oxygen release. Herein, we report a strategy of rational entropy regulation for circumventing these multiple issues by systematically investigating layered TM oxide cathodes with low‐, medium‐, and high‐entropy configurations. It reveals that compared with the counterparts, the medium‐entropy cathode not only mitigates the lattice strain by accommodating the changes of local interactions conferred by entropy‐driven stabilization within the TMO</w:t>
      </w:r>
      <w:r>
        <w:rPr>
          <w:vertAlign w:val="subscript"/>
        </w:rPr>
        <w:t>2</w:t>
      </w:r>
      <w:r>
        <w:t>slabs, but also facilitates the appropriate facet exposure to maintain sufficient interlayer Na</w:t>
      </w:r>
      <w:r>
        <w:t xml:space="preserve"> </w:t>
      </w:r>
      <w:r>
        <w:t>+</w:t>
      </w:r>
      <w:r>
        <w:t xml:space="preserve"> </w:t>
      </w:r>
      <w:r>
        <w:t>shielding within the single NaO</w:t>
      </w:r>
      <w:r>
        <w:rPr>
          <w:vertAlign w:val="subscript"/>
        </w:rPr>
        <w:t>2</w:t>
      </w:r>
      <w:r>
        <w:t>slab, together delaying the P‐to‐O phase transition onset and suppressing the neighboring O‐type stacking. Therefore, this moderate medium‐entropy configuration enables reversible dynamic TM migration, benefiting from the robust phase stability, as revealed by in situ high‐energy‐resolution fluorescence‐detected X‐ray absorption spectroscopy results, which further minimizes oxygen vacancy formation and inhibits irreversible oxygen release. As a result, enhanced electrochemical performances with a long‐enduring reversible anionic redox activity are achieved. Our work underscores the critical role of rational entropy regulation for achieving high‐performance layered TM oxide cathodes.</w:t>
      </w:r>
    </w:p>
    <w:p>
      <w:pPr>
        <w:spacing w:before="120" w:after="120"/>
      </w:pPr>
      <w:r>
        <w:rPr>
          <w:sz w:val="18"/>
        </w:rPr>
        <w:t>——————————————————————————————————————————————————————————————————————</w:t>
      </w:r>
    </w:p>
    <w:p>
      <w:pPr>
        <w:spacing w:before="160" w:after="80" w:line="240" w:lineRule="auto"/>
      </w:pPr>
      <w:r>
        <w:rPr>
          <w:b/>
        </w:rPr>
        <w:t xml:space="preserve">[310] </w:t>
      </w:r>
      <w:hyperlink r:id="rId552">
        <w:r>
          <w:rPr>
            <w:color w:val="1155CC"/>
            <w:u w:val="single"/>
          </w:rPr>
          <w:t>Selective Hydrodemethylation of Methylalkylbenzenes on Potassium Hydride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15:07:22+00:00</w:t>
      </w:r>
      <w:r>
        <w:t xml:space="preserve">    </w:t>
      </w:r>
      <w:r>
        <w:rPr>
          <w:b/>
        </w:rPr>
        <w:t xml:space="preserve">DOI: </w:t>
      </w:r>
      <w:hyperlink r:id="rId553">
        <w:r>
          <w:rPr>
            <w:color w:val="1155CC"/>
            <w:u w:val="single"/>
          </w:rPr>
          <w:t>10.1002/anie.202521955</w:t>
        </w:r>
      </w:hyperlink>
    </w:p>
    <w:p>
      <w:pPr>
        <w:spacing w:before="0" w:after="120"/>
      </w:pPr>
      <w:r>
        <w:rPr>
          <w:b/>
        </w:rPr>
        <w:t xml:space="preserve">Notes: </w:t>
      </w:r>
      <w:r>
        <w:t>abstract_source=crossref</w:t>
      </w:r>
    </w:p>
    <w:p>
      <w:pPr>
        <w:spacing w:before="0" w:after="200" w:lineRule="auto" w:line="276"/>
      </w:pPr>
      <w:r>
        <w:rPr>
          <w:b/>
        </w:rPr>
        <w:t xml:space="preserve">Abstract: </w:t>
      </w:r>
      <w:r>
        <w:t>Dealkylation and hydrodealkylation of alkylaromatics are key processes in the petrochemical industry. The typical susceptibility of alkyl groups to removal via both dealkylation and hydrodealkylation reactions in aromatic compounds follows the order CH</w:t>
      </w:r>
      <w:r>
        <w:rPr>
          <w:vertAlign w:val="subscript"/>
        </w:rPr>
        <w:t>3</w:t>
      </w:r>
      <w:r>
        <w:t>&amp;lt; 1° &amp;lt; 2° &amp;lt; 3°, with methyl and tertiary alkyl groups having the slowest and fastest reaction rates, respectively. Here, we report the selective catalytic hydrodealkylation of methylalkylbenzenes using carbon‐supported potassium hydride (KH/C) under a H</w:t>
      </w:r>
      <w:r>
        <w:rPr>
          <w:vertAlign w:val="subscript"/>
        </w:rPr>
        <w:t>2</w:t>
      </w:r>
      <w:r>
        <w:t>atmosphere, which exhibits an opposite reactivity pattern compared with that described above. This trend is observed across various methylalkylbenzenes and also aligns with the higher reactivity of toluene compared to other monoalkylbenzenes. Density functional theory calculations on</w:t>
      </w:r>
      <w:r>
        <w:t xml:space="preserve"> </w:t>
      </w:r>
      <w:r>
        <w:t>ortho</w:t>
      </w:r>
      <w:r>
        <w:t xml:space="preserve"> </w:t>
      </w:r>
      <w:r>
        <w:t>‐ethyltoluene as a model substrate rationalize the experimental results by indicating a lower rate‐limiting energy barrier for the direct removal of the methyl group as methane relative to the removal of the ethyl group as ethane on the (001) facet of KH. Our study reveals that the potassium hydride surface exhibits a distinct hydrodealkylation mechanism, characterized by selectivity for hydrodemethylation, which contrasts with that of zeolites, Mo‐ or Pt‐based hydrodealkylation catalysts, and homogeneous free‐radical pathways.</w:t>
      </w:r>
    </w:p>
    <w:p>
      <w:pPr>
        <w:spacing w:before="120" w:after="120"/>
      </w:pPr>
      <w:r>
        <w:rPr>
          <w:sz w:val="18"/>
        </w:rPr>
        <w:t>——————————————————————————————————————————————————————————————————————</w:t>
      </w:r>
    </w:p>
    <w:p>
      <w:pPr>
        <w:spacing w:before="160" w:after="80" w:line="240" w:lineRule="auto"/>
      </w:pPr>
      <w:r>
        <w:rPr>
          <w:b/>
        </w:rPr>
        <w:t xml:space="preserve">[311] </w:t>
      </w:r>
      <w:hyperlink r:id="rId554">
        <w:r>
          <w:rPr>
            <w:color w:val="1155CC"/>
            <w:u w:val="single"/>
          </w:rPr>
          <w:t>Tailored Biodegradable Copolymers With Random‐Block Architecture for High‐Performance Absorbable Tissue Ligation Clips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15:07:40+00:00</w:t>
      </w:r>
      <w:r>
        <w:t xml:space="preserve">    </w:t>
      </w:r>
      <w:r>
        <w:rPr>
          <w:b/>
        </w:rPr>
        <w:t xml:space="preserve">DOI: </w:t>
      </w:r>
      <w:hyperlink r:id="rId555">
        <w:r>
          <w:rPr>
            <w:color w:val="1155CC"/>
            <w:u w:val="single"/>
          </w:rPr>
          <w:t>10.1002/adma.202517245</w:t>
        </w:r>
      </w:hyperlink>
    </w:p>
    <w:p>
      <w:pPr>
        <w:spacing w:before="0" w:after="120"/>
      </w:pPr>
      <w:r>
        <w:rPr>
          <w:b/>
        </w:rPr>
        <w:t xml:space="preserve">Notes: </w:t>
      </w:r>
      <w:r>
        <w:t>abstract_source=crossref</w:t>
      </w:r>
    </w:p>
    <w:p>
      <w:pPr>
        <w:spacing w:before="0" w:after="200" w:lineRule="auto" w:line="276"/>
      </w:pPr>
      <w:r>
        <w:rPr>
          <w:b/>
        </w:rPr>
        <w:t xml:space="preserve">Abstract: </w:t>
      </w:r>
      <w:r>
        <w:t>To address the balance between mechanical strength and flexibility in absorbable tissue ligation clips, a novel copolymer poly(L‐lactide‐r‐ε‐caprolactone)‐b‐poly(L‐lactide) (PLCL‐b‐PLLA) with random‐block molecular architecture is developed by integrating the flexibility of PLCL random copolymer and the high strength of PLLA homopolymer. Three random‐block copolymers with different LLA/CL ratios are designed and synthesized. Among them, the copolymer with an LLA/CL ratio of 75:25 (PLC75‐RB) exhibits the most balanced overall performance. The PLC75‐RB copolymer is injected into Hem‐o‐lok–shaped clips (CLIP75‐RB), and the CLIP75‐RB possesses sufficient closure force and favorable rebound ability, meeting the requirements for tissue ligation. The degradation evaluation indicates that the CLIP75‐RB maintains effective closure force for up to 4 weeks and then begins to degrade gradually. Further validation in a rabbit unilateral nephrectomy model confirms that CLIP75‐RB effectively performs ligation function and subsequently undergoes controlled degradation. The histological analysis demonstrates the good biocompatibility of the clips. The random‐block PLCL‐b‐PLLA copolymers expand the range of biodegradable polymers, and the PLC75‐RB exhibits well‐matched mechanical performance and degradation behavior, highlighting the potential for the next generation of absorbable tissue ligation clips.</w:t>
      </w:r>
    </w:p>
    <w:p>
      <w:pPr>
        <w:spacing w:before="120" w:after="120"/>
      </w:pPr>
      <w:r>
        <w:rPr>
          <w:sz w:val="18"/>
        </w:rPr>
        <w:t>——————————————————————————————————————————————————————————————————————</w:t>
      </w:r>
    </w:p>
    <w:p>
      <w:pPr>
        <w:spacing w:before="160" w:after="80" w:line="240" w:lineRule="auto"/>
      </w:pPr>
      <w:r>
        <w:rPr>
          <w:b/>
        </w:rPr>
        <w:t xml:space="preserve">[312] </w:t>
      </w:r>
      <w:hyperlink r:id="rId556">
        <w:r>
          <w:rPr>
            <w:color w:val="1155CC"/>
            <w:u w:val="single"/>
          </w:rPr>
          <w:t>[ASAP] In Vivo Calcium Imaging in the Near-Infrared II Window</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15:08:32+00:00</w:t>
      </w:r>
      <w:r>
        <w:t xml:space="preserve">    </w:t>
      </w:r>
      <w:r>
        <w:rPr>
          <w:b/>
        </w:rPr>
        <w:t xml:space="preserve">DOI: </w:t>
      </w:r>
      <w:hyperlink r:id="rId557">
        <w:r>
          <w:rPr>
            <w:color w:val="1155CC"/>
            <w:u w:val="single"/>
          </w:rPr>
          <w:t>10.1021/jacs.5c13641</w:t>
        </w:r>
      </w:hyperlink>
    </w:p>
    <w:p>
      <w:pPr>
        <w:spacing w:before="0" w:after="120"/>
      </w:pPr>
      <w:r>
        <w:rPr>
          <w:b/>
        </w:rPr>
        <w:t xml:space="preserve">Notes: </w:t>
      </w:r>
      <w:r>
        <w:t>abstract_source=pubmed</w:t>
      </w:r>
    </w:p>
    <w:p>
      <w:pPr>
        <w:spacing w:before="0" w:after="200" w:lineRule="auto" w:line="276"/>
      </w:pPr>
      <w:r>
        <w:rPr>
          <w:b/>
        </w:rPr>
        <w:t xml:space="preserve">Abstract: </w:t>
      </w:r>
      <w:r>
        <w:t>Noninvasive deep-tissue calcium imaging of live mammals with high sensitivity and resolution is challenging owing to light scattering experienced by traditional calcium ion (Ca2+) indicators with excitation and emission wavelengths within 400-750 nm. Here, we report near-infrared II (NIR-II) calcium imaging beyond 1000 nm by exploring a natural protein derived from a bacterium (Thermochromatium tepidum) living in a calcium carbonate-rich environment. This highly photostable fluorescent protein enables NIR-II imaging of intracellular Ca2+ responses to stimulant drugs in cultured mammalian cells with sensitivity comparable to that of visible Ca2+ indicators. We achieve in vivo NIR-II imaging of Ca2+ transients in response to two different tumor treatment strategies in intact tumors with high sensitivity, resolution, and contrast, opening the possibility of noninvasive deep-tissue calcium imaging for assessing treatment efficacy longitudinally.</w:t>
      </w:r>
    </w:p>
    <w:p>
      <w:pPr>
        <w:spacing w:before="120" w:after="120"/>
      </w:pPr>
      <w:r>
        <w:rPr>
          <w:sz w:val="18"/>
        </w:rPr>
        <w:t>——————————————————————————————————————————————————————————————————————</w:t>
      </w:r>
    </w:p>
    <w:p>
      <w:pPr>
        <w:spacing w:before="160" w:after="80" w:line="240" w:lineRule="auto"/>
      </w:pPr>
      <w:r>
        <w:rPr>
          <w:b/>
        </w:rPr>
        <w:t xml:space="preserve">[313] </w:t>
      </w:r>
      <w:hyperlink r:id="rId558">
        <w:r>
          <w:rPr>
            <w:color w:val="1155CC"/>
            <w:u w:val="single"/>
          </w:rPr>
          <w:t>[ASAP] DNA Modulates Structural Transitions and Oligomerization Kinetics of the Functional Amyloid CRES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15:09:17+00:00</w:t>
      </w:r>
      <w:r>
        <w:t xml:space="preserve">    </w:t>
      </w:r>
      <w:r>
        <w:rPr>
          <w:b/>
        </w:rPr>
        <w:t xml:space="preserve">DOI: </w:t>
      </w:r>
      <w:hyperlink r:id="rId559">
        <w:r>
          <w:rPr>
            <w:color w:val="1155CC"/>
            <w:u w:val="single"/>
          </w:rPr>
          <w:t>10.1021/jacs.5c15348</w:t>
        </w:r>
      </w:hyperlink>
    </w:p>
    <w:p>
      <w:pPr>
        <w:spacing w:before="0" w:after="120"/>
      </w:pPr>
      <w:r>
        <w:rPr>
          <w:b/>
        </w:rPr>
        <w:t xml:space="preserve">Notes: </w:t>
      </w:r>
      <w:r>
        <w:t>abstract_source=pubmed</w:t>
      </w:r>
    </w:p>
    <w:p>
      <w:pPr>
        <w:spacing w:before="0" w:after="200" w:lineRule="auto" w:line="276"/>
      </w:pPr>
      <w:r>
        <w:rPr>
          <w:b/>
        </w:rPr>
        <w:t xml:space="preserve">Abstract: </w:t>
      </w:r>
      <w:r>
        <w:t>Functional amyloids play critical roles in diverse physiological processes; however, the molecular mechanisms regulating their assembly remain unknown. The mouse epididymal lumen contains a functional amyloid- and nucleic acid-rich extracellular matrix with roles in host defense and sperm maturation. Cystatin-related epididymal spermatogenic (CRES), a reproductive cystatin and key component of the mammalian epididymal amyloid matrix, assembles into structurally heterogeneous amyloid forms to support the various roles of this extracellular matrix. Here, we show that CRES binds double-stranded DNA with submicromolar affinity in a sequence independent manner and that DNA binding accelerates amyloid formation by increasing local protein concentration and promoting specific oligomerization pathways. Using NMR spectroscopy, site-directed mutagenesis, and biophysical analyses, we find that DNA interacts primarily with the CRES loop region, thereby occluding one assembly mechanism and redirecting oligomerization through a pathway involving the L1 loop. These DNA-mediated changes in assembly kinetics and pathway selection suggest a regulatory mechanism for achieving structural and functional diversity in nonpathological amyloid systems. Our findings provide a molecular framework for understanding nucleic acid-guided amyloidogenesis and highlight how functional amyloids may exploit multiple assembly routes to fulfill their physiological roles.</w:t>
      </w:r>
    </w:p>
    <w:p>
      <w:pPr>
        <w:spacing w:before="120" w:after="120"/>
      </w:pPr>
      <w:r>
        <w:rPr>
          <w:sz w:val="18"/>
        </w:rPr>
        <w:t>——————————————————————————————————————————————————————————————————————</w:t>
      </w:r>
    </w:p>
    <w:p>
      <w:pPr>
        <w:spacing w:before="160" w:after="80" w:line="240" w:lineRule="auto"/>
      </w:pPr>
      <w:r>
        <w:rPr>
          <w:b/>
        </w:rPr>
        <w:t xml:space="preserve">[314] </w:t>
      </w:r>
      <w:hyperlink r:id="rId560">
        <w:r>
          <w:rPr>
            <w:color w:val="1155CC"/>
            <w:u w:val="single"/>
          </w:rPr>
          <w:t>Bridging Acidic and Alkaline Hydrogen Electrocatalysis via Ru‐Modified Pt3Co for Waste‐to‐Energy Electrochemical Neutralization Fuel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15:09:19+00:00</w:t>
      </w:r>
      <w:r>
        <w:t xml:space="preserve">    </w:t>
      </w:r>
      <w:r>
        <w:rPr>
          <w:b/>
        </w:rPr>
        <w:t xml:space="preserve">DOI: </w:t>
      </w:r>
      <w:hyperlink r:id="rId561">
        <w:r>
          <w:rPr>
            <w:color w:val="1155CC"/>
            <w:u w:val="single"/>
          </w:rPr>
          <w:t>10.1002/adma.202520173</w:t>
        </w:r>
      </w:hyperlink>
    </w:p>
    <w:p>
      <w:pPr>
        <w:spacing w:before="0" w:after="120"/>
      </w:pPr>
      <w:r>
        <w:rPr>
          <w:b/>
        </w:rPr>
        <w:t xml:space="preserve">Notes: </w:t>
      </w:r>
      <w:r>
        <w:t>abstract_source=crossref</w:t>
      </w:r>
    </w:p>
    <w:p>
      <w:pPr>
        <w:spacing w:before="0" w:after="200" w:lineRule="auto" w:line="276"/>
      </w:pPr>
      <w:r>
        <w:rPr>
          <w:b/>
        </w:rPr>
        <w:t xml:space="preserve">Abstract: </w:t>
      </w:r>
      <w:r>
        <w:t>The hydrogen oxidation (HOR) and hydrogen evolution (HER) reactions define the core of hydrogen electrochemistry, yet demand distinct control over hydroxyl binding and interfacial water structuring. Here, we engineer a ruthenium single‐atom anchored Pt</w:t>
      </w:r>
      <w:r>
        <w:rPr>
          <w:vertAlign w:val="subscript"/>
        </w:rPr>
        <w:t>3</w:t>
      </w:r>
      <w:r>
        <w:t>Co intermetallic on nitrogen‐doped carbon (O‐Pt</w:t>
      </w:r>
      <w:r>
        <w:rPr>
          <w:vertAlign w:val="subscript"/>
        </w:rPr>
        <w:t>3</w:t>
      </w:r>
      <w:r>
        <w:t>Co‐RuNC) to bridge this divide. The catalyst delivers a mass activity 4.1 times higher than Pt/C for alkaline HOR with only 9.3% CO‐induced loss, while simultaneously exhibiting remarkable activity for acidic HER, thus establishing a rare cross‐environment bifunctional platform. Leveraging this property, we design an electrochemical neutralization energy fuel cell (ENFC) that converts acid—base neutralization energy directly into electricity. Using O‐Pt</w:t>
      </w:r>
      <w:r>
        <w:rPr>
          <w:vertAlign w:val="subscript"/>
        </w:rPr>
        <w:t>3</w:t>
      </w:r>
      <w:r>
        <w:t>Co‐RuNC as both anode and cathode catalyst, the ENFC achieves a peak power density of 75.0 mW cm</w:t>
      </w:r>
      <w:r>
        <w:t xml:space="preserve"> </w:t>
      </w:r>
      <w:r>
        <w:t>−</w:t>
      </w:r>
      <w:r>
        <w:rPr>
          <w:vertAlign w:val="subscript"/>
        </w:rPr>
        <w:t>2</w:t>
      </w:r>
      <w:r>
        <w:t>and stable operation beyond 400 h while simultaneously neutralizing waste acid and alkali. Operando spectroscopy and theoretical analyses reveal that Ru atoms electronically reprogram adjacent Co sites, strengthening hydrogen bonding in interfacial water and accelerating proton‐coupled electron transfer. This study offers a blueprint for constructing hydrogen electrocatalysts and hybrid fuel cells that harmonize activity, durability, and sustainable resource utilization.</w:t>
      </w:r>
    </w:p>
    <w:p>
      <w:pPr>
        <w:spacing w:before="120" w:after="120"/>
      </w:pPr>
      <w:r>
        <w:rPr>
          <w:sz w:val="18"/>
        </w:rPr>
        <w:t>——————————————————————————————————————————————————————————————————————</w:t>
      </w:r>
    </w:p>
    <w:p>
      <w:pPr>
        <w:spacing w:before="160" w:after="80" w:line="240" w:lineRule="auto"/>
      </w:pPr>
      <w:r>
        <w:rPr>
          <w:b/>
        </w:rPr>
        <w:t xml:space="preserve">[315] </w:t>
      </w:r>
      <w:hyperlink r:id="rId562">
        <w:r>
          <w:rPr>
            <w:color w:val="1155CC"/>
            <w:u w:val="single"/>
          </w:rPr>
          <w:t>A Low‐Concentration All‐Phosphate Electrolyte for High‐Voltage and High‐Safety Lithium‐Ion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15:10:47+00:00</w:t>
      </w:r>
      <w:r>
        <w:t xml:space="preserve">    </w:t>
      </w:r>
      <w:r>
        <w:rPr>
          <w:b/>
        </w:rPr>
        <w:t xml:space="preserve">DOI: </w:t>
      </w:r>
      <w:hyperlink r:id="rId563">
        <w:r>
          <w:rPr>
            <w:color w:val="1155CC"/>
            <w:u w:val="single"/>
          </w:rPr>
          <w:t>10.1002/adma.202521034</w:t>
        </w:r>
      </w:hyperlink>
    </w:p>
    <w:p>
      <w:pPr>
        <w:spacing w:before="0" w:after="120"/>
      </w:pPr>
      <w:r>
        <w:rPr>
          <w:b/>
        </w:rPr>
        <w:t xml:space="preserve">Notes: </w:t>
      </w:r>
      <w:r>
        <w:t>abstract_source=crossref</w:t>
      </w:r>
    </w:p>
    <w:p>
      <w:pPr>
        <w:spacing w:before="0" w:after="200" w:lineRule="auto" w:line="276"/>
      </w:pPr>
      <w:r>
        <w:rPr>
          <w:b/>
        </w:rPr>
        <w:t xml:space="preserve">Abstract: </w:t>
      </w:r>
      <w:r>
        <w:t>The majority of safety incidents associated with lithium‐ion batteries (LIBs) arise from the utilization of highly volatile and flammable carbonate electrolytes. The adoption of non‐flammable all‐phosphate‐solvent electrolytes could significantly enhance the safety of LIBs. Nevertheless, all‐phosphate‐solvent electrolytes at low‐concentrations (≈1</w:t>
      </w:r>
      <w:r>
        <w:t xml:space="preserve"> </w:t>
      </w:r>
      <w:r>
        <w:t>m</w:t>
      </w:r>
      <w:r>
        <w:t xml:space="preserve"> </w:t>
      </w:r>
      <w:r>
        <w:t>) are not compatible with commercial graphite anodes. Herein, we design and synthesize a new six‐membered cyclic phosphate (HTP) with intrinsic graphite passivation ability as electrolyte solvent. Conventional tris(2,2,2‐trifluoroethyl) phosphate (FTEP) is introduced as co‐solvent to regulate the electrolyte solvation structure through solvent–solvent interactions between HTP and FTEP, which facilitates Li</w:t>
      </w:r>
      <w:r>
        <w:t xml:space="preserve"> </w:t>
      </w:r>
      <w:r>
        <w:t>+</w:t>
      </w:r>
      <w:r>
        <w:t xml:space="preserve"> </w:t>
      </w:r>
      <w:r>
        <w:t>de‐solvation and contributes to the formation of a highly robust inorganic‐polymeric CEI/SEI. The resulting low‐concentration electrolyte with all‐phosphate‐solvent not only exhibits wide potential window, unmeasurably high flash point, excellent non‐flammability and thermal stability, but also promises the 4.5 V graphite||LiNi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full‐cells to operate stably at extreme temperatures up to 100°C and pass various rigorous safety tests. This work provides new insights into the design of non‐flammable electrolytes for high‐voltage and high‐safety LIBs and are broadly applicable to other batteries.</w:t>
      </w:r>
    </w:p>
    <w:p>
      <w:pPr>
        <w:spacing w:before="120" w:after="120"/>
      </w:pPr>
      <w:r>
        <w:rPr>
          <w:sz w:val="18"/>
        </w:rPr>
        <w:t>——————————————————————————————————————————————————————————————————————</w:t>
      </w:r>
    </w:p>
    <w:p>
      <w:pPr>
        <w:spacing w:before="160" w:after="80" w:line="240" w:lineRule="auto"/>
      </w:pPr>
      <w:r>
        <w:rPr>
          <w:b/>
        </w:rPr>
        <w:t xml:space="preserve">[316] </w:t>
      </w:r>
      <w:hyperlink r:id="rId564">
        <w:r>
          <w:rPr>
            <w:color w:val="1155CC"/>
            <w:u w:val="single"/>
          </w:rPr>
          <w:t>A Dual‐Action Nucleoside‐Based Supramolecular Hydrogel Combats Periodontitis by Disrupting the Bacteria‐Osteoclast Cascade</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15:11:20+00:00</w:t>
      </w:r>
      <w:r>
        <w:t xml:space="preserve">    </w:t>
      </w:r>
      <w:r>
        <w:rPr>
          <w:b/>
        </w:rPr>
        <w:t xml:space="preserve">DOI: </w:t>
      </w:r>
      <w:hyperlink r:id="rId565">
        <w:r>
          <w:rPr>
            <w:color w:val="1155CC"/>
            <w:u w:val="single"/>
          </w:rPr>
          <w:t>10.1002/adma.202516181</w:t>
        </w:r>
      </w:hyperlink>
    </w:p>
    <w:p>
      <w:pPr>
        <w:spacing w:before="0" w:after="120"/>
      </w:pPr>
      <w:r>
        <w:rPr>
          <w:b/>
        </w:rPr>
        <w:t xml:space="preserve">Notes: </w:t>
      </w:r>
      <w:r>
        <w:t>abstract_source=crossref</w:t>
      </w:r>
    </w:p>
    <w:p>
      <w:pPr>
        <w:spacing w:before="0" w:after="200" w:lineRule="auto" w:line="276"/>
      </w:pPr>
      <w:r>
        <w:rPr>
          <w:b/>
        </w:rPr>
        <w:t xml:space="preserve">Abstract: </w:t>
      </w:r>
      <w:r>
        <w:t>Periodontitis is a highly prevalent oral inflammatory disease and a recognized risk factor for multiple systemic disorders. The major therapeutic challenge in periodontitis lies in addressing alveolar bone loss driven by the complex interplay between microbial dysbiosis, immune dysregulation, and bone homeostatic imbalance. Here, we identify a positive feedback loop between periodontal bacteria and osteoclast (OC)‐mediated bone resorption, and design a novel self‐drug delivery system (APC hydrogel) aiming to break this destructive cycle. This supramolecular hydrogel, constructed from PEGylated, structurally optimized nucleoside derivatives, self‐assembles via multivalent hydrogen bonding and demonstrates favorable biocompatibility and metabolic stability in vivo. Functionally, the hydrogel exerts a dual‐action by sequentially eradicating key periodontal pathogens and suppressing OC activity. In a ligation model of periodontitis, local application of the hydrogel restored microbial homeostasis and reduced alveolar bone loss by approximately 60%. Mechanistic investigations revealed that APC metabolites activated the cyclic guanosine monophosphate‐protein kinase G (cGMP‐PKG) signaling pathway in OC precursors, thereby blocking their differentiation into mature, bone‐resorbing cells. This dual‐action approach effectively disrupts the pathogenic cascade of microbial infection and osteoclastic bone destruction within a single platform, redefining local therapeutic strategies for periodontitis and highlighting the broader potential of nucleoside‐based supramolecular systems in the treatment of inflammation‐associated bone loss.</w:t>
      </w:r>
    </w:p>
    <w:p>
      <w:pPr>
        <w:spacing w:before="120" w:after="120"/>
      </w:pPr>
      <w:r>
        <w:rPr>
          <w:sz w:val="18"/>
        </w:rPr>
        <w:t>——————————————————————————————————————————————————————————————————————</w:t>
      </w:r>
    </w:p>
    <w:p>
      <w:pPr>
        <w:spacing w:before="160" w:after="80" w:line="240" w:lineRule="auto"/>
      </w:pPr>
      <w:r>
        <w:rPr>
          <w:b/>
        </w:rPr>
        <w:t xml:space="preserve">[317] </w:t>
      </w:r>
      <w:hyperlink r:id="rId566">
        <w:r>
          <w:rPr>
            <w:color w:val="1155CC"/>
            <w:u w:val="single"/>
          </w:rPr>
          <w:t>Inversely Induced Circularly Polarized Luminescence of Achiral Luminophores in the Inner and Outer Surface Helical Nanotube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15:12:51+00:00</w:t>
      </w:r>
      <w:r>
        <w:t xml:space="preserve">    </w:t>
      </w:r>
      <w:r>
        <w:rPr>
          <w:b/>
        </w:rPr>
        <w:t xml:space="preserve">DOI: </w:t>
      </w:r>
      <w:hyperlink r:id="rId567">
        <w:r>
          <w:rPr>
            <w:color w:val="1155CC"/>
            <w:u w:val="single"/>
          </w:rPr>
          <w:t>10.1002/anie.202524105</w:t>
        </w:r>
      </w:hyperlink>
    </w:p>
    <w:p>
      <w:pPr>
        <w:spacing w:before="0" w:after="120"/>
      </w:pPr>
      <w:r>
        <w:rPr>
          <w:b/>
        </w:rPr>
        <w:t xml:space="preserve">Notes: </w:t>
      </w:r>
      <w:r>
        <w:t>abstract_source=crossref</w:t>
      </w:r>
    </w:p>
    <w:p>
      <w:pPr>
        <w:spacing w:before="0" w:after="200" w:lineRule="auto" w:line="276"/>
      </w:pPr>
      <w:r>
        <w:rPr>
          <w:b/>
        </w:rPr>
        <w:t xml:space="preserve">Abstract: </w:t>
      </w:r>
      <w:r>
        <w:t>Co‐assembling nanostructures with achiral luminescent moieties represents a significant approach for developing circularly polarized luminescence (CPL) materials. However, for chiral nanotube structures, it remains unclear whether their inner and outer surfaces exhibit equivalent induction effects. Here, enantiomeric C3‐symmetric chiral methylphenylalanine derivatives were designed, and uniform supramolecular helical nanotubes were successfully fabricated. These helical nanotubes serve as host materials for the selective loading of achiral luminescent organic dye or inorganic quantum dots (QDs) into their inner channels or onto their outer surfaces via co‐assembly. It was revealed that through chiral transfer, the achiral luminescent units acquired CPL activity upon integration with the chiral nanotubes, achieving dissymmetry factors (</w:t>
      </w:r>
      <w:r>
        <w:t xml:space="preserve"> </w:t>
      </w:r>
      <w:r>
        <w:t>g</w:t>
      </w:r>
      <w:r>
        <w:t xml:space="preserve"> </w:t>
      </w:r>
      <w:r>
        <w:t>lum</w:t>
      </w:r>
      <w:r>
        <w:t xml:space="preserve"> </w:t>
      </w:r>
      <w:r>
        <w:t>) on the order of 10</w:t>
      </w:r>
      <w:r>
        <w:t xml:space="preserve"> </w:t>
      </w:r>
      <w:r>
        <w:t>−2</w:t>
      </w:r>
      <w:r>
        <w:t xml:space="preserve"> </w:t>
      </w:r>
      <w:r>
        <w:t>to 10</w:t>
      </w:r>
      <w:r>
        <w:t xml:space="preserve"> </w:t>
      </w:r>
      <w:r>
        <w:t>−3</w:t>
      </w:r>
      <w:r>
        <w:t xml:space="preserve"> </w:t>
      </w:r>
      <w:r>
        <w:t>, respectively. Interestingly, the CPL signals induced by the inner and outer surfaces exhibited opposite signs, with the signal from the inner surface being ten times stronger than that from the outer surface. Further structural analysis indicated that the concave geometry and nanoconfinement effects of the inner surface contributed to the CPL sign inversion and the enhanced luminescence dissymmetry. This work provides a novel and versatile platform for customizing the fluorescence and CPL properties of achiral luminescent units.</w:t>
      </w:r>
    </w:p>
    <w:p>
      <w:pPr>
        <w:spacing w:before="120" w:after="120"/>
      </w:pPr>
      <w:r>
        <w:rPr>
          <w:sz w:val="18"/>
        </w:rPr>
        <w:t>——————————————————————————————————————————————————————————————————————</w:t>
      </w:r>
    </w:p>
    <w:p>
      <w:pPr>
        <w:spacing w:before="160" w:after="80" w:line="240" w:lineRule="auto"/>
      </w:pPr>
      <w:r>
        <w:rPr>
          <w:b/>
        </w:rPr>
        <w:t xml:space="preserve">[318] </w:t>
      </w:r>
      <w:hyperlink r:id="rId568">
        <w:r>
          <w:rPr>
            <w:color w:val="1155CC"/>
            <w:u w:val="single"/>
          </w:rPr>
          <w:t>Eutectozymes as Soft Hybrid Materials for Advanced Biocatalysis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15:13:17+00:00</w:t>
      </w:r>
      <w:r>
        <w:t xml:space="preserve">    </w:t>
      </w:r>
      <w:r>
        <w:rPr>
          <w:b/>
        </w:rPr>
        <w:t xml:space="preserve">DOI: </w:t>
      </w:r>
      <w:hyperlink r:id="rId569">
        <w:r>
          <w:rPr>
            <w:color w:val="1155CC"/>
            <w:u w:val="single"/>
          </w:rPr>
          <w:t>10.1002/adma.202517014</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soft hybrid materials that combine structural integrity, biocompatibility, and catalytic function is a central challenge in advanced biocatalysis. Here, we introduce eutectozymes, enzyme‐loaded eutectogels built from natural hydrophobic deep eutectic solvents (HES) and stabilized through a dual supramolecular polymeric network. This unique architecture not only preserves the conformational integrity of enzymes but also creates confined microcavities acting as protective microreactors, thereby enhancing their stability and substrate affinity. Eutectozymes exhibit remarkable resilience under harsh operational conditions, including high temperatures, extreme pH, and organic solvents, while maintaining high catalytic efficiency and reusability. Their versatility is further demonstrated in environmental remediation, achieving over 90% degradation of recalcitrant dyes, and in antimicrobial applications against resistant bacterial strains. By synergistically merging the stabilizing properties of HES with robust gel matrices, eutectozymes establish a transformative platform for heterogeneous biocatalysis, opening new avenues in biotechnology, bioelectronics, and environmental technologies.</w:t>
      </w:r>
    </w:p>
    <w:p>
      <w:pPr>
        <w:spacing w:before="120" w:after="120"/>
      </w:pPr>
      <w:r>
        <w:rPr>
          <w:sz w:val="18"/>
        </w:rPr>
        <w:t>——————————————————————————————————————————————————————————————————————</w:t>
      </w:r>
    </w:p>
    <w:p>
      <w:pPr>
        <w:spacing w:before="160" w:after="80" w:line="240" w:lineRule="auto"/>
      </w:pPr>
      <w:r>
        <w:rPr>
          <w:b/>
        </w:rPr>
        <w:t xml:space="preserve">[319] </w:t>
      </w:r>
      <w:hyperlink r:id="rId570">
        <w:r>
          <w:rPr>
            <w:color w:val="1155CC"/>
            <w:u w:val="single"/>
          </w:rPr>
          <w:t>Additive Luminescence Lifetime Tuning of Upconversion Nanoparticles for High‐Capacity Optical Encoding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2025-12-24 15:15:38+00:00</w:t>
      </w:r>
      <w:r>
        <w:t xml:space="preserve">    </w:t>
      </w:r>
      <w:r>
        <w:rPr>
          <w:b/>
        </w:rPr>
        <w:t xml:space="preserve">DOI: </w:t>
      </w:r>
      <w:hyperlink r:id="rId571">
        <w:r>
          <w:rPr>
            <w:color w:val="1155CC"/>
            <w:u w:val="single"/>
          </w:rPr>
          <w:t>10.1002/anie.202524478</w:t>
        </w:r>
      </w:hyperlink>
    </w:p>
    <w:p>
      <w:pPr>
        <w:spacing w:before="0" w:after="120"/>
      </w:pPr>
      <w:r>
        <w:rPr>
          <w:b/>
        </w:rPr>
        <w:t xml:space="preserve">Notes: </w:t>
      </w:r>
      <w:r>
        <w:t>abstract_source=crossref</w:t>
      </w:r>
    </w:p>
    <w:p>
      <w:pPr>
        <w:spacing w:before="0" w:after="200" w:lineRule="auto" w:line="276"/>
      </w:pPr>
      <w:r>
        <w:rPr>
          <w:b/>
        </w:rPr>
        <w:t xml:space="preserve">Abstract: </w:t>
      </w:r>
      <w:r>
        <w:t>The tunable upconversion luminescence lifetime of lanthanide‐doped upconversion nanomaterials offers great potential for stable and precise optical encoding in the temporal domain. However, typical methods for tuning upconversion luminescence lifetime, which depend on material synthesis, often suffer from inefficiency and unpredictability, hindering the application of upconversion luminescence lifetime. Here, using lanthanide‐doped upconversion nanoparticles (UCNPs) as a representative, we demonstrate an additive strategy, akin to additive color mixing, to tune upconversion luminescence lifetime in a predictable and facile way. This strategy can easily generate a set of lifetimes using only two types of UCNPs, and the manipulated lifetimes can be quantitatively predicted according to the luminescence of the original UCNPs. Moreover, this strategy is applicable to lifetimes of lanthanide luminescence over a broad spectral range. Benefiting from this strategy, high‐capacity encoding systems can be directly established by employing just a few types of UCNPs. These results should pave new ways for luminescence lifetime tuning and provide new opportunities for luminescence lifetime‐based massive information storage and analysis.</w:t>
      </w:r>
    </w:p>
    <w:p>
      <w:pPr>
        <w:spacing w:before="120" w:after="120"/>
      </w:pPr>
      <w:r>
        <w:rPr>
          <w:sz w:val="18"/>
        </w:rPr>
        <w:t>——————————————————————————————————————————————————————————————————————</w:t>
      </w:r>
    </w:p>
    <w:p>
      <w:pPr>
        <w:spacing w:before="160" w:after="80" w:line="240" w:lineRule="auto"/>
      </w:pPr>
      <w:r>
        <w:rPr>
          <w:b/>
        </w:rPr>
        <w:t xml:space="preserve">[320] </w:t>
      </w:r>
      <w:hyperlink r:id="rId572">
        <w:r>
          <w:rPr>
            <w:color w:val="1155CC"/>
            <w:u w:val="single"/>
          </w:rPr>
          <w:t>Energy‐Efficient, Sustainable Cascade Glucose Electrooxidation into Glucaric Acid</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15:16:26+00:00</w:t>
      </w:r>
      <w:r>
        <w:t xml:space="preserve">    </w:t>
      </w:r>
      <w:r>
        <w:rPr>
          <w:b/>
        </w:rPr>
        <w:t xml:space="preserve">DOI: </w:t>
      </w:r>
      <w:hyperlink r:id="rId573">
        <w:r>
          <w:rPr>
            <w:color w:val="1155CC"/>
            <w:u w:val="single"/>
          </w:rPr>
          <w:t>10.1002/adma.202519531</w:t>
        </w:r>
      </w:hyperlink>
    </w:p>
    <w:p>
      <w:pPr>
        <w:spacing w:before="0" w:after="120"/>
      </w:pPr>
      <w:r>
        <w:rPr>
          <w:b/>
        </w:rPr>
        <w:t xml:space="preserve">Notes: </w:t>
      </w:r>
      <w:r>
        <w:t>abstract_source=crossref</w:t>
      </w:r>
    </w:p>
    <w:p>
      <w:pPr>
        <w:spacing w:before="0" w:after="200" w:lineRule="auto" w:line="276"/>
      </w:pPr>
      <w:r>
        <w:rPr>
          <w:b/>
        </w:rPr>
        <w:t xml:space="preserve">Abstract: </w:t>
      </w:r>
      <w:r>
        <w:t>Glucaric acid (GRA) is a critical platform chemical for manufacturing biodegradable materials. Selective glucose (GLU) electrooxidation into GRA provides a sustainable route for biomass valorization. However, conventional methods suffer from energy‐intensive processes due to excessive operational potential exceeding 1.2 V. Here we demonstrate an energy‐efficient tandem system that decouples GRA electrosynthesis into cascade GLU‐to‐gluconic acid (GNA) and GNA‐to‐GRA oxidation. When pairing an Au/C catalyst for selective aldehyde oxidation and an AuPt/C catalyst for hydroxyl oxidation, we achieve 91.8% Faradaic efficiency and nearly 100% conversion efficiency at 0.6 V</w:t>
      </w:r>
      <w:r>
        <w:t xml:space="preserve"> </w:t>
      </w:r>
      <w:r>
        <w:t>RHE</w:t>
      </w:r>
      <w:r>
        <w:t xml:space="preserve"> </w:t>
      </w:r>
      <w:r>
        <w:t>for GLU‐to‐GNA oxidation, and 81% Faradaic efficiency and 90% conversion efficiency at 0.55 V</w:t>
      </w:r>
      <w:r>
        <w:t xml:space="preserve"> </w:t>
      </w:r>
      <w:r>
        <w:t>RHE</w:t>
      </w:r>
      <w:r>
        <w:t xml:space="preserve"> </w:t>
      </w:r>
      <w:r>
        <w:t>for GNA‐to‐GRA oxidation. Chronoamperometry demonstrates ∼100% substrate conversion with a minor decrease in product selectivity, confirming the catalyst's excellent stability. Our tandem system improves the overall GLU‐to‐GRA energy efficiency from 13.8% for conventional one‐step route to 31.8%. When oxygen reduction is selected as paired reaction, our system not only enables efficient chemical electrosynthesis, but is also estimated to generate electricity of 1.24 × 10</w:t>
      </w:r>
      <w:r>
        <w:rPr>
          <w:vertAlign w:val="subscript"/>
        </w:rPr>
        <w:t>5</w:t>
      </w:r>
      <w:r>
        <w:t>kWh per kiloton GRA, outperforming traditional method with energy consumption of 4.31 × 10</w:t>
      </w:r>
      <w:r>
        <w:rPr>
          <w:vertAlign w:val="subscript"/>
        </w:rPr>
        <w:t>5</w:t>
      </w:r>
      <w:r>
        <w:t>kWh. Our work establishes a sustainable and economically viable pathway for biomass valorization, offering a blueprint for circular, carbon‐neutral chemical production.</w:t>
      </w:r>
    </w:p>
    <w:p>
      <w:pPr>
        <w:spacing w:before="120" w:after="120"/>
      </w:pPr>
      <w:r>
        <w:rPr>
          <w:sz w:val="18"/>
        </w:rPr>
        <w:t>——————————————————————————————————————————————————————————————————————</w:t>
      </w:r>
    </w:p>
    <w:p>
      <w:pPr>
        <w:spacing w:before="160" w:after="80" w:line="240" w:lineRule="auto"/>
      </w:pPr>
      <w:r>
        <w:rPr>
          <w:b/>
        </w:rPr>
        <w:t xml:space="preserve">[321] </w:t>
      </w:r>
      <w:hyperlink r:id="rId574">
        <w:r>
          <w:rPr>
            <w:color w:val="1155CC"/>
            <w:u w:val="single"/>
          </w:rPr>
          <w:t>A Retina‐Inspired Organic Iono‐Optoelectronic Synapse</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15:17:42+00:00</w:t>
      </w:r>
      <w:r>
        <w:t xml:space="preserve">    </w:t>
      </w:r>
      <w:r>
        <w:rPr>
          <w:b/>
        </w:rPr>
        <w:t xml:space="preserve">DOI: </w:t>
      </w:r>
      <w:hyperlink r:id="rId575">
        <w:r>
          <w:rPr>
            <w:color w:val="1155CC"/>
            <w:u w:val="single"/>
          </w:rPr>
          <w:t>10.1002/adma.202514620</w:t>
        </w:r>
      </w:hyperlink>
    </w:p>
    <w:p>
      <w:pPr>
        <w:spacing w:before="0" w:after="120"/>
      </w:pPr>
      <w:r>
        <w:rPr>
          <w:b/>
        </w:rPr>
        <w:t xml:space="preserve">Notes: </w:t>
      </w:r>
      <w:r>
        <w:t>abstract_source=crossref</w:t>
      </w:r>
    </w:p>
    <w:p>
      <w:pPr>
        <w:spacing w:before="0" w:after="200" w:lineRule="auto" w:line="276"/>
      </w:pPr>
      <w:r>
        <w:rPr>
          <w:b/>
        </w:rPr>
        <w:t xml:space="preserve">Abstract: </w:t>
      </w:r>
      <w:r>
        <w:t>Retina‐inspired neuromorphic systems require seamless integration of light sensing and adaptive synaptic modulation, yet conventional materials fail to integrate ionic charge transport with optoelectronic signal processing. Organic iono‐optoelectronic devices offer a promising solution by coupling the optoelectronic properties of conjugated polymers with ionic and electronic transport. Here, we present an organic iono‐optoelectronic synapse enabled by a p‐type mixed ionic‐electronic conductor (OMIEC). The OMIEC material, gDPP‐MeOT2, a donor‐acceptor polymer comprising a thiophene‐flanked diketopyrrolopyrrole acceptor and methoxy‐bithiophene donor, serves simultaneously as a light absorber and an ion reservoir, enabling light‐modulated mixed charge transport. Our iono‐optoelectronic synapse exhibits broad‐band light detection spanning the visible to near‐infrared range and synaptic plasticity features central to learning processes of the human brain. These results suggest that OMIECs can unify light detection, logic operation, and energy‐efficient information processing, paving the way for next generation biohybrid vision systems and bio‐inspired neuromorphic electronics.</w:t>
      </w:r>
    </w:p>
    <w:p>
      <w:pPr>
        <w:spacing w:before="120" w:after="120"/>
      </w:pPr>
      <w:r>
        <w:rPr>
          <w:sz w:val="18"/>
        </w:rPr>
        <w:t>——————————————————————————————————————————————————————————————————————</w:t>
      </w:r>
    </w:p>
    <w:p>
      <w:pPr>
        <w:spacing w:before="160" w:after="80" w:line="240" w:lineRule="auto"/>
      </w:pPr>
      <w:r>
        <w:rPr>
          <w:b/>
        </w:rPr>
        <w:t xml:space="preserve">[322] </w:t>
      </w:r>
      <w:hyperlink r:id="rId576">
        <w:r>
          <w:rPr>
            <w:color w:val="1155CC"/>
            <w:u w:val="single"/>
          </w:rPr>
          <w:t>High‐Performance Zero‐Gap Glycerol‐Fed Electrolyzer for C3 Chemicals and Hydrogen Production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15:18:29+00:00</w:t>
      </w:r>
      <w:r>
        <w:t xml:space="preserve">    </w:t>
      </w:r>
      <w:r>
        <w:rPr>
          <w:b/>
        </w:rPr>
        <w:t xml:space="preserve">DOI: </w:t>
      </w:r>
      <w:hyperlink r:id="rId577">
        <w:r>
          <w:rPr>
            <w:color w:val="1155CC"/>
            <w:u w:val="single"/>
          </w:rPr>
          <w:t>10.1002/adma.202515355</w:t>
        </w:r>
      </w:hyperlink>
    </w:p>
    <w:p>
      <w:pPr>
        <w:spacing w:before="0" w:after="120"/>
      </w:pPr>
      <w:r>
        <w:rPr>
          <w:b/>
        </w:rPr>
        <w:t xml:space="preserve">Notes: </w:t>
      </w:r>
      <w:r>
        <w:t>abstract_source=crossref</w:t>
      </w:r>
    </w:p>
    <w:p>
      <w:pPr>
        <w:spacing w:before="0" w:after="200" w:lineRule="auto" w:line="276"/>
      </w:pPr>
      <w:r>
        <w:rPr>
          <w:b/>
        </w:rPr>
        <w:t xml:space="preserve">Abstract: </w:t>
      </w:r>
      <w:r>
        <w:t>The electrochemical oxidation of biomass‐derived glycerol offers a promising low‐voltage alternative to water oxidation in electrolyzers, enabling the co‐production of hydrogen and value‐added chemicals. However, achieving high conversion rates at current densities above 300 mA cm</w:t>
      </w:r>
      <w:r>
        <w:t xml:space="preserve"> </w:t>
      </w:r>
      <w:r>
        <w:t>−2</w:t>
      </w:r>
      <w:r>
        <w:t xml:space="preserve"> </w:t>
      </w:r>
      <w:r>
        <w:t>remains challenging due to the rapid deactivation of platinum‐based catalysts. Here, we present a membrane electrode assembly (MEA) featuring a platinum‐decorated nickel foam (Pt/NiF) anode that sustains operation for 24 h at 500 mA cm</w:t>
      </w:r>
      <w:r>
        <w:t xml:space="preserve"> </w:t>
      </w:r>
      <w:r>
        <w:t>−2</w:t>
      </w:r>
      <w:r>
        <w:t xml:space="preserve"> </w:t>
      </w:r>
      <w:r>
        <w:t>with an average cell voltage of just 1.21 V, outperforming all previously reported glycerol‐fed electrolyzers operating below 1.5 V. The system exhibits &amp;gt;88% selectivity toward C3 products, achieving 227 mA cm</w:t>
      </w:r>
      <w:r>
        <w:t xml:space="preserve"> </w:t>
      </w:r>
      <w:r>
        <w:t>−2</w:t>
      </w:r>
      <w:r>
        <w:t xml:space="preserve"> </w:t>
      </w:r>
      <w:r>
        <w:t>partial current density for lactic acid and 9% single‐pass glycerol conversion. In situ impedance spectroscopy identifies voltage‐dependent regimes linked to platinum hydroxide formation, glycerol oxidation, and oxygen evolution. Systematic variation of electrolyte composition and temperature reveals an optimized window (1.2–1.4 V, 55–65°C) for sustained performance. Under these conditions, a single 24 h cycle co‐generates ∼175 mmol of H</w:t>
      </w:r>
      <w:r>
        <w:rPr>
          <w:vertAlign w:val="subscript"/>
        </w:rPr>
        <w:t>2</w:t>
      </w:r>
      <w:r>
        <w:t>and 45 mmol of C3 products. These results establish new operational and mechanistic benchmarks for efficient, low‐voltage electrochemical valorization of biomass‐derived polyols at industrially relevant rates.</w:t>
      </w:r>
    </w:p>
    <w:p>
      <w:pPr>
        <w:spacing w:before="120" w:after="120"/>
      </w:pPr>
      <w:r>
        <w:rPr>
          <w:sz w:val="18"/>
        </w:rPr>
        <w:t>——————————————————————————————————————————————————————————————————————</w:t>
      </w:r>
    </w:p>
    <w:p>
      <w:pPr>
        <w:spacing w:before="160" w:after="80" w:line="240" w:lineRule="auto"/>
      </w:pPr>
      <w:r>
        <w:rPr>
          <w:b/>
        </w:rPr>
        <w:t xml:space="preserve">[323] </w:t>
      </w:r>
      <w:hyperlink r:id="rId578">
        <w:r>
          <w:rPr>
            <w:color w:val="1155CC"/>
            <w:u w:val="single"/>
          </w:rPr>
          <w:t>An Immune Nanoenhancer Revitalizes Chemotherapeutics to Tailor Tumor‐Derived dsDNA for Anticancer Immunoengineering</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15:19:34+00:00</w:t>
      </w:r>
      <w:r>
        <w:t xml:space="preserve">    </w:t>
      </w:r>
      <w:r>
        <w:rPr>
          <w:b/>
        </w:rPr>
        <w:t xml:space="preserve">DOI: </w:t>
      </w:r>
      <w:hyperlink r:id="rId579">
        <w:r>
          <w:rPr>
            <w:color w:val="1155CC"/>
            <w:u w:val="single"/>
          </w:rPr>
          <w:t>10.1002/adma.202516524</w:t>
        </w:r>
      </w:hyperlink>
    </w:p>
    <w:p>
      <w:pPr>
        <w:spacing w:before="0" w:after="120"/>
      </w:pPr>
      <w:r>
        <w:rPr>
          <w:b/>
        </w:rPr>
        <w:t xml:space="preserve">Notes: </w:t>
      </w:r>
      <w:r>
        <w:t>abstract_source=crossref</w:t>
      </w:r>
    </w:p>
    <w:p>
      <w:pPr>
        <w:spacing w:before="0" w:after="200" w:lineRule="auto" w:line="276"/>
      </w:pPr>
      <w:r>
        <w:rPr>
          <w:b/>
        </w:rPr>
        <w:t xml:space="preserve">Abstract: </w:t>
      </w:r>
      <w:r>
        <w:t>Immunotherapy has revolutionized the landscape of cancer treatment; however, most current strategies target only isolated steps of the cancer‐immunity cycle and therefore struggle to achieve durable clinical success. Central to immune surveillance, the cGAS‐STING pathway orchestrates innate and adaptive responses by promoting dendritic cell maturation, cytotoxic T lymphocyte infiltration, and durable immunological memory. However, chemotherapeutic activation of this axis remains elusive due to a paucity of safe, efficacious, and translatable inducers of tumor‐derived double‐stranded DNA (dsDNA). Here, we report a rationally engineered immune nanoenhancer platform–C‐iNE/A, that reprograms approved chemotherapeutics to initiate robust dsDNA‐driven cGAS‐STING activation in tumors even at low drug doses. Guided by machine learning, we optimize chemotherapeutic encapsulation and combine it with photophysically triggered mild hyperthermia to impair DNA repair while sparing healthy tissues. This cascade promotes intratumoral dsDNA accumulation, immunogenic release, and sustained immune activation. C‐iNE/A elicited potent immune responses across tumor models, enhancing dendritic cell maturation, amplifying cytotoxic T lymphocyte infiltration, suppressing metastasis, and establishing memory T cell populations. Our approach establishes a generalizable strategy to convert conventional chemotherapeutics into immune activators at safe drug doses, offering a clinically relevant platform to overcome current limitations in STING‐based immunotherapy and advance the next generation of tumor‐immunomodulatory regimens.</w:t>
      </w:r>
    </w:p>
    <w:p>
      <w:pPr>
        <w:spacing w:before="120" w:after="120"/>
      </w:pPr>
      <w:r>
        <w:rPr>
          <w:sz w:val="18"/>
        </w:rPr>
        <w:t>——————————————————————————————————————————————————————————————————————</w:t>
      </w:r>
    </w:p>
    <w:p>
      <w:pPr>
        <w:spacing w:before="160" w:after="80" w:line="240" w:lineRule="auto"/>
      </w:pPr>
      <w:r>
        <w:rPr>
          <w:b/>
        </w:rPr>
        <w:t xml:space="preserve">[324] </w:t>
      </w:r>
      <w:hyperlink r:id="rId580">
        <w:r>
          <w:rPr>
            <w:color w:val="1155CC"/>
            <w:u w:val="single"/>
          </w:rPr>
          <w:t>Amorphous Engineering of Transparent High‐Crystallinity Luminescent Nano‐Glass‐Ceramics for Advanced Photonic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15:22:16+00:00</w:t>
      </w:r>
      <w:r>
        <w:t xml:space="preserve">    </w:t>
      </w:r>
      <w:r>
        <w:rPr>
          <w:b/>
        </w:rPr>
        <w:t xml:space="preserve">DOI: </w:t>
      </w:r>
      <w:hyperlink r:id="rId581">
        <w:r>
          <w:rPr>
            <w:color w:val="1155CC"/>
            <w:u w:val="single"/>
          </w:rPr>
          <w:t>10.1002/adma.202520325</w:t>
        </w:r>
      </w:hyperlink>
    </w:p>
    <w:p>
      <w:pPr>
        <w:spacing w:before="0" w:after="120"/>
      </w:pPr>
      <w:r>
        <w:rPr>
          <w:b/>
        </w:rPr>
        <w:t xml:space="preserve">Notes: </w:t>
      </w:r>
      <w:r>
        <w:t>abstract_source=crossref</w:t>
      </w:r>
    </w:p>
    <w:p>
      <w:pPr>
        <w:spacing w:before="0" w:after="200" w:lineRule="auto" w:line="276"/>
      </w:pPr>
      <w:r>
        <w:rPr>
          <w:b/>
        </w:rPr>
        <w:t xml:space="preserve">Abstract: </w:t>
      </w:r>
      <w:r>
        <w:t>Transparent glass‐ceramics are promising materials for advanced applications, but their development is fundamentally constrained by low crystallinity (&amp;lt;70%), leading to significant “performance deterioration”. In order to overcome this bottleneck, this study proposes a universal amorphous engineering approach, which synergistically exploits amorphous phase separation and glass‐network confinement. This method promotes heterogeneous nucleation at phase boundaries and spatially restricts crystal growth, achieving ultra‐high crystallinity (&amp;gt; 90%) while maintaining high optical transparency (&amp;gt; 90%). Unlike conventional approaches that rely on specific compositions or crystallization pathways, this broadly adaptable strategy has been successfully extended to fluoride, oxide, perovskite, and sulfide‐based glass‐ceramics, demonstrating its versatility. Upon rare‐earth doping, the composites exhibit superior performance in transparent displays, laser‐driven lighting, and high‐resolution X‐ray imaging. The results provide an adaptable strategy for next‐generation photonic materials in advanced optical technologies.</w:t>
      </w:r>
    </w:p>
    <w:p>
      <w:pPr>
        <w:spacing w:before="120" w:after="120"/>
      </w:pPr>
      <w:r>
        <w:rPr>
          <w:sz w:val="18"/>
        </w:rPr>
        <w:t>——————————————————————————————————————————————————————————————————————</w:t>
      </w:r>
    </w:p>
    <w:p>
      <w:pPr>
        <w:spacing w:before="160" w:after="80" w:line="240" w:lineRule="auto"/>
      </w:pPr>
      <w:r>
        <w:rPr>
          <w:b/>
        </w:rPr>
        <w:t xml:space="preserve">[325] </w:t>
      </w:r>
      <w:hyperlink r:id="rId582">
        <w:r>
          <w:rPr>
            <w:color w:val="1155CC"/>
            <w:u w:val="single"/>
          </w:rPr>
          <w:t>Oxygen‐Self‐Supply Synthesis of Two‐Dimensional Fe2Mo3O8 Semiconductor Single Crystal With Colossal Ferroelectric Polarization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15:23:39+00:00</w:t>
      </w:r>
      <w:r>
        <w:t xml:space="preserve">    </w:t>
      </w:r>
      <w:r>
        <w:rPr>
          <w:b/>
        </w:rPr>
        <w:t xml:space="preserve">DOI: </w:t>
      </w:r>
      <w:hyperlink r:id="rId583">
        <w:r>
          <w:rPr>
            <w:color w:val="1155CC"/>
            <w:u w:val="single"/>
          </w:rPr>
          <w:t>10.1002/adma.202518468</w:t>
        </w:r>
      </w:hyperlink>
    </w:p>
    <w:p>
      <w:pPr>
        <w:spacing w:before="0" w:after="120"/>
      </w:pPr>
      <w:r>
        <w:rPr>
          <w:b/>
        </w:rPr>
        <w:t xml:space="preserve">Notes: </w:t>
      </w:r>
      <w:r>
        <w:t>abstract_source=crossref</w:t>
      </w:r>
    </w:p>
    <w:p>
      <w:pPr>
        <w:spacing w:before="0" w:after="200" w:lineRule="auto" w:line="276"/>
      </w:pPr>
      <w:r>
        <w:rPr>
          <w:b/>
        </w:rPr>
        <w:t xml:space="preserve">Abstract: </w:t>
      </w:r>
      <w:r>
        <w:t>Developing ferroelectric semiconductors with colossal polarizations is crucial for fabricating large‐capacity/high‐density memory devices to meet the artificial intelligence demands. Although remarkable ferroelectric polarizations have been uncovered in perovskite‐type oxides, the compatibility with electronic device scaling is becoming an insurmountable bottleneck. Here, we design an oxygen‐self‐supply chemical vapor deposition strategy to synthesize a 2D ferroelectric semiconductor single crystal of Fe</w:t>
      </w:r>
      <w:r>
        <w:rPr>
          <w:vertAlign w:val="subscript"/>
        </w:rPr>
        <w:t>2</w:t>
      </w:r>
      <w:r>
        <w:t>Mo</w:t>
      </w:r>
      <w:r>
        <w:rPr>
          <w:vertAlign w:val="subscript"/>
        </w:rPr>
        <w:t>3</w:t>
      </w:r>
      <w:r>
        <w:t>O</w:t>
      </w:r>
      <w:r>
        <w:rPr>
          <w:vertAlign w:val="subscript"/>
        </w:rPr>
        <w:t>8</w:t>
      </w:r>
      <w:r>
        <w:t>. The unique FeO</w:t>
      </w:r>
      <w:r>
        <w:rPr>
          <w:vertAlign w:val="subscript"/>
        </w:rPr>
        <w:t>4</w:t>
      </w:r>
      <w:r>
        <w:t>tetrahedral cage contributes to the long displacement of the iron ion and induces the generation of large polarization. In parallel, the oxygen‐deficient growth environment and ultrathin thickness enable the generation of oxygen vacancies and lattice distortion, which further enhance the ferroelectric polarization. As expected, ultrahigh polarization value up to 230 µC/cm</w:t>
      </w:r>
      <w:r>
        <w:rPr>
          <w:vertAlign w:val="subscript"/>
        </w:rPr>
        <w:t>2</w:t>
      </w:r>
      <w:r>
        <w:t>and ultralong endurance (4 × 10</w:t>
      </w:r>
      <w:r>
        <w:rPr>
          <w:vertAlign w:val="subscript"/>
        </w:rPr>
        <w:t>9</w:t>
      </w:r>
      <w:r>
        <w:t>cycles) are achieved in 2D Fe</w:t>
      </w:r>
      <w:r>
        <w:rPr>
          <w:vertAlign w:val="subscript"/>
        </w:rPr>
        <w:t>2</w:t>
      </w:r>
      <w:r>
        <w:t>Mo</w:t>
      </w:r>
      <w:r>
        <w:rPr>
          <w:vertAlign w:val="subscript"/>
        </w:rPr>
        <w:t>3</w:t>
      </w:r>
      <w:r>
        <w:t>O</w:t>
      </w:r>
      <w:r>
        <w:rPr>
          <w:vertAlign w:val="subscript"/>
        </w:rPr>
        <w:t>8</w:t>
      </w:r>
      <w:r>
        <w:t>, ten to one hundred times larger than most 2D ferroelectric materials. Concurrently, ferroelectric tunnel junctions based on 2D Fe</w:t>
      </w:r>
      <w:r>
        <w:rPr>
          <w:vertAlign w:val="subscript"/>
        </w:rPr>
        <w:t>2</w:t>
      </w:r>
      <w:r>
        <w:t>Mo</w:t>
      </w:r>
      <w:r>
        <w:rPr>
          <w:vertAlign w:val="subscript"/>
        </w:rPr>
        <w:t>3</w:t>
      </w:r>
      <w:r>
        <w:t>O</w:t>
      </w:r>
      <w:r>
        <w:rPr>
          <w:vertAlign w:val="subscript"/>
        </w:rPr>
        <w:t>8</w:t>
      </w:r>
      <w:r>
        <w:t>exhibit high switching speed and long retention time. This work represents a substantial leap for developing new 2D ferroelectric semiconductors with giant polarizations, which will stimulate the further exploration of large‐capacity/high‐density memory chips to overcome von Neumann architecture bottlenecks.</w:t>
      </w:r>
    </w:p>
    <w:p>
      <w:pPr>
        <w:spacing w:before="120" w:after="120"/>
      </w:pPr>
      <w:r>
        <w:rPr>
          <w:sz w:val="18"/>
        </w:rPr>
        <w:t>——————————————————————————————————————————————————————————————————————</w:t>
      </w:r>
    </w:p>
    <w:p>
      <w:pPr>
        <w:spacing w:before="160" w:after="80" w:line="240" w:lineRule="auto"/>
      </w:pPr>
      <w:r>
        <w:rPr>
          <w:b/>
        </w:rPr>
        <w:t xml:space="preserve">[326] </w:t>
      </w:r>
      <w:hyperlink r:id="rId584">
        <w:r>
          <w:rPr>
            <w:color w:val="1155CC"/>
            <w:u w:val="single"/>
          </w:rPr>
          <w:t>Melt Densification Enables Fracture‐Resistant Blend Hydrogels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15:25:10+00:00</w:t>
      </w:r>
      <w:r>
        <w:t xml:space="preserve">    </w:t>
      </w:r>
      <w:r>
        <w:rPr>
          <w:b/>
        </w:rPr>
        <w:t xml:space="preserve">DOI: </w:t>
      </w:r>
      <w:hyperlink r:id="rId585">
        <w:r>
          <w:rPr>
            <w:color w:val="1155CC"/>
            <w:u w:val="single"/>
          </w:rPr>
          <w:t>10.1002/adma.202517395</w:t>
        </w:r>
      </w:hyperlink>
    </w:p>
    <w:p>
      <w:pPr>
        <w:spacing w:before="0" w:after="120"/>
      </w:pPr>
      <w:r>
        <w:rPr>
          <w:b/>
        </w:rPr>
        <w:t xml:space="preserve">Notes: </w:t>
      </w:r>
      <w:r>
        <w:t>abstract_source=crossref</w:t>
      </w:r>
    </w:p>
    <w:p>
      <w:pPr>
        <w:spacing w:before="0" w:after="200" w:lineRule="auto" w:line="276"/>
      </w:pPr>
      <w:r>
        <w:rPr>
          <w:b/>
        </w:rPr>
        <w:t xml:space="preserve">Abstract: </w:t>
      </w:r>
      <w:r>
        <w:t>Hydrogels and elastomers are integral components in biomedical and electronics devices, but their toughness and crack resistance are often unsatisfactory for load‐bearing applications. Synthetic polymer networks predominantly rely on solution fabrication, which compromises the ultimate mechanical properties. This work presents a universal melt crosslinking strategy, which densifies entanglements well beyond solvated conditions. When deformed, mutually entangled dissimilar chains stiffen the gels, while sparse crosslinks amplify fracture resistance. At water contents up to 83%, the resultant hydrogels demonstrate over 2 orders increase in mechanical properties, including moduli (1.3–35 MPa), toughness (0.7–24.5 kJ/m</w:t>
      </w:r>
      <w:r>
        <w:rPr>
          <w:vertAlign w:val="subscript"/>
        </w:rPr>
        <w:t>2</w:t>
      </w:r>
      <w:r>
        <w:t>), and fatigue thresholds (1.2–3.3 kJ/m</w:t>
      </w:r>
      <w:r>
        <w:rPr>
          <w:vertAlign w:val="subscript"/>
        </w:rPr>
        <w:t>2</w:t>
      </w:r>
      <w:r>
        <w:t>), tunable in a wide range beyond existing hydrogels. Furthermore, the hydrogels show high optical clarity (&amp;gt;96%), oxygen permeability (Dk/t &amp;gt; 40), and anti‐fouling properties (&amp;lt;0.6 µg cm</w:t>
      </w:r>
      <w:r>
        <w:t xml:space="preserve"> </w:t>
      </w:r>
      <w:r>
        <w:t>−2</w:t>
      </w:r>
      <w:r>
        <w:t xml:space="preserve"> </w:t>
      </w:r>
      <w:r>
        <w:t>). This generalizable strategy could guide the design of tough functional soft materials in fields such as healthcare and smart electronics.</w:t>
      </w:r>
    </w:p>
    <w:p>
      <w:pPr>
        <w:spacing w:before="120" w:after="120"/>
      </w:pPr>
      <w:r>
        <w:rPr>
          <w:sz w:val="18"/>
        </w:rPr>
        <w:t>——————————————————————————————————————————————————————————————————————</w:t>
      </w:r>
    </w:p>
    <w:p>
      <w:pPr>
        <w:spacing w:before="160" w:after="80" w:line="240" w:lineRule="auto"/>
      </w:pPr>
      <w:r>
        <w:rPr>
          <w:b/>
        </w:rPr>
        <w:t xml:space="preserve">[327] </w:t>
      </w:r>
      <w:hyperlink r:id="rId586">
        <w:r>
          <w:rPr>
            <w:color w:val="1155CC"/>
            <w:u w:val="single"/>
          </w:rPr>
          <w:t>Engineered Oligomeric Indolizine‐Fused BODIPY Fluorophores for Interventional NIR‐II Fluorescence Imaging of Acute Cardio‐Cerebrovascular Events</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15:27:06+00:00</w:t>
      </w:r>
      <w:r>
        <w:t xml:space="preserve">    </w:t>
      </w:r>
      <w:r>
        <w:rPr>
          <w:b/>
        </w:rPr>
        <w:t xml:space="preserve">DOI: </w:t>
      </w:r>
      <w:hyperlink r:id="rId587">
        <w:r>
          <w:rPr>
            <w:color w:val="1155CC"/>
            <w:u w:val="single"/>
          </w:rPr>
          <w:t>10.1002/adma.202516403</w:t>
        </w:r>
      </w:hyperlink>
    </w:p>
    <w:p>
      <w:pPr>
        <w:spacing w:before="0" w:after="120"/>
      </w:pPr>
      <w:r>
        <w:rPr>
          <w:b/>
        </w:rPr>
        <w:t xml:space="preserve">Notes: </w:t>
      </w:r>
      <w:r>
        <w:t>abstract_source=crossref</w:t>
      </w:r>
    </w:p>
    <w:p>
      <w:pPr>
        <w:spacing w:before="0" w:after="200" w:lineRule="auto" w:line="276"/>
      </w:pPr>
      <w:r>
        <w:rPr>
          <w:b/>
        </w:rPr>
        <w:t xml:space="preserve">Abstract: </w:t>
      </w:r>
      <w:r>
        <w:t>Vascular networks are essential for life maintenance, and their dysfunction can result in severe diseases. However, current biomedical imaging modalities possess constraints in diagnosing these diseases. NIR‐II fluorescence imaging has emerged as a powerful tool, offering rapid feedback, high spatial resolution, and superior biosafety. Among NIR‐II fluorophores, BODIPY oligomers stand out due to their excellent optical performance and versatile tunability. Yet, they confront challenges in design, synthesis, brightness, and blood circulation half‐life. Here, we introduce a novel approach that integrates vascular interventional techniques with NIR‐II fluorescence imaging, utilizing de‐novo designed and synthesized indolizine‐fused BODIPY oligomers for diagnosing cardio‐cerebrovascular diseases. The synthesized oligomers absorb and emit within the NIR‐II window. Notably,</w:t>
      </w:r>
      <w:r>
        <w:t xml:space="preserve"> </w:t>
      </w:r>
      <w:r>
        <w:t>(ααSIFB)</w:t>
      </w:r>
      <w:r>
        <w:rPr>
          <w:vertAlign w:val="subscript"/>
        </w:rPr>
        <w:t>4</w:t>
      </w:r>
      <w:r>
        <w:t xml:space="preserve"> </w:t>
      </w:r>
      <w:r>
        <w:t>, a representative singly indolizine‐fused tetramer, features highly planar indolizine‐fused BODIPY subunits with a twisted linkage, mitigating detrimental aggregation via suppressed intermolecular</w:t>
      </w:r>
      <w:r>
        <w:t xml:space="preserve"> </w:t>
      </w:r>
      <w:r>
        <w:t>π–π</w:t>
      </w:r>
      <w:r>
        <w:t xml:space="preserve"> </w:t>
      </w:r>
      <w:r>
        <w:t>interactions. Consequently,</w:t>
      </w:r>
      <w:r>
        <w:t xml:space="preserve"> </w:t>
      </w:r>
      <w:r>
        <w:t>(ααSIFB)</w:t>
      </w:r>
      <w:r>
        <w:rPr>
          <w:vertAlign w:val="subscript"/>
        </w:rPr>
        <w:t>4</w:t>
      </w:r>
      <w:r>
        <w:t xml:space="preserve"> </w:t>
      </w:r>
      <w:r>
        <w:t>demonstrates high brightness, a substantial Stokes shift, and robust chemical and photostability. (</w:t>
      </w:r>
      <w:r>
        <w:t xml:space="preserve"> </w:t>
      </w:r>
      <w:r>
        <w:t>(ααSIFB)</w:t>
      </w:r>
      <w:r>
        <w:rPr>
          <w:vertAlign w:val="subscript"/>
        </w:rPr>
        <w:t>4</w:t>
      </w:r>
      <w:r>
        <w:t xml:space="preserve"> </w:t>
      </w:r>
      <w:r>
        <w:t>@PSMA) exhibits remarkable performance in imaging mouse cardio‐cerebral vasculature. Crucially, direct administration via a interventional catheter addresses the issue of short blood circulation half‐life, significantly enhancing target‐site contrast. Interventional NIR‐II imaging with</w:t>
      </w:r>
      <w:r>
        <w:t xml:space="preserve"> </w:t>
      </w:r>
      <w:r>
        <w:t>(ααSIFB)</w:t>
      </w:r>
      <w:r>
        <w:rPr>
          <w:vertAlign w:val="subscript"/>
        </w:rPr>
        <w:t>4</w:t>
      </w:r>
      <w:r>
        <w:t xml:space="preserve"> </w:t>
      </w:r>
      <w:r>
        <w:t>@PSMA enables real‐time, continuous monitoring of vascular dynamics and visualization of acute cardio‐cerebrovascular events.</w:t>
      </w:r>
    </w:p>
    <w:p>
      <w:pPr>
        <w:spacing w:before="120" w:after="120"/>
      </w:pPr>
      <w:r>
        <w:rPr>
          <w:sz w:val="18"/>
        </w:rPr>
        <w:t>——————————————————————————————————————————————————————————————————————</w:t>
      </w:r>
    </w:p>
    <w:p>
      <w:pPr>
        <w:spacing w:before="160" w:after="80" w:line="240" w:lineRule="auto"/>
      </w:pPr>
      <w:r>
        <w:rPr>
          <w:b/>
        </w:rPr>
        <w:t xml:space="preserve">[328] </w:t>
      </w:r>
      <w:hyperlink r:id="rId588">
        <w:r>
          <w:rPr>
            <w:color w:val="1155CC"/>
            <w:u w:val="single"/>
          </w:rPr>
          <w:t>Dual‐Path Exciton Harvesting Guided by Molecular Packing and Orientation Achieves Highly Efficient Deep‐Blue Emission</w:t>
        </w:r>
      </w:hyperlink>
    </w:p>
    <w:p>
      <w:pPr>
        <w:spacing w:before="0" w:after="120" w:line="240" w:lineRule="auto"/>
      </w:pPr>
      <w:r>
        <w:rPr>
          <w:b/>
        </w:rPr>
        <w:t xml:space="preserve">Source: </w:t>
      </w:r>
      <w:r>
        <w:t>Wiley: Advanced Materials: Table of Contents</w:t>
      </w:r>
      <w:r>
        <w:t xml:space="preserve">    </w:t>
      </w:r>
      <w:r>
        <w:rPr>
          <w:b/>
        </w:rPr>
        <w:t xml:space="preserve">Pub date: </w:t>
      </w:r>
      <w:r>
        <w:t>2025-12-24 15:33:55+00:00</w:t>
      </w:r>
      <w:r>
        <w:t xml:space="preserve">    </w:t>
      </w:r>
      <w:r>
        <w:rPr>
          <w:b/>
        </w:rPr>
        <w:t xml:space="preserve">DOI: </w:t>
      </w:r>
      <w:hyperlink r:id="rId589">
        <w:r>
          <w:rPr>
            <w:color w:val="1155CC"/>
            <w:u w:val="single"/>
          </w:rPr>
          <w:t>10.1002/adma.202517600</w:t>
        </w:r>
      </w:hyperlink>
    </w:p>
    <w:p>
      <w:pPr>
        <w:spacing w:before="0" w:after="120"/>
      </w:pPr>
      <w:r>
        <w:rPr>
          <w:b/>
        </w:rPr>
        <w:t xml:space="preserve">Notes: </w:t>
      </w:r>
      <w:r>
        <w:t>abstract_source=crossref</w:t>
      </w:r>
    </w:p>
    <w:p>
      <w:pPr>
        <w:spacing w:before="0" w:after="200" w:lineRule="auto" w:line="276"/>
      </w:pPr>
      <w:r>
        <w:rPr>
          <w:b/>
        </w:rPr>
        <w:t xml:space="preserve">Abstract: </w:t>
      </w:r>
      <w:r>
        <w:t>Efficient and color‐pure deep‐blue organic light‐emitting diodes (OLEDs) are of critical significance for next‐generation display technologies, yet the realization remains challenging owing to the stringent requirements of wide bandgap emitters, inefficient exciton utilization, and pronounced efficiency roll‐off. In this study, we proposed a dual‐path exciton harvesting strategy that combines high‐energy reverse intersystem crossing with triplet–triplet annihilation to improve exciton utilization. The new deep‐blue emitter PChCz, based on the chrysene moiety, exhibits favorable high‐energy reverse intersystem crossing from high‐lying triplet states, enabling non‐doped OLEDs with a peak external quantum efficiency of 21.3%. To alleviate triplet‐polaron annihilation at elevated current densities, a co‐deposited sensitizer is employed to reutilize low‐energy triplet via the triplet–triplet annihilation mechanism, thereby further improving the external quantum efficiency to 25.5% with suppressed roll‐off. Morphological analysis reveals that co‐deposition enhances compositional homogeneity and optimizes molecular orientation, which are conducive to efficient energy transfer and light outcoupling. Supported by rational molecular design and morphological control, the proposed dual‐path exciton harvesting mechanism presents an effective approach for the development of high‐performance deep‐blue OLEDs.</w:t>
      </w:r>
    </w:p>
    <w:p>
      <w:pPr>
        <w:spacing w:before="120" w:after="120"/>
      </w:pPr>
      <w:r>
        <w:rPr>
          <w:sz w:val="18"/>
        </w:rPr>
        <w:t>——————————————————————————————————————————————————————————————————————</w:t>
      </w:r>
    </w:p>
    <w:p>
      <w:pPr>
        <w:spacing w:before="160" w:after="80" w:line="240" w:lineRule="auto"/>
      </w:pPr>
      <w:r>
        <w:rPr>
          <w:b/>
        </w:rPr>
        <w:t xml:space="preserve">[329] </w:t>
      </w:r>
      <w:hyperlink r:id="rId590">
        <w:r>
          <w:rPr>
            <w:color w:val="1155CC"/>
            <w:u w:val="single"/>
          </w:rPr>
          <w:t>[ASAP] Top-Interface Nonfullerene Modification of Tin-Based Perovskite Solar Cells: Discerning Multifaceted Functions of Y6 Acceptor</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2025-12-24 15:35:10+00:00</w:t>
      </w:r>
      <w:r>
        <w:t xml:space="preserve">    </w:t>
      </w:r>
      <w:r>
        <w:rPr>
          <w:b/>
        </w:rPr>
        <w:t xml:space="preserve">DOI: </w:t>
      </w:r>
      <w:hyperlink r:id="rId591">
        <w:r>
          <w:rPr>
            <w:color w:val="1155CC"/>
            <w:u w:val="single"/>
          </w:rPr>
          <w:t>10.1021/acsenergylett.5c03634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[330] </w:t>
      </w:r>
      <w:hyperlink r:id="rId592">
        <w:r>
          <w:rPr>
            <w:color w:val="1155CC"/>
            <w:u w:val="single"/>
          </w:rPr>
          <w:t>[ASAP] Mapping Vibronic Dynamics of Ultrafast Intersystem Crossing in an Earth-Abundant Ligand-Field Excited Complex</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15:54:40+00:00</w:t>
      </w:r>
      <w:r>
        <w:t xml:space="preserve">    </w:t>
      </w:r>
      <w:r>
        <w:rPr>
          <w:b/>
        </w:rPr>
        <w:t xml:space="preserve">DOI: </w:t>
      </w:r>
      <w:hyperlink r:id="rId593">
        <w:r>
          <w:rPr>
            <w:color w:val="1155CC"/>
            <w:u w:val="single"/>
          </w:rPr>
          <w:t>10.1021/jacs.5c20395</w:t>
        </w:r>
      </w:hyperlink>
    </w:p>
    <w:p>
      <w:pPr>
        <w:spacing w:before="0" w:after="120"/>
      </w:pPr>
      <w:r>
        <w:rPr>
          <w:b/>
        </w:rPr>
        <w:t xml:space="preserve">Notes: </w:t>
      </w:r>
      <w:r>
        <w:t>abstract_source=pubmed</w:t>
      </w:r>
    </w:p>
    <w:p>
      <w:pPr>
        <w:spacing w:before="0" w:after="200" w:lineRule="auto" w:line="276"/>
      </w:pPr>
      <w:r>
        <w:rPr>
          <w:b/>
        </w:rPr>
        <w:t xml:space="preserve">Abstract: </w:t>
      </w:r>
      <w:r>
        <w:t>Intersystem crossing (ISC) is a central nonradiative pathway in transition-metal complexes, critically shaping their behavior in photocatalysis and optoelectronics. In 3d metal systems, ligand-field (LF, d-d) excited states are especially important, yet the mechanisms governing their ISC remain obscure because LF transitions are commonly masked by intense metal-to-ligand charge-transfer (MLCT) bands. This knowledge gap is significant, as LF states frequently participate in deactivation channels and directly influence the photochemical reactivity. Here, we focus on unraveling the ultrafast ISC dynamics in a carefully chosen model system with a simplified electronic structure: cobalt(III)-acetylacetonate, ([Co(acac)3]), a d6 low-spin complex. Upon selective 1A1 → 1T1 ligand-field excitation promoting a t2g → eg * electron, heterodyne-detected transient grating measurements with ∼10 fs pulses reveal vibrational coherences decaying in ∼50 fs, matching ISC dynamics. Fourier analysis reveals both low- and high-frequency vibrational modes associated with Co-O stretching and Co-O-C bending that actively mediate the spin-state transition. Complementary two-dimensional electronic spectroscopy (2DES) disentangles overlapping signals and localizes vibrational activity near the 1T1 excited-state absorption. Density functional theory (DFT) and GPU-accelerated hierarchy equation of motion (HEOM) calculations confirm that vibronic coupling, in concert with spin-orbit coupling (SOC), enables rapid singlet-to-triplet conversion via dynamic modulation of excited-state energies and reorganization along key nuclear coordinates. These results reveal that following LF excitation vibronic coupling plays an important role in reshaping excited-state potential energy surfaces and facilitating ISC in systems where SOC alone is weak. This work establishes a mechanistic foundation for understanding and controlling excited-state pathways in LF-dominated 3d transition-metal complexes.</w:t>
      </w:r>
    </w:p>
    <w:p>
      <w:pPr>
        <w:spacing w:before="120" w:after="120"/>
      </w:pPr>
      <w:r>
        <w:rPr>
          <w:sz w:val="18"/>
        </w:rPr>
        <w:t>——————————————————————————————————————————————————————————————————————</w:t>
      </w:r>
    </w:p>
    <w:p>
      <w:pPr>
        <w:spacing w:before="160" w:after="80" w:line="240" w:lineRule="auto"/>
      </w:pPr>
      <w:r>
        <w:rPr>
          <w:b/>
        </w:rPr>
        <w:t xml:space="preserve">[331] </w:t>
      </w:r>
      <w:hyperlink r:id="rId594">
        <w:r>
          <w:rPr>
            <w:color w:val="1155CC"/>
            <w:u w:val="single"/>
          </w:rPr>
          <w:t>[ASAP] Navigating the Catholyte Landscape in All-Solid-State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2025-12-24 16:14:16+00:00</w:t>
      </w:r>
      <w:r>
        <w:t xml:space="preserve">    </w:t>
      </w:r>
      <w:r>
        <w:rPr>
          <w:b/>
        </w:rPr>
        <w:t xml:space="preserve">DOI: </w:t>
      </w:r>
      <w:hyperlink r:id="rId595">
        <w:r>
          <w:rPr>
            <w:color w:val="1155CC"/>
            <w:u w:val="single"/>
          </w:rPr>
          <w:t>10.1021/acsenergylett.5c03429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[332] </w:t>
      </w:r>
      <w:hyperlink r:id="rId596">
        <w:r>
          <w:rPr>
            <w:color w:val="1155CC"/>
            <w:u w:val="single"/>
          </w:rPr>
          <w:t>[ASAP] Autonomous Nanoparticle Synthesis Guided by In Situ Multiscale Structural Characterization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19:39:52+00:00</w:t>
      </w:r>
      <w:r>
        <w:t xml:space="preserve">    </w:t>
      </w:r>
      <w:r>
        <w:rPr>
          <w:b/>
        </w:rPr>
        <w:t xml:space="preserve">DOI: </w:t>
      </w:r>
      <w:hyperlink r:id="rId597">
        <w:r>
          <w:rPr>
            <w:color w:val="1155CC"/>
            <w:u w:val="single"/>
          </w:rPr>
          <w:t>10.1021/jacs.5c03875</w:t>
        </w:r>
      </w:hyperlink>
    </w:p>
    <w:p>
      <w:pPr>
        <w:spacing w:before="0" w:after="120"/>
      </w:pPr>
      <w:r>
        <w:rPr>
          <w:b/>
        </w:rPr>
        <w:t xml:space="preserve">Notes: </w:t>
      </w:r>
      <w:r>
        <w:t>abstract_source=pubmed</w:t>
      </w:r>
    </w:p>
    <w:p>
      <w:pPr>
        <w:spacing w:before="0" w:after="200" w:lineRule="auto" w:line="276"/>
      </w:pPr>
      <w:r>
        <w:rPr>
          <w:b/>
        </w:rPr>
        <w:t xml:space="preserve">Abstract: </w:t>
      </w:r>
      <w:r>
        <w:t>Autonomous synthesis platforms promise rapid exploration of vast parameter spaces; yet, integrating in situ structural characterization in closed-loop synthesis optimization remains challenging. We demonstrate a realization of such a closed-loop platform coupled with a droplet-flow microreactor, in situ X-ray scattering methods (SAXS/WAXS), and Gaussian process optimization to synthesize citrate-reduced Au nanoparticles with targeted characteristics. The system efficiently explored ∼19,000 synthesis recipes through 365 experiments, achieving precise control over size (4-60 nm) and polydispersity (σ &lt; 0.11) across large citrate/gold ratios, exceeding traditional synthesis boundaries (1-10). Beyond confirming classical Turkevich-Frens trends, partial-dependence analysis revealed strong nonlinear coupling among precursor, citrate, and pH effects. Combining quantitative SAXS/WAXS analysis with electron microscopy characterization, we uncovered that crystallite size (dc) and particle size (d) follow dc = 0.18d + β, where synthesis chemistry controls the intercept β while maintaining a universal slope. This parallel-band structure enables independent tuning of crystallite domain size at fixed particle diameter through a combination of chloride, gold precursor, citrate, and pH contributions (cross-validated Spearman ρ = 0.7 ± 0.1). High-resolution electron microscopy shows multiple lattice-fringe orientations within single particles, directly confirming polycrystalline domains and the ability to tune dc at the fixed d. The platform's validation includes indistinguishable static versus flowing measurements, stable droplet transport at 100 °C, and &lt;5% run-to-run variation, establishing a robust framework for mapping and controlling multiscale nanoparticle structure across expansive chemical spaces. The developed closed-loop platform can be applied to a borad range of nanosyntheis processes.</w:t>
      </w:r>
    </w:p>
    <w:p>
      <w:pPr>
        <w:spacing w:before="120" w:after="120"/>
      </w:pPr>
      <w:r>
        <w:rPr>
          <w:sz w:val="18"/>
        </w:rPr>
        <w:t>——————————————————————————————————————————————————————————————————————</w:t>
      </w:r>
    </w:p>
    <w:p>
      <w:pPr>
        <w:spacing w:before="160" w:after="80" w:line="240" w:lineRule="auto"/>
      </w:pPr>
      <w:r>
        <w:rPr>
          <w:b/>
        </w:rPr>
        <w:t xml:space="preserve">[333] </w:t>
      </w:r>
      <w:hyperlink r:id="rId598">
        <w:r>
          <w:rPr>
            <w:color w:val="1155CC"/>
            <w:u w:val="single"/>
          </w:rPr>
          <w:t>[ASAP] Hydrofluorocarbon Greenhouse Gas Mineralization via Oxidative Low-Temperature Plasma</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2025-12-24 19:50:43+00:00</w:t>
      </w:r>
      <w:r>
        <w:t xml:space="preserve">    </w:t>
      </w:r>
      <w:r>
        <w:rPr>
          <w:b/>
        </w:rPr>
        <w:t xml:space="preserve">DOI: </w:t>
      </w:r>
      <w:hyperlink r:id="rId599">
        <w:r>
          <w:rPr>
            <w:color w:val="1155CC"/>
            <w:u w:val="single"/>
          </w:rPr>
          <w:t>10.1021/acsenergylett.5c02595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[334] </w:t>
      </w:r>
      <w:hyperlink r:id="rId600">
        <w:r>
          <w:rPr>
            <w:color w:val="1155CC"/>
            <w:u w:val="single"/>
          </w:rPr>
          <w:t>[ASAP] Inducing Reactivity by Cluster Strain in Titanium Frameworks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2025-12-24 20:11:51+00:00</w:t>
      </w:r>
      <w:r>
        <w:t xml:space="preserve">    </w:t>
      </w:r>
      <w:r>
        <w:rPr>
          <w:b/>
        </w:rPr>
        <w:t xml:space="preserve">DOI: </w:t>
      </w:r>
      <w:hyperlink r:id="rId601">
        <w:r>
          <w:rPr>
            <w:color w:val="1155CC"/>
            <w:u w:val="single"/>
          </w:rPr>
          <w:t>10.1021/jacs.5c16069</w:t>
        </w:r>
      </w:hyperlink>
    </w:p>
    <w:p>
      <w:pPr>
        <w:spacing w:before="0" w:after="120"/>
      </w:pPr>
      <w:r>
        <w:rPr>
          <w:b/>
        </w:rPr>
        <w:t xml:space="preserve">Notes: </w:t>
      </w:r>
      <w:r>
        <w:t>abstract_source=pubmed</w:t>
      </w:r>
    </w:p>
    <w:p>
      <w:pPr>
        <w:spacing w:before="0" w:after="200" w:lineRule="auto" w:line="276"/>
      </w:pPr>
      <w:r>
        <w:rPr>
          <w:b/>
        </w:rPr>
        <w:t xml:space="preserve">Abstract: </w:t>
      </w:r>
      <w:r>
        <w:t>Despite their potential to control charge separation and redox activity, deliberate strategies to distort metal-oxo clusters in molecular frameworks remain limited. Here we present a proof-of-concept for cluster strain engineering using the titanium-organic framework MUV-10 as a model. Replacing Ca2+ with larger alkaline-earth cations (Sr2+, Ba2+) induces predictable distortions of Ti2M2 clusters and a cubic-to-tetragonal cell transformation while preserving the overall connectivity. This local strain alters Ti-O coordination geometry, enhances ligand-to-metal charge transfer, and promotes the photogeneration of Ti3+ sites, as validated by photocatalytic CO2 methanation under standardized conditions. Importantly, the extent of distortion follows the trend anticipated from the Goldschmidt tolerance factor, a classical descriptor from perovskite chemistry, that we repurpose here to rationalize strain in reticular frameworks. Taken together, these findings establish a conceptual link between oxide catalysis and reticular chemistry, highlighting cluster strain as a potential structural switch to modulate redox reactivity in molecular solids.</w:t>
      </w:r>
    </w:p>
    <w:p>
      <w:pPr>
        <w:spacing w:before="120" w:after="120"/>
      </w:pPr>
      <w:r>
        <w:rPr>
          <w:sz w:val="18"/>
        </w:rPr>
        <w:t>——————————————————————————————————————————————————————————————————————</w:t>
      </w:r>
    </w:p>
    <w:p>
      <w:pPr>
        <w:spacing w:before="160" w:after="80" w:line="240" w:lineRule="auto"/>
      </w:pPr>
      <w:r>
        <w:rPr>
          <w:b/>
        </w:rPr>
        <w:t xml:space="preserve">[335] </w:t>
      </w:r>
      <w:hyperlink r:id="rId602">
        <w:r>
          <w:rPr>
            <w:color w:val="1155CC"/>
            <w:u w:val="single"/>
          </w:rPr>
          <w:t>Machine learning-assisted kinetic matching model for rational electrode design in aqueous zinc-ion batteries</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Aqueous zinc-ion batteries offer inherent safety and low cost, yet performance is limited by unstable zinc metal negative electrodes and dissolution-prone positive electrodes, causing dendrite growth, sluggish ion transport, and rapid capacity decay. Replacing both electrodes with intercalation hosts provides a solution, but progress is slowed by the lack of a universal principle for selecting kinetically compatible pairs. Most existing efforts optimize single components rather than addressing the electrodes’ kinetic mismatch governing full-cell stability. Here we show a machine-learning-assisted kinetic-matching framework that quantitatively evaluates ion-transport compatibility in intercalation-type zinc-ion batteries electrodes. By correlating interlayer spacing with Zn2+ diffusion behavior, the model introduces two descriptors predicting synchronized ion flux for rational electrode pairing. Using this framework, an optimized Zn3V3O8 | |NH4V4O10 system achieves a specific capacity of 310 mAh g-1 and retains over 12,000 cycles at 5 A g-1. The strategy further extends to deformable formats through conductive hydrogel architectures, enabling omnidirectionally stretchable, all-hydrogel zinc-ion batteries with an areal capacity of 1.2 mAh cm-2 and an energy density of 1070 μWh cm-2. These results provide a quantitative design route for next-generation zinc-ion batteries.</w:t>
      </w:r>
    </w:p>
    <w:p>
      <w:pPr>
        <w:spacing w:before="120" w:after="120"/>
      </w:pPr>
      <w:r>
        <w:rPr>
          <w:sz w:val="18"/>
        </w:rPr>
        <w:t>——————————————————————————————————————————————————————————————————————</w:t>
      </w:r>
    </w:p>
    <w:p>
      <w:pPr>
        <w:spacing w:before="160" w:after="80" w:line="240" w:lineRule="auto"/>
      </w:pPr>
      <w:r>
        <w:rPr>
          <w:b/>
        </w:rPr>
        <w:t xml:space="preserve">[336] </w:t>
      </w:r>
      <w:hyperlink r:id="rId603">
        <w:r>
          <w:rPr>
            <w:color w:val="1155CC"/>
            <w:u w:val="single"/>
          </w:rPr>
          <w:t>Optical valve plasmonic metamaterial for infrared–visible compatible stealth and selective absorption</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[337] </w:t>
      </w:r>
      <w:hyperlink r:id="rId604">
        <w:r>
          <w:rPr>
            <w:color w:val="1155CC"/>
            <w:u w:val="single"/>
          </w:rPr>
          <w:t>Short-term regional EV charging load forecasting based on GAT and GRU with trip distribution estimation</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[338] </w:t>
      </w:r>
      <w:hyperlink r:id="rId605">
        <w:r>
          <w:rPr>
            <w:color w:val="1155CC"/>
            <w:u w:val="single"/>
          </w:rPr>
          <w:t>Engineered vesicles enhance oral antibiotic absorption in proximal small intestine and mitigate gut dysbiosis</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Oral antibiotics are a mainstay for treating bacterial infections, but unabsorbed portions can reach the caecum and colon, leading to gut dysbiosis. Herein, we engineer a biohybrid delivery system through the integration of milk extracellular vesicles with liposomes. The hybrid vesicles employ targeting mechanisms via neonatal Fc receptor and peptide transporter 1, facilitating antibiotic transport across the proximal small intestine. These vesicles exhibit superior drug encapsulation efficiency, stable release behavior, efficient mucus traversal, higher endocytosis, increased basolateral exocytosis, and improved oral absorption, achieving a 3.24-fold increase in oral bioavailability compared to free antibiotics. In lung bacterial infections and bacteremia models, hybrid vesicle-encapsulated cefdinir outperforms free antibiotics in eliminating infections. Notably, this approach also mitigates adverse effects on the intestinal microbiota, safeguarding the animals from dysbiosis-associated metabolic syndromes and opportunistic pathogen infections. This innovative hybrid vesicle system holds promise for the oral delivery of other drugs that suffer from limited absorption or cause gut dysbiosis.</w:t>
      </w:r>
    </w:p>
    <w:p>
      <w:pPr>
        <w:spacing w:before="120" w:after="120"/>
      </w:pPr>
      <w:r>
        <w:rPr>
          <w:sz w:val="18"/>
        </w:rPr>
        <w:t>——————————————————————————————————————————————————————————————————————</w:t>
      </w:r>
    </w:p>
    <w:p>
      <w:pPr>
        <w:spacing w:before="160" w:after="80" w:line="240" w:lineRule="auto"/>
      </w:pPr>
      <w:r>
        <w:rPr>
          <w:b/>
        </w:rPr>
        <w:t xml:space="preserve">[339] </w:t>
      </w:r>
      <w:hyperlink r:id="rId606">
        <w:r>
          <w:rPr>
            <w:color w:val="1155CC"/>
            <w:u w:val="single"/>
          </w:rPr>
          <w:t>Energy-resolved color X-ray imaging via stacked ultra-narrowband scintillators for material discrimination</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[340] </w:t>
      </w:r>
      <w:hyperlink r:id="rId607">
        <w:r>
          <w:rPr>
            <w:color w:val="1155CC"/>
            <w:u w:val="single"/>
          </w:rPr>
          <w:t>Honey-inspired thermally hysteretic adhesives for high strength and reversible underwater adhesion</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[341] </w:t>
      </w:r>
      <w:hyperlink r:id="rId608">
        <w:r>
          <w:rPr>
            <w:color w:val="1155CC"/>
            <w:u w:val="single"/>
          </w:rPr>
          <w:t>Recent progress and challenges of electrochemical artificial muscle fiber</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[342] </w:t>
      </w:r>
      <w:hyperlink r:id="rId609">
        <w:r>
          <w:rPr>
            <w:color w:val="1155CC"/>
            <w:u w:val="single"/>
          </w:rPr>
          <w:t>Multi-scale classification decodes the complexity of the human E3 ligome</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E3 ubiquitin ligases are vital enzymes that define the ubiquitin code in cells. Beyond promoting protein degradation to maintain cellular health, they also mediate non-degradative processes like DNA repair, signaling, and immunity. Despite their therapeutic potential, a comprehensive framework for understanding the relationships among diverse E3 ligases is lacking. Here, we classify the “human E3 ligome”—an extensive set of catalytic human E3s—by integrating multi-layered data, including protein sequences, domain architectures, 3D structures, functions, and expression patterns. Our classification is based on a metric-learning paradigm and uses a weakly supervised hierarchical framework to capture authentic relationships across E3 families and subfamilies. It extends the categorization of E3s into RING, HECT, and RBR classes, including non-canonical mechanisms, successfully explains their functional segregation, distinguishes between multi-subunit complexes and standalone enzymes, and maps E3s to substrates and potential drug interactions. Our analysis provides a global view of E3 biology, opening strategies for drugging E3-substrate networks, including drug repurposing and designing specific E3 handles.</w:t>
      </w:r>
    </w:p>
    <w:p>
      <w:pPr>
        <w:spacing w:before="120" w:after="120"/>
      </w:pPr>
      <w:r>
        <w:rPr>
          <w:sz w:val="18"/>
        </w:rPr>
        <w:t>——————————————————————————————————————————————————————————————————————</w:t>
      </w:r>
    </w:p>
    <w:p>
      <w:pPr>
        <w:spacing w:before="160" w:after="80" w:line="240" w:lineRule="auto"/>
      </w:pPr>
      <w:r>
        <w:rPr>
          <w:b/>
        </w:rPr>
        <w:t xml:space="preserve">[343] </w:t>
      </w:r>
      <w:hyperlink r:id="rId610">
        <w:r>
          <w:rPr>
            <w:color w:val="1155CC"/>
            <w:u w:val="single"/>
          </w:rPr>
          <w:t>Ultrasensitive multi-degree-of-freedom piezoionic sensor via synergistic hydrogel-ion interactions</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Accurate body motion capture is of great significance for biomechanical assessment and immersive virtual/augmented reality (VR/AR) systems. Piezoionic flex-sensors, which mimic the ionic transport sensing mechanism of cutaneous mechanoreceptors, promises a self-powered approach for wearable body movements detection. However, their practical utility has been limited by low piezoionic flex-sensitivity (typically below 0.5 mV/degree) and unidirectional bending response, which restricts their ability to resolve complex multi-degree-of-freedom (multi-Dof) body motions. Here we report a soft, piezoionic and multi-Dof (SPIM) flex-sensor that overcomes these limitations. It ingeniously integrates zwitterionic dipole-ion interactions and size-induced steric hindrance effects to enable fast ion channels formation and amplified cation/anion transport imbalance, thus cooperatively contributing to a record-high piezoionic flex-sensitivity of 3.2 mV/degree. Theoretical simulations combining poroelastic mechanics and Poisson-Nernst-Planck model corroborated the synergistic enhancement. Furthermore, a unique architecture of square prism-shaped fiber with two pairs of symmetric nanomesh electrodes allows the SPIM flex-sensor to decouple multi-Dof joint flexion to distinguish complex body movements. We demonstrate a SPIM flex-sensor platform for metaverse applications, including a digital-twin of free-pose hand motions and complex yet intuitive VR control via single-joint dexterity equipped with a single compact sensor device.</w:t>
      </w:r>
    </w:p>
    <w:p>
      <w:pPr>
        <w:spacing w:before="120" w:after="120"/>
      </w:pPr>
      <w:r>
        <w:rPr>
          <w:sz w:val="18"/>
        </w:rPr>
        <w:t>——————————————————————————————————————————————————————————————————————</w:t>
      </w:r>
    </w:p>
    <w:p>
      <w:pPr>
        <w:spacing w:before="160" w:after="80" w:line="240" w:lineRule="auto"/>
      </w:pPr>
      <w:r>
        <w:rPr>
          <w:b/>
        </w:rPr>
        <w:t xml:space="preserve">[344] </w:t>
      </w:r>
      <w:hyperlink r:id="rId611">
        <w:r>
          <w:rPr>
            <w:color w:val="1155CC"/>
            <w:u w:val="single"/>
          </w:rPr>
          <w:t>Calcium channel blockers increase the risk of aortic aneurysm and dissection</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Aortic aneurysm and dissection (AAD) are life-threatening conditions without effective medications. Impaired contractility of vascular smooth muscle cells (VSMCs) is strongly linked to AAD, but the role of calcium channel blockers (CCBs), which directly inhibits VSMC contractility, in AAD remains unclear. Here we showed data from 501,878 initially AAD-free participants in UK Biobank. Over a median follow-up of 13.5 years, CCB users had higher AAD risk (HR = 1.31) than hypertensive patients not receiving antihypertensive treatment. In mouse models of AAD, CCBs significantly aggravated aortic stiffness and AAD development. For patients with type B aortic dissection who underwent endovascular repair, CCBs limited AAD regression compared with other antihypertensives. Moreover, silencing of protein kinase cGMP-dependent 1 (PRKG1) significantly mitigated CCB-aggravated AAD progression. These findings suggest that CCBs may increase AAD risk and post-stent surgery prognosis, highlighting the need for caution when prescribing CCBs to hypertensive patients at risk for AAD.</w:t>
      </w:r>
    </w:p>
    <w:p>
      <w:pPr>
        <w:spacing w:before="120" w:after="120"/>
      </w:pPr>
      <w:r>
        <w:rPr>
          <w:sz w:val="18"/>
        </w:rPr>
        <w:t>——————————————————————————————————————————————————————————————————————</w:t>
      </w:r>
    </w:p>
    <w:p>
      <w:pPr>
        <w:spacing w:before="160" w:after="80" w:line="240" w:lineRule="auto"/>
      </w:pPr>
      <w:r>
        <w:rPr>
          <w:b/>
        </w:rPr>
        <w:t xml:space="preserve">[345] </w:t>
      </w:r>
      <w:hyperlink r:id="rId612">
        <w:r>
          <w:rPr>
            <w:color w:val="1155CC"/>
            <w:u w:val="single"/>
          </w:rPr>
          <w:t>Break-down of the relationship between α-relaxation and equilibration in hydrostatically compressed metallic glasses</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[346] </w:t>
      </w:r>
      <w:hyperlink r:id="rId613">
        <w:r>
          <w:rPr>
            <w:color w:val="1155CC"/>
            <w:u w:val="single"/>
          </w:rPr>
          <w:t>Hysteresis and integrity in multiphase hydrogen storage: a review of flow, rock, and monitoring challenges</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[347] </w:t>
      </w:r>
      <w:hyperlink r:id="rId614">
        <w:r>
          <w:rPr>
            <w:color w:val="1155CC"/>
            <w:u w:val="single"/>
          </w:rPr>
          <w:t>Two-layer coordinated operation of multi-energy system considering carbon-oriented collaborative pricing mechanism via two-stage stochastic programming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[348] </w:t>
      </w:r>
      <w:hyperlink r:id="rId615">
        <w:r>
          <w:rPr>
            <w:color w:val="1155CC"/>
            <w:u w:val="single"/>
          </w:rPr>
          <w:t>A review on modeling, simulation and experiment of dynamic wake effect of floating offshore wind turbines</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[349] </w:t>
      </w:r>
      <w:hyperlink r:id="rId616">
        <w:r>
          <w:rPr>
            <w:color w:val="1155CC"/>
            <w:u w:val="single"/>
          </w:rPr>
          <w:t>Explainable machine learning unveils a critical trade-off in SOFCs: The role of cathode-to-anode reaction site ratio</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[350] </w:t>
      </w:r>
      <w:hyperlink r:id="rId617">
        <w:r>
          <w:rPr>
            <w:color w:val="1155CC"/>
            <w:u w:val="single"/>
          </w:rPr>
          <w:t>Profitability and scalability for waste-to-energy supply chains</w:t>
        </w:r>
      </w:hyperlink>
    </w:p>
    <w:p>
      <w:pPr>
        <w:spacing w:before="0" w:after="120" w:line="240" w:lineRule="auto"/>
      </w:pPr>
      <w:r>
        <w:rPr>
          <w:b/>
        </w:rPr>
        <w:t xml:space="preserve">Source: </w:t>
      </w:r>
      <w:r>
        <w:t>ScienceDirect Publication: Applied Energy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[351] </w:t>
      </w:r>
      <w:hyperlink r:id="rId618">
        <w:r>
          <w:rPr>
            <w:color w:val="1155CC"/>
            <w:u w:val="single"/>
          </w:rPr>
          <w:t>Hierarchical hollow silica shells for scalable and passive superinsulation</w:t>
        </w:r>
      </w:hyperlink>
    </w:p>
    <w:p>
      <w:pPr>
        <w:spacing w:before="0" w:after="120" w:line="240" w:lineRule="auto"/>
      </w:pPr>
      <w:r>
        <w:rPr>
          <w:b/>
        </w:rPr>
        <w:t xml:space="preserve">Source: </w:t>
      </w:r>
      <w:r>
        <w:t>ScienceDirect Publication: Materials Today</w:t>
      </w:r>
      <w:r>
        <w:t xml:space="preserve">    </w:t>
      </w:r>
      <w:r>
        <w:rPr>
          <w:b/>
        </w:rPr>
        <w:t xml:space="preserve">Pub date: </w:t>
      </w:r>
      <w:r>
        <w:t>2025-12-25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[352] </w:t>
      </w:r>
      <w:hyperlink r:id="rId619">
        <w:r>
          <w:rPr>
            <w:color w:val="1155CC"/>
            <w:u w:val="single"/>
          </w:rPr>
          <w:t>mGluR4–NPDC1 complex mediates α-synuclein fibril-induced neurodegeneration</w:t>
        </w:r>
      </w:hyperlink>
    </w:p>
    <w:p>
      <w:pPr>
        <w:spacing w:before="0" w:after="120" w:line="240" w:lineRule="auto"/>
      </w:pPr>
      <w:r>
        <w:rPr>
          <w:b/>
        </w:rPr>
        <w:t xml:space="preserve">Source: </w:t>
      </w:r>
      <w:r>
        <w:t>Nature Communications</w:t>
      </w:r>
      <w:r>
        <w:t xml:space="preserve">    </w:t>
      </w:r>
      <w:r>
        <w:rPr>
          <w:b/>
        </w:rPr>
        <w:t xml:space="preserve">Pub date: </w:t>
      </w:r>
      <w:r>
        <w:t>2025-12-25 00:00:00+00:00</w:t>
      </w:r>
    </w:p>
    <w:p>
      <w:pPr>
        <w:spacing w:before="0" w:after="120"/>
      </w:pPr>
      <w:r>
        <w:rPr>
          <w:b/>
        </w:rPr>
        <w:t xml:space="preserve">Notes: </w:t>
      </w:r>
      <w:r>
        <w:t>abstract_source=nature_html</w:t>
      </w:r>
    </w:p>
    <w:p>
      <w:pPr>
        <w:spacing w:before="0" w:after="200" w:lineRule="auto" w:line="276"/>
      </w:pPr>
      <w:r>
        <w:rPr>
          <w:b/>
        </w:rPr>
        <w:t xml:space="preserve">Abstract: </w:t>
      </w:r>
      <w:r>
        <w:t>α-Synuclein (α-syn) fibrils accumulate in Parkinson’s disease, spreading between cells to template misfolding and drive neurodegeneration. α-Syn fibril entry into healthy neurons is a key step. Here, we comprehensively assessed the membrane proteome for α-syn fibril binding. We identified mGluR4 and NPDC1 as nigral surface proteins binding and internalizing α-syn fibrils. While striatal α-syn fibril injection led to nigral dopamine neuron loss in wild type mice, deletion of either Grm4 or Npdc1 provided protection of dopamine neurons. We observed mGluR4 and Npdc1 to form a complex regulating mGluR4 function. Cultured neurons lacking both Grm4 and Npdc1 fail to bind α-syn fibrils, to accumulate phosphorylated α-syn and to lose synapses. Transheterozygous Grm4, Npdc1 mice showed protection of nigral neurons from α-syn fibrils, demonstrating genetic interaction. For transgenic α-syn A53T mice, double Grm4, Npdc1 heterozygosity increased mouse survival, motor function and spinal motoneuron number. Thus, a cell surface mGluR4–NPDC1 complex participates in α-syn neurodegeneration.</w:t>
      </w:r>
    </w:p>
    <w:p>
      <w:pPr>
        <w:spacing w:before="120" w:after="120"/>
      </w:pPr>
      <w:r>
        <w:rPr>
          <w:sz w:val="18"/>
        </w:rPr>
        <w:t>——————————————————————————————————————————————————————————————————————</w:t>
      </w:r>
    </w:p>
    <w:p>
      <w:pPr>
        <w:spacing w:before="160" w:after="80" w:line="240" w:lineRule="auto"/>
      </w:pPr>
      <w:r>
        <w:rPr>
          <w:b/>
        </w:rPr>
        <w:t xml:space="preserve">[353] </w:t>
      </w:r>
      <w:hyperlink r:id="rId620">
        <w:r>
          <w:rPr>
            <w:color w:val="1155CC"/>
            <w:u w:val="single"/>
          </w:rPr>
          <w:t>[ASAP] Perpendicular Néel Vector Detection of Monolayer Collinear Antiferromagnets with Spin-Layer Coupling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2025-12-25 12:04:51+00:00</w:t>
      </w:r>
      <w:r>
        <w:t xml:space="preserve">    </w:t>
      </w:r>
      <w:r>
        <w:rPr>
          <w:b/>
        </w:rPr>
        <w:t xml:space="preserve">DOI: </w:t>
      </w:r>
      <w:hyperlink r:id="rId621">
        <w:r>
          <w:rPr>
            <w:color w:val="1155CC"/>
            <w:u w:val="single"/>
          </w:rPr>
          <w:t>10.1021/jacs.5c19267</w:t>
        </w:r>
      </w:hyperlink>
    </w:p>
    <w:p>
      <w:pPr>
        <w:spacing w:before="0" w:after="120"/>
      </w:pPr>
      <w:r>
        <w:rPr>
          <w:b/>
        </w:rPr>
        <w:t xml:space="preserve">Notes: </w:t>
      </w:r>
      <w:r>
        <w:t>abstract_source=pubmed</w:t>
      </w:r>
    </w:p>
    <w:p>
      <w:pPr>
        <w:spacing w:before="0" w:after="200" w:lineRule="auto" w:line="276"/>
      </w:pPr>
      <w:r>
        <w:rPr>
          <w:b/>
        </w:rPr>
        <w:t xml:space="preserve">Abstract: </w:t>
      </w:r>
      <w:r>
        <w:t>The precise detection of a perpendicular Néel vector in collinear antiferromagnetic (AFM) materials has long been expected for advancing two-dimensional AFM spintronics. Here, we proposed the perpendicular Néel vector detection using the layer Hall effect in collinear antiferromagnets down to the monolayer limit. Through materials screening, the Co2S2 is identified as a prototypical AFM monolayer with the spin-layer coupling and perpendicular magnetic anisotropy. Thanks to the electrically engineered layer-locked band edges and Berry curvatures from spin-layer coupling, a sizable layer-polarized anomalous Hall conductivity of σxy up to ∼110 S/cm is obtained in monolayer Co2S2. Intriguingly, the sign of σxy changes when the Néel vector is reversed, providing an efficient route for detecting the AFM order. Moreover, the achievement of the Néel vector detection via the layer Hall effect is further demonstrated in altermagnetic monolayer Ca(CoN)2. The present findings open an avenue to explore the Néel vector detection for atomic-scale AFM materials and spintronic devices.</w:t>
      </w:r>
    </w:p>
    <w:p>
      <w:pPr>
        <w:spacing w:before="120" w:after="120"/>
      </w:pPr>
      <w:r>
        <w:rPr>
          <w:sz w:val="18"/>
        </w:rPr>
        <w:t>——————————————————————————————————————————————————————————————————————</w:t>
      </w:r>
    </w:p>
    <w:p>
      <w:pPr>
        <w:spacing w:before="160" w:after="80" w:line="240" w:lineRule="auto"/>
      </w:pPr>
      <w:r>
        <w:rPr>
          <w:b/>
        </w:rPr>
        <w:t xml:space="preserve">[354] </w:t>
      </w:r>
      <w:hyperlink r:id="rId622">
        <w:r>
          <w:rPr>
            <w:color w:val="1155CC"/>
            <w:u w:val="single"/>
          </w:rPr>
          <w:t>[ASAP] Revealing the Interface Degradation of Monolithic Perovskite/Silicon Tandem Photovoltaics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2025-12-25 14:04:25+00:00</w:t>
      </w:r>
      <w:r>
        <w:t xml:space="preserve">    </w:t>
      </w:r>
      <w:r>
        <w:rPr>
          <w:b/>
        </w:rPr>
        <w:t xml:space="preserve">DOI: </w:t>
      </w:r>
      <w:hyperlink r:id="rId623">
        <w:r>
          <w:rPr>
            <w:color w:val="1155CC"/>
            <w:u w:val="single"/>
          </w:rPr>
          <w:t>10.1021/acsenergylett.5c03423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[355] </w:t>
      </w:r>
      <w:hyperlink r:id="rId624">
        <w:r>
          <w:rPr>
            <w:color w:val="1155CC"/>
            <w:u w:val="single"/>
          </w:rPr>
          <w:t>[ASAP] Integrated Cascade Catalysts for Electrochemical Nitrate Reduction to Ammonia</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2025-12-25 15:45:20+00:00</w:t>
      </w:r>
      <w:r>
        <w:t xml:space="preserve">    </w:t>
      </w:r>
      <w:r>
        <w:rPr>
          <w:b/>
        </w:rPr>
        <w:t xml:space="preserve">DOI: </w:t>
      </w:r>
      <w:hyperlink r:id="rId625">
        <w:r>
          <w:rPr>
            <w:color w:val="1155CC"/>
            <w:u w:val="single"/>
          </w:rPr>
          <w:t>10.1021/jacs.5c03265</w:t>
        </w:r>
      </w:hyperlink>
    </w:p>
    <w:p>
      <w:pPr>
        <w:spacing w:before="0" w:after="120"/>
      </w:pPr>
      <w:r>
        <w:rPr>
          <w:b/>
        </w:rPr>
        <w:t xml:space="preserve">Notes: </w:t>
      </w:r>
      <w:r>
        <w:t>abstract_source=pubmed</w:t>
      </w:r>
    </w:p>
    <w:p>
      <w:pPr>
        <w:spacing w:before="0" w:after="200" w:lineRule="auto" w:line="276"/>
      </w:pPr>
      <w:r>
        <w:rPr>
          <w:b/>
        </w:rPr>
        <w:t xml:space="preserve">Abstract: </w:t>
      </w:r>
      <w:r>
        <w:t>Electrocatalytic nitrate reduction reaction (NO3-RR) powered by renewable energy sources offers a promising approach to achieve ammonia (NH3) synthesis with zero-carbon emission. However, sluggish proton-coupled electron transfer and byproduct formation challenge efficient NH3 synthesis. Here, we construct an integrated cascade catalytic system to elucidate the governing principles of active hydrogen (*H) generation and utilization during NO3-RR. A representative catalyst, composed of atomically dispersed Fe sites anchored on an N-doped carbon matrix and encapsulated Ru nanoparticles, exhibits an NH3 yield up to 2336.43 μgNH3 h-1 mgcat-1 while maintaining a Faradaic efficiency of 96.03% at a low potential of 0 V vs RHE. In addition, operando SR-FTIR spectroscopy and DFT calculations reveal that electron transfer from Fe atom to Ru particle not only enhances the affinity of Fe sites for NOx- species but also enriches H coverage on Ru sites, thereby accelerating hydrogenation steps and sustaining a steady *H generation-consumption cycle. This work reveals the mechanistic origin of active hydrogen in tandem catalytic structures and provides fundamental insights for advancing highly selective, energy efficient, and durable NH3 electrosynthesis and wastewater treatment.</w:t>
      </w:r>
    </w:p>
    <w:p>
      <w:pPr>
        <w:spacing w:before="120" w:after="120"/>
      </w:pPr>
      <w:r>
        <w:rPr>
          <w:sz w:val="18"/>
        </w:rPr>
        <w:t>——————————————————————————————————————————————————————————————————————</w:t>
      </w:r>
    </w:p>
    <w:p>
      <w:pPr>
        <w:spacing w:before="160" w:after="80" w:line="240" w:lineRule="auto"/>
      </w:pPr>
      <w:r>
        <w:rPr>
          <w:b/>
        </w:rPr>
        <w:t xml:space="preserve">[356] </w:t>
      </w:r>
      <w:hyperlink r:id="rId626">
        <w:r>
          <w:rPr>
            <w:color w:val="1155CC"/>
            <w:u w:val="single"/>
          </w:rPr>
          <w:t>[ASAP] Enantioselective Construction of 1,3-Stereogenic Centers via 1,3-Borylamination of Conjugated Dienes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2025-12-25 16:28:26+00:00</w:t>
      </w:r>
      <w:r>
        <w:t xml:space="preserve">    </w:t>
      </w:r>
      <w:r>
        <w:rPr>
          <w:b/>
        </w:rPr>
        <w:t xml:space="preserve">DOI: </w:t>
      </w:r>
      <w:hyperlink r:id="rId627">
        <w:r>
          <w:rPr>
            <w:color w:val="1155CC"/>
            <w:u w:val="single"/>
          </w:rPr>
          <w:t>10.1021/jacs.5c19579</w:t>
        </w:r>
      </w:hyperlink>
    </w:p>
    <w:p>
      <w:pPr>
        <w:spacing w:before="0" w:after="120"/>
      </w:pPr>
      <w:r>
        <w:rPr>
          <w:b/>
        </w:rPr>
        <w:t xml:space="preserve">Notes: </w:t>
      </w:r>
      <w:r>
        <w:t>abstract_source=pubmed</w:t>
      </w:r>
    </w:p>
    <w:p>
      <w:pPr>
        <w:spacing w:before="0" w:after="200" w:lineRule="auto" w:line="276"/>
      </w:pPr>
      <w:r>
        <w:rPr>
          <w:b/>
        </w:rPr>
        <w:t xml:space="preserve">Abstract: </w:t>
      </w:r>
      <w:r>
        <w:t>1,3-Stereocenters are important structural motifs in organic synthesis, yet their catalytic enantioselective construction remains a formidable challenge. We report an unprecedented enantioselective 1,3-borylamination of conjugated dienes (up to 99% ee) via a copper-catalyzed cascade hydroboration/hydroamination strategy. The resulting 1,3-borylamines serve as a versatile platform for the synthesis of structurally diverse chiral amines featuring 1,3-stereocenters. Their synthetic utility is showcased through concise access to various pharmaceutically relevant scaffolds. Preliminary mechanistic studies elucidate the reaction pathway and the origins of its chemo-, regio-, and diastereoselectivity.</w:t>
      </w:r>
    </w:p>
    <w:p>
      <w:pPr>
        <w:spacing w:before="120" w:after="120"/>
      </w:pPr>
      <w:r>
        <w:rPr>
          <w:sz w:val="18"/>
        </w:rPr>
        <w:t>——————————————————————————————————————————————————————————————————————</w:t>
      </w:r>
    </w:p>
    <w:p>
      <w:pPr>
        <w:spacing w:before="160" w:after="80" w:line="240" w:lineRule="auto"/>
      </w:pPr>
      <w:r>
        <w:rPr>
          <w:b/>
        </w:rPr>
        <w:t xml:space="preserve">[357] </w:t>
      </w:r>
      <w:hyperlink r:id="rId628">
        <w:r>
          <w:rPr>
            <w:color w:val="1155CC"/>
            <w:u w:val="single"/>
          </w:rPr>
          <w:t>[ASAP] Anomalous Saturation of CO Adsorption at 26% on Cu(111) Governed by Nanometer-Scale Substrate-Mediated Interactions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2025-12-25 18:54:12+00:00</w:t>
      </w:r>
      <w:r>
        <w:t xml:space="preserve">    </w:t>
      </w:r>
      <w:r>
        <w:rPr>
          <w:b/>
        </w:rPr>
        <w:t xml:space="preserve">DOI: </w:t>
      </w:r>
      <w:hyperlink r:id="rId629">
        <w:r>
          <w:rPr>
            <w:color w:val="1155CC"/>
            <w:u w:val="single"/>
          </w:rPr>
          <w:t>10.1021/jacs.5c13663</w:t>
        </w:r>
      </w:hyperlink>
    </w:p>
    <w:p>
      <w:pPr>
        <w:spacing w:before="0" w:after="120"/>
      </w:pPr>
      <w:r>
        <w:rPr>
          <w:b/>
        </w:rPr>
        <w:t xml:space="preserve">Notes: </w:t>
      </w:r>
      <w:r>
        <w:t>abstract_source=pubmed</w:t>
      </w:r>
    </w:p>
    <w:p>
      <w:pPr>
        <w:spacing w:before="0" w:after="200" w:lineRule="auto" w:line="276"/>
      </w:pPr>
      <w:r>
        <w:rPr>
          <w:b/>
        </w:rPr>
        <w:t xml:space="preserve">Abstract: </w:t>
      </w:r>
      <w:r>
        <w:t>CO adsorption on metal surfaces is a process of fundamental importance in surface science and heterogeneous catalysis. Despite its apparent simplicity, its understanding has often posed a challenge to conventional models. Using scanning probe microscopy (SPM), we have observed that CO adsorption on Cu(111) saturates at ∼26%, significantly below the anticipated 33% for the canonical 3×3/R30° structure. This anomalous saturation persists across a wide range of dosing amounts and deposition temperatures, indicating an intrinsic thermodynamic constraint rather than kinetic trapping. Statistical analysis of the SPM images reveals a long-range adsorbate interaction radius of ∼5.3 nm that governs the two-dimensional distribution of CO molecules. This nanometer-scale, substrate-mediated indirect interaction induces spatial correlations that suppress higher coverage. First-principles calculations show that increased coverage leads to confinement of Cu(111) surface-state electrons, with overlapping elastic strain fields, both of which reduce CO binding energy. These long-range interactions collectively enforce a self-limiting adsorbate density. Our findings establish that substrate-mediated forces can govern adsorbate arrangements well beyond nearest-neighbor scales. CO/Cu(111) provides a model system in which such effects can be observed directly, serving as a testbed for established theories of adsorption and substrate-mediated interactions.</w:t>
      </w:r>
    </w:p>
    <w:p>
      <w:pPr>
        <w:spacing w:before="120" w:after="120"/>
      </w:pPr>
      <w:r>
        <w:rPr>
          <w:sz w:val="18"/>
        </w:rPr>
        <w:t>——————————————————————————————————————————————————————————————————————</w:t>
      </w:r>
    </w:p>
    <w:p>
      <w:pPr>
        <w:spacing w:before="160" w:after="80" w:line="240" w:lineRule="auto"/>
      </w:pPr>
      <w:r>
        <w:rPr>
          <w:b/>
        </w:rPr>
        <w:t xml:space="preserve">[358] </w:t>
      </w:r>
      <w:hyperlink r:id="rId630">
        <w:r>
          <w:rPr>
            <w:color w:val="1155CC"/>
            <w:u w:val="single"/>
          </w:rPr>
          <w:t>[ASAP] Peptidyl Asparaginyl Ligase-Mediated Orthogonal Ligation at Non-Asx Peptide Bonds for d-Peptide Cyclization and Antibody Dual Labeling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2025-12-25 19:31:06+00:00</w:t>
      </w:r>
      <w:r>
        <w:t xml:space="preserve">    </w:t>
      </w:r>
      <w:r>
        <w:rPr>
          <w:b/>
        </w:rPr>
        <w:t xml:space="preserve">DOI: </w:t>
      </w:r>
      <w:hyperlink r:id="rId631">
        <w:r>
          <w:rPr>
            <w:color w:val="1155CC"/>
            <w:u w:val="single"/>
          </w:rPr>
          <w:t>10.1021/jacs.5c20426</w:t>
        </w:r>
      </w:hyperlink>
    </w:p>
    <w:p>
      <w:pPr>
        <w:spacing w:before="0" w:after="120"/>
      </w:pPr>
      <w:r>
        <w:rPr>
          <w:b/>
        </w:rPr>
        <w:t xml:space="preserve">Notes: </w:t>
      </w:r>
      <w:r>
        <w:t>abstract_source=pubmed</w:t>
      </w:r>
    </w:p>
    <w:p>
      <w:pPr>
        <w:spacing w:before="0" w:after="200" w:lineRule="auto" w:line="276"/>
      </w:pPr>
      <w:r>
        <w:rPr>
          <w:b/>
        </w:rPr>
        <w:t xml:space="preserve">Abstract: </w:t>
      </w:r>
      <w:r>
        <w:t>There is an increasing need to develop enzymatic methods for protein modification. PALs (peptidyl asparaginyl ligases) catalyze transpeptidation at the Asx (Asn or Asp) peptide bond with high efficiency and have been widely used for protein N- or C-terminal labeling. However, the stringent P1-Asx requirement and the inherent reversibility of the transpeptidation reaction limit the application scope of PAL-mediated ligation. Herein, we report the use of peptidyl-sulfaneylacetamides as the acyl donor substrates of PALs to allow irreversible ligation at a non-Asx junction. We show that PALs exhibit excellent catalytic activity toward the thioester substrates with a C-terminal Gly residue, enabling precise protein N-terminal labeling with functional tags such as fluorescent labels and cytotoxic agents. Notably, PALs can also process the thioester substrates for d-peptide cyclization, further highlighting their broad substrate scope. More importantly, that the newly formed non-Asx peptide bond is no longer recognized by PALs provides the needed orthogonality to conduct consecutive PAL-mediated orthogonal ligations at the N- and C-termini of the same protein. We used this sequential ligation scheme to prepare homogeneous dual-payload antibody-drug conjugates (ADCs). This advancement further enhances PALs' utility as powerful tools for the development of protein-based therapeutics.</w:t>
      </w:r>
    </w:p>
    <w:p>
      <w:pPr>
        <w:spacing w:before="120" w:after="120"/>
      </w:pPr>
      <w:r>
        <w:rPr>
          <w:sz w:val="18"/>
        </w:rPr>
        <w:t>——————————————————————————————————————————————————————————————————————</w:t>
      </w:r>
    </w:p>
    <w:p>
      <w:pPr>
        <w:spacing w:before="160" w:after="80" w:line="240" w:lineRule="auto"/>
      </w:pPr>
      <w:r>
        <w:rPr>
          <w:b/>
        </w:rPr>
        <w:t xml:space="preserve">[359] </w:t>
      </w:r>
      <w:hyperlink r:id="rId632">
        <w:r>
          <w:rPr>
            <w:color w:val="1155CC"/>
            <w:u w:val="single"/>
          </w:rPr>
          <w:t>Reconfigurable ± photovoltaics based on ionic 2D semiconductive CuInP2Se6 for multi-functional image processing</w:t>
        </w:r>
      </w:hyperlink>
    </w:p>
    <w:p>
      <w:pPr>
        <w:spacing w:before="0" w:after="120" w:line="240" w:lineRule="auto"/>
      </w:pPr>
      <w:r>
        <w:rPr>
          <w:b/>
        </w:rPr>
        <w:t xml:space="preserve">Source: </w:t>
      </w:r>
      <w:r>
        <w:t>ScienceDirect Publication: Materials Today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[360] </w:t>
      </w:r>
      <w:hyperlink r:id="rId633">
        <w:r>
          <w:rPr>
            <w:color w:val="1155CC"/>
            <w:u w:val="single"/>
          </w:rPr>
          <w:t>SREBP1-mediated lipogenesis promotes dedifferentiation and senescence of vascular smooth muscle cells through epigenetic remodeling</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Real or simulated microgravity induces a senescence-like modification of carotid artery in both human and animal observations, with the mechanisms not fully elucidated. Here, we aim to elucidate the role of sterol regulatory element-binding protein 1 (SREBP1, encoded by Srebf1) mediated lipogenesis in the process. Pharmacological activation of SREBP1 directly triggers senescence-like transformation in vascular smooth muscle cells (VSMC), while silencing Srebf1 exerts an opposite effect. Mechanistically, SREBP1-mediated lipogenesis upregulates acetyl-CoA pool to increase histone acetylation, modifying the chromatin accessibility which limiting recruitment of SRF/myocardin complexes to CArG boxes of contractile genes and opening the chromatin accessibility of aging genes. Srebf1 knockdown and local delivery of lentivirus or AAV-mediated VSMC specific expressing sh-Srebf1 significantly attenuates the senescence-like transformation of VSMC both in vitro and in vivo. Our findings reveal a previously unrecognized feature of SREBP1-mediated lipogenesis in vascular biology and SM-induced carotid artery remodeling.</w:t>
      </w:r>
    </w:p>
    <w:p>
      <w:pPr>
        <w:spacing w:before="120" w:after="120"/>
      </w:pPr>
      <w:r>
        <w:rPr>
          <w:sz w:val="18"/>
        </w:rPr>
        <w:t>——————————————————————————————————————————————————————————————————————</w:t>
      </w:r>
    </w:p>
    <w:p>
      <w:pPr>
        <w:spacing w:before="160" w:after="80" w:line="240" w:lineRule="auto"/>
      </w:pPr>
      <w:r>
        <w:rPr>
          <w:b/>
        </w:rPr>
        <w:t xml:space="preserve">[361] </w:t>
      </w:r>
      <w:hyperlink r:id="rId634">
        <w:r>
          <w:rPr>
            <w:color w:val="1155CC"/>
            <w:u w:val="single"/>
          </w:rPr>
          <w:t>Divergent paths: A machine learning analysis of post-pandemic decarbonization trajectories and the global climate policy imperative</w:t>
        </w:r>
      </w:hyperlink>
    </w:p>
    <w:p>
      <w:pPr>
        <w:spacing w:before="0" w:after="120" w:line="240" w:lineRule="auto"/>
      </w:pPr>
      <w:r>
        <w:rPr>
          <w:b/>
        </w:rPr>
        <w:t xml:space="preserve">Source: </w:t>
      </w:r>
      <w:r>
        <w:t>ScienceDirect Publication: Energy Policy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[362] </w:t>
      </w:r>
      <w:hyperlink r:id="rId635">
        <w:r>
          <w:rPr>
            <w:color w:val="1155CC"/>
            <w:u w:val="single"/>
          </w:rPr>
          <w:t>Exciton transport driven by spin excitations in an antiferromagnet</w:t>
        </w:r>
      </w:hyperlink>
    </w:p>
    <w:p>
      <w:pPr>
        <w:spacing w:before="0" w:after="120" w:line="240" w:lineRule="auto"/>
      </w:pPr>
      <w:r>
        <w:rPr>
          <w:b/>
        </w:rPr>
        <w:t xml:space="preserve">Source: </w:t>
      </w:r>
      <w:r>
        <w:t>Nature Nanotechnology</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Optical quasiparticles called magnetic excitons recently emerged in magnetic van der Waals materials. Akin to the highly effective strategies developed for electrons, the strong interactions of these excitons with the spin degree of freedom may provide innovative solutions for long-standing challenges in optics, such as steering the flow of energy and information. Here we demonstrate the transport of excitons by spin excitations in the van der Waals antiferromagnetic semiconductor CrSBr. Our observations reveal ultrafast, nearly isotropic exciton propagation, substantially enhanced at the Néel temperature, transient contraction and expansion of exciton clouds at low temperatures and superdiffusive behaviour in bilayer samples. These signatures largely defy description by commonly known exciton transport mechanisms. Instead, we attribute them to magnon currents induced by laser excitation. We propose that the drag forces exerted by these currents can effectively imprint characteristic properties of spin excitations onto the motion of excitons. The universal nature of the underlying magnon–exciton scattering promises the driving of excitons by magnons in other magnetic semiconductors and even in non-magnetic materials by proximity in heterostructures, merging the rich physics of magnetotransport with optics and photonics.</w:t>
      </w:r>
    </w:p>
    <w:p>
      <w:pPr>
        <w:spacing w:before="120" w:after="120"/>
      </w:pPr>
      <w:r>
        <w:rPr>
          <w:sz w:val="18"/>
        </w:rPr>
        <w:t>——————————————————————————————————————————————————————————————————————</w:t>
      </w:r>
    </w:p>
    <w:p>
      <w:pPr>
        <w:spacing w:before="160" w:after="80" w:line="240" w:lineRule="auto"/>
      </w:pPr>
      <w:r>
        <w:rPr>
          <w:b/>
        </w:rPr>
        <w:t xml:space="preserve">[363] </w:t>
      </w:r>
      <w:hyperlink r:id="rId636">
        <w:r>
          <w:rPr>
            <w:color w:val="1155CC"/>
            <w:u w:val="single"/>
          </w:rPr>
          <w:t>Photochromism of pyridine-substituted merocyanine through reversible C-N bond formation</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The reversible interconversion between spiropyran and merocyanine constitutes one of the most intensively investigated photochromic systems, enabling diverse applications in stimuli-responsive materials and optical imaging. Here, we report pyridine-substituted merocyanines (PMCs) as a class of photochromic molecules. Upon visible light irradiation, these compounds undergo an uncommon photoinduced C-N bond formation to yield spiroindolizine (SIZ) structures, accompanied by the color fading. The SIZs can thermally revert to the colored PMC form. This photochromism is marked by rapid response, high photo-switching ratio, robust water compatibility, and fatigue resistance. Furthermore, we have synthesized quinoline-substituted merocyanines and found that they can be bidirectionally switched by 660 nm and 500 nm light to form SIZ and PMC structures. Finally, we showed the photochromism of these molecules in solid matrices and demonstrated a light-controlled sequential switching function, highlighting their potential for advanced photonic applications.</w:t>
      </w:r>
    </w:p>
    <w:p>
      <w:pPr>
        <w:spacing w:before="120" w:after="120"/>
      </w:pPr>
      <w:r>
        <w:rPr>
          <w:sz w:val="18"/>
        </w:rPr>
        <w:t>——————————————————————————————————————————————————————————————————————</w:t>
      </w:r>
    </w:p>
    <w:p>
      <w:pPr>
        <w:spacing w:before="160" w:after="80" w:line="240" w:lineRule="auto"/>
      </w:pPr>
      <w:r>
        <w:rPr>
          <w:b/>
        </w:rPr>
        <w:t xml:space="preserve">[364] </w:t>
      </w:r>
      <w:hyperlink r:id="rId637">
        <w:r>
          <w:rPr>
            <w:color w:val="1155CC"/>
            <w:u w:val="single"/>
          </w:rPr>
          <w:t>A biohybrid chiral hydrogel enhances preclinical postoperative glioblastoma therapy by multi-pronged inhibition of tumour stemness</w:t>
        </w:r>
      </w:hyperlink>
    </w:p>
    <w:p>
      <w:pPr>
        <w:spacing w:before="0" w:after="120" w:line="240" w:lineRule="auto"/>
      </w:pPr>
      <w:r>
        <w:rPr>
          <w:b/>
        </w:rPr>
        <w:t xml:space="preserve">Source: </w:t>
      </w:r>
      <w:r>
        <w:t>Nature Nanotechnology</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Glioblastoma stem cells (GSCs), which exhibit resistance to multiple treatments, are a prominent driver of postoperative glioblastoma (GBM) relapse. Reducing the GSC population holds promise in GBM therapy but remains challenging due to the difficulty in coordinating the complex cytokine signalling programs and extracellular matrix characteristics that induce GSC expansion. Here we develop a biohybrid chiral hydrogel that allows intracavity implantation after GBM surgical debulking to comprehensively regulate GSC stemness, enhancing postoperative therapy. The hydrogel encapsulates GSC-membrane-coated nanoparticles that serve as potent decoys to broadly neutralize GSC-targeted pro-stemness and chemotaxis cytokines, allowing functional blocking and hydrogel infiltration of GSCs. Moreover, we showed that the D-chiral biohybrid hydrogel, in contrast to its L- and DL-chiral counterparts, further diminished the GSC stemness phenotype via D-chiral-geometry-regulated mechanotransduction pathways. In three orthotopic intracranial GBM models, the multi-pronged inhibition of GSC stemness enhanced gold-nanocluster-based hydrogel-scaffold-sensitized radioimmunotherapy, enabling the suppression of GBM relapse post-resection. This integrated regulation of biochemical and biophysical cues shows the potential for treating cancer-stem-cell-enriched malignancies.</w:t>
      </w:r>
    </w:p>
    <w:p>
      <w:pPr>
        <w:spacing w:before="120" w:after="120"/>
      </w:pPr>
      <w:r>
        <w:rPr>
          <w:sz w:val="18"/>
        </w:rPr>
        <w:t>——————————————————————————————————————————————————————————————————————</w:t>
      </w:r>
    </w:p>
    <w:p>
      <w:pPr>
        <w:spacing w:before="160" w:after="80" w:line="240" w:lineRule="auto"/>
      </w:pPr>
      <w:r>
        <w:rPr>
          <w:b/>
        </w:rPr>
        <w:t xml:space="preserve">[365] </w:t>
      </w:r>
      <w:hyperlink r:id="rId638">
        <w:r>
          <w:rPr>
            <w:color w:val="1155CC"/>
            <w:u w:val="single"/>
          </w:rPr>
          <w:t>Size-dependent translocation of polystyrene nanoplastics across biological barriers in mammals</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Nanoplastics (NPs) pose health concerns worldwide. However, robust quantitative data on their absorption, distribution, and excretion in mammals remain scarce. Here, we provide a comprehensive assessment of polystyrene (PS) NP biodistribution and elimination in rats using 14C-radiolabeling, the most accurate and quantitative method available. Pregnant rats were exposed to 14C-labeled 20 nm or 100 nm PS NPs (PS20 or PS100) via oral gavage, intratracheal aerosolization, or intravenous injection, and tissue distribution and excretion were determined by radioactivity measurements. We found that PS NPs were exclusively excreted through faeces, irrespective of the exposure routes, without urinary elimination. Both PS20 and PS100 crossed multiple biological barriers, yet only PS20 reached the brain. Maternal transfer of PS20 occurred through both placenta and milk, while PS100 transferred solely via milk. A physiologically based toxicokinetic model further simulated accumulation kinetics across tissues. This study establishes the most comprehensive and reliable quantitative profile of PS NP biodistribution in mammals to date, revealing distinct size-dependent translocation patterns that provide a robust foundation for evaluating their health impacts.</w:t>
      </w:r>
    </w:p>
    <w:p>
      <w:pPr>
        <w:spacing w:before="120" w:after="120"/>
      </w:pPr>
      <w:r>
        <w:rPr>
          <w:sz w:val="18"/>
        </w:rPr>
        <w:t>——————————————————————————————————————————————————————————————————————</w:t>
      </w:r>
    </w:p>
    <w:p>
      <w:pPr>
        <w:spacing w:before="160" w:after="80" w:line="240" w:lineRule="auto"/>
      </w:pPr>
      <w:r>
        <w:rPr>
          <w:b/>
        </w:rPr>
        <w:t xml:space="preserve">[366] </w:t>
      </w:r>
      <w:hyperlink r:id="rId639">
        <w:r>
          <w:rPr>
            <w:color w:val="1155CC"/>
            <w:u w:val="single"/>
          </w:rPr>
          <w:t>Fundamental optical phenomena of strongly anisotropic polaritons at the nanoscale</w:t>
        </w:r>
      </w:hyperlink>
    </w:p>
    <w:p>
      <w:pPr>
        <w:spacing w:before="0" w:after="120" w:line="240" w:lineRule="auto"/>
      </w:pPr>
      <w:r>
        <w:rPr>
          <w:b/>
        </w:rPr>
        <w:t xml:space="preserve">Source: </w:t>
      </w:r>
      <w:r>
        <w:t>Nature Nanotechnology</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Polaritons are hybrid quasiparticles consisting of photons and electric (or magnetic) dipole-carrying excitations. Their observation has advanced our understanding of light–matter interactions and led to the manipulation of energy flows at the nanoscale. The discovery of strongly anisotropic van der Waals materials and the almost simultaneous development of near-field imaging techniques have led to the observation of a variety of highly confined polaritons with exotic properties, such as unidirectional, diffractionless or ray-like propagation, and hyperbolic dispersion. In this Review, we highlight the fundamental optical phenomena that have been redefined by these anisotropic polaritons, including anomalous cases of refraction, reflection and focusing. These phenomena promise unprecedented control over light–matter interactions at the nanoscale in spectral regions spanning from the visible to the terahertz. We also review strategies to manipulate these polaritons and offer our perspective on the challenges facing polaritonic research over the coming years towards practical applications.</w:t>
      </w:r>
    </w:p>
    <w:p>
      <w:pPr>
        <w:spacing w:before="120" w:after="120"/>
      </w:pPr>
      <w:r>
        <w:rPr>
          <w:sz w:val="18"/>
        </w:rPr>
        <w:t>——————————————————————————————————————————————————————————————————————</w:t>
      </w:r>
    </w:p>
    <w:p>
      <w:pPr>
        <w:spacing w:before="160" w:after="80" w:line="240" w:lineRule="auto"/>
      </w:pPr>
      <w:r>
        <w:rPr>
          <w:b/>
        </w:rPr>
        <w:t xml:space="preserve">[367] </w:t>
      </w:r>
      <w:hyperlink r:id="rId640">
        <w:r>
          <w:rPr>
            <w:color w:val="1155CC"/>
            <w:u w:val="single"/>
          </w:rPr>
          <w:t>Next-generation control for electrolyzers: a review of GPT-based AI frameworks in renewable hydrogen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[368] </w:t>
      </w:r>
      <w:hyperlink r:id="rId641">
        <w:r>
          <w:rPr>
            <w:color w:val="1155CC"/>
            <w:u w:val="single"/>
          </w:rPr>
          <w:t>In-sensor analog optoelectronic processing of concurrent event and memory signals for dynamic vision sensing</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Efficient dynamic vision requires capturing instantaneous changes and temporal context, yet existing image and event sensors rely on power-hungry digital processing. Here, we introduce an in-sensor dual-response architecture that concurrently generates analog event spikes and persistent memory tails. A prototype sensor integrates phosphor pairs with silicon photodiodes and transimpedance amplifiers to achieve microsecond- and millisecond-scale dual kinetics. Measurements during light-emitting diode replay reconstruct event frames that match software frame differences, while the slow channel behaves as a linear reservoir of motion history. A single memory frame fed to a convolutional neural network enables accurate classification of human actions (93.1%) and vehicle trajectories (98.0%), as well as speed estimation with errors of 2.15 km/h. Integration with a compressive optical neural network front end mapping 4900 inputs to 16 per frame yields 93.3% action classification accuracy. By eliminating analog-to-digital conversion and digital accumulation, this approach enables ultralow-latency, ultralow-power neuromorphic vision.</w:t>
      </w:r>
    </w:p>
    <w:p>
      <w:pPr>
        <w:spacing w:before="120" w:after="120"/>
      </w:pPr>
      <w:r>
        <w:rPr>
          <w:sz w:val="18"/>
        </w:rPr>
        <w:t>——————————————————————————————————————————————————————————————————————</w:t>
      </w:r>
    </w:p>
    <w:p>
      <w:pPr>
        <w:spacing w:before="160" w:after="80" w:line="240" w:lineRule="auto"/>
      </w:pPr>
      <w:r>
        <w:rPr>
          <w:b/>
        </w:rPr>
        <w:t xml:space="preserve">[369] </w:t>
      </w:r>
      <w:hyperlink r:id="rId642">
        <w:r>
          <w:rPr>
            <w:color w:val="1155CC"/>
            <w:u w:val="single"/>
          </w:rPr>
          <w:t>A stochastic accommodation rate-constrained robust scheduling for renewable power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[370] </w:t>
      </w:r>
      <w:hyperlink r:id="rId643">
        <w:r>
          <w:rPr>
            <w:color w:val="1155CC"/>
            <w:u w:val="single"/>
          </w:rPr>
          <w:t>Modulation of inter-hemispheric temperature gradients on the Holocene Asian-Australian summer monsoon</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The Asian-Australian monsoon system (A-AuMS) is the most typical cross-equatorial monsoon system and thus inter-hemispheric comparison is essential to explore its dynamics. Although the evolution of Holocene Asian summer monsoon has been extensively studied, changes in Australian summer monsoon (AuSM) is less investigated due to the lack of identified high-resolution paleoclimate records. Here we obtain a 13.5 kyr AuSM record from lacustrine sediments in northeastern Australia. It suggests that the weakening of the AuSM during the early to middle Holocene was regulated by Northern Hemisphere high-latitude ice volume, while the strengthening of the AuSM during the middle to late Holocene was mainly controlled by increased Southern Hemisphere summer insolation. The combination of Asian and Australian monsoon records show that the coupling evolution of A-AuMS was dominated by the temperature gradient between two hemispheres, which involve the changes of the AMOC, Northern Hemisphere ice volumes and solar insolation in both hemispheres.</w:t>
      </w:r>
    </w:p>
    <w:p>
      <w:pPr>
        <w:spacing w:before="120" w:after="120"/>
      </w:pPr>
      <w:r>
        <w:rPr>
          <w:sz w:val="18"/>
        </w:rPr>
        <w:t>——————————————————————————————————————————————————————————————————————</w:t>
      </w:r>
    </w:p>
    <w:p>
      <w:pPr>
        <w:spacing w:before="160" w:after="80" w:line="240" w:lineRule="auto"/>
      </w:pPr>
      <w:r>
        <w:rPr>
          <w:b/>
        </w:rPr>
        <w:t xml:space="preserve">[371] </w:t>
      </w:r>
      <w:hyperlink r:id="rId644">
        <w:r>
          <w:rPr>
            <w:color w:val="1155CC"/>
            <w:u w:val="single"/>
          </w:rPr>
          <w:t>Interpretable distributionally robust optimization for cyber-physical power systems under attack and renewable uncertainty</w:t>
        </w:r>
      </w:hyperlink>
    </w:p>
    <w:p>
      <w:pPr>
        <w:spacing w:before="0" w:after="120" w:line="240" w:lineRule="auto"/>
      </w:pPr>
      <w:r>
        <w:rPr>
          <w:b/>
        </w:rPr>
        <w:t xml:space="preserve">Source: </w:t>
      </w:r>
      <w:r>
        <w:t>ScienceDirect Publication: Applied Energy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[372] </w:t>
      </w:r>
      <w:hyperlink r:id="rId645">
        <w:r>
          <w:rPr>
            <w:color w:val="1155CC"/>
            <w:u w:val="single"/>
          </w:rPr>
          <w:t>Continental outflow shapes the circum-Antarctic pattern of summertime atmospheric mercury depletion zones</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Atmospheric mercury depletion events (AMDEs) are a unique phenomenon in polar mercury cycling, involving intense atmospheric mercury oxidation and deposition that amplify marine mercury sinks. The Southern Ocean, a critical hotspot for environmental mercury exposure, exhibits AMDEs whose characteristics and distribution patterns remain unclear. This study presents the observational dataset of atmospheric gaseous elemental mercury (GEM) across the circum-Antarctic Southern Ocean. We observed pronounced summertime AMDEs that drove high spatial heterogeneity in circumpolar GEM distribution. By combining Generalized Additive Models (GAM) simulations with multi-platform observational evidence, we demonstrate that the Antarctic continental outflow largely shapes the circumpolar distribution of summertime AMDEs, concentrating these events within the convergence zones of katabatic winds. This work highlights the critical role of land-sea coupling effects in Antarctic atmospheric chemistry, and underscores the need to systematically assess the implications of these processes for mercury bioavailability across Southern Ocean ecosystems.</w:t>
      </w:r>
    </w:p>
    <w:p>
      <w:pPr>
        <w:spacing w:before="120" w:after="120"/>
      </w:pPr>
      <w:r>
        <w:rPr>
          <w:sz w:val="18"/>
        </w:rPr>
        <w:t>——————————————————————————————————————————————————————————————————————</w:t>
      </w:r>
    </w:p>
    <w:p>
      <w:pPr>
        <w:spacing w:before="160" w:after="80" w:line="240" w:lineRule="auto"/>
      </w:pPr>
      <w:r>
        <w:rPr>
          <w:b/>
        </w:rPr>
        <w:t xml:space="preserve">[373] </w:t>
      </w:r>
      <w:hyperlink r:id="rId646">
        <w:r>
          <w:rPr>
            <w:color w:val="1155CC"/>
            <w:u w:val="single"/>
          </w:rPr>
          <w:t>Capacity-expanding O/Cl-bridged catholyte boosts energy density in zero-pressure all-solid-state lithium batteries</w:t>
        </w:r>
      </w:hyperlink>
    </w:p>
    <w:p>
      <w:pPr>
        <w:spacing w:before="0" w:after="120" w:line="240" w:lineRule="auto"/>
      </w:pPr>
      <w:r>
        <w:rPr>
          <w:b/>
        </w:rPr>
        <w:t xml:space="preserve">Source: </w:t>
      </w:r>
      <w:r>
        <w:t>National Science Review Advance Access</w:t>
      </w:r>
      <w:r>
        <w:t xml:space="preserve">    </w:t>
      </w:r>
      <w:r>
        <w:rPr>
          <w:b/>
        </w:rPr>
        <w:t xml:space="preserve">Pub date: </w:t>
      </w:r>
      <w:r>
        <w:t>2025-12-26 00:00:00+00:00</w:t>
      </w:r>
      <w:r>
        <w:t xml:space="preserve">    </w:t>
      </w:r>
      <w:r>
        <w:rPr>
          <w:b/>
        </w:rPr>
        <w:t xml:space="preserve">DOI: </w:t>
      </w:r>
      <w:hyperlink r:id="rId647">
        <w:r>
          <w:rPr>
            <w:color w:val="1155CC"/>
            <w:u w:val="single"/>
          </w:rPr>
          <w:t>10.1093/nsr/nwaf584/8405343</w:t>
        </w:r>
      </w:hyperlink>
    </w:p>
    <w:p>
      <w:pPr>
        <w:spacing w:before="0" w:after="120"/>
      </w:pPr>
      <w:r>
        <w:rPr>
          <w:b/>
        </w:rPr>
        <w:t xml:space="preserve">Notes: </w:t>
      </w:r>
      <w:r>
        <w:t>abstract_source=rss_oup</w:t>
      </w:r>
    </w:p>
    <w:p>
      <w:pPr>
        <w:spacing w:before="0" w:after="200" w:lineRule="auto" w:line="276"/>
      </w:pPr>
      <w:r>
        <w:rPr>
          <w:b/>
        </w:rPr>
        <w:t xml:space="preserve">Abstract: </w:t>
      </w:r>
      <w:r>
        <w:t>The advancement of all-solid-state lithium batteries (ASSLBs) requires innovative breakthroughs in catholyte design to eliminate the need for external pressure and mitigate the adverse effects of inactive catholytes on energy density. Here, we present a capacity-expanding O/Cl-bridged catholyte (1.2LiOH-FeCl3) featuring an abundant, freely rotating FexOyClz framework, endowing it with polymer-like viscoelasticity and an impressive ionic conductivity (6.1 mS cm−1 at 25 °C). The polymer-like viscoelasticity creates a soft interface that alleviates volume changes during cycling, enabling zero-pressure ASSLBs to deliver a high capacity retention of 86.6% after 100 cycles, which is a 35.7% improvement compared to the rigid Li2ZrCl6 catholyte (50.9%). Moreover, the fast Li+ transport capability and variable-valence iron coordination center endow 1.2LiOH-FeCl3 catholyte delivering a capacity of 97.7 mAh g−1. When used as a catholyte alongside a LiFePO4 cathode material, it adds capacity by 31.3% (196.4 mAh g−1LFP vs. 149.6 mAh g−1LFP) and boosts energy density by 21.1% (609.4 Wh kg−1LFP vs. 503.4 Wh kg−1LFP) compared to Li2ZrCl6 catholyte. Beyond these properties, the 1.2LiOH-FeCl3 catholyte offers significant cost advantages, priced at just $2.6 kg−1 (16% of the cost of Li2ZrCl6), and supports scalable production at 60°C, making kilogram- to ton-level manufacturing feasible.</w:t>
      </w:r>
    </w:p>
    <w:p>
      <w:pPr>
        <w:spacing w:before="120" w:after="120"/>
      </w:pPr>
      <w:r>
        <w:rPr>
          <w:sz w:val="18"/>
        </w:rPr>
        <w:t>——————————————————————————————————————————————————————————————————————</w:t>
      </w:r>
    </w:p>
    <w:p>
      <w:pPr>
        <w:spacing w:before="160" w:after="80" w:line="240" w:lineRule="auto"/>
      </w:pPr>
      <w:r>
        <w:rPr>
          <w:b/>
        </w:rPr>
        <w:t xml:space="preserve">[374] </w:t>
      </w:r>
      <w:hyperlink r:id="rId648">
        <w:r>
          <w:rPr>
            <w:color w:val="1155CC"/>
            <w:u w:val="single"/>
          </w:rPr>
          <w:t>Designer RNA nanostructures co-transcribed and self-assembled inside human cell nuclei</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The use of nucleic acid-based nanostructures as synthetic biological tools to interface with and regulate cell processes remains challenging. A major obstacle lies in nuclear delivery and retention within live eukaryotic cells. Here, we present a platform of single-stranded RNAs that can co-transcriptionally fold into defined nanostructures and assemble into rings, ribbons, and nanonet-like architectures. We validate the formation of these structures in vitro using atomic force microscopy. Then, we demonstrate the functional integration of fluorescent aptamers and RNA sensing capability within the single chain by co-folding with these structures. Notably, we show that the RNA nanonets can be co-transcriptionally produced and assembled directly inside the nucleus of live human cells. We use confocal live-cell imaging and transmission electron microscopy to reveal well-defined nanostructure patterns retained in the nucleus. Together, these results establish a genetically encoded, self-assembling RNA nanostructure system with programmable geometry and localization, providing a foundation for the development of RNA-based nanodevices to examine biological properties in live cells and tissues.</w:t>
      </w:r>
    </w:p>
    <w:p>
      <w:pPr>
        <w:spacing w:before="120" w:after="120"/>
      </w:pPr>
      <w:r>
        <w:rPr>
          <w:sz w:val="18"/>
        </w:rPr>
        <w:t>——————————————————————————————————————————————————————————————————————</w:t>
      </w:r>
    </w:p>
    <w:p>
      <w:pPr>
        <w:spacing w:before="160" w:after="80" w:line="240" w:lineRule="auto"/>
      </w:pPr>
      <w:r>
        <w:rPr>
          <w:b/>
        </w:rPr>
        <w:t xml:space="preserve">[375] </w:t>
      </w:r>
      <w:hyperlink r:id="rId649">
        <w:r>
          <w:rPr>
            <w:color w:val="1155CC"/>
            <w:u w:val="single"/>
          </w:rPr>
          <w:t>Evidence for echolocation in Asian shrew moles</w:t>
        </w:r>
      </w:hyperlink>
    </w:p>
    <w:p>
      <w:pPr>
        <w:spacing w:before="0" w:after="120" w:line="240" w:lineRule="auto"/>
      </w:pPr>
      <w:r>
        <w:rPr>
          <w:b/>
        </w:rPr>
        <w:t xml:space="preserve">Source: </w:t>
      </w:r>
      <w:r>
        <w:t>National Science Review Advance Access</w:t>
      </w:r>
      <w:r>
        <w:t xml:space="preserve">    </w:t>
      </w:r>
      <w:r>
        <w:rPr>
          <w:b/>
        </w:rPr>
        <w:t xml:space="preserve">Pub date: </w:t>
      </w:r>
      <w:r>
        <w:t>2025-12-26 00:00:00+00:00</w:t>
      </w:r>
      <w:r>
        <w:t xml:space="preserve">    </w:t>
      </w:r>
      <w:r>
        <w:rPr>
          <w:b/>
        </w:rPr>
        <w:t xml:space="preserve">DOI: </w:t>
      </w:r>
      <w:hyperlink r:id="rId650">
        <w:r>
          <w:rPr>
            <w:color w:val="1155CC"/>
            <w:u w:val="single"/>
          </w:rPr>
          <w:t>10.1093/nsr/nwaf591/8405273</w:t>
        </w:r>
      </w:hyperlink>
    </w:p>
    <w:p>
      <w:pPr>
        <w:spacing w:before="0" w:after="120"/>
      </w:pPr>
      <w:r>
        <w:rPr>
          <w:b/>
        </w:rPr>
        <w:t xml:space="preserve">Notes: </w:t>
      </w:r>
      <w:r>
        <w:t>abstract_source=rss_oup</w:t>
      </w:r>
    </w:p>
    <w:p>
      <w:pPr>
        <w:spacing w:before="0" w:after="200" w:lineRule="auto" w:line="276"/>
      </w:pPr>
      <w:r>
        <w:rPr>
          <w:b/>
        </w:rPr>
        <w:t xml:space="preserve">Abstract: </w:t>
      </w:r>
      <w:r>
        <w:t>Echolocation is an adaptive sensory behavior that enables animals to navigate and perceive their surroundings in environments where vision is ineffective. This ability has been hypothesized to be widespread among nocturnal mammals with reduced eyesight, particularly in insectivorous moles. Here, we found that Asian shrew moles (subfamily Uropsilinae) produce ultrasonic pulses in the frequency range of 50∼100 kHz, which structurally resemble frequency-modulated echolocation calls found in other well-known echolocating mammals. Behavioral experiments further confirmed that Asian shrew moles use these ultrasonic pulses for echolocation. Analysis of the acoustic features of their ultrasonic calls, the morphology of their echolocation-related stylohyal bone, and tongue ligation experiments indicate that these Asian shrew moles produce echolocation calls using their tongues. Our findings demonstrate that Asian shrew moles represent a new echolocating mammalian lineage, indicating that echolocation independently occurred at least six times in mammals and underscoring the likelihood that the species diversity of echolocating mammals has been significantly underestimated.</w:t>
      </w:r>
    </w:p>
    <w:p>
      <w:pPr>
        <w:spacing w:before="120" w:after="120"/>
      </w:pPr>
      <w:r>
        <w:rPr>
          <w:sz w:val="18"/>
        </w:rPr>
        <w:t>——————————————————————————————————————————————————————————————————————</w:t>
      </w:r>
    </w:p>
    <w:p>
      <w:pPr>
        <w:spacing w:before="160" w:after="80" w:line="240" w:lineRule="auto"/>
      </w:pPr>
      <w:r>
        <w:rPr>
          <w:b/>
        </w:rPr>
        <w:t xml:space="preserve">[376] </w:t>
      </w:r>
      <w:hyperlink r:id="rId651">
        <w:r>
          <w:rPr>
            <w:color w:val="1155CC"/>
            <w:u w:val="single"/>
          </w:rPr>
          <w:t>Photovoltaic material selection and multi-objective building design optimization for enhancing energy performance of building integrated photovoltaics (BIPV)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[377] </w:t>
      </w:r>
      <w:hyperlink r:id="rId652">
        <w:r>
          <w:rPr>
            <w:color w:val="1155CC"/>
            <w:u w:val="single"/>
          </w:rPr>
          <w:t>Atmospherically deposited elemental mercury drives evasion of mercury from the ocean and freshwaters</w:t>
        </w:r>
      </w:hyperlink>
    </w:p>
    <w:p>
      <w:pPr>
        <w:spacing w:before="0" w:after="120" w:line="240" w:lineRule="auto"/>
      </w:pPr>
      <w:r>
        <w:rPr>
          <w:b/>
        </w:rPr>
        <w:t xml:space="preserve">Source: </w:t>
      </w:r>
      <w:r>
        <w:t>National Science Review Advance Access</w:t>
      </w:r>
      <w:r>
        <w:t xml:space="preserve">    </w:t>
      </w:r>
      <w:r>
        <w:rPr>
          <w:b/>
        </w:rPr>
        <w:t xml:space="preserve">Pub date: </w:t>
      </w:r>
      <w:r>
        <w:t>2025-12-26 00:00:00+00:00</w:t>
      </w:r>
      <w:r>
        <w:t xml:space="preserve">    </w:t>
      </w:r>
      <w:r>
        <w:rPr>
          <w:b/>
        </w:rPr>
        <w:t xml:space="preserve">DOI: </w:t>
      </w:r>
      <w:hyperlink r:id="rId653">
        <w:r>
          <w:rPr>
            <w:color w:val="1155CC"/>
            <w:u w:val="single"/>
          </w:rPr>
          <w:t>10.1093/nsr/nwaf590/8405285</w:t>
        </w:r>
      </w:hyperlink>
    </w:p>
    <w:p>
      <w:pPr>
        <w:spacing w:before="0" w:after="120"/>
      </w:pPr>
      <w:r>
        <w:rPr>
          <w:b/>
        </w:rPr>
        <w:t xml:space="preserve">Notes: </w:t>
      </w:r>
      <w:r>
        <w:t>abstract_source=rss_oup</w:t>
      </w:r>
    </w:p>
    <w:p>
      <w:pPr>
        <w:spacing w:before="0" w:after="200" w:lineRule="auto" w:line="276"/>
      </w:pPr>
      <w:r>
        <w:rPr>
          <w:b/>
        </w:rPr>
        <w:t xml:space="preserve">Abstract: </w:t>
      </w:r>
      <w:r>
        <w:t>The sources and mechanisms driving fluxes of dissolved gaseous mercury (DGM) in aquatic ecosystems represent a critical yet poorly constrained component of the global mercury (Hg) cycle. Current models assume that DGM is primarily formed through the reduction of HgII in water, largely supplied by atmospheric HgII deposition. Here we quantify the Δ200Hg signatures of DGM across marine (median: 0.02‰) and freshwater (0.02‰) ecosystems, intermediate between water dissolved HgII and atmospheric Hg0. This indicates that DGM in natural waters is not derived solely from HgII reduction as previous assumed but also from atmospheric input of Hg0 during air-sea gas exchange. A Δ200Hg-based mixing model reveals that approximately 40% and 54% of DGM in seawater and freshwater, respectively, is derived directly from atmospheric Hg0 input. Combining these findings with an existing oceanic Hg budget, we show that re-emission of previously deposited atmospheric Hg0 accounts for ∼70% of gross oceanic Hg0 evasion. Consequently, we demonstrate that existing models have systematically underestimated gross atmospheric Hg0 deposition while overestimating net oceanic Hg0 emissions.</w:t>
      </w:r>
    </w:p>
    <w:p>
      <w:pPr>
        <w:spacing w:before="120" w:after="120"/>
      </w:pPr>
      <w:r>
        <w:rPr>
          <w:sz w:val="18"/>
        </w:rPr>
        <w:t>——————————————————————————————————————————————————————————————————————</w:t>
      </w:r>
    </w:p>
    <w:p>
      <w:pPr>
        <w:spacing w:before="160" w:after="80" w:line="240" w:lineRule="auto"/>
      </w:pPr>
      <w:r>
        <w:rPr>
          <w:b/>
        </w:rPr>
        <w:t xml:space="preserve">[378] </w:t>
      </w:r>
      <w:hyperlink r:id="rId654">
        <w:r>
          <w:rPr>
            <w:color w:val="1155CC"/>
            <w:u w:val="single"/>
          </w:rPr>
          <w:t>Globally synchronized changes in the biosphere, atmosphere, and society identified using public data</w:t>
        </w:r>
      </w:hyperlink>
    </w:p>
    <w:p>
      <w:pPr>
        <w:spacing w:before="0" w:after="120" w:line="240" w:lineRule="auto"/>
      </w:pPr>
      <w:r>
        <w:rPr>
          <w:b/>
        </w:rPr>
        <w:t xml:space="preserve">Source: </w:t>
      </w:r>
      <w:r>
        <w:t>One Earth</w:t>
      </w:r>
      <w:r>
        <w:t xml:space="preserve">    </w:t>
      </w:r>
      <w:r>
        <w:rPr>
          <w:b/>
        </w:rPr>
        <w:t xml:space="preserve">Pub date: </w:t>
      </w:r>
      <w:r>
        <w:t>2025-12-26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[379] </w:t>
      </w:r>
      <w:hyperlink r:id="rId655">
        <w:r>
          <w:rPr>
            <w:color w:val="1155CC"/>
            <w:u w:val="single"/>
          </w:rPr>
          <w:t>Multidimensional synergistic adaptation enhances the systemic resilience in China’s food security</w:t>
        </w:r>
      </w:hyperlink>
    </w:p>
    <w:p>
      <w:pPr>
        <w:spacing w:before="0" w:after="120" w:line="240" w:lineRule="auto"/>
      </w:pPr>
      <w:r>
        <w:rPr>
          <w:b/>
        </w:rPr>
        <w:t xml:space="preserve">Source: </w:t>
      </w:r>
      <w:r>
        <w:t>National Science Review Advance Access</w:t>
      </w:r>
      <w:r>
        <w:t xml:space="preserve">    </w:t>
      </w:r>
      <w:r>
        <w:rPr>
          <w:b/>
        </w:rPr>
        <w:t xml:space="preserve">Pub date: </w:t>
      </w:r>
      <w:r>
        <w:t>2025-12-26 00:00:00+00:00</w:t>
      </w:r>
      <w:r>
        <w:t xml:space="preserve">    </w:t>
      </w:r>
      <w:r>
        <w:rPr>
          <w:b/>
        </w:rPr>
        <w:t xml:space="preserve">DOI: </w:t>
      </w:r>
      <w:hyperlink r:id="rId656">
        <w:r>
          <w:rPr>
            <w:color w:val="1155CC"/>
            <w:u w:val="single"/>
          </w:rPr>
          <w:t>10.1093/nsr/nwaf587/8405334</w:t>
        </w:r>
      </w:hyperlink>
    </w:p>
    <w:p>
      <w:pPr>
        <w:spacing w:before="0" w:after="120"/>
      </w:pPr>
      <w:r>
        <w:rPr>
          <w:b/>
        </w:rPr>
        <w:t xml:space="preserve">Notes: </w:t>
      </w:r>
      <w:r>
        <w:t>abstract_source=rss_oup</w:t>
      </w:r>
    </w:p>
    <w:p>
      <w:pPr>
        <w:spacing w:before="0" w:after="200" w:lineRule="auto" w:line="276"/>
      </w:pPr>
      <w:r>
        <w:rPr>
          <w:b/>
        </w:rPr>
        <w:t xml:space="preserve">Abstract: </w:t>
      </w:r>
      <w:r>
        <w:t>How to manage the compounding risks to national food security is a major issue of global concern. China, as the world’s largest producer of staple foods, has steadily strengthened its food security level, profoundly impacting the global food systems. In this review, we propose a systemic resilience framework (the ability to predict, absorb, rebound from, and adapt to disruptions) to analyse the evolution of China’s food security and explore its driving factors and multidimensional adaptations. China’s food security resilience has progressed through three distinct stages: low resilience (achieving basic sufficiency), medium resilience (achieving nutritional adequacy), and above medium resilience (embracing sustainability). Multidimensional synergistic adaptation—integrating agricultural, climatic, socioeconomic, and land-use strategies—has been key to these achievements. While agricultural advancements have significantly bolstered China’s food security, the growing pressures of climate change threaten to undermine these achievements. We project that China’s staple food self-sufficiency will remain above 98%, yet the overall food balance is expected to tighten under the combined pressures of dietary shifts and resource constraints. To better enhance the systemic resilience in China’s food security, China can buffer climate- and water-related shocks by expanding high-standard farmland, ease resource and demand pressures by enforcing anti-food-waste laws, strengthen soil and water resilience through nature-based solutions, and dampen trade volatility with integrated climate–market early-warning systems. Insights from China’s experience provide targeted levers for enhancing food-system resilience elsewhere.</w:t>
      </w:r>
    </w:p>
    <w:p>
      <w:pPr>
        <w:spacing w:before="120" w:after="120"/>
      </w:pPr>
      <w:r>
        <w:rPr>
          <w:sz w:val="18"/>
        </w:rPr>
        <w:t>——————————————————————————————————————————————————————————————————————</w:t>
      </w:r>
    </w:p>
    <w:p>
      <w:pPr>
        <w:spacing w:before="160" w:after="80" w:line="240" w:lineRule="auto"/>
      </w:pPr>
      <w:r>
        <w:rPr>
          <w:b/>
        </w:rPr>
        <w:t xml:space="preserve">[380] </w:t>
      </w:r>
      <w:hyperlink r:id="rId657">
        <w:r>
          <w:rPr>
            <w:color w:val="1155CC"/>
            <w:u w:val="single"/>
          </w:rPr>
          <w:t>Gut microbiota-derived metabolite isovalerylcarnitine modulates salt sensitivity of blood pressure and incident hypertension: a multicenter dietary salt intervention trial</w:t>
        </w:r>
      </w:hyperlink>
    </w:p>
    <w:p>
      <w:pPr>
        <w:spacing w:before="0" w:after="120" w:line="240" w:lineRule="auto"/>
      </w:pPr>
      <w:r>
        <w:rPr>
          <w:b/>
        </w:rPr>
        <w:t xml:space="preserve">Source: </w:t>
      </w:r>
      <w:r>
        <w:t>Nature Communications</w:t>
      </w:r>
      <w:r>
        <w:t xml:space="preserve">    </w:t>
      </w:r>
      <w:r>
        <w:rPr>
          <w:b/>
        </w:rPr>
        <w:t xml:space="preserve">Pub date: </w:t>
      </w:r>
      <w:r>
        <w:t>2025-12-26 00:00:00+00:00</w:t>
      </w:r>
    </w:p>
    <w:p>
      <w:pPr>
        <w:spacing w:before="0" w:after="120"/>
      </w:pPr>
      <w:r>
        <w:rPr>
          <w:b/>
        </w:rPr>
        <w:t xml:space="preserve">Notes: </w:t>
      </w:r>
      <w:r>
        <w:t>abstract_source=nature_html</w:t>
      </w:r>
    </w:p>
    <w:p>
      <w:pPr>
        <w:spacing w:before="0" w:after="200" w:lineRule="auto" w:line="276"/>
      </w:pPr>
      <w:r>
        <w:rPr>
          <w:b/>
        </w:rPr>
        <w:t xml:space="preserve">Abstract: </w:t>
      </w:r>
      <w:r>
        <w:t>This study aims to investigate the roles of gut microbiota and plasma metabolites in salt sensitivity (SS) of blood pressure (SSBP) and hypertension. A 23-day, multicenter, dietary salt intervention trial (the MetaSalt study) recruited 528 participants who underwent a baseline observation, low-salt, and high-salt interventions. SSBP was assessed and used as the primary outcome, and fecal shotgun metagenome and plasma targeted metabolome were measured. We found that high salt significantly altered 85 gut-microbial species (p −5) and 70 metabolites (p −4). Among them, the changes in 22 species and 8 metabolites were associated with SSBP (p p = 0.0102). Importantly, increased isovalerylcarnitine attenuated SS hypertension and improved endothelial function in rats, and was associated with reduced risk (ranging from 13% to 19%) of BP progression and incident hypertension in a prospective cohort (n = 3907, median follow-up = 5.5 years). This study demonstrated that the gut-acylcarnitine axis may play roles in the development of SS hypertension. Trial number: ChiCTR1900025171.</w:t>
      </w:r>
    </w:p>
    <w:p>
      <w:pPr>
        <w:spacing w:before="120" w:after="120"/>
      </w:pPr>
      <w:r>
        <w:rPr>
          <w:sz w:val="18"/>
        </w:rPr>
        <w:t>——————————————————————————————————————————————————————————————————————</w:t>
      </w:r>
    </w:p>
    <w:p>
      <w:pPr>
        <w:spacing w:before="160" w:after="80" w:line="240" w:lineRule="auto"/>
      </w:pPr>
      <w:r>
        <w:rPr>
          <w:b/>
        </w:rPr>
        <w:t xml:space="preserve">[381] </w:t>
      </w:r>
      <w:hyperlink r:id="rId658">
        <w:r>
          <w:rPr>
            <w:color w:val="1155CC"/>
            <w:u w:val="single"/>
          </w:rPr>
          <w:t>Oxygen spillover engineering design in atomically dispersed sites for high-efficiency photoproduction of hydrogen peroxide from water</w:t>
        </w:r>
      </w:hyperlink>
    </w:p>
    <w:p>
      <w:pPr>
        <w:spacing w:before="0" w:after="120" w:line="240" w:lineRule="auto"/>
      </w:pPr>
      <w:r>
        <w:rPr>
          <w:b/>
        </w:rPr>
        <w:t xml:space="preserve">Source: </w:t>
      </w:r>
      <w:r>
        <w:t>RSC - Energy Environ. Sci. latest articles</w:t>
      </w:r>
      <w:r>
        <w:t xml:space="preserve">    </w:t>
      </w:r>
      <w:r>
        <w:rPr>
          <w:b/>
        </w:rPr>
        <w:t xml:space="preserve">Pub date: </w:t>
      </w:r>
      <w:r>
        <w:t>2025-12-26 00:00:00+00:00</w:t>
      </w:r>
    </w:p>
    <w:p>
      <w:pPr>
        <w:spacing w:before="0" w:after="120"/>
      </w:pPr>
      <w:r>
        <w:rPr>
          <w:b/>
        </w:rPr>
        <w:t xml:space="preserve">Notes: </w:t>
      </w:r>
      <w:r>
        <w:t>abstract_source=rsc_html</w:t>
      </w:r>
    </w:p>
    <w:p>
      <w:pPr>
        <w:spacing w:before="0" w:after="200" w:lineRule="auto" w:line="276"/>
      </w:pPr>
      <w:r>
        <w:rPr>
          <w:b/>
        </w:rPr>
        <w:t xml:space="preserve">Abstract: </w:t>
      </w:r>
      <w:r>
        <w:t>The photocatalytic non-sacrificial hydrogen peroxide (H2O2) production is a sustainable and cost-effective approach to solar-driven chemical synthesis, yet its efficiency is fundamentally restricted by the competitive 4e- water oxidation reaction with inefficient kinetics and insufficient atom utilization. Herein, we propose an oxygen spillover strategy to suppress the 4e- water oxidation reaction, in which the O* on metal atom spontaneously migrates and couples with OH* on carbon atom, leading to the formation of OOH* in peroxy-ether intermediates for selective H2O2 synthesis. This new strategy is successful implemented with nickel atom anchored carbon dots/covalent organic frameworks (Ni-CDs/COFs), achieving a record H2O2 evolution rate, an apparent quantum yield and a solar-to-chemical conversion efficiency of 11603 μmol h-1 g-1, 20.4% at 420 nm and 1.56% under simulated sunlight, all outperforming those of most photocatalytic systems in pure water. The oxygen spillover enabled favorable formation of OOH* is further realized on diverse M-CDs with different types of metal atoms, demonstrating the feasibility and universality of proposed strategy. This research opens a window for scalable solar-driven H2O2 production and pioneers an atomic-level design of reaction pathway for efficient photosynthesis system.</w:t>
      </w:r>
    </w:p>
    <w:p>
      <w:pPr>
        <w:spacing w:before="120" w:after="120"/>
      </w:pPr>
      <w:r>
        <w:rPr>
          <w:sz w:val="18"/>
        </w:rPr>
        <w:t>——————————————————————————————————————————————————————————————————————</w:t>
      </w:r>
    </w:p>
    <w:p>
      <w:pPr>
        <w:spacing w:before="160" w:after="80" w:line="240" w:lineRule="auto"/>
      </w:pPr>
      <w:r>
        <w:rPr>
          <w:b/>
        </w:rPr>
        <w:t xml:space="preserve">[382] </w:t>
      </w:r>
      <w:hyperlink r:id="rId659">
        <w:r>
          <w:rPr>
            <w:color w:val="1155CC"/>
            <w:u w:val="single"/>
          </w:rPr>
          <w:t>A natural variant of an MYC2 gene in soybean contributes to resistance against the common cutworm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60">
        <w:r>
          <w:rPr>
            <w:color w:val="1155CC"/>
            <w:u w:val="single"/>
          </w:rPr>
          <w:t>10.1073/pnas.2424956122</w:t>
        </w:r>
      </w:hyperlink>
    </w:p>
    <w:p>
      <w:pPr>
        <w:spacing w:before="0" w:after="120"/>
      </w:pPr>
      <w:r>
        <w:rPr>
          <w:b/>
        </w:rPr>
        <w:t xml:space="preserve">Notes: </w:t>
      </w:r>
      <w:r>
        <w:t>abstract_source=crossref</w:t>
      </w:r>
    </w:p>
    <w:p>
      <w:pPr>
        <w:spacing w:before="0" w:after="200" w:lineRule="auto" w:line="276"/>
      </w:pPr>
      <w:r>
        <w:rPr>
          <w:b/>
        </w:rPr>
        <w:t xml:space="preserve">Abstract: </w:t>
      </w:r>
      <w:r>
        <w:t>Herbivory is destructive for crop production in many regions worldwide. The induced plant response to herbivores promotes resistance; therefore, characterizing the mechanisms underlying natural host resistance is highly important. However, the genetic components of resistance to herbivores in the staple food crop soybean remain elusive. Here, a key defense gene,</w:t>
      </w:r>
      <w:r>
        <w:t xml:space="preserve"> </w:t>
      </w:r>
      <w:r>
        <w:t>GmMYC3</w:t>
      </w:r>
      <w:r>
        <w:t xml:space="preserve"> </w:t>
      </w:r>
      <w:r>
        <w:t>, was identified via joint linkage and association mapping in soybean.</w:t>
      </w:r>
      <w:r>
        <w:t xml:space="preserve"> </w:t>
      </w:r>
      <w:r>
        <w:t>GmMYC3</w:t>
      </w:r>
      <w:r>
        <w:t xml:space="preserve"> </w:t>
      </w:r>
      <w:r>
        <w:t>encodes an MYC2 transcription factor that is rapidly activated after jasmonic acid treatment or herbivore attack and confers resistance to a major pest, the common cutworm (CCW), in soybean.</w:t>
      </w:r>
      <w:r>
        <w:t xml:space="preserve"> </w:t>
      </w:r>
      <w:r>
        <w:t>GmMYC3</w:t>
      </w:r>
      <w:r>
        <w:t xml:space="preserve"> </w:t>
      </w:r>
      <w:r>
        <w:t>positively regulates multiple biotic stress-related genes, among which</w:t>
      </w:r>
      <w:r>
        <w:t xml:space="preserve"> </w:t>
      </w:r>
      <w:r>
        <w:t>GmMYC3</w:t>
      </w:r>
      <w:r>
        <w:t xml:space="preserve"> </w:t>
      </w:r>
      <w:r>
        <w:t>triggers high expression of Kunitz-type trypsin inhibitors alongside its homolog</w:t>
      </w:r>
      <w:r>
        <w:t xml:space="preserve"> </w:t>
      </w:r>
      <w:r>
        <w:t>GmMYC1</w:t>
      </w:r>
      <w:r>
        <w:t xml:space="preserve"> </w:t>
      </w:r>
      <w:r>
        <w:t>and downstream</w:t>
      </w:r>
      <w:r>
        <w:t xml:space="preserve"> </w:t>
      </w:r>
      <w:r>
        <w:t>GmWRKY56</w:t>
      </w:r>
      <w:r>
        <w:t xml:space="preserve"> </w:t>
      </w:r>
      <w:r>
        <w:t>.</w:t>
      </w:r>
      <w:r>
        <w:t xml:space="preserve"> </w:t>
      </w:r>
      <w:r>
        <w:t>GmMYC3</w:t>
      </w:r>
      <w:r>
        <w:t xml:space="preserve"> </w:t>
      </w:r>
      <w:r>
        <w:t>overexpression results in massive accumulation of trypsin inhibitors in soybean leaves, interferes with the protein digestion and absorption function in larvae that are fed these leaves, and retards larval and pupal development of the CCW. The results of the field tests of the transgenic plants corroborate the defense role of</w:t>
      </w:r>
      <w:r>
        <w:t xml:space="preserve"> </w:t>
      </w:r>
      <w:r>
        <w:t>GmMYC3</w:t>
      </w:r>
      <w:r>
        <w:t xml:space="preserve"> </w:t>
      </w:r>
      <w:r>
        <w:t>. Evolutionary and population genetic analyses suggest that the elite haplotype of</w:t>
      </w:r>
      <w:r>
        <w:t xml:space="preserve"> </w:t>
      </w:r>
      <w:r>
        <w:t>GmMYC3</w:t>
      </w:r>
      <w:r>
        <w:t xml:space="preserve"> </w:t>
      </w:r>
      <w:r>
        <w:t>contributes to resistance against the CCW without significant reduction in seed yield and quality. Notably, this haplotype appears at a low frequency in domesticated germplasms. This study sheds light on the molecular mechanism underlying plant resistance to the CCW and provides potentially valuable resources for breeding soybean plants with elevated resistance against this pest.</w:t>
      </w:r>
    </w:p>
    <w:p>
      <w:pPr>
        <w:spacing w:before="120" w:after="120"/>
      </w:pPr>
      <w:r>
        <w:rPr>
          <w:sz w:val="18"/>
        </w:rPr>
        <w:t>——————————————————————————————————————————————————————————————————————</w:t>
      </w:r>
    </w:p>
    <w:p>
      <w:pPr>
        <w:spacing w:before="160" w:after="80" w:line="240" w:lineRule="auto"/>
      </w:pPr>
      <w:r>
        <w:rPr>
          <w:b/>
        </w:rPr>
        <w:t xml:space="preserve">[383] </w:t>
      </w:r>
      <w:hyperlink r:id="rId661">
        <w:r>
          <w:rPr>
            <w:color w:val="1155CC"/>
            <w:u w:val="single"/>
          </w:rPr>
          <w:t>Cystathionine γ-lyase is a major regulator of cognitive function through neurotrophin signaling and neurogenesis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62">
        <w:r>
          <w:rPr>
            <w:color w:val="1155CC"/>
            <w:u w:val="single"/>
          </w:rPr>
          <w:t>10.1073/pnas.2528478122</w:t>
        </w:r>
      </w:hyperlink>
    </w:p>
    <w:p>
      <w:pPr>
        <w:spacing w:before="0" w:after="120"/>
      </w:pPr>
      <w:r>
        <w:rPr>
          <w:b/>
        </w:rPr>
        <w:t xml:space="preserve">Notes: </w:t>
      </w:r>
      <w:r>
        <w:t>abstract_source=crossref</w:t>
      </w:r>
    </w:p>
    <w:p>
      <w:pPr>
        <w:spacing w:before="0" w:after="200" w:lineRule="auto" w:line="276"/>
      </w:pPr>
      <w:r>
        <w:rPr>
          <w:b/>
        </w:rPr>
        <w:t xml:space="preserve">Abstract: </w:t>
      </w:r>
      <w:r>
        <w:t>Cystathionine γ-lyase (CSE), the enzyme responsible for neuronal cysteine and hydrogen sulfide production, is dysregulated in aging and neurodegenerative diseases including Alzheimer’s disease and Huntington’s disease, both marked by cognitive decline in addition to motor deficits. To determine whether CSE loss directly causes cognitive decline, we genetically ablated CSE in mice. This loss was sufficient to induce oxidative damage, compromise blood–brain barrier integrity, impair neurogenesis and neurotrophin signaling, and elicit cognitive deficits. Global proteomic analysis further revealed molecular alterations that contribute to impaired neurogenesis. Our findings establish CSE as an essential guardian of homeostatic brain health and identify it as a potential therapeutic target for neurodegenerative disorders.</w:t>
      </w:r>
    </w:p>
    <w:p>
      <w:pPr>
        <w:spacing w:before="120" w:after="120"/>
      </w:pPr>
      <w:r>
        <w:rPr>
          <w:sz w:val="18"/>
        </w:rPr>
        <w:t>——————————————————————————————————————————————————————————————————————</w:t>
      </w:r>
    </w:p>
    <w:p>
      <w:pPr>
        <w:spacing w:before="160" w:after="80" w:line="240" w:lineRule="auto"/>
      </w:pPr>
      <w:r>
        <w:rPr>
          <w:b/>
        </w:rPr>
        <w:t xml:space="preserve">[384] </w:t>
      </w:r>
      <w:hyperlink r:id="rId663">
        <w:r>
          <w:rPr>
            <w:color w:val="1155CC"/>
            <w:u w:val="single"/>
          </w:rPr>
          <w:t>Predicting the unseen: A diffusion-based debiasing framework for transcriptional response prediction at single-cell resolution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64">
        <w:r>
          <w:rPr>
            <w:color w:val="1155CC"/>
            <w:u w:val="single"/>
          </w:rPr>
          <w:t>10.1073/pnas.2525268122</w:t>
        </w:r>
      </w:hyperlink>
    </w:p>
    <w:p>
      <w:pPr>
        <w:spacing w:before="0" w:after="120"/>
      </w:pPr>
      <w:r>
        <w:rPr>
          <w:b/>
        </w:rPr>
        <w:t xml:space="preserve">Notes: </w:t>
      </w:r>
      <w:r>
        <w:t>abstract_source=crossref</w:t>
      </w:r>
    </w:p>
    <w:p>
      <w:pPr>
        <w:spacing w:before="0" w:after="200" w:lineRule="auto" w:line="276"/>
      </w:pPr>
      <w:r>
        <w:rPr>
          <w:b/>
        </w:rPr>
        <w:t xml:space="preserve">Abstract: </w:t>
      </w:r>
      <w:r>
        <w:t>Predicting cellular responses to genetic perturbations is critical for advancing our understanding of gene regulation. While single-cell CRISPR perturbation assays such as Perturb-seq provide direct measurements of gene function, the scale of these experiments is limited by cost and feasibility. This motivates the development of computational approaches that can accurately infer responses to unmeasured perturbations from related experimental data. We introduce dbDiffusion, a generative framework that integrates diffusion models with classifier-free guidance derived from perturbation information, operating in latent space through a variational autoencoder. Diffusion models are probabilistic generative models that approximate data distributions by reversing a Markovian diffusion process, progressively denoising Gaussian noise into structured outputs. By exploiting biological similarities in gene expression profiles and relationships among perturbations, dbDiffusion enables the conditional generation of gene expressions for previously unobserved perturbations. In contrast to competing approaches, dbDiffusion does not rely on Large Language Model or foundation models, which have been found to yield unsatisfactory results. Rather, it leverages embeddings derived from measured perturbations to generalize to unseen perturbations, effectively transferring information across related experimental conditions. In benchmarking against state-of-the-art methods on Perturb-seq datasets, dbDiffusion demonstrates superior accuracy in predicting perturbation responses. A methodological innovation of dbDiffusion is the integration of prediction-powered inference, which corrects for biases inherent in generative models and enables statistically rigorous downstream tasks, including the identification of differentially expressed genes. By combining deep generative modeling with principled inference, dbDiffusion establishes a scalable computational framework for predicting and analyzing transcriptomic perturbation responses, significantly extending the utility of Perturb-seq experiments.</w:t>
      </w:r>
    </w:p>
    <w:p>
      <w:pPr>
        <w:spacing w:before="120" w:after="120"/>
      </w:pPr>
      <w:r>
        <w:rPr>
          <w:sz w:val="18"/>
        </w:rPr>
        <w:t>——————————————————————————————————————————————————————————————————————</w:t>
      </w:r>
    </w:p>
    <w:p>
      <w:pPr>
        <w:spacing w:before="160" w:after="80" w:line="240" w:lineRule="auto"/>
      </w:pPr>
      <w:r>
        <w:rPr>
          <w:b/>
        </w:rPr>
        <w:t xml:space="preserve">[385] </w:t>
      </w:r>
      <w:hyperlink r:id="rId665">
        <w:r>
          <w:rPr>
            <w:color w:val="1155CC"/>
            <w:u w:val="single"/>
          </w:rPr>
          <w:t>Universality for Taylor coefficients of rational functions under perturbations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66">
        <w:r>
          <w:rPr>
            <w:color w:val="1155CC"/>
            <w:u w:val="single"/>
          </w:rPr>
          <w:t>10.1073/pnas.2525032122</w:t>
        </w:r>
      </w:hyperlink>
    </w:p>
    <w:p>
      <w:pPr>
        <w:spacing w:before="0" w:after="120"/>
      </w:pPr>
      <w:r>
        <w:rPr>
          <w:b/>
        </w:rPr>
        <w:t xml:space="preserve">Notes: </w:t>
      </w:r>
      <w:r>
        <w:t>abstract_source=crossref</w:t>
      </w:r>
    </w:p>
    <w:p>
      <w:pPr>
        <w:spacing w:before="0" w:after="200" w:lineRule="auto" w:line="276"/>
      </w:pPr>
      <w:r>
        <w:rPr>
          <w:b/>
        </w:rPr>
        <w:t xml:space="preserve">Abstract: </w:t>
      </w:r>
      <w:r>
        <w:t>We introduce computational methods for analytic combinatorics in several variables. Our findings pertain to rational generating functions whose dominant singularity satisfies either of two conditions, one of which frequently holds for recursions arising from cluster algebras. We show that the coefficients are determined asymptotically by the leading homogeneous term of the denominator of the function near the dominant singularity. Applying this to various statistical physical models, we show their asymptotic behavior to be given by elliptic and hyperelliptic integrals, computation of which is already implemented in computer algebra packages.</w:t>
      </w:r>
    </w:p>
    <w:p>
      <w:pPr>
        <w:spacing w:before="120" w:after="120"/>
      </w:pPr>
      <w:r>
        <w:rPr>
          <w:sz w:val="18"/>
        </w:rPr>
        <w:t>——————————————————————————————————————————————————————————————————————</w:t>
      </w:r>
    </w:p>
    <w:p>
      <w:pPr>
        <w:spacing w:before="160" w:after="80" w:line="240" w:lineRule="auto"/>
      </w:pPr>
      <w:r>
        <w:rPr>
          <w:b/>
        </w:rPr>
        <w:t xml:space="preserve">[386] </w:t>
      </w:r>
      <w:hyperlink r:id="rId667">
        <w:r>
          <w:rPr>
            <w:color w:val="1155CC"/>
            <w:u w:val="single"/>
          </w:rPr>
          <w:t>High-temperature anomalous Hall effect driven by frustrated spin fluctuations in the antiferromagnetic delafossite metal PdCrO2</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68">
        <w:r>
          <w:rPr>
            <w:color w:val="1155CC"/>
            <w:u w:val="single"/>
          </w:rPr>
          <w:t>10.1073/pnas.2524774122</w:t>
        </w:r>
      </w:hyperlink>
    </w:p>
    <w:p>
      <w:pPr>
        <w:spacing w:before="0" w:after="120"/>
      </w:pPr>
      <w:r>
        <w:rPr>
          <w:b/>
        </w:rPr>
        <w:t xml:space="preserve">Notes: </w:t>
      </w:r>
      <w:r>
        <w:t>abstract_source=crossref</w:t>
      </w:r>
    </w:p>
    <w:p>
      <w:pPr>
        <w:spacing w:before="0" w:after="200" w:lineRule="auto" w:line="276"/>
      </w:pPr>
      <w:r>
        <w:rPr>
          <w:b/>
        </w:rPr>
        <w:t xml:space="preserve">Abstract: </w:t>
      </w:r>
      <w:r>
        <w:t>Metallic delafossite oxides are of exceptional interest due to their ultraclean metallic transport. In the case of PdCrO</w:t>
      </w:r>
      <w:r>
        <w:rPr>
          <w:vertAlign w:val="subscript"/>
        </w:rPr>
        <w:t>2</w:t>
      </w:r>
      <w:r>
        <w:t>, this arises in a triangular-lattice antiferromagnet, creating a unique opportunity to study frustrated magnetism in a very clean metal. Here, we combine a chemical vapor transport crystal growth approach with magnetic, thermodynamic, magnetotransport, and neutron scattering measurements to elucidate the striking anomalous Hall effect (AHE) in antiferromagnetic PdCrO</w:t>
      </w:r>
      <w:r>
        <w:rPr>
          <w:vertAlign w:val="subscript"/>
        </w:rPr>
        <w:t>2</w:t>
      </w:r>
      <w:r>
        <w:t>. The unconventional AHE (with anomalous Hall conductivity ~10</w:t>
      </w:r>
      <w:r>
        <w:rPr>
          <w:vertAlign w:val="subscript"/>
        </w:rPr>
        <w:t>5</w:t>
      </w:r>
      <w:r>
        <w:t>Ω</w:t>
      </w:r>
      <w:r>
        <w:t xml:space="preserve"> </w:t>
      </w:r>
      <w:r>
        <w:t>−1</w:t>
      </w:r>
      <w:r>
        <w:t xml:space="preserve"> </w:t>
      </w:r>
      <w:r>
        <w:t>cm</w:t>
      </w:r>
      <w:r>
        <w:t xml:space="preserve"> </w:t>
      </w:r>
      <w:r>
        <w:t>−1</w:t>
      </w:r>
      <w:r>
        <w:t xml:space="preserve"> </w:t>
      </w:r>
      <w:r>
        <w:t>) and a large positive magnetoresistance effect (&amp;gt;1,000%) are shown to exhibit complex temperature dependencies, persisting to almost seven times the Néel temperature (~250 K). These effects are directly compared to elastic neutron scattering, inelastic neutron scattering, and neutron magnetic pair distribution function data, establishing unambiguous links between anomalous magnetotransport properties and directly probed short-range spin fluctuations. The latter occur over a notably broad temperature range due to geometrical magnetic frustration. Connecting to recent experimental and theoretical developments, these findings are discussed in terms of a temperature-dependent interplay between chiral spin order and chiral spin fluctuations, significantly elucidating the high-temperature anomalous magnetotransport in such compounds.</w:t>
      </w:r>
    </w:p>
    <w:p>
      <w:pPr>
        <w:spacing w:before="120" w:after="120"/>
      </w:pPr>
      <w:r>
        <w:rPr>
          <w:sz w:val="18"/>
        </w:rPr>
        <w:t>——————————————————————————————————————————————————————————————————————</w:t>
      </w:r>
    </w:p>
    <w:p>
      <w:pPr>
        <w:spacing w:before="160" w:after="80" w:line="240" w:lineRule="auto"/>
      </w:pPr>
      <w:r>
        <w:rPr>
          <w:b/>
        </w:rPr>
        <w:t xml:space="preserve">[387] </w:t>
      </w:r>
      <w:hyperlink r:id="rId669">
        <w:r>
          <w:rPr>
            <w:color w:val="1155CC"/>
            <w:u w:val="single"/>
          </w:rPr>
          <w:t>Country-specific progress toward the Sustainable Development Goals: Past, present, and prospects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70">
        <w:r>
          <w:rPr>
            <w:color w:val="1155CC"/>
            <w:u w:val="single"/>
          </w:rPr>
          <w:t>10.1073/pnas.2524299122</w:t>
        </w:r>
      </w:hyperlink>
    </w:p>
    <w:p>
      <w:pPr>
        <w:spacing w:before="0" w:after="120"/>
      </w:pPr>
      <w:r>
        <w:rPr>
          <w:b/>
        </w:rPr>
        <w:t xml:space="preserve">Notes: </w:t>
      </w:r>
      <w:r>
        <w:t>abstract_source=crossref</w:t>
      </w:r>
    </w:p>
    <w:p>
      <w:pPr>
        <w:spacing w:before="0" w:after="200" w:lineRule="auto" w:line="276"/>
      </w:pPr>
      <w:r>
        <w:rPr>
          <w:b/>
        </w:rPr>
        <w:t xml:space="preserve">Abstract: </w:t>
      </w:r>
      <w:r>
        <w:t>Two-thirds of the journey to achieving the Sustainable Development Goals (SDGs) has passed. However, insights into country-specific progress covering pre- and post-SDG and the prospects remain limited. Here, we compare the progress of 117 SDG indicators for 167 countries and project the achievements by 2030. Our results reveal the progress of the SDGs across the world varies depending on the initial SDG scores of the indicators in 2015. For indicators with low scores (0 to 50%), the proportion of countries showing advancement is greater than that demonstrating regression (25 vs. 16%). Countries that foster scientific research and promote manufacturing industry (SDG9) have the best performances. For indicators with high scores (70 to 90%), the proportion showing regression is greater than that with advancement (16 vs.10%). The increased coverage of immunization vaccines and prevention of infectious diseases (SDG3) have the worst performances. For indicators with moderate scores (50 to 70%), the proportion showing regression is slightly greater than that showing advancement (11 vs. 9%). When the score was low and high, the impact of the pandemic was significantly greater than that for moderate scores. By 2030, the global SDG score will reach approximately 63%, with a SD of 8%. Overall, 78 countries will reach the moderate score (60 to 70%), and 12 countries will remain with a low score (40 to 50%). Countries need to achieve an annual growth rate of 4% to meet the overall SDGs by 2030. Our comprehensive long-term assessment provides essential knowledge on global SDG progress, complementing UN reports.</w:t>
      </w:r>
    </w:p>
    <w:p>
      <w:pPr>
        <w:spacing w:before="120" w:after="120"/>
      </w:pPr>
      <w:r>
        <w:rPr>
          <w:sz w:val="18"/>
        </w:rPr>
        <w:t>——————————————————————————————————————————————————————————————————————</w:t>
      </w:r>
    </w:p>
    <w:p>
      <w:pPr>
        <w:spacing w:before="160" w:after="80" w:line="240" w:lineRule="auto"/>
      </w:pPr>
      <w:r>
        <w:rPr>
          <w:b/>
        </w:rPr>
        <w:t xml:space="preserve">[388] </w:t>
      </w:r>
      <w:hyperlink r:id="rId671">
        <w:r>
          <w:rPr>
            <w:color w:val="1155CC"/>
            <w:u w:val="single"/>
          </w:rPr>
          <w:t>Wild food portfolios: Access to diverse foods stabilizes harvest in wild food systems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72">
        <w:r>
          <w:rPr>
            <w:color w:val="1155CC"/>
            <w:u w:val="single"/>
          </w:rPr>
          <w:t>10.1073/pnas.2525571122</w:t>
        </w:r>
      </w:hyperlink>
    </w:p>
    <w:p>
      <w:pPr>
        <w:spacing w:before="0" w:after="120"/>
      </w:pPr>
      <w:r>
        <w:rPr>
          <w:b/>
        </w:rPr>
        <w:t xml:space="preserve">Notes: </w:t>
      </w:r>
      <w:r>
        <w:t>abstract_source=crossref</w:t>
      </w:r>
    </w:p>
    <w:p>
      <w:pPr>
        <w:spacing w:before="0" w:after="200" w:lineRule="auto" w:line="276"/>
      </w:pPr>
      <w:r>
        <w:rPr>
          <w:b/>
        </w:rPr>
        <w:t xml:space="preserve">Abstract: </w:t>
      </w:r>
      <w:r>
        <w: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w:t>
      </w:r>
    </w:p>
    <w:p>
      <w:pPr>
        <w:spacing w:before="120" w:after="120"/>
      </w:pPr>
      <w:r>
        <w:rPr>
          <w:sz w:val="18"/>
        </w:rPr>
        <w:t>——————————————————————————————————————————————————————————————————————</w:t>
      </w:r>
    </w:p>
    <w:p>
      <w:pPr>
        <w:spacing w:before="160" w:after="80" w:line="240" w:lineRule="auto"/>
      </w:pPr>
      <w:r>
        <w:rPr>
          <w:b/>
        </w:rPr>
        <w:t xml:space="preserve">[389] </w:t>
      </w:r>
      <w:hyperlink r:id="rId673">
        <w:r>
          <w:rPr>
            <w:color w:val="1155CC"/>
            <w:u w:val="single"/>
          </w:rPr>
          <w:t>A complete spatial map of mouse retinal ganglion cells reveals density and gene expression specializations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74">
        <w:r>
          <w:rPr>
            <w:color w:val="1155CC"/>
            <w:u w:val="single"/>
          </w:rPr>
          <w:t>10.1073/pnas.2515449122</w:t>
        </w:r>
      </w:hyperlink>
    </w:p>
    <w:p>
      <w:pPr>
        <w:spacing w:before="0" w:after="120"/>
      </w:pPr>
      <w:r>
        <w:rPr>
          <w:b/>
        </w:rPr>
        <w:t xml:space="preserve">Notes: </w:t>
      </w:r>
      <w:r>
        <w:t>abstract_source=crossref</w:t>
      </w:r>
    </w:p>
    <w:p>
      <w:pPr>
        <w:spacing w:before="0" w:after="200" w:lineRule="auto" w:line="276"/>
      </w:pPr>
      <w:r>
        <w:rPr>
          <w:b/>
        </w:rPr>
        <w:t xml:space="preserve">Abstract: </w:t>
      </w:r>
      <w:r>
        <w:t>Retinal ganglion cells (RGCs) transmit visual information from the eye to the brain. In mice, several RGC types show nonuniform spatial distributions, potentially mediating specific visual functions. However, the full extent of RGC specialization remains unknown. Here, we used en-face cryosectioning, spatial transcriptomics, and machine learning to map the spatial distribution of all RGC types identified in previous single-cell studies. While two-thirds of RGC types were evenly distributed, others showed strong biases toward ventral or dorso-temporal regions associated with sky vision and the area retinae temporalis (ART), the predicted homolog of the area centralis. Additionally, we observed unexpected spatial variation in gene expression within several types along the dorso–ventral axis or within vs. outside the ART, independent of RGC density profiles. Finally, we found limited correlations between the gene profiles of the ART and the primate macula, suggesting divergent specialization between the mouse and primate central vision.</w:t>
      </w:r>
    </w:p>
    <w:p>
      <w:pPr>
        <w:spacing w:before="120" w:after="120"/>
      </w:pPr>
      <w:r>
        <w:rPr>
          <w:sz w:val="18"/>
        </w:rPr>
        <w:t>——————————————————————————————————————————————————————————————————————</w:t>
      </w:r>
    </w:p>
    <w:p>
      <w:pPr>
        <w:spacing w:before="160" w:after="80" w:line="240" w:lineRule="auto"/>
      </w:pPr>
      <w:r>
        <w:rPr>
          <w:b/>
        </w:rPr>
        <w:t xml:space="preserve">[390] </w:t>
      </w:r>
      <w:hyperlink r:id="rId675">
        <w:r>
          <w:rPr>
            <w:color w:val="1155CC"/>
            <w:u w:val="single"/>
          </w:rPr>
          <w:t>Hollow condensates emerge from gelation-induced spinodal decomposition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76">
        <w:r>
          <w:rPr>
            <w:color w:val="1155CC"/>
            <w:u w:val="single"/>
          </w:rPr>
          <w:t>10.1073/pnas.2520491122</w:t>
        </w:r>
      </w:hyperlink>
    </w:p>
    <w:p>
      <w:pPr>
        <w:spacing w:before="0" w:after="120"/>
      </w:pPr>
      <w:r>
        <w:rPr>
          <w:b/>
        </w:rPr>
        <w:t xml:space="preserve">Notes: </w:t>
      </w:r>
      <w:r>
        <w:t>abstract_source=crossref</w:t>
      </w:r>
    </w:p>
    <w:p>
      <w:pPr>
        <w:spacing w:before="0" w:after="200" w:lineRule="auto" w:line="276"/>
      </w:pPr>
      <w:r>
        <w:rPr>
          <w:b/>
        </w:rPr>
        <w:t xml:space="preserve">Abstract: </w:t>
      </w:r>
      <w:r>
        <w:t>Recent studies have identified diverse hollow biomolecular condensates, characterized by biomolecule-depleted interiors surrounded by biomolecule-rich shells. Although several formation mechanisms have been proposed, a general thermodynamic driving force remains elusive. Here, we investigate a well-defined system in which the human transcription factor p53 and nonspecific double-stranded DNA (dsDNA) form biomolecule-rich condensates. Introduction of dsDNA containing p53-binding motifs induces a morphological transition to hollow structures, accompanied by a material state transition from liquid-like to gel-like. In vitro assays indicate that the formation of hollow condensates is driven by p21 DNA–induced localized gelation at the condensate periphery. Guided by these findings, we developed a three-component phase-field model that quantitatively recapitulates the formation of hollow condensates. Simulations show that peripheral gelation leads to gradual depletion of protein and Random DNA from the condensate core, triggering spinodal decomposition and lumen formation inside condensates. Together, these results offer mechanistic insights into multicomponent hollow condensates.</w:t>
      </w:r>
    </w:p>
    <w:p>
      <w:pPr>
        <w:spacing w:before="120" w:after="120"/>
      </w:pPr>
      <w:r>
        <w:rPr>
          <w:sz w:val="18"/>
        </w:rPr>
        <w:t>——————————————————————————————————————————————————————————————————————</w:t>
      </w:r>
    </w:p>
    <w:p>
      <w:pPr>
        <w:spacing w:before="160" w:after="80" w:line="240" w:lineRule="auto"/>
      </w:pPr>
      <w:r>
        <w:rPr>
          <w:b/>
        </w:rPr>
        <w:t xml:space="preserve">[391] </w:t>
      </w:r>
      <w:hyperlink r:id="rId677">
        <w:r>
          <w:rPr>
            <w:color w:val="1155CC"/>
            <w:u w:val="single"/>
          </w:rPr>
          <w:t>NPC1 trafficking via VPS41-dependent LAMP carriers regulates endosomal cholesterol homeostasis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2025-12-26 08:00:00+00:00</w:t>
      </w:r>
      <w:r>
        <w:t xml:space="preserve">    </w:t>
      </w:r>
      <w:r>
        <w:rPr>
          <w:b/>
        </w:rPr>
        <w:t xml:space="preserve">DOI: </w:t>
      </w:r>
      <w:hyperlink r:id="rId678">
        <w:r>
          <w:rPr>
            <w:color w:val="1155CC"/>
            <w:u w:val="single"/>
          </w:rPr>
          <w:t>10.1073/pnas.2521979122</w:t>
        </w:r>
      </w:hyperlink>
    </w:p>
    <w:p>
      <w:pPr>
        <w:spacing w:before="0" w:after="120"/>
      </w:pPr>
      <w:r>
        <w:rPr>
          <w:b/>
        </w:rPr>
        <w:t xml:space="preserve">Notes: </w:t>
      </w:r>
      <w:r>
        <w:t>abstract_source=crossref</w:t>
      </w:r>
    </w:p>
    <w:p>
      <w:pPr>
        <w:spacing w:before="0" w:after="200" w:lineRule="auto" w:line="276"/>
      </w:pPr>
      <w:r>
        <w:rPr>
          <w:b/>
        </w:rPr>
        <w:t xml:space="preserve">Abstract: </w:t>
      </w:r>
      <w:r>
        <w:t>The Niemann-Pick type 1 and 2 proteins (NPC1 and NPC2) coordinate cholesterol egress from late endosomes-lysosomes (LE/LY). Proper folding, trafficking, and localization of both NPC proteins are essential for normal LE/LY cholesterol handling. Accordingly, mutations in</w:t>
      </w:r>
      <w:r>
        <w:t xml:space="preserve"> </w:t>
      </w:r>
      <w:r>
        <w:t>NPC</w:t>
      </w:r>
      <w:r>
        <w:t xml:space="preserve"> </w:t>
      </w:r>
      <w:r>
        <w:t>genes cause Niemann–Pick type C (NPC) disease, a progressive neurodegenerative lysosomal cholesterol storage disorder. The routes by which NPC1 reaches the LE/LY compartment in mammalian cells are not fully elucidated. Therefore, to interrogate NPC1 trafficking, we developed genome-engineered HeLa cells expressing endogenous NPC1</w:t>
      </w:r>
      <w:r>
        <w:t xml:space="preserve"> </w:t>
      </w:r>
      <w:r>
        <w:t>mNeon</w:t>
      </w:r>
      <w:r>
        <w:t xml:space="preserve"> </w:t>
      </w:r>
      <w:r>
        <w:t>. We demonstrate that endogenous NPC1 localizes to the LE/LY compartment and by using protein proximity-based approaches that NPC1 resides in the same membranes as Vacuolar Protein Sorting-associated protein 41 (VPS41), one of the two unique subunits of the homotypic fusion and vacuole protein sorting complex. Loss of VPS41 increases NPC1 and Lysosomal Associated Membrane Protein 1 (LAMP1) abundance. Paradoxically, this results in marked accumulation of lysosomal cholesterol and induction of sterol regulatory element-binding protein signaling. Mechanistically, using immuno-fluorescence and electron microscopy imaging in combination with a VPS41-dependent ectopic recruitment assay, we demonstrate that this is due to a shift in the localization of NPC1 and LAMP1 from LE/LY to biosynthetic vesicles called LAMP carriers. These vesicles have been recently described to transport lysosomal-destined cargo directly from the</w:t>
      </w:r>
      <w:r>
        <w:t xml:space="preserve"> </w:t>
      </w:r>
      <w:r>
        <w:t>trans-</w:t>
      </w:r>
      <w:r>
        <w:t>Golgi (TGN) network to LE/LY. In conclusion, we identify NPC1 as a cargo for VPS41-dependent LAMP carriers that are instrumental for the delivery of NPC1 to LE/LY and maintaining cellular cholesterol homeostasis.</w:t>
      </w:r>
    </w:p>
    <w:p>
      <w:pPr>
        <w:spacing w:before="120" w:after="120"/>
      </w:pPr>
      <w:r>
        <w:rPr>
          <w:sz w:val="18"/>
        </w:rPr>
        <w:t>——————————————————————————————————————————————————————————————————————</w:t>
      </w:r>
    </w:p>
    <w:p>
      <w:pPr>
        <w:spacing w:before="160" w:after="80" w:line="240" w:lineRule="auto"/>
      </w:pPr>
      <w:r>
        <w:rPr>
          <w:b/>
        </w:rPr>
        <w:t xml:space="preserve">[392] </w:t>
      </w:r>
      <w:hyperlink r:id="rId679">
        <w:r>
          <w:rPr>
            <w:color w:val="1155CC"/>
            <w:u w:val="single"/>
          </w:rPr>
          <w:t>Enhancing Performance of Photoanodes With a Dual‐Redox Mediator for Photoelectrocatalytic Water Splitting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09:06:58+00:00</w:t>
      </w:r>
      <w:r>
        <w:t xml:space="preserve">    </w:t>
      </w:r>
      <w:r>
        <w:rPr>
          <w:b/>
        </w:rPr>
        <w:t xml:space="preserve">DOI: </w:t>
      </w:r>
      <w:hyperlink r:id="rId680">
        <w:r>
          <w:rPr>
            <w:color w:val="1155CC"/>
            <w:u w:val="single"/>
          </w:rPr>
          <w:t>10.1002/aenm.202504315</w:t>
        </w:r>
      </w:hyperlink>
    </w:p>
    <w:p>
      <w:pPr>
        <w:spacing w:before="0" w:after="120"/>
      </w:pPr>
      <w:r>
        <w:rPr>
          <w:b/>
        </w:rPr>
        <w:t xml:space="preserve">Notes: </w:t>
      </w:r>
      <w:r>
        <w:t>abstract_source=crossref</w:t>
      </w:r>
    </w:p>
    <w:p>
      <w:pPr>
        <w:spacing w:before="0" w:after="200" w:lineRule="auto" w:line="276"/>
      </w:pPr>
      <w:r>
        <w:rPr>
          <w:b/>
        </w:rPr>
        <w:t xml:space="preserve">Abstract: </w:t>
      </w:r>
      <w:r>
        <w:t>Hydrogen production via photoelectrocatalytic (PEC) water splitting is a promising way, but great challenges remain in promoting charge separation and transfer, which has been a long‐standing bottleneck in PEC systems. Herein, we construct a BiVO</w:t>
      </w:r>
      <w:r>
        <w:rPr>
          <w:vertAlign w:val="subscript"/>
        </w:rPr>
        <w:t>4</w:t>
      </w:r>
      <w:r>
        <w:t>‐based photoanode via successively introducing Fe</w:t>
      </w:r>
      <w:r>
        <w:rPr>
          <w:vertAlign w:val="subscript"/>
        </w:rPr>
        <w:t>2</w:t>
      </w:r>
      <w:r>
        <w:t>TiO</w:t>
      </w:r>
      <w:r>
        <w:rPr>
          <w:vertAlign w:val="subscript"/>
        </w:rPr>
        <w:t>4</w:t>
      </w:r>
      <w:r>
        <w:t>, NiOOH, GO, and Co‐complex cocatalyst, achieving an applied bias photon‐to‐current efficiency of 2.4%. Importantly, we found that Fe</w:t>
      </w:r>
      <w:r>
        <w:rPr>
          <w:vertAlign w:val="subscript"/>
        </w:rPr>
        <w:t>2</w:t>
      </w:r>
      <w:r>
        <w:t>TiO</w:t>
      </w:r>
      <w:r>
        <w:rPr>
          <w:vertAlign w:val="subscript"/>
        </w:rPr>
        <w:t>4</w:t>
      </w:r>
      <w:r>
        <w:t>featured with Fe</w:t>
      </w:r>
      <w:r>
        <w:t xml:space="preserve"> </w:t>
      </w:r>
      <w:r>
        <w:t>2+/3+</w:t>
      </w:r>
      <w:r>
        <w:t xml:space="preserve"> </w:t>
      </w:r>
      <w:r>
        <w:t>and Ti</w:t>
      </w:r>
      <w:r>
        <w:t xml:space="preserve"> </w:t>
      </w:r>
      <w:r>
        <w:t>3+/4+</w:t>
      </w:r>
      <w:r>
        <w:t xml:space="preserve"> </w:t>
      </w:r>
      <w:r>
        <w:t>redox states, eliminates the Fermi level pinning of BiVO</w:t>
      </w:r>
      <w:r>
        <w:rPr>
          <w:vertAlign w:val="subscript"/>
        </w:rPr>
        <w:t>4</w:t>
      </w:r>
      <w:r>
        <w:t>and may function as a dual‐redox electron mediator, which enhances charge separation and transfer. By in situ potential measurements, it is found that the interface layers can shift the hole quasi‐Fermi level positively and electron quasi‐Fermi level negatively, increasing the photovoltage and intrinsic driving force for PEC reaction. A tandem device composed of the BiVO</w:t>
      </w:r>
      <w:r>
        <w:rPr>
          <w:vertAlign w:val="subscript"/>
        </w:rPr>
        <w:t>4</w:t>
      </w:r>
      <w:r>
        <w:t>‐based photoanode and a bulk heterojunction photocathode delivers a solar‐to‐hydrogen efficiency of as high as 4.7%. This work identifies Fe</w:t>
      </w:r>
      <w:r>
        <w:rPr>
          <w:vertAlign w:val="subscript"/>
        </w:rPr>
        <w:t>2</w:t>
      </w:r>
      <w:r>
        <w:t>TiO</w:t>
      </w:r>
      <w:r>
        <w:rPr>
          <w:vertAlign w:val="subscript"/>
        </w:rPr>
        <w:t>4</w:t>
      </w:r>
      <w:r>
        <w:t>as an efficient dual‐redox mediator, which promotes PEC water splitting via regulating the quasi‐Fermi levels of photoanodes.</w:t>
      </w:r>
    </w:p>
    <w:p>
      <w:pPr>
        <w:spacing w:before="120" w:after="120"/>
      </w:pPr>
      <w:r>
        <w:rPr>
          <w:sz w:val="18"/>
        </w:rPr>
        <w:t>——————————————————————————————————————————————————————————————————————</w:t>
      </w:r>
    </w:p>
    <w:p>
      <w:pPr>
        <w:spacing w:before="160" w:after="80" w:line="240" w:lineRule="auto"/>
      </w:pPr>
      <w:r>
        <w:rPr>
          <w:b/>
        </w:rPr>
        <w:t xml:space="preserve">[393] </w:t>
      </w:r>
      <w:hyperlink r:id="rId681">
        <w:r>
          <w:rPr>
            <w:color w:val="1155CC"/>
            <w:u w:val="single"/>
          </w:rPr>
          <w:t>Two nm Atomic Thickness Amorphous Red Phosphorus Enables Ultrafast and Ultrastable Sodium‐Ion Storage</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09:10:15+00:00</w:t>
      </w:r>
      <w:r>
        <w:t xml:space="preserve">    </w:t>
      </w:r>
      <w:r>
        <w:rPr>
          <w:b/>
        </w:rPr>
        <w:t xml:space="preserve">DOI: </w:t>
      </w:r>
      <w:hyperlink r:id="rId682">
        <w:r>
          <w:rPr>
            <w:color w:val="1155CC"/>
            <w:u w:val="single"/>
          </w:rPr>
          <w:t>10.1002/adma.202518768</w:t>
        </w:r>
      </w:hyperlink>
    </w:p>
    <w:p>
      <w:pPr>
        <w:spacing w:before="0" w:after="120"/>
      </w:pPr>
      <w:r>
        <w:rPr>
          <w:b/>
        </w:rPr>
        <w:t xml:space="preserve">Notes: </w:t>
      </w:r>
      <w:r>
        <w:t>abstract_source=crossref</w:t>
      </w:r>
    </w:p>
    <w:p>
      <w:pPr>
        <w:spacing w:before="0" w:after="200" w:lineRule="auto" w:line="276"/>
      </w:pPr>
      <w:r>
        <w:rPr>
          <w:b/>
        </w:rPr>
        <w:t xml:space="preserve">Abstract: </w:t>
      </w:r>
      <w:r>
        <w:t>Red phosphorus (RP) has shown great potential as anode materials for sodium‐ion batteries (SIBs), but its development is hindered by sluggish Na</w:t>
      </w:r>
      <w:r>
        <w:t xml:space="preserve"> </w:t>
      </w:r>
      <w:r>
        <w:t>+</w:t>
      </w:r>
      <w:r>
        <w:t xml:space="preserve"> </w:t>
      </w:r>
      <w:r>
        <w:t>storage kinetics, poor intrinsic conductivity and terrible volume changes. This work focuses on the pivotal role of atomic thickness ultrasmall amorphous RP, the ultrathin amorphous RP with an atomic‐thickness of 0.9 nm exhibits a stronger Na</w:t>
      </w:r>
      <w:r>
        <w:t xml:space="preserve"> </w:t>
      </w:r>
      <w:r>
        <w:t>+</w:t>
      </w:r>
      <w:r>
        <w:t xml:space="preserve"> </w:t>
      </w:r>
      <w:r>
        <w:t>binding capability and this advantage becomes particularly pronounced as the RP approaches size of around 2 nm. Moreover, the developed RP anode shows exceptional expansion tolerance due to the ultrathin structure. Subsequently, the RP are integrated with highly conductive MXene, owing to the ultrasmall amorphous features of RP, the built‐in electric field at the RP/MXene heterointerface are enhanced, which significantly promotes Na</w:t>
      </w:r>
      <w:r>
        <w:t xml:space="preserve"> </w:t>
      </w:r>
      <w:r>
        <w:t>+</w:t>
      </w:r>
      <w:r>
        <w:t xml:space="preserve"> </w:t>
      </w:r>
      <w:r>
        <w:t>transfer and adsorption. As a result, the resulting RP‐based composites shows superior rate performance. A high capacity of 835 mAh g</w:t>
      </w:r>
      <w:r>
        <w:t xml:space="preserve"> </w:t>
      </w:r>
      <w:r>
        <w:t>−1</w:t>
      </w:r>
      <w:r>
        <w:t xml:space="preserve"> </w:t>
      </w:r>
      <w:r>
        <w:t>can be maintained at high current density of 10 A g</w:t>
      </w:r>
      <w:r>
        <w:t xml:space="preserve"> </w:t>
      </w:r>
      <w:r>
        <w:t>−1</w:t>
      </w:r>
      <w:r>
        <w:t xml:space="preserve"> </w:t>
      </w:r>
      <w:r>
        <w:t>. Moreover, the composites electrode delivers a reversible capacity of 1447 mA h g</w:t>
      </w:r>
      <w:r>
        <w:t xml:space="preserve"> </w:t>
      </w:r>
      <w:r>
        <w:t>−1</w:t>
      </w:r>
      <w:r>
        <w:t xml:space="preserve"> </w:t>
      </w:r>
      <w:r>
        <w:t>at current density of 5 A g</w:t>
      </w:r>
      <w:r>
        <w:t xml:space="preserve"> </w:t>
      </w:r>
      <w:r>
        <w:t>−1</w:t>
      </w:r>
      <w:r>
        <w:t xml:space="preserve"> </w:t>
      </w:r>
      <w:r>
        <w:t>after 1000 cycles. This study demonstrates the construction of ultrathin amorphous materials with ultra‐small size as a powerful strategy to develop fast‐charging SIBs with stable and high capacity.</w:t>
      </w:r>
    </w:p>
    <w:p>
      <w:pPr>
        <w:spacing w:before="120" w:after="120"/>
      </w:pPr>
      <w:r>
        <w:rPr>
          <w:sz w:val="18"/>
        </w:rPr>
        <w:t>——————————————————————————————————————————————————————————————————————</w:t>
      </w:r>
    </w:p>
    <w:p>
      <w:pPr>
        <w:spacing w:before="160" w:after="80" w:line="240" w:lineRule="auto"/>
      </w:pPr>
      <w:r>
        <w:rPr>
          <w:b/>
        </w:rPr>
        <w:t xml:space="preserve">[394] </w:t>
      </w:r>
      <w:hyperlink r:id="rId683">
        <w:r>
          <w:rPr>
            <w:color w:val="1155CC"/>
            <w:u w:val="single"/>
          </w:rPr>
          <w:t>Metabolic Enzyme‐Inspired Molecular Clusters for Advanced Type 2 Diabetic Complications by Alleviating Immunosuppression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09:11:15+00:00</w:t>
      </w:r>
      <w:r>
        <w:t xml:space="preserve">    </w:t>
      </w:r>
      <w:r>
        <w:rPr>
          <w:b/>
        </w:rPr>
        <w:t xml:space="preserve">DOI: </w:t>
      </w:r>
      <w:hyperlink r:id="rId684">
        <w:r>
          <w:rPr>
            <w:color w:val="1155CC"/>
            <w:u w:val="single"/>
          </w:rPr>
          <w:t>10.1002/adma.202518331</w:t>
        </w:r>
      </w:hyperlink>
    </w:p>
    <w:p>
      <w:pPr>
        <w:spacing w:before="0" w:after="120"/>
      </w:pPr>
      <w:r>
        <w:rPr>
          <w:b/>
        </w:rPr>
        <w:t xml:space="preserve">Notes: </w:t>
      </w:r>
      <w:r>
        <w:t>abstract_source=crossref</w:t>
      </w:r>
    </w:p>
    <w:p>
      <w:pPr>
        <w:spacing w:before="0" w:after="200" w:lineRule="auto" w:line="276"/>
      </w:pPr>
      <w:r>
        <w:rPr>
          <w:b/>
        </w:rPr>
        <w:t xml:space="preserve">Abstract: </w:t>
      </w:r>
      <w:r>
        <w:t>Type 2 diabetes mellitus is the most prevalent disease in the world, with one‐tenth of the population suffering from the disease, and the most critical challenges are its complications that induce high disability and mortality rates. The state‐of‐the‐art therapeutic agents can manage glucose but fail to prevent renal failure as well as neurodegeneration with immunosuppression. Herein, we developed a deep learning design strategy that exploits the ‘size‐fitting effect’ to engineer an atomic‐precision metal cluster for preventing diabetic complications by targeting metabolic abnormality and immunosuppression. The designed AuZn cluster achieves almost 100% α‐amylase inhibition and 88% α‐glucosidase inhibition, resulting in the normalized glycated hemoglobin and sustained glucose control. The intrinsic redox properties reduce oxidative stress damage, promoting β‐cell regeneration and metabolic stress alleviation. Consequently, the renal function, the most prevalent complications, shows that glomerular filtration can be restored to normal levels without urinary protein, while the clinical dulaglutide is not show any improvement. The key marker during early neurocognitive disorders, the amyloid precursor protein (APP) induced by complications, can be effectively suppressed, and diabetes induced organelle degeneration in neurons can be restored.</w:t>
      </w:r>
    </w:p>
    <w:p>
      <w:pPr>
        <w:spacing w:before="120" w:after="120"/>
      </w:pPr>
      <w:r>
        <w:rPr>
          <w:sz w:val="18"/>
        </w:rPr>
        <w:t>——————————————————————————————————————————————————————————————————————</w:t>
      </w:r>
    </w:p>
    <w:p>
      <w:pPr>
        <w:spacing w:before="160" w:after="80" w:line="240" w:lineRule="auto"/>
      </w:pPr>
      <w:r>
        <w:rPr>
          <w:b/>
        </w:rPr>
        <w:t xml:space="preserve">[395] </w:t>
      </w:r>
      <w:hyperlink r:id="rId685">
        <w:r>
          <w:rPr>
            <w:color w:val="1155CC"/>
            <w:u w:val="single"/>
          </w:rPr>
          <w:t>Electrostatic Ion Trapping in Organic Electrochemical Transistors for Record Neuromorphic Memory Performance</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09:12:16+00:00</w:t>
      </w:r>
      <w:r>
        <w:t xml:space="preserve">    </w:t>
      </w:r>
      <w:r>
        <w:rPr>
          <w:b/>
        </w:rPr>
        <w:t xml:space="preserve">DOI: </w:t>
      </w:r>
      <w:hyperlink r:id="rId686">
        <w:r>
          <w:rPr>
            <w:color w:val="1155CC"/>
            <w:u w:val="single"/>
          </w:rPr>
          <w:t>10.1002/adma.202519188</w:t>
        </w:r>
      </w:hyperlink>
    </w:p>
    <w:p>
      <w:pPr>
        <w:spacing w:before="0" w:after="120"/>
      </w:pPr>
      <w:r>
        <w:rPr>
          <w:b/>
        </w:rPr>
        <w:t xml:space="preserve">Notes: </w:t>
      </w:r>
      <w:r>
        <w:t>abstract_source=crossref</w:t>
      </w:r>
    </w:p>
    <w:p>
      <w:pPr>
        <w:spacing w:before="0" w:after="200" w:lineRule="auto" w:line="276"/>
      </w:pPr>
      <w:r>
        <w:rPr>
          <w:b/>
        </w:rPr>
        <w:t xml:space="preserve">Abstract: </w:t>
      </w:r>
      <w:r>
        <w:t>Organic electrochemical transistors (OECTs) leverage the chemical tunability of polymeric semiconductors; however, their potential as memory devices remains constrained by insufficient ion retention. Previous studies on physical trapping of ions within polymer crystalline domains have generally reported memory windows below 5.3 V. Here, we achieve molecular‐level hysteresis control by designing a dual‐functional zwitterionic crosslinker that creates an electrostatic ion‐trapping channel. Its fixed anionic sulfonate group establishes a repulsive barrier to delay ion injection, while its cationic ammonium site forms a deep electrostatic trap that creates a 2.03 eV barrier, thereby stabilizing the doped state, and collectively producing pronounced hysteresis. GIWAXS under sequential biasing reveals reversible lamellar dynamics, enabled by ionic interactions among side‐chain‐tethered zwitterion units. The resulting OECTs achieve record hysteresis strength (96.4 V) and memory window (8.65 V) while maintaining an on/off ratio ∼10</w:t>
      </w:r>
      <w:r>
        <w:rPr>
          <w:vertAlign w:val="subscript"/>
        </w:rPr>
        <w:t>6</w:t>
      </w:r>
      <w:r>
        <w:t>and 86.4% conductance retention after 200,000 pulses. Moreover, the Z‐FPA scheme generalizes to other polymer semiconductors, providing a polymer‐agnostic route to high‐fidelity neuromorphic OECTs. Synaptic metrics are more symmetric; device‐informed models reach 92.87% on MNIST, and ECG reservoir computing confirms biosignal compatibility. Our findings provide key molecular insights into the material design and operating mechanisms critical for advancing next‐generation neuromorphic OECTs.</w:t>
      </w:r>
    </w:p>
    <w:p>
      <w:pPr>
        <w:spacing w:before="120" w:after="120"/>
      </w:pPr>
      <w:r>
        <w:rPr>
          <w:sz w:val="18"/>
        </w:rPr>
        <w:t>——————————————————————————————————————————————————————————————————————</w:t>
      </w:r>
    </w:p>
    <w:p>
      <w:pPr>
        <w:spacing w:before="160" w:after="80" w:line="240" w:lineRule="auto"/>
      </w:pPr>
      <w:r>
        <w:rPr>
          <w:b/>
        </w:rPr>
        <w:t xml:space="preserve">[396] </w:t>
      </w:r>
      <w:hyperlink r:id="rId687">
        <w:r>
          <w:rPr>
            <w:color w:val="1155CC"/>
            <w:u w:val="single"/>
          </w:rPr>
          <w:t>Iron‐Catalyzed Enantioselective Deoxygenative Addition of Propargyl, Allyl, and Benzyl Alcohols to Cyclic N‐Sulfonyl α‐Ketiminoesters Mediated by Visible Light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09:13:51+00:00</w:t>
      </w:r>
      <w:r>
        <w:t xml:space="preserve">    </w:t>
      </w:r>
      <w:r>
        <w:rPr>
          <w:b/>
        </w:rPr>
        <w:t xml:space="preserve">DOI: </w:t>
      </w:r>
      <w:hyperlink r:id="rId688">
        <w:r>
          <w:rPr>
            <w:color w:val="1155CC"/>
            <w:u w:val="single"/>
          </w:rPr>
          <w:t>10.1002/anie.202517311</w:t>
        </w:r>
      </w:hyperlink>
    </w:p>
    <w:p>
      <w:pPr>
        <w:spacing w:before="0" w:after="120"/>
      </w:pPr>
      <w:r>
        <w:rPr>
          <w:b/>
        </w:rPr>
        <w:t xml:space="preserve">Notes: </w:t>
      </w:r>
      <w:r>
        <w:t>abstract_source=crossref</w:t>
      </w:r>
    </w:p>
    <w:p>
      <w:pPr>
        <w:spacing w:before="0" w:after="200" w:lineRule="auto" w:line="276"/>
      </w:pPr>
      <w:r>
        <w:rPr>
          <w:b/>
        </w:rPr>
        <w:t xml:space="preserve">Abstract: </w:t>
      </w:r>
      <w:r>
        <w:t>Asymmetric photomediated iron catalysis remains underdeveloped; up to now, only limited successful examples have been reported. Herein, we describe an iron‐catalyzed enantioselective deoxygenative addition of propargyl, allyl, and benzyl alcohols to cyclic</w:t>
      </w:r>
      <w:r>
        <w:t xml:space="preserve"> </w:t>
      </w:r>
      <w:r>
        <w:t>N</w:t>
      </w:r>
      <w:r>
        <w:t xml:space="preserve"> </w:t>
      </w:r>
      <w:r>
        <w:t>‐sulfonyl α‐ketiminoesters mediated by visible light, providing straightforward access to a diverse array of chiral cyclic sulfonamides. This approach addresses several synthetic limitations in entioselective transformation of cyclic</w:t>
      </w:r>
      <w:r>
        <w:t xml:space="preserve"> </w:t>
      </w:r>
      <w:r>
        <w:t>N</w:t>
      </w:r>
      <w:r>
        <w:t xml:space="preserve"> </w:t>
      </w:r>
      <w:r>
        <w:t>‐sulfonyl α‐ketiminoesters, including the limited development of general and efficient asymmetric propargylation methods, and the limited structural diversity in allylation products. The synthetic versatility of this method is demonstrated through the preparation of a number of valuable intermediates. Preliminary density functional theory (DFT) calculations on the radical addition pathway suggest that the observed enantioselectivity primarily arises from steric interactions between the incoming radical and the 4‐chlorophenyl ring on the chiral ligand.</w:t>
      </w:r>
    </w:p>
    <w:p>
      <w:pPr>
        <w:spacing w:before="120" w:after="120"/>
      </w:pPr>
      <w:r>
        <w:rPr>
          <w:sz w:val="18"/>
        </w:rPr>
        <w:t>——————————————————————————————————————————————————————————————————————</w:t>
      </w:r>
    </w:p>
    <w:p>
      <w:pPr>
        <w:spacing w:before="160" w:after="80" w:line="240" w:lineRule="auto"/>
      </w:pPr>
      <w:r>
        <w:rPr>
          <w:b/>
        </w:rPr>
        <w:t xml:space="preserve">[397] </w:t>
      </w:r>
      <w:hyperlink r:id="rId689">
        <w:r>
          <w:rPr>
            <w:color w:val="1155CC"/>
            <w:u w:val="single"/>
          </w:rPr>
          <w:t>[ASAP] A PET-Driven Strategy for Ultrasensitive Mapping of Lipid Microenvironment Heterogeneity in Dual Organelles during Metabolic Stress and Atherosclerosis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09:15:36+00:00</w:t>
      </w:r>
      <w:r>
        <w:t xml:space="preserve">    </w:t>
      </w:r>
      <w:r>
        <w:rPr>
          <w:b/>
        </w:rPr>
        <w:t xml:space="preserve">DOI: </w:t>
      </w:r>
      <w:hyperlink r:id="rId690">
        <w:r>
          <w:rPr>
            <w:color w:val="1155CC"/>
            <w:u w:val="single"/>
          </w:rPr>
          <w:t>10.1021/jacs.5c17549</w:t>
        </w:r>
      </w:hyperlink>
    </w:p>
    <w:p>
      <w:pPr>
        <w:spacing w:before="0" w:after="120"/>
      </w:pPr>
      <w:r>
        <w:rPr>
          <w:b/>
        </w:rPr>
        <w:t xml:space="preserve">Notes: </w:t>
      </w:r>
      <w:r>
        <w:t>abstract_source=pubmed</w:t>
      </w:r>
    </w:p>
    <w:p>
      <w:pPr>
        <w:spacing w:before="0" w:after="200" w:lineRule="auto" w:line="276"/>
      </w:pPr>
      <w:r>
        <w:rPr>
          <w:b/>
        </w:rPr>
        <w:t xml:space="preserve">Abstract: </w:t>
      </w:r>
      <w:r>
        <w:t>Abnormalities in the organelle microenvironment and dysregulated lipid metabolism are critically involved in the pathogenesis of various cellular stress responses and diseases. However, the lack of ultrasensitive methods for resolving the distinct lipid environments of multiple organelles simultaneously hinders a deep understanding of disease mechanisms. To address this, we engineered a quinoline-fused Si-rhodol probe DMA-SiRd with an asymmetrically expanded π-conjugation system to facilitate dual-channel, crosstalk-free imaging of lipid droplets and mitochondria through a broad emission shift. Strategic incorporation of a dimethylamino group enabled photoinduced electron transfer (PET), revealing exceptional polarity sensitivity manifested by significant fluorescence lifetime variations. Leveraging fluorescence lifetime imaging microscopy (FLIM) and organelle lipid microenvironment dynamics under several stress conditions were quantified. In atherosclerotic plaques, heterogeneous lipid distributions were detected with therapeutic intervention restoring homogeneity. With two-photon FLIM, low-polarity lipid plaques within the cerebral vasculature of atherosclerotic mice were tracked. In summary, we proposed a novel method to significantly enhance polarity sensitivity by introducing the PET effect, providing new approaches for the design of functional fluorescent probes. The dual-channel functional probe DMA-SiRd stands out as a versatile platform for spatial heterogeneity in lipid organization and dissecting lipid associated pathophysiology, thus offering new perspectives for metabolic-disorder researches.</w:t>
      </w:r>
    </w:p>
    <w:p>
      <w:pPr>
        <w:spacing w:before="120" w:after="120"/>
      </w:pPr>
      <w:r>
        <w:rPr>
          <w:sz w:val="18"/>
        </w:rPr>
        <w:t>——————————————————————————————————————————————————————————————————————</w:t>
      </w:r>
    </w:p>
    <w:p>
      <w:pPr>
        <w:spacing w:before="160" w:after="80" w:line="240" w:lineRule="auto"/>
      </w:pPr>
      <w:r>
        <w:rPr>
          <w:b/>
        </w:rPr>
        <w:t xml:space="preserve">[398] </w:t>
      </w:r>
      <w:hyperlink r:id="rId691">
        <w:r>
          <w:rPr>
            <w:color w:val="1155CC"/>
            <w:u w:val="single"/>
          </w:rPr>
          <w:t>Coupling Mitochondrial Homeostasis to Oxi‐Inflamm‐Aging Network Disruption via Peptide‐Functionalized Nanocomposite Hydrogel for Osteoarthritis Intervention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09:16:36+00:00</w:t>
      </w:r>
      <w:r>
        <w:t xml:space="preserve">    </w:t>
      </w:r>
      <w:r>
        <w:rPr>
          <w:b/>
        </w:rPr>
        <w:t xml:space="preserve">DOI: </w:t>
      </w:r>
      <w:hyperlink r:id="rId692">
        <w:r>
          <w:rPr>
            <w:color w:val="1155CC"/>
            <w:u w:val="single"/>
          </w:rPr>
          <w:t>10.1002/adma.202511804</w:t>
        </w:r>
      </w:hyperlink>
    </w:p>
    <w:p>
      <w:pPr>
        <w:spacing w:before="0" w:after="120"/>
      </w:pPr>
      <w:r>
        <w:rPr>
          <w:b/>
        </w:rPr>
        <w:t xml:space="preserve">Notes: </w:t>
      </w:r>
      <w:r>
        <w:t>abstract_source=crossref</w:t>
      </w:r>
    </w:p>
    <w:p>
      <w:pPr>
        <w:spacing w:before="0" w:after="200" w:lineRule="auto" w:line="276"/>
      </w:pPr>
      <w:r>
        <w:rPr>
          <w:b/>
        </w:rPr>
        <w:t xml:space="preserve">Abstract: </w:t>
      </w:r>
      <w:r>
        <w:t>Osteoarthritis(OA) is an age‐related degenerative joint disease, and the absence of clinically effective therapy places a substantial burden on global health. The crosstalk among oxidation, inflammation, and aging (oxi‐inflamm‐aging) disrupts chondrocytes homeostasis, serving as a critical driver in OA initiation and progression. Here, we developed a mitochondria‐centered therapeutic strategy aimed at concomitantly disrupting the pathogenic oxi‐inflamm‐aging network. This strategy emphasized a novel chimeric peptide (MW) designed by integrating the mitochondrial protective MOTS‐s and cartilage‐targeting WYRGRL. To enhance therapeutic delivery and efficacy, the bifunctional chimeric peptide MW is immobilized onto GeSe nanosheets, which are then embedded within a multifunctional responsive hydrogel composed of HA‐MAL, MMP13‐sensitive peptide, and PF127 (HMP), forming the peptide‐functionalized nanocomposite hydrogel (MW@GeSe@HMP). This engineered nanocomposite hydrogel not only exhibited efficient enzyme‐mimicking mimetic properties to scavenge harmful oxygen radicals, but also enabled MMP‐responsive targeted release in chondrocytes. Subsequent biological experiments revealed that MW@GeSe@HMP effectively disrupted the oxi‐inflamm‐aging network by modulating mitochondrial function, thereby maintaining chondrocyte homeostasis. Mechanistically, MW@GeSe@HMP protected chondrocytes via hindering cGAS/STING signaling. The nanocomposite hydrogel also significantly suppressed cartilage damage and matrix degradation, effectively alleviating OA progression in a rat OA model. In conclusion, this study developed a nanocomposite hydrogel integrating bioactive peptides and two‐dimensional nanoenzyme, providing a prospective therapeutic strategy and potential target for OA treatment by regulating oxi‐inflamm‐aging integrative network.</w:t>
      </w:r>
    </w:p>
    <w:p>
      <w:pPr>
        <w:spacing w:before="120" w:after="120"/>
      </w:pPr>
      <w:r>
        <w:rPr>
          <w:sz w:val="18"/>
        </w:rPr>
        <w:t>——————————————————————————————————————————————————————————————————————</w:t>
      </w:r>
    </w:p>
    <w:p>
      <w:pPr>
        <w:spacing w:before="160" w:after="80" w:line="240" w:lineRule="auto"/>
      </w:pPr>
      <w:r>
        <w:rPr>
          <w:b/>
        </w:rPr>
        <w:t xml:space="preserve">[399] </w:t>
      </w:r>
      <w:hyperlink r:id="rId693">
        <w:r>
          <w:rPr>
            <w:color w:val="1155CC"/>
            <w:u w:val="single"/>
          </w:rPr>
          <w:t>A Biochar‐Based Composite Hydrogel Microenvironment for Enhanced Biocatalysis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09:17:19+00:00</w:t>
      </w:r>
      <w:r>
        <w:t xml:space="preserve">    </w:t>
      </w:r>
      <w:r>
        <w:rPr>
          <w:b/>
        </w:rPr>
        <w:t xml:space="preserve">DOI: </w:t>
      </w:r>
      <w:hyperlink r:id="rId694">
        <w:r>
          <w:rPr>
            <w:color w:val="1155CC"/>
            <w:u w:val="single"/>
          </w:rPr>
          <w:t>10.1002/adma.202517616</w:t>
        </w:r>
      </w:hyperlink>
    </w:p>
    <w:p>
      <w:pPr>
        <w:spacing w:before="0" w:after="120"/>
      </w:pPr>
      <w:r>
        <w:rPr>
          <w:b/>
        </w:rPr>
        <w:t xml:space="preserve">Notes: </w:t>
      </w:r>
      <w:r>
        <w:t>abstract_source=crossref</w:t>
      </w:r>
    </w:p>
    <w:p>
      <w:pPr>
        <w:spacing w:before="0" w:after="200" w:lineRule="auto" w:line="276"/>
      </w:pPr>
      <w:r>
        <w:rPr>
          <w:b/>
        </w:rPr>
        <w:t xml:space="preserve">Abstract: </w:t>
      </w:r>
      <w:r>
        <w:t>Addressing water pollution with sustainable and eco‐friendly strategies is a significant global challenge. Traditional methods of decontaminating water via enzyme catalysis have limitations, particularly due to the mass transfer resistance resulting from enzyme immobilization. In this study, we report a novel approach in which biochar (BC), a biomass‐derived porous material rich in surface functional groups, is integrated with polyacrylamide hydrogels to encapsulate the enzyme horseradish peroxidase (HRP). The resulting Gel/BC‐HRP composite hydrogel exhibits superior biocatalytic activity for the oxidation of phenolic contaminants in the presence of hydrogen peroxide (H</w:t>
      </w:r>
      <w:r>
        <w:rPr>
          <w:vertAlign w:val="subscript"/>
        </w:rPr>
        <w:t>2</w:t>
      </w:r>
      <w:r>
        <w:t>O</w:t>
      </w:r>
      <w:r>
        <w:rPr>
          <w:vertAlign w:val="subscript"/>
        </w:rPr>
        <w:t>2</w:t>
      </w:r>
      <w:r>
        <w:t>). Our findings demonstrate that the Gel/BC‐HRP composite greatly enhances mass transfer efficiency, achieving a reaction rate 91.4 times faster than the biochar‐free control, together with exceptionally high turnover frequency (TOF) values. The composite maintains approximately 60% efficiency for phenol removal even after eight reaction cycles. Mechanistic investigations suggest that the polyacrylamide gel creates electron‐rich domains, while the biochar segments provide electron‐deficient domains, leading to the formation of an optimal microenvironment that concentrates both H</w:t>
      </w:r>
      <w:r>
        <w:rPr>
          <w:vertAlign w:val="subscript"/>
        </w:rPr>
        <w:t>2</w:t>
      </w:r>
      <w:r>
        <w:t>O</w:t>
      </w:r>
      <w:r>
        <w:rPr>
          <w:vertAlign w:val="subscript"/>
        </w:rPr>
        <w:t>2</w:t>
      </w:r>
      <w:r>
        <w:t>and phenol in the vicinity of the HRP, thereby significantly accelerating the oxidation process. The innovative integration of biochar with hydrogel‐immobilized biocatalysts offers a promising and environmentally friendly solution for the degradation of organic pollutants in water remediation.</w:t>
      </w:r>
    </w:p>
    <w:p>
      <w:pPr>
        <w:spacing w:before="120" w:after="120"/>
      </w:pPr>
      <w:r>
        <w:rPr>
          <w:sz w:val="18"/>
        </w:rPr>
        <w:t>——————————————————————————————————————————————————————————————————————</w:t>
      </w:r>
    </w:p>
    <w:p>
      <w:pPr>
        <w:spacing w:before="160" w:after="80" w:line="240" w:lineRule="auto"/>
      </w:pPr>
      <w:r>
        <w:rPr>
          <w:b/>
        </w:rPr>
        <w:t xml:space="preserve">[400] </w:t>
      </w:r>
      <w:hyperlink r:id="rId695">
        <w:r>
          <w:rPr>
            <w:color w:val="1155CC"/>
            <w:u w:val="single"/>
          </w:rPr>
          <w:t>Diverse Cation Exchange in Layered Titanate Nanostructures for Tailored 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09:17:54+00:00</w:t>
      </w:r>
      <w:r>
        <w:t xml:space="preserve">    </w:t>
      </w:r>
      <w:r>
        <w:rPr>
          <w:b/>
        </w:rPr>
        <w:t xml:space="preserve">DOI: </w:t>
      </w:r>
      <w:hyperlink r:id="rId696">
        <w:r>
          <w:rPr>
            <w:color w:val="1155CC"/>
            <w:u w:val="single"/>
          </w:rPr>
          <w:t>10.1002/adma.202518819</w:t>
        </w:r>
      </w:hyperlink>
    </w:p>
    <w:p>
      <w:pPr>
        <w:spacing w:before="0" w:after="120"/>
      </w:pPr>
      <w:r>
        <w:rPr>
          <w:b/>
        </w:rPr>
        <w:t xml:space="preserve">Notes: </w:t>
      </w:r>
      <w:r>
        <w:t>abstract_source=crossref</w:t>
      </w:r>
    </w:p>
    <w:p>
      <w:pPr>
        <w:spacing w:before="0" w:after="200" w:lineRule="auto" w:line="276"/>
      </w:pPr>
      <w:r>
        <w:rPr>
          <w:b/>
        </w:rPr>
        <w:t xml:space="preserve">Abstract: </w:t>
      </w:r>
      <w:r>
        <w:t>Layered titanates (LTs) offer exceptional structural and chemical tunability, enabling precise modulation of their electronic states and catalytic properties. However, systematic studies on the range of cations that can serve as intercalants for LTs remain limited, and conventional synthesis methods often require additional treatments for cation intercaltion. In this study, we present a cation‐free H</w:t>
      </w:r>
      <w:r>
        <w:t xml:space="preserve"> </w:t>
      </w:r>
      <w:r>
        <w:t>+</w:t>
      </w:r>
      <w:r>
        <w:t xml:space="preserve"> </w:t>
      </w:r>
      <w:r>
        <w:t>(H</w:t>
      </w:r>
      <w:r>
        <w:rPr>
          <w:vertAlign w:val="subscript"/>
        </w:rPr>
        <w:t>3</w:t>
      </w:r>
      <w:r>
        <w:t>O</w:t>
      </w:r>
      <w:r>
        <w:t xml:space="preserve"> </w:t>
      </w:r>
      <w:r>
        <w:t>+</w:t>
      </w:r>
      <w:r>
        <w:t xml:space="preserve"> </w:t>
      </w:r>
      <w:r>
        <w:t>)‐intercalated LT as a versatile platform for direct cation insertion. This LT can be intercalated with single metal cations (42 metals from five groups) or a combination of 5–30 cations without structural deformation. Intercalation with alkali metals (AMs) precisely tuned the charge density of Rh species when the prepared LTs are used as catalytic supports. Among the Rh‐loaded AM‐bearing LTs, Rh/K–LT delivered the highest turnover frequency (23 685 h</w:t>
      </w:r>
      <w:r>
        <w:t xml:space="preserve"> </w:t>
      </w:r>
      <w:r>
        <w:t>−1</w:t>
      </w:r>
      <w:r>
        <w:t xml:space="preserve"> </w:t>
      </w:r>
      <w:r>
        <w:t>), surpassing those of other AM‐intercalated systems and previously reported Rh‐based heterogeneous catalysts, during propylene hydroformylation. Combined in situ/ex situ analyses and density functional theory calculations revealed that AM intercalation promotes charge transfer to Rh, thereby enhancing adsorption behavior and catalytic activity. This work establishes not only a broad cation intercalation library but also a generalizable strategy for cation engineering in LTs, highlighting the potential of intercalation‐driven charge modulation for rational catalyst design across diverse reactions.</w:t>
      </w:r>
    </w:p>
    <w:p>
      <w:pPr>
        <w:spacing w:before="120" w:after="120"/>
      </w:pPr>
      <w:r>
        <w:rPr>
          <w:sz w:val="18"/>
        </w:rPr>
        <w:t>——————————————————————————————————————————————————————————————————————</w:t>
      </w:r>
    </w:p>
    <w:p>
      <w:pPr>
        <w:spacing w:before="160" w:after="80" w:line="240" w:lineRule="auto"/>
      </w:pPr>
      <w:r>
        <w:rPr>
          <w:b/>
        </w:rPr>
        <w:t xml:space="preserve">[401] </w:t>
      </w:r>
      <w:hyperlink r:id="rId697">
        <w:r>
          <w:rPr>
            <w:color w:val="1155CC"/>
            <w:u w:val="single"/>
          </w:rPr>
          <w:t>Mesoscale Magnetostructural Phase Separation in Fe‐deficient Fe5GeTe2</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09:20:22+00:00</w:t>
      </w:r>
      <w:r>
        <w:t xml:space="preserve">    </w:t>
      </w:r>
      <w:r>
        <w:rPr>
          <w:b/>
        </w:rPr>
        <w:t xml:space="preserve">DOI: </w:t>
      </w:r>
      <w:hyperlink r:id="rId698">
        <w:r>
          <w:rPr>
            <w:color w:val="1155CC"/>
            <w:u w:val="single"/>
          </w:rPr>
          <w:t>10.1002/adma.202515150</w:t>
        </w:r>
      </w:hyperlink>
    </w:p>
    <w:p>
      <w:pPr>
        <w:spacing w:before="0" w:after="120"/>
      </w:pPr>
      <w:r>
        <w:rPr>
          <w:b/>
        </w:rPr>
        <w:t xml:space="preserve">Notes: </w:t>
      </w:r>
      <w:r>
        <w:t>abstract_source=crossref</w:t>
      </w:r>
    </w:p>
    <w:p>
      <w:pPr>
        <w:spacing w:before="0" w:after="200" w:lineRule="auto" w:line="276"/>
      </w:pPr>
      <w:r>
        <w:rPr>
          <w:b/>
        </w:rPr>
        <w:t xml:space="preserve">Abstract: </w:t>
      </w:r>
      <w:r>
        <w:t>2D Van der Waals ferromagnet Fe</w:t>
      </w:r>
      <w:r>
        <w:t xml:space="preserve"> </w:t>
      </w:r>
      <w:r>
        <w:t>5‐x</w:t>
      </w:r>
      <w:r>
        <w:t xml:space="preserve"> </w:t>
      </w:r>
      <w:r>
        <w:t>GeTe</w:t>
      </w:r>
      <w:r>
        <w:rPr>
          <w:vertAlign w:val="subscript"/>
        </w:rPr>
        <w:t>2</w:t>
      </w:r>
      <w:r>
        <w:t>(F5GT) is promising for spintronic applications due to its high Curie temperature, layered structure, and ability to host complex magnetic textures. However, the origin of its sample‐dependent magnetic anisotropy remains unclear, hindering control of its magnetic behavior. Here, spatially resolved cryogenic scanning transmission electron microscopy (STEM) is used to correlatively map magnetism, lattice structure, and chemistry across atomic‐to‐micron scales. This is revealed that only mesoscale, not nanoscale, inclusions of a Fe‐deficient secondary phase significantly modify magnetic behavior, establishing a previously unrecognized critical length scale. This phase separation, induced by quenching, leads to in‐plane magnetic anisotropy, while slow cooling confines separation to a few nanometers and preserves out‐of‐plane anisotropy. These findings reconcile prior inconsistencies and establish a predictive framework for tuning magnetism in F5GT through thermal processing, with broader implications for controlling anisotropy in other 2D magnetic materials.</w:t>
      </w:r>
    </w:p>
    <w:p>
      <w:pPr>
        <w:spacing w:before="120" w:after="120"/>
      </w:pPr>
      <w:r>
        <w:rPr>
          <w:sz w:val="18"/>
        </w:rPr>
        <w:t>——————————————————————————————————————————————————————————————————————</w:t>
      </w:r>
    </w:p>
    <w:p>
      <w:pPr>
        <w:spacing w:before="160" w:after="80" w:line="240" w:lineRule="auto"/>
      </w:pPr>
      <w:r>
        <w:rPr>
          <w:b/>
        </w:rPr>
        <w:t xml:space="preserve">[402] </w:t>
      </w:r>
      <w:hyperlink r:id="rId699">
        <w:r>
          <w:rPr>
            <w:color w:val="1155CC"/>
            <w:u w:val="single"/>
          </w:rPr>
          <w:t>Ferroelectric‐Configured In‐Sensor Dynamic Computing with 2D Perovskites for Dim Object Recognition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09:22:15+00:00</w:t>
      </w:r>
      <w:r>
        <w:t xml:space="preserve">    </w:t>
      </w:r>
      <w:r>
        <w:rPr>
          <w:b/>
        </w:rPr>
        <w:t xml:space="preserve">DOI: </w:t>
      </w:r>
      <w:hyperlink r:id="rId700">
        <w:r>
          <w:rPr>
            <w:color w:val="1155CC"/>
            <w:u w:val="single"/>
          </w:rPr>
          <w:t>10.1002/adma.202520823</w:t>
        </w:r>
      </w:hyperlink>
    </w:p>
    <w:p>
      <w:pPr>
        <w:spacing w:before="0" w:after="120"/>
      </w:pPr>
      <w:r>
        <w:rPr>
          <w:b/>
        </w:rPr>
        <w:t xml:space="preserve">Notes: </w:t>
      </w:r>
      <w:r>
        <w:t>abstract_source=crossref</w:t>
      </w:r>
    </w:p>
    <w:p>
      <w:pPr>
        <w:spacing w:before="0" w:after="200" w:lineRule="auto" w:line="276"/>
      </w:pPr>
      <w:r>
        <w:rPr>
          <w:b/>
        </w:rPr>
        <w:t xml:space="preserve">Abstract: </w:t>
      </w:r>
      <w:r>
        <w:t>Machine vision systems face significant challenges in accurately extracting critical features from dim objects under complex scenarios. Here, we demonstrate a ferroelectric‐configured weight‐reconfigurable photovoltaic device array for in‐sensor dynamic computing, enabling robust recognition of dim objects. A series of 2D perovskite ferroelectric nanoplates with controllable size, high crystallinity, and excellent yield are directly synthesized. Reconfigurable and nonvolatile photovoltaics in a graphene/ferroelectric/graphene heterostructure are modulated through switchable ferroelectric polarization. Leveraging the ferroelectric‐configured photoresponsivity, a convolution kernel optoelectronic sensor array with dynamic correlation of adjacent units is designed for in‐sensor dynamic computing. Compared with traditional static optoelectronic convolution processing, our approach selectively amplifies subtle differences of local image pixels, enabling effective edge feature extraction even in low‐contrast scenes. Integrated with a convolutional neural network, the system significantly enhances the robustness and accuracy of dim object detection, offering a promising platform for advanced machine vision applications.</w:t>
      </w:r>
    </w:p>
    <w:p>
      <w:pPr>
        <w:spacing w:before="120" w:after="120"/>
      </w:pPr>
      <w:r>
        <w:rPr>
          <w:sz w:val="18"/>
        </w:rPr>
        <w:t>——————————————————————————————————————————————————————————————————————</w:t>
      </w:r>
    </w:p>
    <w:p>
      <w:pPr>
        <w:spacing w:before="160" w:after="80" w:line="240" w:lineRule="auto"/>
      </w:pPr>
      <w:r>
        <w:rPr>
          <w:b/>
        </w:rPr>
        <w:t xml:space="preserve">[403] </w:t>
      </w:r>
      <w:hyperlink r:id="rId701">
        <w:r>
          <w:rPr>
            <w:color w:val="1155CC"/>
            <w:u w:val="single"/>
          </w:rPr>
          <w:t>Tellurophene‐Induced Triplet–Singlet Spin‐Flip Acceleration: An Advanced Design for Narrowband Organoboron Emitters with Fast Reverse Intersystem Crossing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09:26:49+00:00</w:t>
      </w:r>
      <w:r>
        <w:t xml:space="preserve">    </w:t>
      </w:r>
      <w:r>
        <w:rPr>
          <w:b/>
        </w:rPr>
        <w:t xml:space="preserve">DOI: </w:t>
      </w:r>
      <w:hyperlink r:id="rId702">
        <w:r>
          <w:rPr>
            <w:color w:val="1155CC"/>
            <w:u w:val="single"/>
          </w:rPr>
          <w:t>10.1002/anie.202524098</w:t>
        </w:r>
      </w:hyperlink>
    </w:p>
    <w:p>
      <w:pPr>
        <w:spacing w:before="0" w:after="120"/>
      </w:pPr>
      <w:r>
        <w:rPr>
          <w:b/>
        </w:rPr>
        <w:t xml:space="preserve">Notes: </w:t>
      </w:r>
      <w:r>
        <w:t>abstract_source=crossref</w:t>
      </w:r>
    </w:p>
    <w:p>
      <w:pPr>
        <w:spacing w:before="0" w:after="200" w:lineRule="auto" w:line="276"/>
      </w:pPr>
      <w:r>
        <w:rPr>
          <w:b/>
        </w:rPr>
        <w:t xml:space="preserve">Abstract: </w:t>
      </w:r>
      <w:r>
        <w:t>Organoboron narrowband emitters leveraging the multi‐resonance (MR) effect have emerged as key material components for wide‐color‐gamut organic light‐emitting diodes (OLEDs) that offer high efficiency and excellent color reproducibility. However, conventional MR‐type thermally activated delayed fluorescence (MR‐TADF) emitters suffer from severe efficiency roll‐off in OLEDs operated at high brightness due to slow reverse intersystem crossing (RISC). Here, we report the first MR‐TADF emitters incorporating tellurium (Te)—the heaviest stable chalcogen—to accelerate the spin‐flip RISC process through enhanced spin–orbit coupling. Our design strategy involves tethering dibenzo[</w:t>
      </w:r>
      <w:r>
        <w:t xml:space="preserve"> </w:t>
      </w:r>
      <w:r>
        <w:t>b</w:t>
      </w:r>
      <w:r>
        <w:t xml:space="preserve"> </w:t>
      </w:r>
      <w:r>
        <w:t>,</w:t>
      </w:r>
      <w:r>
        <w:t xml:space="preserve"> </w:t>
      </w:r>
      <w:r>
        <w:t>d</w:t>
      </w:r>
      <w:r>
        <w:t xml:space="preserve"> </w:t>
      </w:r>
      <w:r>
        <w:t>]tellurophene as a RISC booster to a representative MR skeleton, thereby promoting efficient delayed fluorescence. The resulting Te‐containing MR‐TADF emitters exhibit fast RISC rates of up to 2.8 × 10</w:t>
      </w:r>
      <w:r>
        <w:rPr>
          <w:vertAlign w:val="subscript"/>
        </w:rPr>
        <w:t>6</w:t>
      </w:r>
      <w:r>
        <w:t>s</w:t>
      </w:r>
      <w:r>
        <w:t xml:space="preserve"> </w:t>
      </w:r>
      <w:r>
        <w:t>−1</w:t>
      </w:r>
      <w:r>
        <w:t xml:space="preserve"> </w:t>
      </w:r>
      <w:r>
        <w:t>and narrow emission bandwidths of 23–25 nm in solution. OLEDs fabricated with these emitters achieve exceptional high external quantum efficiencies (EQEs) of up to 35.3%, with significantly reduced efficiency roll‐off, maintaining EQEs of 32.2% and 25.4% even at very high brightness levels of 10</w:t>
      </w:r>
      <w:r>
        <w:rPr>
          <w:vertAlign w:val="subscript"/>
        </w:rPr>
        <w:t>3</w:t>
      </w:r>
      <w:r>
        <w:t>and 10</w:t>
      </w:r>
      <w:r>
        <w:rPr>
          <w:vertAlign w:val="subscript"/>
        </w:rPr>
        <w:t>4</w:t>
      </w:r>
      <w:r>
        <w:t>cd m</w:t>
      </w:r>
      <w:r>
        <w:t xml:space="preserve"> </w:t>
      </w:r>
      <w:r>
        <w:t>−2</w:t>
      </w:r>
      <w:r>
        <w:t xml:space="preserve"> </w:t>
      </w:r>
      <w:r>
        <w:t>, respectively. This study demonstrates the potential of Te‐containing MR‐TADF systems for next‐generation OLEDs and highlights their functional impact on device performance.</w:t>
      </w:r>
    </w:p>
    <w:p>
      <w:pPr>
        <w:spacing w:before="120" w:after="120"/>
      </w:pPr>
      <w:r>
        <w:rPr>
          <w:sz w:val="18"/>
        </w:rPr>
        <w:t>——————————————————————————————————————————————————————————————————————</w:t>
      </w:r>
    </w:p>
    <w:p>
      <w:pPr>
        <w:spacing w:before="160" w:after="80" w:line="240" w:lineRule="auto"/>
      </w:pPr>
      <w:r>
        <w:rPr>
          <w:b/>
        </w:rPr>
        <w:t xml:space="preserve">[404] </w:t>
      </w:r>
      <w:hyperlink r:id="rId703">
        <w:r>
          <w:rPr>
            <w:color w:val="1155CC"/>
            <w:u w:val="single"/>
          </w:rPr>
          <w:t>Exploring the World of Double Nanohoops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09:27:30+00:00</w:t>
      </w:r>
      <w:r>
        <w:t xml:space="preserve">    </w:t>
      </w:r>
      <w:r>
        <w:rPr>
          <w:b/>
        </w:rPr>
        <w:t xml:space="preserve">DOI: </w:t>
      </w:r>
      <w:hyperlink r:id="rId704">
        <w:r>
          <w:rPr>
            <w:color w:val="1155CC"/>
            <w:u w:val="single"/>
          </w:rPr>
          <w:t>10.1002/anie.202516208</w:t>
        </w:r>
      </w:hyperlink>
    </w:p>
    <w:p>
      <w:pPr>
        <w:spacing w:before="0" w:after="120"/>
      </w:pPr>
      <w:r>
        <w:rPr>
          <w:b/>
        </w:rPr>
        <w:t xml:space="preserve">Notes: </w:t>
      </w:r>
      <w:r>
        <w:t>abstract_source=crossref</w:t>
      </w:r>
    </w:p>
    <w:p>
      <w:pPr>
        <w:spacing w:before="0" w:after="200" w:lineRule="auto" w:line="276"/>
      </w:pPr>
      <w:r>
        <w:rPr>
          <w:b/>
        </w:rPr>
        <w:t xml:space="preserve">Abstract: </w:t>
      </w:r>
      <w:r>
        <w:t>Conjugated nanohoops have become highly relevant compounds based on their unique conjugation, structural, optoelectronic, and morphological properties. Recent synthetic efforts have progressed to access more elaborate structures, incorporating two conjugated nanohoops covalently linked by a central linking unit, so‐called double nanohoops. Double nanohoops broaden the molecular diversity of strained nanocarbons, and they can show properties exceeding those of single nanohoops. They are often inherently chiral and attractive candidates as chiral‐polarized‐light emitters, and with two cavities are interesting supramolecular hosts. We herein provide an overview of double nanohoops reported to date, with loops built from only oligo(paraphenylene) units. We categorize their structures into phenylene‐linked double nanohoops, double nanohoops with X‐linkers, zig‐zag double nanohoops, lemniscular double nanohoops, and “other” double nanohoops. We identify four main synthetic pathways that are typically employed, making use of kinked precursors to oligo(paraphenylenes). We individually discuss properties and applications of each double nanohoop. This review shows that creativity and synthetic endurance can furnish unique double nanohoop structures with attractive chiroptical as well as supramolecular properties.</w:t>
      </w:r>
    </w:p>
    <w:p>
      <w:pPr>
        <w:spacing w:before="120" w:after="120"/>
      </w:pPr>
      <w:r>
        <w:rPr>
          <w:sz w:val="18"/>
        </w:rPr>
        <w:t>——————————————————————————————————————————————————————————————————————</w:t>
      </w:r>
    </w:p>
    <w:p>
      <w:pPr>
        <w:spacing w:before="160" w:after="80" w:line="240" w:lineRule="auto"/>
      </w:pPr>
      <w:r>
        <w:rPr>
          <w:b/>
        </w:rPr>
        <w:t xml:space="preserve">[405] </w:t>
      </w:r>
      <w:hyperlink r:id="rId705">
        <w:r>
          <w:rPr>
            <w:color w:val="1155CC"/>
            <w:u w:val="single"/>
          </w:rPr>
          <w:t>Single‐Atom‐Modulated Reactive Oxygen Species Generation and Network Crosslinking in Porphyrin‐Based Metallacages for Selective Photocatalysis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09:29:55+00:00</w:t>
      </w:r>
      <w:r>
        <w:t xml:space="preserve">    </w:t>
      </w:r>
      <w:r>
        <w:rPr>
          <w:b/>
        </w:rPr>
        <w:t xml:space="preserve">DOI: </w:t>
      </w:r>
      <w:hyperlink r:id="rId706">
        <w:r>
          <w:rPr>
            <w:color w:val="1155CC"/>
            <w:u w:val="single"/>
          </w:rPr>
          <w:t>10.1002/anie.202525287</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over the photocatalytic selectivity by single atoms is ubiquitous in natural systems but remains a formidable challenge for artificial photocatalysts. Here, we present a series of porphyrin‐based metallacages with nearly identical architectures that differ only in the central metal atoms (Co, Ni, Cu, and Zn) of the porphyrin ligands. The distinct</w:t>
      </w:r>
      <w:r>
        <w:t xml:space="preserve"> </w:t>
      </w:r>
      <w:r>
        <w:t>d</w:t>
      </w:r>
      <w:r>
        <w:t xml:space="preserve"> </w:t>
      </w:r>
      <w:r>
        <w:t>‐orbital electron distribution of these metal centers governs ligand‐to‐metal charge transfer, resulting in divergent reactive oxygen species (ROS) generation pathways. The Co–porphyrin cage promotes electron transfer to produce superoxide anion (O</w:t>
      </w:r>
      <w:r>
        <w:rPr>
          <w:vertAlign w:val="subscript"/>
        </w:rPr>
        <w:t>2</w:t>
      </w:r>
      <w:r>
        <w:t>•−</w:t>
      </w:r>
      <w:r>
        <w:t>), whereas the Zn–porphyrin cage favors energy transfer to generate singlet oxygen (</w:t>
      </w:r>
      <w:r>
        <w:rPr>
          <w:vertAlign w:val="subscript"/>
        </w:rPr>
        <w:t>1</w:t>
      </w:r>
      <w:r>
        <w:t>O</w:t>
      </w:r>
      <w:r>
        <w:rPr>
          <w:vertAlign w:val="subscript"/>
        </w:rPr>
        <w:t>2</w:t>
      </w:r>
      <w:r>
        <w:t>); Ni‐ and Cu‐porphyrin cages exhibit dual behavior. These variations lead to distinct oxidation selectivity of α‐terpinene, yielding either</w:t>
      </w:r>
      <w:r>
        <w:t xml:space="preserve"> </w:t>
      </w:r>
      <w:r>
        <w:t>p</w:t>
      </w:r>
      <w:r>
        <w:t xml:space="preserve"> </w:t>
      </w:r>
      <w:r>
        <w:t>‐cymene (via O</w:t>
      </w:r>
      <w:r>
        <w:rPr>
          <w:vertAlign w:val="subscript"/>
        </w:rPr>
        <w:t>2</w:t>
      </w:r>
      <w:r>
        <w:t>•−</w:t>
      </w:r>
      <w:r>
        <w:t>) or ascaridole (via</w:t>
      </w:r>
      <w:r>
        <w:rPr>
          <w:vertAlign w:val="subscript"/>
        </w:rPr>
        <w:t>1</w:t>
      </w:r>
      <w:r>
        <w:t>O</w:t>
      </w:r>
      <w:r>
        <w:rPr>
          <w:vertAlign w:val="subscript"/>
        </w:rPr>
        <w:t>2</w:t>
      </w:r>
      <w:r>
        <w:t>). Moreover, secondary coordination between the porphyrin metals and poly(4‐vinylpyridine) affords robust supramolecular networks for heterogeneous catalysis with enhanced stability and recyclability. This study establishes single‐atom modulation within metallacage frameworks as an effective strategy to control ROS generation and photocatalytic selectivity, paving the way toward the practical applications of metallacage‐based photocatalytic systems.</w:t>
      </w:r>
    </w:p>
    <w:p>
      <w:pPr>
        <w:spacing w:before="120" w:after="120"/>
      </w:pPr>
      <w:r>
        <w:rPr>
          <w:sz w:val="18"/>
        </w:rPr>
        <w:t>——————————————————————————————————————————————————————————————————————</w:t>
      </w:r>
    </w:p>
    <w:p>
      <w:pPr>
        <w:spacing w:before="160" w:after="80" w:line="240" w:lineRule="auto"/>
      </w:pPr>
      <w:r>
        <w:rPr>
          <w:b/>
        </w:rPr>
        <w:t xml:space="preserve">[406] </w:t>
      </w:r>
      <w:hyperlink r:id="rId707">
        <w:r>
          <w:rPr>
            <w:color w:val="1155CC"/>
            <w:u w:val="single"/>
          </w:rPr>
          <w:t>Perspective: OLED Displays Singing with the Blues</w:t>
        </w:r>
      </w:hyperlink>
    </w:p>
    <w:p>
      <w:pPr>
        <w:spacing w:before="0" w:after="120" w:line="240" w:lineRule="auto"/>
      </w:pPr>
      <w:r>
        <w:rPr>
          <w:b/>
        </w:rPr>
        <w:t xml:space="preserve">Source: </w:t>
      </w:r>
      <w:r>
        <w:t>Wiley: Advanced Materials: Table of Contents</w:t>
      </w:r>
      <w:r>
        <w:t xml:space="preserve">    </w:t>
      </w:r>
      <w:r>
        <w:rPr>
          <w:b/>
        </w:rPr>
        <w:t xml:space="preserve">Pub date: </w:t>
      </w:r>
      <w:r>
        <w:t>2025-12-26 09:31:21+00:00</w:t>
      </w:r>
      <w:r>
        <w:t xml:space="preserve">    </w:t>
      </w:r>
      <w:r>
        <w:rPr>
          <w:b/>
        </w:rPr>
        <w:t xml:space="preserve">DOI: </w:t>
      </w:r>
      <w:hyperlink r:id="rId708">
        <w:r>
          <w:rPr>
            <w:color w:val="1155CC"/>
            <w:u w:val="single"/>
          </w:rPr>
          <w:t>10.1002/adma.202519327</w:t>
        </w:r>
      </w:hyperlink>
    </w:p>
    <w:p>
      <w:pPr>
        <w:spacing w:before="0" w:after="120"/>
      </w:pPr>
      <w:r>
        <w:rPr>
          <w:b/>
        </w:rPr>
        <w:t xml:space="preserve">Notes: </w:t>
      </w:r>
      <w:r>
        <w:t>abstract_source=crossref</w:t>
      </w:r>
    </w:p>
    <w:p>
      <w:pPr>
        <w:spacing w:before="0" w:after="200" w:lineRule="auto" w:line="276"/>
      </w:pPr>
      <w:r>
        <w:rPr>
          <w:b/>
        </w:rPr>
        <w:t xml:space="preserve">Abstract: </w:t>
      </w:r>
      <w:r>
        <w:t>While blue pixels consume approximately 50% of the energy of organic light‐emitting diode (OLED) display front planes, in the 25 years since their invention, 100% internal efficiency phosphorescent OLEDs (PHOLEDs) have not met the stability standards necessary for their adoption. In this perspective, we discuss the significant progress and challenges encountered during this long journey of exploration and discovery. Today, using a combination of solutions including robust molecular design, graded doping of the emission layer, increasing the optical density of states to decrease the triplet radiative lifetime, and employing light outcoupling schemes, deep blue PHOLEDs are now achieving lifetimes approaching those of their green analogs. This perspective elaborates on the challenges and opportunities confronting further development of triplet‐controlled emitters, including PHOLEDs using heavy‐metal phosphors and thermally activated delayed fluorescent OLEDs. We also address some persistent problems commonly found in the literature concerning the measurement of quantum efficiency and operational lifetime.</w:t>
      </w:r>
    </w:p>
    <w:p>
      <w:pPr>
        <w:spacing w:before="120" w:after="120"/>
      </w:pPr>
      <w:r>
        <w:rPr>
          <w:sz w:val="18"/>
        </w:rPr>
        <w:t>——————————————————————————————————————————————————————————————————————</w:t>
      </w:r>
    </w:p>
    <w:p>
      <w:pPr>
        <w:spacing w:before="160" w:after="80" w:line="240" w:lineRule="auto"/>
      </w:pPr>
      <w:r>
        <w:rPr>
          <w:b/>
        </w:rPr>
        <w:t xml:space="preserve">[407] </w:t>
      </w:r>
      <w:hyperlink r:id="rId709">
        <w:r>
          <w:rPr>
            <w:color w:val="1155CC"/>
            <w:u w:val="single"/>
          </w:rPr>
          <w:t>Crosslinked Vinyl‐Capped Polyoxometalates to Construct a Three‐Dimensional Porous Inorganic–Organic Catalyst to Effectively Suppress Polysulfide Shuttle in Li–S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09:32:19+00:00</w:t>
      </w:r>
      <w:r>
        <w:t xml:space="preserve">    </w:t>
      </w:r>
      <w:r>
        <w:rPr>
          <w:b/>
        </w:rPr>
        <w:t xml:space="preserve">DOI: </w:t>
      </w:r>
      <w:hyperlink r:id="rId710">
        <w:r>
          <w:rPr>
            <w:color w:val="1155CC"/>
            <w:u w:val="single"/>
          </w:rPr>
          <w:t>10.1002/aenm.202505978</w:t>
        </w:r>
      </w:hyperlink>
    </w:p>
    <w:p>
      <w:pPr>
        <w:spacing w:before="0" w:after="120"/>
      </w:pPr>
      <w:r>
        <w:rPr>
          <w:b/>
        </w:rPr>
        <w:t xml:space="preserve">Notes: </w:t>
      </w:r>
      <w:r>
        <w:t>abstract_source=crossref</w:t>
      </w:r>
    </w:p>
    <w:p>
      <w:pPr>
        <w:spacing w:before="0" w:after="200" w:lineRule="auto" w:line="276"/>
      </w:pPr>
      <w:r>
        <w:rPr>
          <w:b/>
        </w:rPr>
        <w:t xml:space="preserve">Abstract: </w:t>
      </w:r>
      <w:r>
        <w:t>Polyoxometalates (POMs) show promise for lithium–sulfur (Li–S) batteries but suffer from dissolution in the electrolyte during reaction. Therefore, fabricating stable 3D POM catalysts for high‐performance Li–S batteries presents a challenge. Herein, we address this by attaching acrylic isocyanate ligands to Anderson‐type POM clusters via amine‐isocyanate reactions, forming vinyl‐capped POMs, [(</w:t>
      </w:r>
      <w:r>
        <w:t xml:space="preserve"> </w:t>
      </w:r>
      <w:r>
        <w:t>n</w:t>
      </w:r>
      <w:r>
        <w:t xml:space="preserve"> </w:t>
      </w:r>
      <w:r>
        <w:t>‐C</w:t>
      </w:r>
      <w:r>
        <w:rPr>
          <w:vertAlign w:val="subscript"/>
        </w:rPr>
        <w:t>4</w:t>
      </w:r>
      <w:r>
        <w:t>H</w:t>
      </w:r>
      <w:r>
        <w:rPr>
          <w:vertAlign w:val="subscript"/>
        </w:rPr>
        <w:t>9</w:t>
      </w:r>
      <w:r>
        <w:t>)</w:t>
      </w:r>
      <w:r>
        <w:rPr>
          <w:vertAlign w:val="subscript"/>
        </w:rPr>
        <w:t>4</w:t>
      </w:r>
      <w:r>
        <w:t>N]</w:t>
      </w:r>
      <w:r>
        <w:rPr>
          <w:vertAlign w:val="subscript"/>
        </w:rPr>
        <w:t>3</w:t>
      </w:r>
      <w:r>
        <w:t>[MnMo</w:t>
      </w:r>
      <w:r>
        <w:rPr>
          <w:vertAlign w:val="subscript"/>
        </w:rPr>
        <w:t>6</w:t>
      </w:r>
      <w:r>
        <w:t>O</w:t>
      </w:r>
      <w:r>
        <w:rPr>
          <w:vertAlign w:val="subscript"/>
        </w:rPr>
        <w:t>24</w:t>
      </w:r>
      <w:r>
        <w:t>(C</w:t>
      </w:r>
      <w:r>
        <w:rPr>
          <w:vertAlign w:val="subscript"/>
        </w:rPr>
        <w:t>20</w:t>
      </w:r>
      <w:r>
        <w:t>H</w:t>
      </w:r>
      <w:r>
        <w:rPr>
          <w:vertAlign w:val="subscript"/>
        </w:rPr>
        <w:t>30</w:t>
      </w:r>
      <w:r>
        <w:t>N</w:t>
      </w:r>
      <w:r>
        <w:rPr>
          <w:vertAlign w:val="subscript"/>
        </w:rPr>
        <w:t>4</w:t>
      </w:r>
      <w:r>
        <w:t>O</w:t>
      </w:r>
      <w:r>
        <w:rPr>
          <w:vertAlign w:val="subscript"/>
        </w:rPr>
        <w:t>6</w:t>
      </w:r>
      <w:r>
        <w:t>)] (vinyl‐MnMo</w:t>
      </w:r>
      <w:r>
        <w:rPr>
          <w:vertAlign w:val="subscript"/>
        </w:rPr>
        <w:t>6</w:t>
      </w:r>
      <w:r>
        <w:t>) and [(</w:t>
      </w:r>
      <w:r>
        <w:t xml:space="preserve"> </w:t>
      </w:r>
      <w:r>
        <w:t>n</w:t>
      </w:r>
      <w:r>
        <w:t xml:space="preserve"> </w:t>
      </w:r>
      <w:r>
        <w:t>‐C</w:t>
      </w:r>
      <w:r>
        <w:rPr>
          <w:vertAlign w:val="subscript"/>
        </w:rPr>
        <w:t>4</w:t>
      </w:r>
      <w:r>
        <w:t>H</w:t>
      </w:r>
      <w:r>
        <w:rPr>
          <w:vertAlign w:val="subscript"/>
        </w:rPr>
        <w:t>9</w:t>
      </w:r>
      <w:r>
        <w:t>)</w:t>
      </w:r>
      <w:r>
        <w:rPr>
          <w:vertAlign w:val="subscript"/>
        </w:rPr>
        <w:t>4</w:t>
      </w:r>
      <w:r>
        <w:t>N]</w:t>
      </w:r>
      <w:r>
        <w:rPr>
          <w:vertAlign w:val="subscript"/>
        </w:rPr>
        <w:t>3</w:t>
      </w:r>
      <w:r>
        <w:t>[CoMo</w:t>
      </w:r>
      <w:r>
        <w:rPr>
          <w:vertAlign w:val="subscript"/>
        </w:rPr>
        <w:t>6</w:t>
      </w:r>
      <w:r>
        <w:t>O</w:t>
      </w:r>
      <w:r>
        <w:rPr>
          <w:vertAlign w:val="subscript"/>
        </w:rPr>
        <w:t>24</w:t>
      </w:r>
      <w:r>
        <w:t>(C</w:t>
      </w:r>
      <w:r>
        <w:rPr>
          <w:vertAlign w:val="subscript"/>
        </w:rPr>
        <w:t>20</w:t>
      </w:r>
      <w:r>
        <w:t>H</w:t>
      </w:r>
      <w:r>
        <w:rPr>
          <w:vertAlign w:val="subscript"/>
        </w:rPr>
        <w:t>30</w:t>
      </w:r>
      <w:r>
        <w:t>N</w:t>
      </w:r>
      <w:r>
        <w:rPr>
          <w:vertAlign w:val="subscript"/>
        </w:rPr>
        <w:t>4</w:t>
      </w:r>
      <w:r>
        <w:t>O</w:t>
      </w:r>
      <w:r>
        <w:rPr>
          <w:vertAlign w:val="subscript"/>
        </w:rPr>
        <w:t>6</w:t>
      </w:r>
      <w:r>
        <w:t>)] (vinyl‐CoMo</w:t>
      </w:r>
      <w:r>
        <w:rPr>
          <w:vertAlign w:val="subscript"/>
        </w:rPr>
        <w:t>6</w:t>
      </w:r>
      <w:r>
        <w:t>). Through further cross‐linking reactions of the capped vinyl groups, these POM monomers form insoluble, non‐crystalline 3D POM frameworks (poly‐MnMo</w:t>
      </w:r>
      <w:r>
        <w:rPr>
          <w:vertAlign w:val="subscript"/>
        </w:rPr>
        <w:t>6</w:t>
      </w:r>
      <w:r>
        <w:t>or poly‐CoMo</w:t>
      </w:r>
      <w:r>
        <w:rPr>
          <w:vertAlign w:val="subscript"/>
        </w:rPr>
        <w:t>6</w:t>
      </w:r>
      <w:r>
        <w:t>). Theoretical calculations and in situ Raman spectroscopy demonstrate that organic ligand modification optimizes the electronic structure of POM skeletons, enhancing lithium polysulfide adsorption and catalytic conversion kinetics. As separator modification layers, these frameworks suppress polysulfide shuttling and facilitate uniform Li</w:t>
      </w:r>
      <w:r>
        <w:t xml:space="preserve"> </w:t>
      </w:r>
      <w:r>
        <w:t>+</w:t>
      </w:r>
      <w:r>
        <w:t xml:space="preserve"> </w:t>
      </w:r>
      <w:r>
        <w:t>diffusion for homogeneous Li deposition. Even under conditions of high sulfur loading (4.0 mg cm</w:t>
      </w:r>
      <w:r>
        <w:t xml:space="preserve"> </w:t>
      </w:r>
      <w:r>
        <w:t>−2</w:t>
      </w:r>
      <w:r>
        <w:t xml:space="preserve"> </w:t>
      </w:r>
      <w:r>
        <w:t>) and high rate (2.0 C), Li–S batteries equipped with poly‐MnMo</w:t>
      </w:r>
      <w:r>
        <w:rPr>
          <w:vertAlign w:val="subscript"/>
        </w:rPr>
        <w:t>6</w:t>
      </w:r>
      <w:r>
        <w:t>‐modified separators are capable of stable operation over 150 cycles with a capacity of 514.7 mAh g</w:t>
      </w:r>
      <w:r>
        <w:t xml:space="preserve"> </w:t>
      </w:r>
      <w:r>
        <w:t>−1</w:t>
      </w:r>
      <w:r>
        <w:t xml:space="preserve"> </w:t>
      </w:r>
      <w:r>
        <w:t>. Li//Li symmetric batteries with such separators exhibit stable operation over 1500 h. This study employs end‐group active moieties for cross‐linking to construct 3D porous POM frameworks, establishing a novel strategy for the design of highly active catalytic materials for Li–S batteries.</w:t>
      </w:r>
    </w:p>
    <w:p>
      <w:pPr>
        <w:spacing w:before="120" w:after="120"/>
      </w:pPr>
      <w:r>
        <w:rPr>
          <w:sz w:val="18"/>
        </w:rPr>
        <w:t>——————————————————————————————————————————————————————————————————————</w:t>
      </w:r>
    </w:p>
    <w:p>
      <w:pPr>
        <w:spacing w:before="160" w:after="80" w:line="240" w:lineRule="auto"/>
      </w:pPr>
      <w:r>
        <w:rPr>
          <w:b/>
        </w:rPr>
        <w:t xml:space="preserve">[408] </w:t>
      </w:r>
      <w:hyperlink r:id="rId711">
        <w:r>
          <w:rPr>
            <w:color w:val="1155CC"/>
            <w:u w:val="single"/>
          </w:rPr>
          <w:t>Optical Vortex‐Induced Chiral Nanotubes of Tetra(4‐sulfonatophenyl)porphyrin for Enantioselective Catalysis of Dihydroxy Phenylalanine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09:32:40+00:00</w:t>
      </w:r>
      <w:r>
        <w:t xml:space="preserve">    </w:t>
      </w:r>
      <w:r>
        <w:rPr>
          <w:b/>
        </w:rPr>
        <w:t xml:space="preserve">DOI: </w:t>
      </w:r>
      <w:hyperlink r:id="rId712">
        <w:r>
          <w:rPr>
            <w:color w:val="1155CC"/>
            <w:u w:val="single"/>
          </w:rPr>
          <w:t>10.1002/anie.202515289</w:t>
        </w:r>
      </w:hyperlink>
    </w:p>
    <w:p>
      <w:pPr>
        <w:spacing w:before="0" w:after="120"/>
      </w:pPr>
      <w:r>
        <w:rPr>
          <w:b/>
        </w:rPr>
        <w:t xml:space="preserve">Notes: </w:t>
      </w:r>
      <w:r>
        <w:t>abstract_source=crossref</w:t>
      </w:r>
    </w:p>
    <w:p>
      <w:pPr>
        <w:spacing w:before="0" w:after="200" w:lineRule="auto" w:line="276"/>
      </w:pPr>
      <w:r>
        <w:rPr>
          <w:b/>
        </w:rPr>
        <w:t xml:space="preserve">Abstract: </w:t>
      </w:r>
      <w:r>
        <w:t>Achieving symmetry breaking and controlling the initial chirality of molecular assemblies are crucial for understanding the origin of chirality in nature. However, weak chiral interactions among small organic precursors render this process inherently difficult to manipulate. Herein, we report a light‐driven chiral assembly of tetra(4‐sulfonatophenyl) porphyrin (TPPS) into enantiomerically enriched nanotubes using optical vortices (OVs), enabling chiral catalysis of D/L‐dihydroxy phenylalanine successfully. The resulting TPPS nanotubes comprise plus (P)‐ and minus (M)‐type aggregates, each exhibiting a distinct circular dichroism signal at 490 nm that correlates with the use of a positive or negative OV topological charge (). Mechanistic investigations show that OVs trap TPPS monomers bearing the opposite  value, thereby inducing rotation and distortion of nascent aggregates through optical forces and hydrodynamic coupling. Our findings establish a new paradigm for light‐controlled chiral assembly via weak interactions and offer insight into supramolecular symmetry breaking for chiral catalysis.</w:t>
      </w:r>
    </w:p>
    <w:p>
      <w:pPr>
        <w:spacing w:before="120" w:after="120"/>
      </w:pPr>
      <w:r>
        <w:rPr>
          <w:sz w:val="18"/>
        </w:rPr>
        <w:t>——————————————————————————————————————————————————————————————————————</w:t>
      </w:r>
    </w:p>
    <w:p>
      <w:pPr>
        <w:spacing w:before="160" w:after="80" w:line="240" w:lineRule="auto"/>
      </w:pPr>
      <w:r>
        <w:rPr>
          <w:b/>
        </w:rPr>
        <w:t xml:space="preserve">[409] </w:t>
      </w:r>
      <w:hyperlink r:id="rId713">
        <w:r>
          <w:rPr>
            <w:color w:val="1155CC"/>
            <w:u w:val="single"/>
          </w:rPr>
          <w:t>Concurrently Maximize CO2RR and Minimize HER: A Dual Catalytic Active Site Approach for Ampere‐Level CO2‐to‐CO Electrolysis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09:35:32+00:00</w:t>
      </w:r>
      <w:r>
        <w:t xml:space="preserve">    </w:t>
      </w:r>
      <w:r>
        <w:rPr>
          <w:b/>
        </w:rPr>
        <w:t xml:space="preserve">DOI: </w:t>
      </w:r>
      <w:hyperlink r:id="rId714">
        <w:r>
          <w:rPr>
            <w:color w:val="1155CC"/>
            <w:u w:val="single"/>
          </w:rPr>
          <w:t>10.1002/anie.202521247</w:t>
        </w:r>
      </w:hyperlink>
    </w:p>
    <w:p>
      <w:pPr>
        <w:spacing w:before="0" w:after="120"/>
      </w:pPr>
      <w:r>
        <w:rPr>
          <w:b/>
        </w:rPr>
        <w:t xml:space="preserve">Notes: </w:t>
      </w:r>
      <w:r>
        <w:t>abstract_source=crossref</w:t>
      </w:r>
    </w:p>
    <w:p>
      <w:pPr>
        <w:spacing w:before="0" w:after="200" w:lineRule="auto" w:line="276"/>
      </w:pPr>
      <w:r>
        <w:rPr>
          <w:b/>
        </w:rPr>
        <w:t xml:space="preserve">Abstract: </w:t>
      </w:r>
      <w:r>
        <w:t>The practical application of electrocatalytic CO</w:t>
      </w:r>
      <w:r>
        <w:rPr>
          <w:vertAlign w:val="subscript"/>
        </w:rPr>
        <w:t>2</w:t>
      </w:r>
      <w:r>
        <w:t>reduction reaction (CO</w:t>
      </w:r>
      <w:r>
        <w:rPr>
          <w:vertAlign w:val="subscript"/>
        </w:rPr>
        <w:t>2</w:t>
      </w:r>
      <w:r>
        <w:t>RR) holds a great promise but is hindered by low CO</w:t>
      </w:r>
      <w:r>
        <w:rPr>
          <w:vertAlign w:val="subscript"/>
        </w:rPr>
        <w:t>2</w:t>
      </w:r>
      <w:r>
        <w:t>solubility. Under CO</w:t>
      </w:r>
      <w:r>
        <w:rPr>
          <w:vertAlign w:val="subscript"/>
        </w:rPr>
        <w:t>2</w:t>
      </w:r>
      <w:r>
        <w:t>mass transfer limitations, the competing hydrogen evolution reaction (HER) is promoted, resulting in a decrease in CO</w:t>
      </w:r>
      <w:r>
        <w:rPr>
          <w:vertAlign w:val="subscript"/>
        </w:rPr>
        <w:t>2</w:t>
      </w:r>
      <w:r>
        <w:t>RR Faradaic efficiency. Before CO</w:t>
      </w:r>
      <w:r>
        <w:rPr>
          <w:vertAlign w:val="subscript"/>
        </w:rPr>
        <w:t>2</w:t>
      </w:r>
      <w:r>
        <w:t>supply reaches its maximum capacity, in neutral or alkaline conditions, increasing CO</w:t>
      </w:r>
      <w:r>
        <w:rPr>
          <w:vertAlign w:val="subscript"/>
        </w:rPr>
        <w:t>2</w:t>
      </w:r>
      <w:r>
        <w:t>RR selectivity requires additional hydrogen source from solvent H</w:t>
      </w:r>
      <w:r>
        <w:rPr>
          <w:vertAlign w:val="subscript"/>
        </w:rPr>
        <w:t>2</w:t>
      </w:r>
      <w:r>
        <w:t>O dissociation for CO</w:t>
      </w:r>
      <w:r>
        <w:rPr>
          <w:vertAlign w:val="subscript"/>
        </w:rPr>
        <w:t>2</w:t>
      </w:r>
      <w:r>
        <w:t>protonation. However, it is challenging to concurrently achieve CO</w:t>
      </w:r>
      <w:r>
        <w:rPr>
          <w:vertAlign w:val="subscript"/>
        </w:rPr>
        <w:t>2</w:t>
      </w:r>
      <w:r>
        <w:t>reduction and H</w:t>
      </w:r>
      <w:r>
        <w:rPr>
          <w:vertAlign w:val="subscript"/>
        </w:rPr>
        <w:t>2</w:t>
      </w:r>
      <w:r>
        <w:t>O dissociation at single active site. Herein, we synthesized a neighboring Ni‐Cr atomic pair configuration with distance of ∼2.7 Å. COMSOL Multiphysics finite‐element studies demonstrate that appropriate distance between dual active sites should be on the order of a few angstroms.</w:t>
      </w:r>
      <w:r>
        <w:t xml:space="preserve"> </w:t>
      </w:r>
      <w:r>
        <w:t>Operando</w:t>
      </w:r>
      <w:r>
        <w:t xml:space="preserve"> </w:t>
      </w:r>
      <w:r>
        <w:t>XAS and soft NEXAFS characterizations indicate that the Ni‐N</w:t>
      </w:r>
      <w:r>
        <w:rPr>
          <w:vertAlign w:val="subscript"/>
        </w:rPr>
        <w:t>3</w:t>
      </w:r>
      <w:r>
        <w:t>promotes CO</w:t>
      </w:r>
      <w:r>
        <w:rPr>
          <w:vertAlign w:val="subscript"/>
        </w:rPr>
        <w:t>2</w:t>
      </w:r>
      <w:r>
        <w:t>activation and Cr‐N</w:t>
      </w:r>
      <w:r>
        <w:rPr>
          <w:vertAlign w:val="subscript"/>
        </w:rPr>
        <w:t>2</w:t>
      </w:r>
      <w:r>
        <w:t>accelerates H</w:t>
      </w:r>
      <w:r>
        <w:rPr>
          <w:vertAlign w:val="subscript"/>
        </w:rPr>
        <w:t>2</w:t>
      </w:r>
      <w:r>
        <w:t>O dissociation. Theoretical investigations unveil the thermodynamic and kinetic superiorities of dual‐active‐site mechanism. Ni‐N</w:t>
      </w:r>
      <w:r>
        <w:rPr>
          <w:vertAlign w:val="subscript"/>
        </w:rPr>
        <w:t>3</w:t>
      </w:r>
      <w:r>
        <w:t>/Cr‐N</w:t>
      </w:r>
      <w:r>
        <w:rPr>
          <w:vertAlign w:val="subscript"/>
        </w:rPr>
        <w:t>2</w:t>
      </w:r>
      <w:r>
        <w:t>exhibits higher FE</w:t>
      </w:r>
      <w:r>
        <w:t xml:space="preserve"> </w:t>
      </w:r>
      <w:r>
        <w:t>CO</w:t>
      </w:r>
      <w:r>
        <w:t xml:space="preserve"> </w:t>
      </w:r>
      <w:r>
        <w:t>than Ni‐N</w:t>
      </w:r>
      <w:r>
        <w:rPr>
          <w:vertAlign w:val="subscript"/>
        </w:rPr>
        <w:t>3</w:t>
      </w:r>
      <w:r>
        <w:t>, whereas Cr‐N</w:t>
      </w:r>
      <w:r>
        <w:rPr>
          <w:vertAlign w:val="subscript"/>
        </w:rPr>
        <w:t>4</w:t>
      </w:r>
      <w:r>
        <w:t>displays a strong preference for HER. The zero‐gap MEA attains</w:t>
      </w:r>
      <w:r>
        <w:t xml:space="preserve"> </w:t>
      </w:r>
      <w:r>
        <w:t>J</w:t>
      </w:r>
      <w:r>
        <w:t xml:space="preserve"> </w:t>
      </w:r>
      <w:r>
        <w:t>of up to −1000 mA cm</w:t>
      </w:r>
      <w:r>
        <w:t xml:space="preserve"> </w:t>
      </w:r>
      <w:r>
        <w:t>−2</w:t>
      </w:r>
      <w:r>
        <w:t xml:space="preserve"> </w:t>
      </w:r>
      <w:r>
        <w:t>with a FE</w:t>
      </w:r>
      <w:r>
        <w:t xml:space="preserve"> </w:t>
      </w:r>
      <w:r>
        <w:t>CO</w:t>
      </w:r>
      <w:r>
        <w:t xml:space="preserve"> </w:t>
      </w:r>
      <w:r>
        <w:t>exceeding 85% at a cell voltage of −4.0 V, and maintains stable operation for over 100 h at a</w:t>
      </w:r>
      <w:r>
        <w:t xml:space="preserve"> </w:t>
      </w:r>
      <w:r>
        <w:t>J</w:t>
      </w:r>
      <w:r>
        <w:t xml:space="preserve"> </w:t>
      </w:r>
      <w:r>
        <w:t>of −200 mA cm</w:t>
      </w:r>
      <w:r>
        <w:t xml:space="preserve"> </w:t>
      </w:r>
      <w:r>
        <w:t>−2</w:t>
      </w:r>
      <w:r>
        <w:t xml:space="preserve"> </w:t>
      </w:r>
      <w:r>
        <w:t>.</w:t>
      </w:r>
    </w:p>
    <w:p>
      <w:pPr>
        <w:spacing w:before="120" w:after="120"/>
      </w:pPr>
      <w:r>
        <w:rPr>
          <w:sz w:val="18"/>
        </w:rPr>
        <w:t>——————————————————————————————————————————————————————————————————————</w:t>
      </w:r>
    </w:p>
    <w:p>
      <w:pPr>
        <w:spacing w:before="160" w:after="80" w:line="240" w:lineRule="auto"/>
      </w:pPr>
      <w:r>
        <w:rPr>
          <w:b/>
        </w:rPr>
        <w:t xml:space="preserve">[410] </w:t>
      </w:r>
      <w:hyperlink r:id="rId715">
        <w:r>
          <w:rPr>
            <w:color w:val="1155CC"/>
            <w:u w:val="single"/>
          </w:rPr>
          <w:t>Singlet Fission in Push–Pull Para‐Azaquinodimethane Films under the Gaze of Time Resolved Optical and Magnetic Spectroscopy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09:36:24+00:00</w:t>
      </w:r>
      <w:r>
        <w:t xml:space="preserve">    </w:t>
      </w:r>
      <w:r>
        <w:rPr>
          <w:b/>
        </w:rPr>
        <w:t xml:space="preserve">DOI: </w:t>
      </w:r>
      <w:hyperlink r:id="rId716">
        <w:r>
          <w:rPr>
            <w:color w:val="1155CC"/>
            <w:u w:val="single"/>
          </w:rPr>
          <w:t>10.1002/anie.202520838</w:t>
        </w:r>
      </w:hyperlink>
    </w:p>
    <w:p>
      <w:pPr>
        <w:spacing w:before="0" w:after="120"/>
      </w:pPr>
      <w:r>
        <w:rPr>
          <w:b/>
        </w:rPr>
        <w:t xml:space="preserve">Notes: </w:t>
      </w:r>
      <w:r>
        <w:t>abstract_source=crossref</w:t>
      </w:r>
    </w:p>
    <w:p>
      <w:pPr>
        <w:spacing w:before="0" w:after="200" w:lineRule="auto" w:line="276"/>
      </w:pPr>
      <w:r>
        <w:rPr>
          <w:b/>
        </w:rPr>
        <w:t xml:space="preserve">Abstract: </w:t>
      </w:r>
      <w:r>
        <w:t>In this study, a totally green synthetic protocol was employed to obtain four new donor–acceptor–donor</w:t>
      </w:r>
      <w:r>
        <w:t xml:space="preserve"> </w:t>
      </w:r>
      <w:r>
        <w:t>para</w:t>
      </w:r>
      <w:r>
        <w:t xml:space="preserve"> </w:t>
      </w:r>
      <w:r>
        <w:t>‐azaquinodimethane (pAQM) derivatives to uncover the effect of tuning the push–pull character on their photobehaviour in solution as well as in thin film and in particular on their capability of undergoing singlet fission (SF). The bisthiophene and substituted benzene were used as electron‐donor groups at opposite sides of the pAQM electron‐acceptor core in asymmetric structures (</w:t>
      </w:r>
      <w:r>
        <w:t xml:space="preserve"> </w:t>
      </w:r>
      <w:r>
        <w:t>AsOMe</w:t>
      </w:r>
      <w:r>
        <w:t xml:space="preserve"> </w:t>
      </w:r>
      <w:r>
        <w:t>and</w:t>
      </w:r>
      <w:r>
        <w:t xml:space="preserve"> </w:t>
      </w:r>
      <w:r>
        <w:t>AsNMe</w:t>
      </w:r>
      <w:r>
        <w:rPr>
          <w:vertAlign w:val="subscript"/>
        </w:rPr>
        <w:t>2</w:t>
      </w:r>
      <w:r>
        <w:t xml:space="preserve"> </w:t>
      </w:r>
      <w:r>
        <w:t>), whereas different 5‐phenyl thiophene moieties were symmetrically linked to the pAQM core in</w:t>
      </w:r>
      <w:r>
        <w:t xml:space="preserve"> </w:t>
      </w:r>
      <w:r>
        <w:t>TPh</w:t>
      </w:r>
      <w:r>
        <w:t xml:space="preserve"> </w:t>
      </w:r>
      <w:r>
        <w:t>and</w:t>
      </w:r>
      <w:r>
        <w:t xml:space="preserve"> </w:t>
      </w:r>
      <w:r>
        <w:t>TPhOMe</w:t>
      </w:r>
      <w:r>
        <w:t xml:space="preserve"> </w:t>
      </w:r>
      <w:r>
        <w:t>. The photoinduced excited state dynamics was investigated in a synergic effort by employing both time resolved optical and electron paramagnetic resonance (EPR) spectroscopies, with the aid of TD‐DFT calculations. Our femtosecond transient absorption results showed that intermolecular SF is enabled in the solid state aggregates of these compounds: the fastest and most efficient SF was revealed for the structure with the strongest push–pull degree (</w:t>
      </w:r>
      <w:r>
        <w:t xml:space="preserve"> </w:t>
      </w:r>
      <w:r>
        <w:t>AsNMe</w:t>
      </w:r>
      <w:r>
        <w:rPr>
          <w:vertAlign w:val="subscript"/>
        </w:rPr>
        <w:t>2</w:t>
      </w:r>
      <w:r>
        <w:t xml:space="preserve"> </w:t>
      </w:r>
      <w:r>
        <w:t>). The other asymmetric molecule (</w:t>
      </w:r>
      <w:r>
        <w:t xml:space="preserve"> </w:t>
      </w:r>
      <w:r>
        <w:t>AsOMe</w:t>
      </w:r>
      <w:r>
        <w:t xml:space="preserve"> </w:t>
      </w:r>
      <w:r>
        <w:t>) interestingly exhibited higher energetic SF‐generated triplet excitons (1.3 eV) than literature SF‐materials, as demonstrated by the nanosecond transient absorption sensitization experiments, with possible intriguing implications toward silicon matched SF photovoltaics. Time resolved EPR measurements unveiled the spectral signature of the quintet multiexciton intermediate</w:t>
      </w:r>
      <w:r>
        <w:rPr>
          <w:vertAlign w:val="subscript"/>
        </w:rPr>
        <w:t>5</w:t>
      </w:r>
      <w:r>
        <w:t>(TT) in the pAQM thin films for the first time, to the best of our knowledge, for such unconventional SF materials. The high‐spin photoinduced</w:t>
      </w:r>
      <w:r>
        <w:rPr>
          <w:vertAlign w:val="subscript"/>
        </w:rPr>
        <w:t>5</w:t>
      </w:r>
      <w:r>
        <w:t>(TT) appears to be a promising candidate for Quantum Information Science and technologies as a viable molecular spin qudit.</w:t>
      </w:r>
    </w:p>
    <w:p>
      <w:pPr>
        <w:spacing w:before="120" w:after="120"/>
      </w:pPr>
      <w:r>
        <w:rPr>
          <w:sz w:val="18"/>
        </w:rPr>
        <w:t>——————————————————————————————————————————————————————————————————————</w:t>
      </w:r>
    </w:p>
    <w:p>
      <w:pPr>
        <w:spacing w:before="160" w:after="80" w:line="240" w:lineRule="auto"/>
      </w:pPr>
      <w:r>
        <w:rPr>
          <w:b/>
        </w:rPr>
        <w:t xml:space="preserve">[411] </w:t>
      </w:r>
      <w:hyperlink r:id="rId717">
        <w:r>
          <w:rPr>
            <w:color w:val="1155CC"/>
            <w:u w:val="single"/>
          </w:rPr>
          <w:t>Controllable C─N Coupling Toward Efficient Urea Electrosynthesis via Spin State Modulation on Fe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09:37:04+00:00</w:t>
      </w:r>
      <w:r>
        <w:t xml:space="preserve">    </w:t>
      </w:r>
      <w:r>
        <w:rPr>
          <w:b/>
        </w:rPr>
        <w:t xml:space="preserve">DOI: </w:t>
      </w:r>
      <w:hyperlink r:id="rId718">
        <w:r>
          <w:rPr>
            <w:color w:val="1155CC"/>
            <w:u w:val="single"/>
          </w:rPr>
          <w:t>10.1002/anie.202512939</w:t>
        </w:r>
      </w:hyperlink>
    </w:p>
    <w:p>
      <w:pPr>
        <w:spacing w:before="0" w:after="120"/>
      </w:pPr>
      <w:r>
        <w:rPr>
          <w:b/>
        </w:rPr>
        <w:t xml:space="preserve">Notes: </w:t>
      </w:r>
      <w:r>
        <w:t>abstract_source=crossref</w:t>
      </w:r>
    </w:p>
    <w:p>
      <w:pPr>
        <w:spacing w:before="0" w:after="200" w:lineRule="auto" w:line="276"/>
      </w:pPr>
      <w:r>
        <w:rPr>
          <w:b/>
        </w:rPr>
        <w:t xml:space="preserve">Abstract: </w:t>
      </w:r>
      <w:r>
        <w:t>The co‐electrolysis of CO</w:t>
      </w:r>
      <w:r>
        <w:rPr>
          <w:vertAlign w:val="subscript"/>
        </w:rPr>
        <w:t>2</w:t>
      </w:r>
      <w:r>
        <w:t>and nitrate (NO</w:t>
      </w:r>
      <w:r>
        <w:rPr>
          <w:vertAlign w:val="subscript"/>
        </w:rPr>
        <w:t>3</w:t>
      </w:r>
      <w:r>
        <w:t>−</w:t>
      </w:r>
      <w:r>
        <w:t>) presents a promising and sustainable method for urea synthesis. However, it remains challenging to modulate the intermediates reactivity and C─N coupling at the matchable stages. Here, we propose a strategy to regulate the C─N coupling mode on Fe site via spin state modulation. Both experimental and theoretical calculations revealed that the Cu</w:t>
      </w:r>
      <w:r>
        <w:t xml:space="preserve"> </w:t>
      </w:r>
      <w:r>
        <w:t>2+</w:t>
      </w:r>
      <w:r>
        <w:t xml:space="preserve"> </w:t>
      </w:r>
      <w:r>
        <w:t>‐doped Fe</w:t>
      </w:r>
      <w:r>
        <w:rPr>
          <w:vertAlign w:val="subscript"/>
        </w:rPr>
        <w:t>3</w:t>
      </w:r>
      <w:r>
        <w:t>O</w:t>
      </w:r>
      <w:r>
        <w:rPr>
          <w:vertAlign w:val="subscript"/>
        </w:rPr>
        <w:t>4</w:t>
      </w:r>
      <w:r>
        <w:t>promoted C─N coupling at the early stage via the *CO + *NO</w:t>
      </w:r>
      <w:r>
        <w:rPr>
          <w:vertAlign w:val="subscript"/>
        </w:rPr>
        <w:t>2</w:t>
      </w:r>
      <w:r>
        <w:t>→*CONO</w:t>
      </w:r>
      <w:r>
        <w:rPr>
          <w:vertAlign w:val="subscript"/>
        </w:rPr>
        <w:t>2</w:t>
      </w:r>
      <w:r>
        <w:t>pathway, enhancing the catalytic performance significantly. The catalysts could achieve a urea Faradaic efficiency of 47.3% and a yield rate of 635.9 µg h</w:t>
      </w:r>
      <w:r>
        <w:t xml:space="preserve"> </w:t>
      </w:r>
      <w:r>
        <w:t>−1</w:t>
      </w:r>
      <w:r>
        <w:t xml:space="preserve"> </w:t>
      </w:r>
      <w:r>
        <w:t>mg</w:t>
      </w:r>
      <w:r>
        <w:t xml:space="preserve"> </w:t>
      </w:r>
      <w:r>
        <w:t>cat.</w:t>
      </w:r>
      <w:r>
        <w:t xml:space="preserve"> </w:t>
      </w:r>
      <w:r>
        <w:t>−1</w:t>
      </w:r>
      <w:r>
        <w:t xml:space="preserve"> </w:t>
      </w:r>
      <w:r>
        <w:t>at low overpotential, along with exceptional stability over 30 h, representing one of the highest performances reported to date. Detailed experimental and theoretical analyses demonstrated that Cu doping lowered the e</w:t>
      </w:r>
      <w:r>
        <w:t xml:space="preserve"> </w:t>
      </w:r>
      <w:r>
        <w:t>g</w:t>
      </w:r>
      <w:r>
        <w:t xml:space="preserve"> </w:t>
      </w:r>
      <w:r>
        <w:t>electron density of Fe and enhanced *NO</w:t>
      </w:r>
      <w:r>
        <w:rPr>
          <w:vertAlign w:val="subscript"/>
        </w:rPr>
        <w:t>2</w:t>
      </w:r>
      <w:r>
        <w:t>adsorption. The adsorbed *NO</w:t>
      </w:r>
      <w:r>
        <w:rPr>
          <w:vertAlign w:val="subscript"/>
        </w:rPr>
        <w:t>2</w:t>
      </w:r>
      <w:r>
        <w:t>in turn further decreased Fe spin state through π backdonation, which facilitated CO</w:t>
      </w:r>
      <w:r>
        <w:rPr>
          <w:vertAlign w:val="subscript"/>
        </w:rPr>
        <w:t>2</w:t>
      </w:r>
      <w:r>
        <w:t>activation and increased *CO coverage. Moreover, optimizing the *NO</w:t>
      </w:r>
      <w:r>
        <w:rPr>
          <w:vertAlign w:val="subscript"/>
        </w:rPr>
        <w:t>2</w:t>
      </w:r>
      <w:r>
        <w:t>coverage also reduced the energy barrier for *CO + *NO</w:t>
      </w:r>
      <w:r>
        <w:rPr>
          <w:vertAlign w:val="subscript"/>
        </w:rPr>
        <w:t>2</w:t>
      </w:r>
      <w:r>
        <w:t>→*CONO</w:t>
      </w:r>
      <w:r>
        <w:rPr>
          <w:vertAlign w:val="subscript"/>
        </w:rPr>
        <w:t>2</w:t>
      </w:r>
      <w:r>
        <w:t>, and inhibited *NO</w:t>
      </w:r>
      <w:r>
        <w:rPr>
          <w:vertAlign w:val="subscript"/>
        </w:rPr>
        <w:t>2</w:t>
      </w:r>
      <w:r>
        <w:t>protonation, leading to high selectivity toward urea.</w:t>
      </w:r>
    </w:p>
    <w:p>
      <w:pPr>
        <w:spacing w:before="120" w:after="120"/>
      </w:pPr>
      <w:r>
        <w:rPr>
          <w:sz w:val="18"/>
        </w:rPr>
        <w:t>——————————————————————————————————————————————————————————————————————</w:t>
      </w:r>
    </w:p>
    <w:p>
      <w:pPr>
        <w:spacing w:before="160" w:after="80" w:line="240" w:lineRule="auto"/>
      </w:pPr>
      <w:r>
        <w:rPr>
          <w:b/>
        </w:rPr>
        <w:t xml:space="preserve">[412] </w:t>
      </w:r>
      <w:hyperlink r:id="rId719">
        <w:r>
          <w:rPr>
            <w:color w:val="1155CC"/>
            <w:u w:val="single"/>
          </w:rPr>
          <w:t>Facile Introduction of Quantum Confinement in Linear Conjugated Polymers for Photocatalytic Hydrogen Evolution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09:38:48+00:00</w:t>
      </w:r>
      <w:r>
        <w:t xml:space="preserve">    </w:t>
      </w:r>
      <w:r>
        <w:rPr>
          <w:b/>
        </w:rPr>
        <w:t xml:space="preserve">DOI: </w:t>
      </w:r>
      <w:hyperlink r:id="rId720">
        <w:r>
          <w:rPr>
            <w:color w:val="1155CC"/>
            <w:u w:val="single"/>
          </w:rPr>
          <w:t>10.1002/anie.202525952</w:t>
        </w:r>
      </w:hyperlink>
    </w:p>
    <w:p>
      <w:pPr>
        <w:spacing w:before="0" w:after="120"/>
      </w:pPr>
      <w:r>
        <w:rPr>
          <w:b/>
        </w:rPr>
        <w:t xml:space="preserve">Notes: </w:t>
      </w:r>
      <w:r>
        <w:t>abstract_source=crossref</w:t>
      </w:r>
    </w:p>
    <w:p>
      <w:pPr>
        <w:spacing w:before="0" w:after="200" w:lineRule="auto" w:line="276"/>
      </w:pPr>
      <w:r>
        <w:rPr>
          <w:b/>
        </w:rPr>
        <w:t xml:space="preserve">Abstract: </w:t>
      </w:r>
      <w:r>
        <w:t>While the structurally tunable nature of Linear conjugated polymers (Linear CPs) offers promising opportunities for advancing photocatalysts, their current fabrication methods predominantly yield particles or bulk materials, significantly hindering the full exploitation of their catalytic potential. In this study, we demonstrate that the inherent entangled state of Linear CPs can be retained before bulk formation, leading to enhanced catalytic performance. Without exfoliation or modified synthesis, the entangled Linear CPs displayed a quantum confinement effect, leading to blue‐shifted absorption and emission along with improved carrier separation efficiency. The entangled P28‐E exhibits a photocatalytic hydrogen evolution rates (HERs) of 42.8 mmol h</w:t>
      </w:r>
      <w:r>
        <w:t xml:space="preserve"> </w:t>
      </w:r>
      <w:r>
        <w:t>−1</w:t>
      </w:r>
      <w:r>
        <w:t xml:space="preserve"> </w:t>
      </w:r>
      <w:r>
        <w:t>g</w:t>
      </w:r>
      <w:r>
        <w:t xml:space="preserve"> </w:t>
      </w:r>
      <w:r>
        <w:t>−1</w:t>
      </w:r>
      <w:r>
        <w:t xml:space="preserve"> </w:t>
      </w:r>
      <w:r>
        <w:t>, which is 28 times higher than that of its bulk counterpart (P28‐S). A notable trend was observed in the HERs. A notable order shift occurred from P28‐S &amp;lt; TpPz‐COF, PBT‐S, P7‐S in the bulk to P28‐E &amp;gt; TpPz‐COF, PBT‐E, P7‐E in the entangled state. This work not only presents an effective approach toward efficient photocatalytic water splitting, but also provides new insights into exploring potential microscopic features of Linear CPs.</w:t>
      </w:r>
    </w:p>
    <w:p>
      <w:pPr>
        <w:spacing w:before="120" w:after="120"/>
      </w:pPr>
      <w:r>
        <w:rPr>
          <w:sz w:val="18"/>
        </w:rPr>
        <w:t>——————————————————————————————————————————————————————————————————————</w:t>
      </w:r>
    </w:p>
    <w:p>
      <w:pPr>
        <w:spacing w:before="160" w:after="80" w:line="240" w:lineRule="auto"/>
      </w:pPr>
      <w:r>
        <w:rPr>
          <w:b/>
        </w:rPr>
        <w:t xml:space="preserve">[413] </w:t>
      </w:r>
      <w:hyperlink r:id="rId721">
        <w:r>
          <w:rPr>
            <w:color w:val="1155CC"/>
            <w:u w:val="single"/>
          </w:rPr>
          <w:t>Open‐Air, Ultrafast Photoiniferter Polymerization Enables 3D Printing with Low‐Viscosity Resins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09:41:58+00:00</w:t>
      </w:r>
      <w:r>
        <w:t xml:space="preserve">    </w:t>
      </w:r>
      <w:r>
        <w:rPr>
          <w:b/>
        </w:rPr>
        <w:t xml:space="preserve">DOI: </w:t>
      </w:r>
      <w:hyperlink r:id="rId722">
        <w:r>
          <w:rPr>
            <w:color w:val="1155CC"/>
            <w:u w:val="single"/>
          </w:rPr>
          <w:t>10.1002/anie.202519602</w:t>
        </w:r>
      </w:hyperlink>
    </w:p>
    <w:p>
      <w:pPr>
        <w:spacing w:before="0" w:after="120"/>
      </w:pPr>
      <w:r>
        <w:rPr>
          <w:b/>
        </w:rPr>
        <w:t xml:space="preserve">Notes: </w:t>
      </w:r>
      <w:r>
        <w:t>abstract_source=crossref</w:t>
      </w:r>
    </w:p>
    <w:p>
      <w:pPr>
        <w:spacing w:before="0" w:after="200" w:lineRule="auto" w:line="276"/>
      </w:pPr>
      <w:r>
        <w:rPr>
          <w:b/>
        </w:rPr>
        <w:t xml:space="preserve">Abstract: </w:t>
      </w:r>
      <w:r>
        <w:t>Photo‐curing 3D printing is fundamentally challenged by the formation of heterogeneous networks with uneven cross‐linking densities and unreacted monomer residues, which compromise the integrity and performance of printed parts. While photo‐controlled radical polymerization (photo‐RDRP) offers a path to precise network control, it is often limited by sluggish kinetics, necessitating viscous resins to compensate for slow curing rates. To overcome this, we employed a computer‐guided strategy to design a new photoiniferter, dithioindazolylcarboxylate (DTI). Computational analyses predicted DTI would be an efficient and oxygen‐tolerant photoiniferter. Under 415 nm light (10 mW cm</w:t>
      </w:r>
      <w:r>
        <w:t xml:space="preserve"> </w:t>
      </w:r>
      <w:r>
        <w:t>−2</w:t>
      </w:r>
      <w:r>
        <w:t xml:space="preserve"> </w:t>
      </w:r>
      <w:r>
        <w:t>), DTI enabled the photoiniferter polymerization of methyl acrylate with an apparent propagation rate () of 0.809 min</w:t>
      </w:r>
      <w:r>
        <w:t xml:space="preserve"> </w:t>
      </w:r>
      <w:r>
        <w:t>−1</w:t>
      </w:r>
      <w:r>
        <w:t xml:space="preserve"> </w:t>
      </w:r>
      <w:r>
        <w:t>, over four‐fold higher than that of the existing dithiopyrazolylcarboxylate (DTP) with a  of 0.196 min</w:t>
      </w:r>
      <w:r>
        <w:t xml:space="preserve"> </w:t>
      </w:r>
      <w:r>
        <w:t>−1</w:t>
      </w:r>
      <w:r>
        <w:t xml:space="preserve"> </w:t>
      </w:r>
      <w:r>
        <w:t>in equivalent conditions under 425 nm (optimum for ). This was achieved while maintaining low molecular weight dispersity (</w:t>
      </w:r>
      <w:r>
        <w:t xml:space="preserve"> </w:t>
      </w:r>
      <w:r>
        <w:t>Đ</w:t>
      </w:r>
      <w:r>
        <w:t xml:space="preserve"> </w:t>
      </w:r>
      <w:r>
        <w:t>&amp;lt; 1.1). DTI also exhibited better oxygen tolerance, maintaining 65.9% of its  (with respect to that under nitrogen) under an air‐purging condition (1 mL 30 s</w:t>
      </w:r>
      <w:r>
        <w:t xml:space="preserve"> </w:t>
      </w:r>
      <w:r>
        <w:t>−1</w:t>
      </w:r>
      <w:r>
        <w:t xml:space="preserve"> </w:t>
      </w:r>
      <w:r>
        <w:t>), as compared to 13.3% for DTP under the same condition. This enabled ultrafast digital light processing (DLP) 3D printing at just 8 s per layer using routine low‐viscosity acrylic resins, producing high‐resolution, complex centimeter‐scale prototypes. The technology also enabled photo‐curing of anticorrosion coatings with an adhesion strength of 13.53 MPa and 720 h resistance to acetic acid salt spray.</w:t>
      </w:r>
    </w:p>
    <w:p>
      <w:pPr>
        <w:spacing w:before="120" w:after="120"/>
      </w:pPr>
      <w:r>
        <w:rPr>
          <w:sz w:val="18"/>
        </w:rPr>
        <w:t>——————————————————————————————————————————————————————————————————————</w:t>
      </w:r>
    </w:p>
    <w:p>
      <w:pPr>
        <w:spacing w:before="160" w:after="80" w:line="240" w:lineRule="auto"/>
      </w:pPr>
      <w:r>
        <w:rPr>
          <w:b/>
        </w:rPr>
        <w:t xml:space="preserve">[414] </w:t>
      </w:r>
      <w:hyperlink r:id="rId723">
        <w:r>
          <w:rPr>
            <w:color w:val="1155CC"/>
            <w:u w:val="single"/>
          </w:rPr>
          <w:t>[ASAP] Reticular Synthesis of High-Connectivity Metal–Organic Frameworks with Kuratowski-Type Building Blocks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09:46:17+00:00</w:t>
      </w:r>
      <w:r>
        <w:t xml:space="preserve">    </w:t>
      </w:r>
      <w:r>
        <w:rPr>
          <w:b/>
        </w:rPr>
        <w:t xml:space="preserve">DOI: </w:t>
      </w:r>
      <w:hyperlink r:id="rId724">
        <w:r>
          <w:rPr>
            <w:color w:val="1155CC"/>
            <w:u w:val="single"/>
          </w:rPr>
          <w:t>10.1021/jacs.5c18835</w:t>
        </w:r>
      </w:hyperlink>
    </w:p>
    <w:p>
      <w:pPr>
        <w:spacing w:before="0" w:after="120"/>
      </w:pPr>
      <w:r>
        <w:rPr>
          <w:b/>
        </w:rPr>
        <w:t xml:space="preserve">Notes: </w:t>
      </w:r>
      <w:r>
        <w:t>abstract_source=pubmed</w:t>
      </w:r>
    </w:p>
    <w:p>
      <w:pPr>
        <w:spacing w:before="0" w:after="200" w:lineRule="auto" w:line="276"/>
      </w:pPr>
      <w:r>
        <w:rPr>
          <w:b/>
        </w:rPr>
        <w:t xml:space="preserve">Abstract: </w:t>
      </w:r>
      <w:r>
        <w:t>Metal-organic frameworks (MOFs) with Kuratowski-type Zn5 building blocks represent a class of materials with interesting properties. However, most single-crystalline Zn5-benzotriazolate-based MOFs are based on ditopic ligands, significantly limiting the spatial arrangement of these nodes within frameworks and therefore restricting functionalities. Herein, we applied state-of-the-art reticular chemistry to the rational assembly of hexatopic benzotriazolate ligands and Kuratowski-type Zn5 nodes into a high-connectivity single-crystalline MOF, Zn-Tz6Mes. Zn-Tz6Mes exhibits the rare node-morphing nia-derived tsb net. Subsequent postsynthetic modification of Zn-Tz6Mes introduced open Cu(I) sites, yielding CuI-Zn-Tz6Mes. CuI-Zn-Tz6Mes displays markedly enhanced binding affinities toward π-acidic gases such as H2 and N2, in comparison to the parent Zn-Tz6Mes. This work allows the reticular arrangement of Kuratowski-type building blocks within framework crystals with controllable structures and fine-tuned functionalities, paving the way for unlocking the unlimited potential of Kuratowski-type clusters in designed porous materials.</w:t>
      </w:r>
    </w:p>
    <w:p>
      <w:pPr>
        <w:spacing w:before="120" w:after="120"/>
      </w:pPr>
      <w:r>
        <w:rPr>
          <w:sz w:val="18"/>
        </w:rPr>
        <w:t>——————————————————————————————————————————————————————————————————————</w:t>
      </w:r>
    </w:p>
    <w:p>
      <w:pPr>
        <w:spacing w:before="160" w:after="80" w:line="240" w:lineRule="auto"/>
      </w:pPr>
      <w:r>
        <w:rPr>
          <w:b/>
        </w:rPr>
        <w:t xml:space="preserve">[415] </w:t>
      </w:r>
      <w:hyperlink r:id="rId725">
        <w:r>
          <w:rPr>
            <w:color w:val="1155CC"/>
            <w:u w:val="single"/>
          </w:rPr>
          <w:t>Highly Stable Twin Defects Enabled by High Entropy Configuration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09:48:29+00:00</w:t>
      </w:r>
      <w:r>
        <w:t xml:space="preserve">    </w:t>
      </w:r>
      <w:r>
        <w:rPr>
          <w:b/>
        </w:rPr>
        <w:t xml:space="preserve">DOI: </w:t>
      </w:r>
      <w:hyperlink r:id="rId726">
        <w:r>
          <w:rPr>
            <w:color w:val="1155CC"/>
            <w:u w:val="single"/>
          </w:rPr>
          <w:t>10.1002/anie.202520550</w:t>
        </w:r>
      </w:hyperlink>
    </w:p>
    <w:p>
      <w:pPr>
        <w:spacing w:before="0" w:after="120"/>
      </w:pPr>
      <w:r>
        <w:rPr>
          <w:b/>
        </w:rPr>
        <w:t xml:space="preserve">Notes: </w:t>
      </w:r>
      <w:r>
        <w:t>abstract_source=crossref</w:t>
      </w:r>
    </w:p>
    <w:p>
      <w:pPr>
        <w:spacing w:before="0" w:after="200" w:lineRule="auto" w:line="276"/>
      </w:pPr>
      <w:r>
        <w:rPr>
          <w:b/>
        </w:rPr>
        <w:t xml:space="preserve">Abstract: </w:t>
      </w:r>
      <w:r>
        <w:t>The strategic engineering of crystalline defects has been proven effective in enhancing the efficiency of metallic catalysts. However, owing to the confined and metastable nature of these defects, controlling their formation in nanosized particles remains challenging, especially in multi‐element alloy catalysts, where complex interactions further complicate defect stabilization. Herein, we report concentrated and stable twin defects in carbon‐confined FeCoNiMn nanocatalysts (denoted as T‐FeCoNiMn/C), spotlighting entropy‐sensitive formation mechanisms and durable catalytic performance. By integrating deep learning, in situ transmission electron microscopy (TEM) and molecular dynamics simulations, we reveal the atomic‐scale strain distribution in T‐FeCoNiMn/C and disclose the multi‐step formation dynamics of these twin defects. Notably, the entropy‐enhanced multielement nature endows twin defects with highly flexible atomic configurations and a broad energy landscape, allowing structurally adaptable high‐energy configurations to relax into more energetically favorable twins rather than detwinning; ultimately, highly concentrated and stable twin configurations prevail throughout not only the synthesis process but also the following catalysis service for oxygen evolution reactions. Our findings demonstrate entropy‐driven twin defect stabilization in metallic nanocatalysts, offering new strategies for catalytic structural engineering.</w:t>
      </w:r>
    </w:p>
    <w:p>
      <w:pPr>
        <w:spacing w:before="120" w:after="120"/>
      </w:pPr>
      <w:r>
        <w:rPr>
          <w:sz w:val="18"/>
        </w:rPr>
        <w:t>——————————————————————————————————————————————————————————————————————</w:t>
      </w:r>
    </w:p>
    <w:p>
      <w:pPr>
        <w:spacing w:before="160" w:after="80" w:line="240" w:lineRule="auto"/>
      </w:pPr>
      <w:r>
        <w:rPr>
          <w:b/>
        </w:rPr>
        <w:t xml:space="preserve">[416] </w:t>
      </w:r>
      <w:hyperlink r:id="rId727">
        <w:r>
          <w:rPr>
            <w:color w:val="1155CC"/>
            <w:u w:val="single"/>
          </w:rPr>
          <w:t>Nonheme Fe Enzyme‐Catalyzed Enantiodivergent Nitrogen Migration: Directed Evolution and Computational Study of Isopenicillin N Synthases for Biocatalytic Synthesis of Arylglycines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09:50:37+00:00</w:t>
      </w:r>
      <w:r>
        <w:t xml:space="preserve">    </w:t>
      </w:r>
      <w:r>
        <w:rPr>
          <w:b/>
        </w:rPr>
        <w:t xml:space="preserve">DOI: </w:t>
      </w:r>
      <w:hyperlink r:id="rId728">
        <w:r>
          <w:rPr>
            <w:color w:val="1155CC"/>
            <w:u w:val="single"/>
          </w:rPr>
          <w:t>10.1002/anie.202524718</w:t>
        </w:r>
      </w:hyperlink>
    </w:p>
    <w:p>
      <w:pPr>
        <w:spacing w:before="0" w:after="120"/>
      </w:pPr>
      <w:r>
        <w:rPr>
          <w:b/>
        </w:rPr>
        <w:t xml:space="preserve">Notes: </w:t>
      </w:r>
      <w:r>
        <w:t>abstract_source=crossref</w:t>
      </w:r>
    </w:p>
    <w:p>
      <w:pPr>
        <w:spacing w:before="0" w:after="200" w:lineRule="auto" w:line="276"/>
      </w:pPr>
      <w:r>
        <w:rPr>
          <w:b/>
        </w:rPr>
        <w:t xml:space="preserve">Abstract: </w:t>
      </w:r>
      <w:r>
        <w:t>We describe the reprogramming and directed evolution of nonheme Fe enzyme isopenicillin N synthase (IPNS) as an efficient biocatalyst for 1,3‐nitrogen migration reactions via an unnatural mechanism. Directed evolution of isopenicillin N synthase from</w:t>
      </w:r>
      <w:r>
        <w:t xml:space="preserve"> </w:t>
      </w:r>
      <w:r>
        <w:t>Emericella nidulans</w:t>
      </w:r>
      <w:r>
        <w:t xml:space="preserve"> </w:t>
      </w:r>
      <w:r>
        <w:t>furnished a quadruple mutant (</w:t>
      </w:r>
      <w:r>
        <w:t xml:space="preserve"> </w:t>
      </w:r>
      <w:r>
        <w:t>Eni</w:t>
      </w:r>
      <w:r>
        <w:t xml:space="preserve"> </w:t>
      </w:r>
      <w:r>
        <w:t>IPNS V185L I187V S102I R279H, IPNS</w:t>
      </w:r>
      <w:r>
        <w:t xml:space="preserve"> </w:t>
      </w:r>
      <w:r>
        <w:t>Nim</w:t>
      </w:r>
      <w:r>
        <w:t xml:space="preserve"> </w:t>
      </w:r>
      <w:r>
        <w:t>), enabling the conversion of a range of azanyl esters into</w:t>
      </w:r>
      <w:r>
        <w:t xml:space="preserve"> </w:t>
      </w:r>
      <w:r>
        <w:t>N</w:t>
      </w:r>
      <w:r>
        <w:t xml:space="preserve"> </w:t>
      </w:r>
      <w:r>
        <w:t>‐protected</w:t>
      </w:r>
      <w:r>
        <w:t xml:space="preserve"> </w:t>
      </w:r>
      <w:r>
        <w:t>l</w:t>
      </w:r>
      <w:r>
        <w:t xml:space="preserve"> </w:t>
      </w:r>
      <w:r>
        <w:t>‐arylglycines. IPNS</w:t>
      </w:r>
      <w:r>
        <w:t xml:space="preserve"> </w:t>
      </w:r>
      <w:r>
        <w:t>Nim</w:t>
      </w:r>
      <w:r>
        <w:t xml:space="preserve"> </w:t>
      </w:r>
      <w:r>
        <w:t>achieved a TTN of 16 000 and a TOF of 1200 min</w:t>
      </w:r>
      <w:r>
        <w:t xml:space="preserve"> </w:t>
      </w:r>
      <w:r>
        <w:t>−1</w:t>
      </w:r>
      <w:r>
        <w:t xml:space="preserve"> </w:t>
      </w:r>
      <w:r>
        <w:t>. This TTN surpassed state‐of‐the‐art small‐molecule Fe catalysts by 330‐fold and represented the highest TTN value reported for a nonheme Fe enzyme in a new‐to‐nature reaction. IPNS</w:t>
      </w:r>
      <w:r>
        <w:t xml:space="preserve"> </w:t>
      </w:r>
      <w:r>
        <w:t>Nim</w:t>
      </w:r>
      <w:r>
        <w:t xml:space="preserve"> </w:t>
      </w:r>
      <w:r>
        <w:t>and our previously evolved ACCO</w:t>
      </w:r>
      <w:r>
        <w:t xml:space="preserve"> </w:t>
      </w:r>
      <w:r>
        <w:t>Nim</w:t>
      </w:r>
      <w:r>
        <w:t xml:space="preserve"> </w:t>
      </w:r>
      <w:r>
        <w:t>(ACCO: 1‐aminocyclopropane‐1‐carboxylic acid oxidase) exhibited complementary enantiopreference, allowing enantioselective synthesis of either</w:t>
      </w:r>
      <w:r>
        <w:t xml:space="preserve"> </w:t>
      </w:r>
      <w:r>
        <w:t>l</w:t>
      </w:r>
      <w:r>
        <w:t xml:space="preserve"> </w:t>
      </w:r>
      <w:r>
        <w:t>‐ or</w:t>
      </w:r>
      <w:r>
        <w:t xml:space="preserve"> </w:t>
      </w:r>
      <w:r>
        <w:t>d</w:t>
      </w:r>
      <w:r>
        <w:t xml:space="preserve"> </w:t>
      </w:r>
      <w:r>
        <w:t>‐arylglycines—essential building blocks in clinically important peptide therapeutics. Mechanistic studies revealed a biocatalyst‐controlled switch in the rate‐determining step (RDS): While the hydrogen atom transfer (HAT) step is the RDS for ACCO</w:t>
      </w:r>
      <w:r>
        <w:t xml:space="preserve"> </w:t>
      </w:r>
      <w:r>
        <w:t>Nim</w:t>
      </w:r>
      <w:r>
        <w:t xml:space="preserve"> </w:t>
      </w:r>
      <w:r>
        <w:t>‐catalyzed nitrogen migration, it is likely not with IPNS</w:t>
      </w:r>
      <w:r>
        <w:t xml:space="preserve"> </w:t>
      </w:r>
      <w:r>
        <w:t>Nim</w:t>
      </w:r>
      <w:r>
        <w:t xml:space="preserve"> </w:t>
      </w:r>
      <w:r>
        <w:t>. Moreover, while ACCO</w:t>
      </w:r>
      <w:r>
        <w:t xml:space="preserve"> </w:t>
      </w:r>
      <w:r>
        <w:t>Nim</w:t>
      </w:r>
      <w:r>
        <w:t xml:space="preserve"> </w:t>
      </w:r>
      <w:r>
        <w:t>exhibits almost no enantioselectivity in this HAT step, IPNS</w:t>
      </w:r>
      <w:r>
        <w:t xml:space="preserve"> </w:t>
      </w:r>
      <w:r>
        <w:t>Nim</w:t>
      </w:r>
      <w:r>
        <w:t xml:space="preserve"> </w:t>
      </w:r>
      <w:r>
        <w:t>confers excellent enantiocontrol over HAT. Computational studies using density functional theory calculations and molecular dynamics simulations suggested that IPNS and ACCO adopt two different substrate binding modes. Classical MD simulations shed light on important interactions between the substrate and active‐site residues that control the substrate binding mode and enantioselectivity.</w:t>
      </w:r>
    </w:p>
    <w:p>
      <w:pPr>
        <w:spacing w:before="120" w:after="120"/>
      </w:pPr>
      <w:r>
        <w:rPr>
          <w:sz w:val="18"/>
        </w:rPr>
        <w:t>——————————————————————————————————————————————————————————————————————</w:t>
      </w:r>
    </w:p>
    <w:p>
      <w:pPr>
        <w:spacing w:before="160" w:after="80" w:line="240" w:lineRule="auto"/>
      </w:pPr>
      <w:r>
        <w:rPr>
          <w:b/>
        </w:rPr>
        <w:t xml:space="preserve">[417] </w:t>
      </w:r>
      <w:hyperlink r:id="rId729">
        <w:r>
          <w:rPr>
            <w:color w:val="1155CC"/>
            <w:u w:val="single"/>
          </w:rPr>
          <w:t>Nanoparticle‐Based Tolerogenic Vaccines: Next‐Generation Strategies for Autoimmune and Allergic Disease Therapies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09:59:39+00:00</w:t>
      </w:r>
      <w:r>
        <w:t xml:space="preserve">    </w:t>
      </w:r>
      <w:r>
        <w:rPr>
          <w:b/>
        </w:rPr>
        <w:t xml:space="preserve">DOI: </w:t>
      </w:r>
      <w:hyperlink r:id="rId730">
        <w:r>
          <w:rPr>
            <w:color w:val="1155CC"/>
            <w:u w:val="single"/>
          </w:rPr>
          <w:t>10.1002/anie.202524097</w:t>
        </w:r>
      </w:hyperlink>
    </w:p>
    <w:p>
      <w:pPr>
        <w:spacing w:before="0" w:after="120"/>
      </w:pPr>
      <w:r>
        <w:rPr>
          <w:b/>
        </w:rPr>
        <w:t xml:space="preserve">Notes: </w:t>
      </w:r>
      <w:r>
        <w:t>abstract_source=crossref</w:t>
      </w:r>
    </w:p>
    <w:p>
      <w:pPr>
        <w:spacing w:before="0" w:after="200" w:lineRule="auto" w:line="276"/>
      </w:pPr>
      <w:r>
        <w:rPr>
          <w:b/>
        </w:rPr>
        <w:t xml:space="preserve">Abstract: </w:t>
      </w:r>
      <w:r>
        <w:t>The concurrent rise of autoimmune diseases, which affect nearly 10% of the global population, along with allergic conditions such as asthma, food allergy, and atopic disease, together pose substantial health and economic burdens. Traditional therapies rely on systemic immunosuppression that temporarily mitigates symptoms but often compromises protective immunity, increases infection and malignancy risk, and fails to restore central or peripheral tolerance. These limitations underscore the need for antigen‐specific strategies capable of re‐establishing durable immune balance. Tolerogenic vaccines have emerged as a promising solution by retraining the immune system to restore antigen‐specific tolerance while preserving normal host defense, though challenges remain in efficiently targeting antigen‐presenting cells (APCs), avoiding their overactivation, and minimizing off‐target effects. Nanoparticles provide a versatile platform to address these hurdles, as their size, composition, and surface modifications can be tailored to direct biodistribution, enhance antigen delivery, and modulate immune signaling. By co‐delivering antigens and immunomodulators in programmable ways, nanoparticles offer a pathway to overcome key translational barriers and achieve precise immune reprogramming. This review explores how advances in nanomedicine are being applied to tolerogenic vaccines, focusing on three areas: (1) current nanoparticle platforms, (2) the role of biomaterial selection, and (3) multifunctional engineering strategies, while also considering the clinical outlook and translational challenges of bringing these therapies from bench to bedside.</w:t>
      </w:r>
    </w:p>
    <w:p>
      <w:pPr>
        <w:spacing w:before="120" w:after="120"/>
      </w:pPr>
      <w:r>
        <w:rPr>
          <w:sz w:val="18"/>
        </w:rPr>
        <w:t>——————————————————————————————————————————————————————————————————————</w:t>
      </w:r>
    </w:p>
    <w:p>
      <w:pPr>
        <w:spacing w:before="160" w:after="80" w:line="240" w:lineRule="auto"/>
      </w:pPr>
      <w:r>
        <w:rPr>
          <w:b/>
        </w:rPr>
        <w:t xml:space="preserve">[418] </w:t>
      </w:r>
      <w:hyperlink r:id="rId731">
        <w:r>
          <w:rPr>
            <w:color w:val="1155CC"/>
            <w:u w:val="single"/>
          </w:rPr>
          <w:t>Confinement‐Locking Strategy Enables Ionogels With Remarkable Mechanical Robustness and Fatigue Resistance</w:t>
        </w:r>
      </w:hyperlink>
    </w:p>
    <w:p>
      <w:pPr>
        <w:spacing w:before="0" w:after="120" w:line="240" w:lineRule="auto"/>
      </w:pPr>
      <w:r>
        <w:rPr>
          <w:b/>
        </w:rPr>
        <w:t xml:space="preserve">Source: </w:t>
      </w:r>
      <w:r>
        <w:t>Wiley: Advanced Materials: Table of Contents</w:t>
      </w:r>
      <w:r>
        <w:t xml:space="preserve">    </w:t>
      </w:r>
      <w:r>
        <w:rPr>
          <w:b/>
        </w:rPr>
        <w:t xml:space="preserve">Pub date: </w:t>
      </w:r>
      <w:r>
        <w:t>2025-12-26 10:12:46+00:00</w:t>
      </w:r>
      <w:r>
        <w:t xml:space="preserve">    </w:t>
      </w:r>
      <w:r>
        <w:rPr>
          <w:b/>
        </w:rPr>
        <w:t xml:space="preserve">DOI: </w:t>
      </w:r>
      <w:hyperlink r:id="rId732">
        <w:r>
          <w:rPr>
            <w:color w:val="1155CC"/>
            <w:u w:val="single"/>
          </w:rPr>
          <w:t>10.1002/adma.202520126</w:t>
        </w:r>
      </w:hyperlink>
    </w:p>
    <w:p>
      <w:pPr>
        <w:spacing w:before="0" w:after="120"/>
      </w:pPr>
      <w:r>
        <w:rPr>
          <w:b/>
        </w:rPr>
        <w:t xml:space="preserve">Notes: </w:t>
      </w:r>
      <w:r>
        <w:t>abstract_source=crossref</w:t>
      </w:r>
    </w:p>
    <w:p>
      <w:pPr>
        <w:spacing w:before="0" w:after="200" w:lineRule="auto" w:line="276"/>
      </w:pPr>
      <w:r>
        <w:rPr>
          <w:b/>
        </w:rPr>
        <w:t xml:space="preserve">Abstract: </w:t>
      </w:r>
      <w:r>
        <w:t>Ionogels with favorable mechanical robustness, high conductivity, and excellent resistance to tear and fatigue are crucial for portable energy devices and/or flexible electronics. However, the intrinsic plasticizing effect and network dilution caused by ionic liquids (IL) compromise their mechanical robustness. Herein, a confinement‐locking strategy is developed to produce mechanically robust and fatigue‐resistant phase‐separate ionogels. First, a portion of soft segments is confined within the hard domains to buffer stress and facilitate hydrogen bonding (H‐bonding) assemblies reorganization. Second, the IL are confined within soft phases, which eliminates the interference with hard segments and consequently enhances the stability of H‐bonding networks. The synergistic effects of robust H‐bonding networks, extensive supramolecular interactions between soft segments (polycaprolactone, PCL) and IL, strain‐induced crystallization of PCL, and stress‐damping by confined soft segments endow the ionogel with an exceptional combination of tensile strength (∼45.4 MPa), fracture toughness (256.1 MJ·m</w:t>
      </w:r>
      <w:r>
        <w:t xml:space="preserve"> </w:t>
      </w:r>
      <w:r>
        <w:t>−</w:t>
      </w:r>
      <w:r>
        <w:rPr>
          <w:vertAlign w:val="subscript"/>
        </w:rPr>
        <w:t>3</w:t>
      </w:r>
      <w:r>
        <w:t>), elongation at break (1576.6%), elastic recovery (&amp;gt;91%), ionic conductivity (1.04 mS·cm</w:t>
      </w:r>
      <w:r>
        <w:t xml:space="preserve"> </w:t>
      </w:r>
      <w:r>
        <w:t>−1</w:t>
      </w:r>
      <w:r>
        <w:t xml:space="preserve"> </w:t>
      </w:r>
      <w:r>
        <w:t>), tear strength (∼108.1 kJ·m</w:t>
      </w:r>
      <w:r>
        <w:t xml:space="preserve"> </w:t>
      </w:r>
      <w:r>
        <w:t>−</w:t>
      </w:r>
      <w:r>
        <w:rPr>
          <w:vertAlign w:val="subscript"/>
        </w:rPr>
        <w:t>2</w:t>
      </w:r>
      <w:r>
        <w:t>), and a record‐high fatigue threshold (8796 J·m</w:t>
      </w:r>
      <w:r>
        <w:t xml:space="preserve"> </w:t>
      </w:r>
      <w:r>
        <w:t>−</w:t>
      </w:r>
      <w:r>
        <w:rPr>
          <w:vertAlign w:val="subscript"/>
        </w:rPr>
        <w:t>2</w:t>
      </w:r>
      <w:r>
        <w:t>), enabling the ionogel with great potential in perceptive artificial ligaments.</w:t>
      </w:r>
    </w:p>
    <w:p>
      <w:pPr>
        <w:spacing w:before="120" w:after="120"/>
      </w:pPr>
      <w:r>
        <w:rPr>
          <w:sz w:val="18"/>
        </w:rPr>
        <w:t>——————————————————————————————————————————————————————————————————————</w:t>
      </w:r>
    </w:p>
    <w:p>
      <w:pPr>
        <w:spacing w:before="160" w:after="80" w:line="240" w:lineRule="auto"/>
      </w:pPr>
      <w:r>
        <w:rPr>
          <w:b/>
        </w:rPr>
        <w:t xml:space="preserve">[419] </w:t>
      </w:r>
      <w:hyperlink r:id="rId733">
        <w:r>
          <w:rPr>
            <w:color w:val="1155CC"/>
            <w:u w:val="single"/>
          </w:rPr>
          <w:t>Flexible and Robust Metasurface‐Based Wearable Sensor for Intelligent Human Monitoring</w:t>
        </w:r>
      </w:hyperlink>
    </w:p>
    <w:p>
      <w:pPr>
        <w:spacing w:before="0" w:after="120" w:line="240" w:lineRule="auto"/>
      </w:pPr>
      <w:r>
        <w:rPr>
          <w:b/>
        </w:rPr>
        <w:t xml:space="preserve">Source: </w:t>
      </w:r>
      <w:r>
        <w:t>Wiley: Advanced Materials: Table of Contents</w:t>
      </w:r>
      <w:r>
        <w:t xml:space="preserve">    </w:t>
      </w:r>
      <w:r>
        <w:rPr>
          <w:b/>
        </w:rPr>
        <w:t xml:space="preserve">Pub date: </w:t>
      </w:r>
      <w:r>
        <w:t>2025-12-26 10:14:23+00:00</w:t>
      </w:r>
      <w:r>
        <w:t xml:space="preserve">    </w:t>
      </w:r>
      <w:r>
        <w:rPr>
          <w:b/>
        </w:rPr>
        <w:t xml:space="preserve">DOI: </w:t>
      </w:r>
      <w:hyperlink r:id="rId734">
        <w:r>
          <w:rPr>
            <w:color w:val="1155CC"/>
            <w:u w:val="single"/>
          </w:rPr>
          <w:t>10.1002/adma.202514150</w:t>
        </w:r>
      </w:hyperlink>
    </w:p>
    <w:p>
      <w:pPr>
        <w:spacing w:before="0" w:after="120"/>
      </w:pPr>
      <w:r>
        <w:rPr>
          <w:b/>
        </w:rPr>
        <w:t xml:space="preserve">Notes: </w:t>
      </w:r>
      <w:r>
        <w:t>abstract_source=crossref</w:t>
      </w:r>
    </w:p>
    <w:p>
      <w:pPr>
        <w:spacing w:before="0" w:after="200" w:lineRule="auto" w:line="276"/>
      </w:pPr>
      <w:r>
        <w:rPr>
          <w:b/>
        </w:rPr>
        <w:t xml:space="preserve">Abstract: </w:t>
      </w:r>
      <w:r>
        <w:t>Wearable sensors enabling noninvasive healthcare monitoring encounter significant challenges in preserving signal integrity under motion artifacts and mechanical deformation. Here, we present for the first time a wearable sensor that integrates topologically protected flexible metasurface technology, combining topological photonics with AI‐enhanced sensing technology to enable multifunctional human monitoring. This intelligent system harnesses electromagnetic wave‐body interactions to precisely capture cardiopulmonary dynamics, effectively overcoming the limitations of conventional wearable sensors in dynamic conditions. Specifically, the topological design of the sensor ensures stable operational performance even in bent or fractured states, while deep learning algorithms facilitate robust extraction of personalized biometric features to simultaneously achieve multiple healthcare functions, including vital sign monitoring, activity recognition, and individual identification. Experimental results demonstrate the system's capability for real‐time health assessment across diverse scenarios, from exercise to rest states. By combining adaptive wearability with intelligent signal processing, this platform represents a transformative approach to next‐generation smart healthcare systems, advancing applications from chronic disease management to AI‐driven personalized healthcare.</w:t>
      </w:r>
    </w:p>
    <w:p>
      <w:pPr>
        <w:spacing w:before="120" w:after="120"/>
      </w:pPr>
      <w:r>
        <w:rPr>
          <w:sz w:val="18"/>
        </w:rPr>
        <w:t>——————————————————————————————————————————————————————————————————————</w:t>
      </w:r>
    </w:p>
    <w:p>
      <w:pPr>
        <w:spacing w:before="160" w:after="80" w:line="240" w:lineRule="auto"/>
      </w:pPr>
      <w:r>
        <w:rPr>
          <w:b/>
        </w:rPr>
        <w:t xml:space="preserve">[420] </w:t>
      </w:r>
      <w:hyperlink r:id="rId735">
        <w:r>
          <w:rPr>
            <w:color w:val="1155CC"/>
            <w:u w:val="single"/>
          </w:rPr>
          <w:t>Correlated Dual‐Gradient Electrodes Enabling Spatially Synchronized Sulfur Redox in High‐Mass‐Loading Li–S Batteries Under High Current Densities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10:14:35+00:00</w:t>
      </w:r>
      <w:r>
        <w:t xml:space="preserve">    </w:t>
      </w:r>
      <w:r>
        <w:rPr>
          <w:b/>
        </w:rPr>
        <w:t xml:space="preserve">DOI: </w:t>
      </w:r>
      <w:hyperlink r:id="rId736">
        <w:r>
          <w:rPr>
            <w:color w:val="1155CC"/>
            <w:u w:val="single"/>
          </w:rPr>
          <w:t>10.1002/adma.202517190</w:t>
        </w:r>
      </w:hyperlink>
    </w:p>
    <w:p>
      <w:pPr>
        <w:spacing w:before="0" w:after="120"/>
      </w:pPr>
      <w:r>
        <w:rPr>
          <w:b/>
        </w:rPr>
        <w:t xml:space="preserve">Notes: </w:t>
      </w:r>
      <w:r>
        <w:t>abstract_source=crossref</w:t>
      </w:r>
    </w:p>
    <w:p>
      <w:pPr>
        <w:spacing w:before="0" w:after="200" w:lineRule="auto" w:line="276"/>
      </w:pPr>
      <w:r>
        <w:rPr>
          <w:b/>
        </w:rPr>
        <w:t xml:space="preserve">Abstract: </w:t>
      </w:r>
      <w:r>
        <w:t>The practical deployment of Li–S batteries is hindered by sluggish redox kinetics and poor ion transport in high‐mass‐loading sulfur cathodes, especially under fast‐charging and high‐power‐density conditions. Conventional electrocatalyst‐based strategies partially mitigate electrochemical polarization by lowering reaction energy barriers but fail to address concentration and ohmic polarization, which become more pronounced in thick electrodes. Here, a coupled material‐architecture approach is demonstrated by integrating electrocatalysts into a low‐tortuosity, correlated dual‐gradient electrode, fabricated via programmable high‐resolution stereolithography and pyrolysis‐induced carbonization. The microscale pore gradient is deliberately correlated with the active‐material gradient to spatially synchronize redox progression across electrode depth, thereby homogenizing cathode utilization and alleviating concentration polarization. Pyrolysis generates additional nanoscale pores, establishing a hierarchical structure and transforming polymer‐salt precursors into a conductive carbon framework embedding Li</w:t>
      </w:r>
      <w:r>
        <w:rPr>
          <w:vertAlign w:val="subscript"/>
        </w:rPr>
        <w:t>2</w:t>
      </w:r>
      <w:r>
        <w:t>S@Fe</w:t>
      </w:r>
      <w:r>
        <w:rPr>
          <w:vertAlign w:val="subscript"/>
        </w:rPr>
        <w:t>2</w:t>
      </w:r>
      <w:r>
        <w:t>O</w:t>
      </w:r>
      <w:r>
        <w:rPr>
          <w:vertAlign w:val="subscript"/>
        </w:rPr>
        <w:t>3</w:t>
      </w:r>
      <w:r>
        <w:t>/Fe‐N‐C, enhancing ion accessibility and minimizing ohmic polarization, while Fe</w:t>
      </w:r>
      <w:r>
        <w:rPr>
          <w:vertAlign w:val="subscript"/>
        </w:rPr>
        <w:t>2</w:t>
      </w:r>
      <w:r>
        <w:t>O</w:t>
      </w:r>
      <w:r>
        <w:rPr>
          <w:vertAlign w:val="subscript"/>
        </w:rPr>
        <w:t>3</w:t>
      </w:r>
      <w:r>
        <w:t>/Fe‐N‐C accelerates polysulfide conversion, reducing electrochemical polarization. Benefiting from this synergy, the Li</w:t>
      </w:r>
      <w:r>
        <w:rPr>
          <w:vertAlign w:val="subscript"/>
        </w:rPr>
        <w:t>2</w:t>
      </w:r>
      <w:r>
        <w:t>S@Fe</w:t>
      </w:r>
      <w:r>
        <w:rPr>
          <w:vertAlign w:val="subscript"/>
        </w:rPr>
        <w:t>2</w:t>
      </w:r>
      <w:r>
        <w:t>O</w:t>
      </w:r>
      <w:r>
        <w:rPr>
          <w:vertAlign w:val="subscript"/>
        </w:rPr>
        <w:t>3</w:t>
      </w:r>
      <w:r>
        <w:t>/Fe‐N‐C electrode delivers high‐areal‐capacities of 22.7 mAh cm</w:t>
      </w:r>
      <w:r>
        <w:t xml:space="preserve"> </w:t>
      </w:r>
      <w:r>
        <w:t>−2</w:t>
      </w:r>
      <w:r>
        <w:t xml:space="preserve"> </w:t>
      </w:r>
      <w:r>
        <w:t>(1048 mAh g</w:t>
      </w:r>
      <w:r>
        <w:t xml:space="preserve"> </w:t>
      </w:r>
      <w:r>
        <w:t>−1</w:t>
      </w:r>
      <w:r>
        <w:t xml:space="preserve"> </w:t>
      </w:r>
      <w:r>
        <w:t>) at 0.1 C, 15.7 mAh cm</w:t>
      </w:r>
      <w:r>
        <w:t xml:space="preserve"> </w:t>
      </w:r>
      <w:r>
        <w:t>−2</w:t>
      </w:r>
      <w:r>
        <w:t xml:space="preserve"> </w:t>
      </w:r>
      <w:r>
        <w:t>(725 mAh g</w:t>
      </w:r>
      <w:r>
        <w:t xml:space="preserve"> </w:t>
      </w:r>
      <w:r>
        <w:t>−1</w:t>
      </w:r>
      <w:r>
        <w:t xml:space="preserve"> </w:t>
      </w:r>
      <w:r>
        <w:t>) at 5 C, and retains 82% capacity over 1100 cycles at 4 C. A single‐layer pouch cell achieves a specific energy of 403 Wh kg</w:t>
      </w:r>
      <w:r>
        <w:t xml:space="preserve"> </w:t>
      </w:r>
      <w:r>
        <w:t>−1</w:t>
      </w:r>
      <w:r>
        <w:t xml:space="preserve"> </w:t>
      </w:r>
      <w:r>
        <w:t>, demonstrating the promise of this dual‐gradient strategy for real‐world high‐energy and high‐power Li–S batteries.</w:t>
      </w:r>
    </w:p>
    <w:p>
      <w:pPr>
        <w:spacing w:before="120" w:after="120"/>
      </w:pPr>
      <w:r>
        <w:rPr>
          <w:sz w:val="18"/>
        </w:rPr>
        <w:t>——————————————————————————————————————————————————————————————————————</w:t>
      </w:r>
    </w:p>
    <w:p>
      <w:pPr>
        <w:spacing w:before="160" w:after="80" w:line="240" w:lineRule="auto"/>
      </w:pPr>
      <w:r>
        <w:rPr>
          <w:b/>
        </w:rPr>
        <w:t xml:space="preserve">[421] </w:t>
      </w:r>
      <w:hyperlink r:id="rId737">
        <w:r>
          <w:rPr>
            <w:color w:val="1155CC"/>
            <w:u w:val="single"/>
          </w:rPr>
          <w:t>Colloidal Quantum Dot Liquid Lasers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10:20:45+00:00</w:t>
      </w:r>
      <w:r>
        <w:t xml:space="preserve">    </w:t>
      </w:r>
      <w:r>
        <w:rPr>
          <w:b/>
        </w:rPr>
        <w:t xml:space="preserve">DOI: </w:t>
      </w:r>
      <w:hyperlink r:id="rId738">
        <w:r>
          <w:rPr>
            <w:color w:val="1155CC"/>
            <w:u w:val="single"/>
          </w:rPr>
          <w:t>10.1002/adma.202518662</w:t>
        </w:r>
      </w:hyperlink>
    </w:p>
    <w:p>
      <w:pPr>
        <w:spacing w:before="0" w:after="120"/>
      </w:pPr>
      <w:r>
        <w:rPr>
          <w:b/>
        </w:rPr>
        <w:t xml:space="preserve">Notes: </w:t>
      </w:r>
      <w:r>
        <w:t>abstract_source=crossref</w:t>
      </w:r>
    </w:p>
    <w:p>
      <w:pPr>
        <w:spacing w:before="0" w:after="200" w:lineRule="auto" w:line="276"/>
      </w:pPr>
      <w:r>
        <w:rPr>
          <w:b/>
        </w:rPr>
        <w:t xml:space="preserve">Abstract: </w:t>
      </w:r>
      <w:r>
        <w:t>Thermal management of lasers fundamentally limits the upper limit of their output power as well as their operational stability. In this context, liquid‐state lasers exhibit an unparalleled advantage in power scalability and stability, owing to their highly efficient heat dissipation facilitated by continuous fluid circulation. Additionally, the intrinsic compatibility of liquid lasers with microfluidic platforms also holds great promise for integration into energy‐efficient, miniaturized photonic systems. Colloidal quantum dots (QDs), which are solution‐processed semiconductor nanocrystals, have emerged as highly versatile optical gain materials. While research over the past decade has been predominantly centered on solid‐state QD lasers made from densely packed QD films or composite matrices, there has been a recent surge of interest in exploring QDs in their native dispersion form as active gain media for liquid‐state lasers. This review provides a systematic overview of recent advances in QD‐based liquid lasers, detailing their operational principles, critical performance metrics, and highlighting their unique advantages. Moreover, we point out current technical bottlenecks and explore prospective strategies for overcoming these limitations to pave the way for practical QD‐based liquid lasing technologies.</w:t>
      </w:r>
    </w:p>
    <w:p>
      <w:pPr>
        <w:spacing w:before="120" w:after="120"/>
      </w:pPr>
      <w:r>
        <w:rPr>
          <w:sz w:val="18"/>
        </w:rPr>
        <w:t>——————————————————————————————————————————————————————————————————————</w:t>
      </w:r>
    </w:p>
    <w:p>
      <w:pPr>
        <w:spacing w:before="160" w:after="80" w:line="240" w:lineRule="auto"/>
      </w:pPr>
      <w:r>
        <w:rPr>
          <w:b/>
        </w:rPr>
        <w:t xml:space="preserve">[422] </w:t>
      </w:r>
      <w:hyperlink r:id="rId739">
        <w:r>
          <w:rPr>
            <w:color w:val="1155CC"/>
            <w:u w:val="single"/>
          </w:rPr>
          <w:t>Sacrificing Knight for Pawn‐Queen Promotion: Sonosensitive Nano‐Xanthiums Orchestrate NO to Retain H2O2 for Antibiofilm Therapy</w:t>
        </w:r>
      </w:hyperlink>
    </w:p>
    <w:p>
      <w:pPr>
        <w:spacing w:before="0" w:after="120" w:line="240" w:lineRule="auto"/>
      </w:pPr>
      <w:r>
        <w:rPr>
          <w:b/>
        </w:rPr>
        <w:t xml:space="preserve">Source: </w:t>
      </w:r>
      <w:r>
        <w:t>Wiley: Advanced Materials: Table of Contents</w:t>
      </w:r>
      <w:r>
        <w:t xml:space="preserve">    </w:t>
      </w:r>
      <w:r>
        <w:rPr>
          <w:b/>
        </w:rPr>
        <w:t xml:space="preserve">Pub date: </w:t>
      </w:r>
      <w:r>
        <w:t>2025-12-26 10:21:32+00:00</w:t>
      </w:r>
      <w:r>
        <w:t xml:space="preserve">    </w:t>
      </w:r>
      <w:r>
        <w:rPr>
          <w:b/>
        </w:rPr>
        <w:t xml:space="preserve">DOI: </w:t>
      </w:r>
      <w:hyperlink r:id="rId740">
        <w:r>
          <w:rPr>
            <w:color w:val="1155CC"/>
            <w:u w:val="single"/>
          </w:rPr>
          <w:t>10.1002/adma.202521809</w:t>
        </w:r>
      </w:hyperlink>
    </w:p>
    <w:p>
      <w:pPr>
        <w:spacing w:before="0" w:after="120"/>
      </w:pPr>
      <w:r>
        <w:rPr>
          <w:b/>
        </w:rPr>
        <w:t xml:space="preserve">Notes: </w:t>
      </w:r>
      <w:r>
        <w:t>abstract_source=crossref</w:t>
      </w:r>
    </w:p>
    <w:p>
      <w:pPr>
        <w:spacing w:before="0" w:after="200" w:lineRule="auto" w:line="276"/>
      </w:pPr>
      <w:r>
        <w:rPr>
          <w:b/>
        </w:rPr>
        <w:t xml:space="preserve">Abstract: </w:t>
      </w:r>
      <w:r>
        <w:t>Biofilm infections present escalating clinical challenges due to their intrinsic resistance to conventional treatments, underscoring the urgent need for innovative therapeutic strategies. Here, we show a pioneering approach that leverages sacrificial nitric oxide (NO) to enhance hydrogen peroxide (H</w:t>
      </w:r>
      <w:r>
        <w:rPr>
          <w:vertAlign w:val="subscript"/>
        </w:rPr>
        <w:t>2</w:t>
      </w:r>
      <w:r>
        <w:t>O</w:t>
      </w:r>
      <w:r>
        <w:rPr>
          <w:vertAlign w:val="subscript"/>
        </w:rPr>
        <w:t>2</w:t>
      </w:r>
      <w:r>
        <w:t>) retention for antibiofilm therapy. H</w:t>
      </w:r>
      <w:r>
        <w:rPr>
          <w:vertAlign w:val="subscript"/>
        </w:rPr>
        <w:t>2</w:t>
      </w:r>
      <w:r>
        <w:t>O</w:t>
      </w:r>
      <w:r>
        <w:rPr>
          <w:vertAlign w:val="subscript"/>
        </w:rPr>
        <w:t>2</w:t>
      </w:r>
      <w:r>
        <w:t>has the ability to produce hydroxyl radicals (•OH), the most potent oxidants in nature, but it is often neutralized by H</w:t>
      </w:r>
      <w:r>
        <w:rPr>
          <w:vertAlign w:val="subscript"/>
        </w:rPr>
        <w:t>2</w:t>
      </w:r>
      <w:r>
        <w:t>O</w:t>
      </w:r>
      <w:r>
        <w:rPr>
          <w:vertAlign w:val="subscript"/>
        </w:rPr>
        <w:t>2</w:t>
      </w:r>
      <w:r>
        <w:t>scavengers before •OH formation. Our design utilizes ultrasound irradiation to release NO from the biofilm‐anchoring nano‐xanthiums (G‐B@NXs), which subsequently interact with biofilm‐associated H</w:t>
      </w:r>
      <w:r>
        <w:rPr>
          <w:vertAlign w:val="subscript"/>
        </w:rPr>
        <w:t>2</w:t>
      </w:r>
      <w:r>
        <w:t>O</w:t>
      </w:r>
      <w:r>
        <w:rPr>
          <w:vertAlign w:val="subscript"/>
        </w:rPr>
        <w:t>2</w:t>
      </w:r>
      <w:r>
        <w:t>scavengers, including catalase and glutathione, to suppress the decomposition ability toward H</w:t>
      </w:r>
      <w:r>
        <w:rPr>
          <w:vertAlign w:val="subscript"/>
        </w:rPr>
        <w:t>2</w:t>
      </w:r>
      <w:r>
        <w:t>O</w:t>
      </w:r>
      <w:r>
        <w:rPr>
          <w:vertAlign w:val="subscript"/>
        </w:rPr>
        <w:t>2</w:t>
      </w:r>
      <w:r>
        <w:t>. Additionally, glucose oxidase on the surface of G‐B@NXs supplements H</w:t>
      </w:r>
      <w:r>
        <w:rPr>
          <w:vertAlign w:val="subscript"/>
        </w:rPr>
        <w:t>2</w:t>
      </w:r>
      <w:r>
        <w:t>O</w:t>
      </w:r>
      <w:r>
        <w:rPr>
          <w:vertAlign w:val="subscript"/>
        </w:rPr>
        <w:t>2</w:t>
      </w:r>
      <w:r>
        <w:t>production, facilitates its conversion into •OH, and exhibits effective biofilm sterilization in different infection models. Our strategy not only shows the promise for advancing antibiofilm applications but also provides novel insights into the development of NO‐assisted biomaterials.</w:t>
      </w:r>
    </w:p>
    <w:p>
      <w:pPr>
        <w:spacing w:before="120" w:after="120"/>
      </w:pPr>
      <w:r>
        <w:rPr>
          <w:sz w:val="18"/>
        </w:rPr>
        <w:t>——————————————————————————————————————————————————————————————————————</w:t>
      </w:r>
    </w:p>
    <w:p>
      <w:pPr>
        <w:spacing w:before="160" w:after="80" w:line="240" w:lineRule="auto"/>
      </w:pPr>
      <w:r>
        <w:rPr>
          <w:b/>
        </w:rPr>
        <w:t xml:space="preserve">[423] </w:t>
      </w:r>
      <w:hyperlink r:id="rId741">
        <w:r>
          <w:rPr>
            <w:color w:val="1155CC"/>
            <w:u w:val="single"/>
          </w:rPr>
          <w:t>[ASAP] Deciphering Ibogaine’s Matrix Pharmacology: Multiple Transporter Modulation at Serotonin Synapses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12:31:50+00:00</w:t>
      </w:r>
      <w:r>
        <w:t xml:space="preserve">    </w:t>
      </w:r>
      <w:r>
        <w:rPr>
          <w:b/>
        </w:rPr>
        <w:t xml:space="preserve">DOI: </w:t>
      </w:r>
      <w:hyperlink r:id="rId742">
        <w:r>
          <w:rPr>
            <w:color w:val="1155CC"/>
            <w:u w:val="single"/>
          </w:rPr>
          <w:t>10.1021/jacs.5c06325</w:t>
        </w:r>
      </w:hyperlink>
    </w:p>
    <w:p>
      <w:pPr>
        <w:spacing w:before="0" w:after="120"/>
      </w:pPr>
      <w:r>
        <w:rPr>
          <w:b/>
        </w:rPr>
        <w:t xml:space="preserve">Notes: </w:t>
      </w:r>
      <w:r>
        <w:t>abstract_source=pubmed</w:t>
      </w:r>
    </w:p>
    <w:p>
      <w:pPr>
        <w:spacing w:before="0" w:after="200" w:lineRule="auto" w:line="276"/>
      </w:pPr>
      <w:r>
        <w:rPr>
          <w:b/>
        </w:rPr>
        <w:t xml:space="preserve">Abstract: </w:t>
      </w:r>
      <w:r>
        <w:t>Ibogaine is the main psychoactive alkaloid produced by the iboga tree (Tabernanthe iboga) that has a unique therapeutic potential across multiple indications, including opioid dependence, substance use disorders, depression, anxiety, posttraumatic stress disorder (PTSD), and traumatic brain injury (TBI). We systematically examined the effects of ibogaine, its main metabolite noribogaine, and a series of iboga analogs at monoamine neurotransmitter transporters, some of which have been linked to the therapeutic effects of these substances. We report that ibogaine and noribogaine inhibit the transport function of the vesicular monoamine transporter 2 (VMAT2) with submicromolar potency in cell-based fluorometry assays and at individual synaptic vesicle clusters in mouse brain as demonstrated via two-photon microscopy. Examining the uptake and release of radiolabeled serotonin in isolated brain synaptic vesicles, we confirmed that ibogaine and noribogaine act as inhibitors of VMAT2 and showed that noribogaine induces partial serotonin release from synaptic vesicles. Noribogaine does not compete with the binding of dihydrotetrabenazine, an established VMAT2 inhibitor, indicating that noribogaine engages the VMAT2 transporter at a distinct binding site or conformational state. The iboga compounds also inhibit the plasma membrane monoamine transporters (MATs), prominently including the serotonin transporter (SERT), and a novel iboga target, the organic cation transporter 2 (OCT2). SERT transport inhibition was demonstrated in serotonin axons and somata in mouse brain slices and in rat brain synaptosomes, where ibogaine and its analogs did not act as substrate-type serotonin releasers. Noribogaine, oxa-noribogaine, and several analogs displayed dual inhibition of VMAT2 and SERT with comparable potencies, a relatively uncommon activity in the pharmacopoeia of monoamine transporter inhibitors, and were hence labeled as "Synaptic Reuptake Inhibitors" ("SynRIs"). The SynRI profile provides an explanatory model for previously reported neurochemical effects of ibogaine in rodents. Together, the updated profile of the monoamine transporter modulation offers insight into the grand complexity of the iboga pharmacology, which we termed "matrix pharmacology". The matrix pharmacology hypothesis is outlined and used to conceptualize why ibogaine and noribogaine do not induce catalepsy, as demonstrated in our study, in contrast to other VMAT2 inhibitors.</w:t>
      </w:r>
    </w:p>
    <w:p>
      <w:pPr>
        <w:spacing w:before="120" w:after="120"/>
      </w:pPr>
      <w:r>
        <w:rPr>
          <w:sz w:val="18"/>
        </w:rPr>
        <w:t>——————————————————————————————————————————————————————————————————————</w:t>
      </w:r>
    </w:p>
    <w:p>
      <w:pPr>
        <w:spacing w:before="160" w:after="80" w:line="240" w:lineRule="auto"/>
      </w:pPr>
      <w:r>
        <w:rPr>
          <w:b/>
        </w:rPr>
        <w:t xml:space="preserve">[424] </w:t>
      </w:r>
      <w:hyperlink r:id="rId743">
        <w:r>
          <w:rPr>
            <w:color w:val="1155CC"/>
            <w:u w:val="single"/>
          </w:rPr>
          <w:t>[ASAP] Deciphering Cation-Stabilized *NO2 at the Molecular Level in Electrocatalytic Nitrate Reduction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12:34:26+00:00</w:t>
      </w:r>
      <w:r>
        <w:t xml:space="preserve">    </w:t>
      </w:r>
      <w:r>
        <w:rPr>
          <w:b/>
        </w:rPr>
        <w:t xml:space="preserve">DOI: </w:t>
      </w:r>
      <w:hyperlink r:id="rId744">
        <w:r>
          <w:rPr>
            <w:color w:val="1155CC"/>
            <w:u w:val="single"/>
          </w:rPr>
          <w:t>10.1021/jacs.5c13376</w:t>
        </w:r>
      </w:hyperlink>
    </w:p>
    <w:p>
      <w:pPr>
        <w:spacing w:before="0" w:after="120"/>
      </w:pPr>
      <w:r>
        <w:rPr>
          <w:b/>
        </w:rPr>
        <w:t xml:space="preserve">Notes: </w:t>
      </w:r>
      <w:r>
        <w:t>abstract_source=pubmed</w:t>
      </w:r>
    </w:p>
    <w:p>
      <w:pPr>
        <w:spacing w:before="0" w:after="200" w:lineRule="auto" w:line="276"/>
      </w:pPr>
      <w:r>
        <w:rPr>
          <w:b/>
        </w:rPr>
        <w:t xml:space="preserve">Abstract: </w:t>
      </w:r>
      <w:r>
        <w:t>Electrochemical nitrate reduction (NO3RR) offers a sustainable pathway for ammonia (NH3) production, yet its advancement is limited by a lack of molecular-level understanding of interfacial reaction dynamics. Here, we unravel a synergistic interfacial mechanism for rational catalyst design based on cooperative interfacial modulation. By integrating in situ Raman spectroscopy with multiscale simulations, we uncover a cation-mediated stabilization mechanism of the key *NO2 intermediate on atomically defined Au single-crystal surfaces. We demonstrate that electrolyte cations play a critical role in modulating the local electric field and stabilizing *NO2 via interfacial coordination, thereby controlling its interfacial reactivity and subsequent transformation. Armed with this insight, we employ Sn heteroatom modification to achieve dual-function optimization. The electronic interaction between Sn and Au weakens *NO2 adsorption, lowering the hydrogenation barrier, while the altered interfacial water structure facilitates proton transfer through a reinforced hydrogen-bond network. This synergistic modulation leads to enhanced NH3 selectivity and suppressed hydrogen evolution. Our findings highlight a paradigm shift from an active-site-centric catalyst design to an integrated approach that considers the entire electrochemical interface, where electronic, ionic, and solvent effects are concurrently tuned. This work provides both molecular-level mechanistic insights and a generalizable strategy for designing advanced electrocatalysts for NO3RR and broader proton-coupled electron transfer reactions.</w:t>
      </w:r>
    </w:p>
    <w:p>
      <w:pPr>
        <w:spacing w:before="120" w:after="120"/>
      </w:pPr>
      <w:r>
        <w:rPr>
          <w:sz w:val="18"/>
        </w:rPr>
        <w:t>——————————————————————————————————————————————————————————————————————</w:t>
      </w:r>
    </w:p>
    <w:p>
      <w:pPr>
        <w:spacing w:before="160" w:after="80" w:line="240" w:lineRule="auto"/>
      </w:pPr>
      <w:r>
        <w:rPr>
          <w:b/>
        </w:rPr>
        <w:t xml:space="preserve">[425] </w:t>
      </w:r>
      <w:hyperlink r:id="rId745">
        <w:r>
          <w:rPr>
            <w:color w:val="1155CC"/>
            <w:u w:val="single"/>
          </w:rPr>
          <w:t>[ASAP] A New Method to Enhance Electrochemiluminescence of Imine-Based Covalent Organic Frameworks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12:34:32+00:00</w:t>
      </w:r>
      <w:r>
        <w:t xml:space="preserve">    </w:t>
      </w:r>
      <w:r>
        <w:rPr>
          <w:b/>
        </w:rPr>
        <w:t xml:space="preserve">DOI: </w:t>
      </w:r>
      <w:hyperlink r:id="rId746">
        <w:r>
          <w:rPr>
            <w:color w:val="1155CC"/>
            <w:u w:val="single"/>
          </w:rPr>
          <w:t>10.1021/jacs.5c15881</w:t>
        </w:r>
      </w:hyperlink>
    </w:p>
    <w:p>
      <w:pPr>
        <w:spacing w:before="0" w:after="120"/>
      </w:pPr>
      <w:r>
        <w:rPr>
          <w:b/>
        </w:rPr>
        <w:t xml:space="preserve">Notes: </w:t>
      </w:r>
      <w:r>
        <w:t>abstract_source=pubmed</w:t>
      </w:r>
    </w:p>
    <w:p>
      <w:pPr>
        <w:spacing w:before="0" w:after="200" w:lineRule="auto" w:line="276"/>
      </w:pPr>
      <w:r>
        <w:rPr>
          <w:b/>
        </w:rPr>
        <w:t xml:space="preserve">Abstract: </w:t>
      </w:r>
      <w:r>
        <w:t>The application of imine-linked covalent organic frameworks (COFs) in electrochemiluminescence (ECL) is hindered due to their high polarity and instability. At present, there is no effective method to overcome this issue. Herein, a novel quinoline-linked COF, i.e., TAPPDTA0, was synthesized using 5,10,15,20-tetrakis(4-aminophenyl)porphyrin (TAPP) and 2,5-dihydroxyterephthalaldehyde (DTA) as building blocks through a Schiff base reaction with postmodification with the Povarov reaction. The intramolecular hydrogen bond and the quinoline ring stabilize the C═N bond, endowing TAPPDTA0 with excellent ECL performance by suppressing molecular self-rotation and enhancing π-electron delocalization. When TAPPDTA0 works as the luminophore, an "on-off-on" ECL biosensor with Exo III-assisted target recycling amplification strategy showed a remarkably low detection limit (LOD) of 1.67 fM (S/N = 3) toward miRNA-141 assay in a broad linear response from 1 μM to 10 fM. This work opens a new chapter in the design of novel ECL emitters using postmodified imine-linked COFs and expands the application of imine-linked COFs in ECL biosensors.</w:t>
      </w:r>
    </w:p>
    <w:p>
      <w:pPr>
        <w:spacing w:before="120" w:after="120"/>
      </w:pPr>
      <w:r>
        <w:rPr>
          <w:sz w:val="18"/>
        </w:rPr>
        <w:t>——————————————————————————————————————————————————————————————————————</w:t>
      </w:r>
    </w:p>
    <w:p>
      <w:pPr>
        <w:spacing w:before="160" w:after="80" w:line="240" w:lineRule="auto"/>
      </w:pPr>
      <w:r>
        <w:rPr>
          <w:b/>
        </w:rPr>
        <w:t xml:space="preserve">[426] </w:t>
      </w:r>
      <w:hyperlink r:id="rId747">
        <w:r>
          <w:rPr>
            <w:color w:val="1155CC"/>
            <w:u w:val="single"/>
          </w:rPr>
          <w:t>[ASAP] Advanced All-Fluorinated Electrolytes for Extended Cycle Life and Stability of Li||SPAN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2025-12-26 13:39:24+00:00</w:t>
      </w:r>
      <w:r>
        <w:t xml:space="preserve">    </w:t>
      </w:r>
      <w:r>
        <w:rPr>
          <w:b/>
        </w:rPr>
        <w:t xml:space="preserve">DOI: </w:t>
      </w:r>
      <w:hyperlink r:id="rId748">
        <w:r>
          <w:rPr>
            <w:color w:val="1155CC"/>
            <w:u w:val="single"/>
          </w:rPr>
          <w:t>10.1021/acsenergylett.5c03054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[427] </w:t>
      </w:r>
      <w:hyperlink r:id="rId749">
        <w:r>
          <w:rPr>
            <w:color w:val="1155CC"/>
            <w:u w:val="single"/>
          </w:rPr>
          <w:t>Low‐Energy Consumed Switchable Windows with Ultralong Optical Memory via Semiconductor‐Enabled Reversible Zinc Electrodeposition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13:46:58+00:00</w:t>
      </w:r>
      <w:r>
        <w:t xml:space="preserve">    </w:t>
      </w:r>
      <w:r>
        <w:rPr>
          <w:b/>
        </w:rPr>
        <w:t xml:space="preserve">DOI: </w:t>
      </w:r>
      <w:hyperlink r:id="rId750">
        <w:r>
          <w:rPr>
            <w:color w:val="1155CC"/>
            <w:u w:val="single"/>
          </w:rPr>
          <w:t>10.1002/adma.202521622</w:t>
        </w:r>
      </w:hyperlink>
    </w:p>
    <w:p>
      <w:pPr>
        <w:spacing w:before="0" w:after="120"/>
      </w:pPr>
      <w:r>
        <w:rPr>
          <w:b/>
        </w:rPr>
        <w:t xml:space="preserve">Notes: </w:t>
      </w:r>
      <w:r>
        <w:t>abstract_source=crossref</w:t>
      </w:r>
    </w:p>
    <w:p>
      <w:pPr>
        <w:spacing w:before="0" w:after="200" w:lineRule="auto" w:line="276"/>
      </w:pPr>
      <w:r>
        <w:rPr>
          <w:b/>
        </w:rPr>
        <w:t xml:space="preserve">Abstract: </w:t>
      </w:r>
      <w:r>
        <w:t>Electro‐response switchable windows (ERSWs) can dynamically control light transmission on demand, which showed great application potential for construction of zero‐energy buildings. However, ERSWs' poor bistability compromises their energy efficiency, and the solar heat absorption in dark colored state leads to undesirable parasitic heat re‐emission, thereby diminishing their effectiveness in thermal management. In this work, a bistable reflectance‐modulated electroreflective device based on reversible zinc electrodeposition (ZERD) is designed and prepared to achieve ultra‐low‐power heat management. A dynamic balancing strategy with highly matched potential for the Zn</w:t>
      </w:r>
      <w:r>
        <w:rPr>
          <w:vertAlign w:val="subscript"/>
        </w:rPr>
        <w:t>2</w:t>
      </w:r>
      <w:r>
        <w:t>⁺/Zn redox reaction on both side electrodes gave ZERD excellent bistability (28 days), fast switching (4 s for colored and 8 s for bleached). The reflectance‐modulated property gave ZERD high R</w:t>
      </w:r>
      <w:r>
        <w:t xml:space="preserve"> </w:t>
      </w:r>
      <w:r>
        <w:t>sol</w:t>
      </w:r>
      <w:r>
        <w:t xml:space="preserve"> </w:t>
      </w:r>
      <w:r>
        <w:t>(64.25%) and low SHGC (0.066), which meant it can reduce parasitic heat re‐emission significantly. Outdoor tests demonstrated reflectance‐modulated ZERD provided enhanced cooling performance compared to transmittance‐modulated ERSW (a maximum temperature reduction of up to 8.4°C). Energy consumption calculations indicated ZERD required only needed to consume up to 0.8% of the total energy savings, while enabling substantial annual energy savings (up to 57.9% in worldwide). The ultralow‐power bistable reflectance‐modulated ZERD offered a valuable strategy for designing high‐performance ERSW and supported progress toward zero‐energy buildings.</w:t>
      </w:r>
    </w:p>
    <w:p>
      <w:pPr>
        <w:spacing w:before="120" w:after="120"/>
      </w:pPr>
      <w:r>
        <w:rPr>
          <w:sz w:val="18"/>
        </w:rPr>
        <w:t>——————————————————————————————————————————————————————————————————————</w:t>
      </w:r>
    </w:p>
    <w:p>
      <w:pPr>
        <w:spacing w:before="160" w:after="80" w:line="240" w:lineRule="auto"/>
      </w:pPr>
      <w:r>
        <w:rPr>
          <w:b/>
        </w:rPr>
        <w:t xml:space="preserve">[428] </w:t>
      </w:r>
      <w:hyperlink r:id="rId751">
        <w:r>
          <w:rPr>
            <w:color w:val="1155CC"/>
            <w:u w:val="single"/>
          </w:rPr>
          <w:t>Engineering Stress‐Potential Coupled Interface on Ultrathin Lithium Anodes Toward 450 Wh Kg−1‐Level Long‐Cycling Lithium Metal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13:47:26+00:00</w:t>
      </w:r>
      <w:r>
        <w:t xml:space="preserve">    </w:t>
      </w:r>
      <w:r>
        <w:rPr>
          <w:b/>
        </w:rPr>
        <w:t xml:space="preserve">DOI: </w:t>
      </w:r>
      <w:hyperlink r:id="rId752">
        <w:r>
          <w:rPr>
            <w:color w:val="1155CC"/>
            <w:u w:val="single"/>
          </w:rPr>
          <w:t>10.1002/adma.202519442</w:t>
        </w:r>
      </w:hyperlink>
    </w:p>
    <w:p>
      <w:pPr>
        <w:spacing w:before="0" w:after="120"/>
      </w:pPr>
      <w:r>
        <w:rPr>
          <w:b/>
        </w:rPr>
        <w:t xml:space="preserve">Notes: </w:t>
      </w:r>
      <w:r>
        <w:t>abstract_source=crossref</w:t>
      </w:r>
    </w:p>
    <w:p>
      <w:pPr>
        <w:spacing w:before="0" w:after="200" w:lineRule="auto" w:line="276"/>
      </w:pPr>
      <w:r>
        <w:rPr>
          <w:b/>
        </w:rPr>
        <w:t xml:space="preserve">Abstract: </w:t>
      </w:r>
      <w:r>
        <w:t>Dendrite‐free lithium anodes are crucial for developing practical high‐energy‐density batteries (&amp;gt;400 Wh/kg) with extended cycle life, but conventional interface design lack self‐adaptive adjustment against dendrite growth during Li plating. Herein, we obtain a dendrite‐free ultrathin Li@FcCHO anode by engineering a stress‐responsive nano‐interface on lithium strips via a mechanochemical reaction between ferrocene carboxaldehyde (FcCHO) and metallic Li. As proved by in situ Kelvin probe force microscopy and scanning electrochemical microscopy tests, the Li@FcCHO anode shows local potential response to the Li plating stress. Furthermore, density functional theory calculations show that the local surface potential change originates from stress‐induced redistribution of anion‐pair coordination. The stress‐potential coupled interface layers induce uniform and dendrite‐free Li deposition beneath the interface by suppressing dendritic Li from capturing Li</w:t>
      </w:r>
      <w:r>
        <w:t xml:space="preserve"> </w:t>
      </w:r>
      <w:r>
        <w:t>+</w:t>
      </w:r>
      <w:r>
        <w:t xml:space="preserve"> </w:t>
      </w:r>
      <w:r>
        <w:t>with the extra electric field. As a result, the Li@FcCHO anode exhibits ultralong cycling life over 5000 h under high areal capacity conditions, whilst a practical 452 Wh/kg pouch cell (9 Ah) based on the Li@FcCHO anode can survive over 470 cycles with capacity retention of 85.20%. This work pioneers a stress‐potential coupled interface design to advance practical ultrathin Li anodes for next‐generation high‐energy‐density batteries.</w:t>
      </w:r>
    </w:p>
    <w:p>
      <w:pPr>
        <w:spacing w:before="120" w:after="120"/>
      </w:pPr>
      <w:r>
        <w:rPr>
          <w:sz w:val="18"/>
        </w:rPr>
        <w:t>——————————————————————————————————————————————————————————————————————</w:t>
      </w:r>
    </w:p>
    <w:p>
      <w:pPr>
        <w:spacing w:before="160" w:after="80" w:line="240" w:lineRule="auto"/>
      </w:pPr>
      <w:r>
        <w:rPr>
          <w:b/>
        </w:rPr>
        <w:t xml:space="preserve">[429] </w:t>
      </w:r>
      <w:hyperlink r:id="rId753">
        <w:r>
          <w:rPr>
            <w:color w:val="1155CC"/>
            <w:u w:val="single"/>
          </w:rPr>
          <w:t>High Performance 4.6 V LiCoO2 Cathode Materials Enabled by Surface Lattice Modulation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13:49:00+00:00</w:t>
      </w:r>
      <w:r>
        <w:t xml:space="preserve">    </w:t>
      </w:r>
      <w:r>
        <w:rPr>
          <w:b/>
        </w:rPr>
        <w:t xml:space="preserve">DOI: </w:t>
      </w:r>
      <w:hyperlink r:id="rId754">
        <w:r>
          <w:rPr>
            <w:color w:val="1155CC"/>
            <w:u w:val="single"/>
          </w:rPr>
          <w:t>10.1002/adma.202521637</w:t>
        </w:r>
      </w:hyperlink>
    </w:p>
    <w:p>
      <w:pPr>
        <w:spacing w:before="0" w:after="120"/>
      </w:pPr>
      <w:r>
        <w:rPr>
          <w:b/>
        </w:rPr>
        <w:t xml:space="preserve">Notes: </w:t>
      </w:r>
      <w:r>
        <w:t>abstract_source=crossref</w:t>
      </w:r>
    </w:p>
    <w:p>
      <w:pPr>
        <w:spacing w:before="0" w:after="200" w:lineRule="auto" w:line="276"/>
      </w:pPr>
      <w:r>
        <w:rPr>
          <w:b/>
        </w:rPr>
        <w:t xml:space="preserve">Abstract: </w:t>
      </w:r>
      <w:r>
        <w:t>Charging the cathode of LiCoO</w:t>
      </w:r>
      <w:r>
        <w:rPr>
          <w:vertAlign w:val="subscript"/>
        </w:rPr>
        <w:t>2</w:t>
      </w:r>
      <w:r>
        <w:t>(LCO) to higher voltages, typically 4.6 V, is able to increase reversible capacity, but meanwhile raises serious stability issues. Here, through a decomposition‐induced reconstruction (DIR) process, we demonstrate the possibility of modulating the surface lattice of LCO with high precision in depth control, thereby enabling the 4.6 V LCO cathode to have both high capacity and structural integrity. Following the precise construction of a conformal Y(OH)CO</w:t>
      </w:r>
      <w:r>
        <w:rPr>
          <w:vertAlign w:val="subscript"/>
        </w:rPr>
        <w:t>3</w:t>
      </w:r>
      <w:r>
        <w:t>nanoshell, a sintering process induces the hydrocarbonate decomposition, which releases CO</w:t>
      </w:r>
      <w:r>
        <w:rPr>
          <w:vertAlign w:val="subscript"/>
        </w:rPr>
        <w:t>2</w:t>
      </w:r>
      <w:r>
        <w:t>to transform the layered structure of the LCO crust into rock‐salt‐like lattices, forming a renovated surface with high electrochemical and mechanical stability. The prepared LCO cathode delivers a high reversible capacity of 215.8 mAh g</w:t>
      </w:r>
      <w:r>
        <w:t xml:space="preserve"> </w:t>
      </w:r>
      <w:r>
        <w:t>−1</w:t>
      </w:r>
      <w:r>
        <w:t xml:space="preserve"> </w:t>
      </w:r>
      <w:r>
        <w:t>at 0.1 C with an extraordinary capacity retention of 93.0% after 100 cycles at 4.6 V. The much‐improved stability is meanwhile manifested by cyclability test at 1 C (85.5% vs 13.6% of pristine LCO after 500 cycles), as well as tests at harsh conditions. Our results highlight the essential role played by the surface chemistry in addressing the stability issue of high voltage LCO cathode, and provide useful guidelines for the development of lithium‐ion batteries with higher energy density.</w:t>
      </w:r>
    </w:p>
    <w:p>
      <w:pPr>
        <w:spacing w:before="120" w:after="120"/>
      </w:pPr>
      <w:r>
        <w:rPr>
          <w:sz w:val="18"/>
        </w:rPr>
        <w:t>——————————————————————————————————————————————————————————————————————</w:t>
      </w:r>
    </w:p>
    <w:p>
      <w:pPr>
        <w:spacing w:before="160" w:after="80" w:line="240" w:lineRule="auto"/>
      </w:pPr>
      <w:r>
        <w:rPr>
          <w:b/>
        </w:rPr>
        <w:t xml:space="preserve">[430] </w:t>
      </w:r>
      <w:hyperlink r:id="rId755">
        <w:r>
          <w:rPr>
            <w:color w:val="1155CC"/>
            <w:u w:val="single"/>
          </w:rPr>
          <w:t>Achieving Seasonal Reproducibility in Wide‐Bandgap Sn‐Based Perovskite Solar Cells via Proton‐Locking Interface Engineering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13:49:40+00:00</w:t>
      </w:r>
      <w:r>
        <w:t xml:space="preserve">    </w:t>
      </w:r>
      <w:r>
        <w:rPr>
          <w:b/>
        </w:rPr>
        <w:t xml:space="preserve">DOI: </w:t>
      </w:r>
      <w:hyperlink r:id="rId756">
        <w:r>
          <w:rPr>
            <w:color w:val="1155CC"/>
            <w:u w:val="single"/>
          </w:rPr>
          <w:t>10.1002/aenm.202505598</w:t>
        </w:r>
      </w:hyperlink>
    </w:p>
    <w:p>
      <w:pPr>
        <w:spacing w:before="0" w:after="120"/>
      </w:pPr>
      <w:r>
        <w:rPr>
          <w:b/>
        </w:rPr>
        <w:t xml:space="preserve">Notes: </w:t>
      </w:r>
      <w:r>
        <w:t>abstract_source=crossref</w:t>
      </w:r>
    </w:p>
    <w:p>
      <w:pPr>
        <w:spacing w:before="0" w:after="200" w:lineRule="auto" w:line="276"/>
      </w:pPr>
      <w:r>
        <w:rPr>
          <w:b/>
        </w:rPr>
        <w:t xml:space="preserve">Abstract: </w:t>
      </w:r>
      <w:r>
        <w:t>The advancement of wide‐bandgap (WBG) Sn‐perovskite devices is substantially hindered by seasonal instability and limited reproducibility, primarily due to moisture‐induced over‐doping of PEDOT:PSS and Sn</w:t>
      </w:r>
      <w:r>
        <w:t xml:space="preserve"> </w:t>
      </w:r>
      <w:r>
        <w:t>2+</w:t>
      </w:r>
      <w:r>
        <w:t xml:space="preserve"> </w:t>
      </w:r>
      <w:r>
        <w:t>oxidation. Here, we introduce a hydrophobic proton‐locking interface engineering strategy by incorporating a novel S‐benzyl‐L‐cysteine (SBLC) molecule into PEDOT:PSS. The hydrophobic benzyl backbone, amine groups, and significant dipole moment of SBLC facilitate strong coordination with Sn</w:t>
      </w:r>
      <w:r>
        <w:t xml:space="preserve"> </w:t>
      </w:r>
      <w:r>
        <w:t>2+</w:t>
      </w:r>
      <w:r>
        <w:t xml:space="preserve"> </w:t>
      </w:r>
      <w:r>
        <w:t>, effectively preventing moisture ingress and stabilizing buried interfacial energetics. This multifunctional modulation suppresses defects and promotes uniform crystallization across varying humidity and seasonal conditions. The optimized Target device, based on a WBG Sn‐perovskite composition of PEA</w:t>
      </w:r>
      <w:r>
        <w:t xml:space="preserve"> </w:t>
      </w:r>
      <w:r>
        <w:t>0.10</w:t>
      </w:r>
      <w:r>
        <w:t xml:space="preserve"> </w:t>
      </w:r>
      <w:r>
        <w:t>FA</w:t>
      </w:r>
      <w:r>
        <w:t xml:space="preserve"> </w:t>
      </w:r>
      <w:r>
        <w:t>0.75</w:t>
      </w:r>
      <w:r>
        <w:t xml:space="preserve"> </w:t>
      </w:r>
      <w:r>
        <w:t>EA</w:t>
      </w:r>
      <w:r>
        <w:t xml:space="preserve"> </w:t>
      </w:r>
      <w:r>
        <w:t>0.15</w:t>
      </w:r>
      <w:r>
        <w:t xml:space="preserve"> </w:t>
      </w:r>
      <w:r>
        <w:t>SnI</w:t>
      </w:r>
      <w:r>
        <w:t xml:space="preserve"> </w:t>
      </w:r>
      <w:r>
        <w:t>2.15</w:t>
      </w:r>
      <w:r>
        <w:t xml:space="preserve"> </w:t>
      </w:r>
      <w:r>
        <w:t>Br</w:t>
      </w:r>
      <w:r>
        <w:t xml:space="preserve"> </w:t>
      </w:r>
      <w:r>
        <w:t>0.85</w:t>
      </w:r>
      <w:r>
        <w:t xml:space="preserve"> </w:t>
      </w:r>
      <w:r>
        <w:t>, achieves a power conversion efficiency of 11.50% and retains &amp;gt;80% of its average performance across 279 devices fabricated monthly over 11 months, thereby establishing the first seasonal reproducibility benchmark. Furthermore, this approach exhibits increased stability of various stress conditions and enables a record efficiency of 17.40% in all‐perovskite tandem devices featuring a WBG Sn‐perovskite. These findings provide a scalable pathway toward reproducible, tandem‐compatible, lead‐free photovoltaics.</w:t>
      </w:r>
    </w:p>
    <w:p>
      <w:pPr>
        <w:spacing w:before="120" w:after="120"/>
      </w:pPr>
      <w:r>
        <w:rPr>
          <w:sz w:val="18"/>
        </w:rPr>
        <w:t>——————————————————————————————————————————————————————————————————————</w:t>
      </w:r>
    </w:p>
    <w:p>
      <w:pPr>
        <w:spacing w:before="160" w:after="80" w:line="240" w:lineRule="auto"/>
      </w:pPr>
      <w:r>
        <w:rPr>
          <w:b/>
        </w:rPr>
        <w:t xml:space="preserve">[431] </w:t>
      </w:r>
      <w:hyperlink r:id="rId757">
        <w:r>
          <w:rPr>
            <w:color w:val="1155CC"/>
            <w:u w:val="single"/>
          </w:rPr>
          <w:t>Dispersion‐Engineered Terahertz Spoof Plasmonic Neural Network for Parallel Computing and On‐Chip Communication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13:50:29+00:00</w:t>
      </w:r>
      <w:r>
        <w:t xml:space="preserve">    </w:t>
      </w:r>
      <w:r>
        <w:rPr>
          <w:b/>
        </w:rPr>
        <w:t xml:space="preserve">DOI: </w:t>
      </w:r>
      <w:hyperlink r:id="rId758">
        <w:r>
          <w:rPr>
            <w:color w:val="1155CC"/>
            <w:u w:val="single"/>
          </w:rPr>
          <w:t>10.1002/adma.202503584</w:t>
        </w:r>
      </w:hyperlink>
    </w:p>
    <w:p>
      <w:pPr>
        <w:spacing w:before="0" w:after="120"/>
      </w:pPr>
      <w:r>
        <w:rPr>
          <w:b/>
        </w:rPr>
        <w:t xml:space="preserve">Notes: </w:t>
      </w:r>
      <w:r>
        <w:t>abstract_source=crossref</w:t>
      </w:r>
    </w:p>
    <w:p>
      <w:pPr>
        <w:spacing w:before="0" w:after="200" w:lineRule="auto" w:line="276"/>
      </w:pPr>
      <w:r>
        <w:rPr>
          <w:b/>
        </w:rPr>
        <w:t xml:space="preserve">Abstract: </w:t>
      </w:r>
      <w:r>
        <w:t>Diffractive neural networks offer a novel physical implementation for optical computing to achieve parallelism, low power consumption, and light‐speed processing. However, their limited dispersion engineering necessitates increasingly complex architectures for tasks such as spectrum recognition and simultaneous multi‐class classification, which in turn leads to increased energy demands. Here, we propose a spoof plasmonic neural network (SPNN) comprising cross‐cascaded spoof surface plasmonic waveguides with strong engineered dispersion properties designed for operation in the terahertz regime. This compact platform efficiently separates spectral components from a broadband input signal, achieving a data rate of 22 Gbit/s across two separated spectral channels. We experimentally show that the SPNN can simultaneously classify multiple inputs from Fashion‐MNIST+MNIST or Fashion‐MNIST+EMNIST datasets, achieving classification accuracies of 98.3% and 97.4% or 97.4% and 93.8%, respectively. For multi‐color CIFAR‐10 dataset classification, the network architecture incorporating multiple cascaded SPNNs realizes over 10% higher accuracy than single‐color‐channel methods by leveraging distinct color channels mapped to respective spectrum channels. These findings highlight the potential of SPNNs for machine learning applications and lay the groundwork for future terahertz chip integration.</w:t>
      </w:r>
    </w:p>
    <w:p>
      <w:pPr>
        <w:spacing w:before="120" w:after="120"/>
      </w:pPr>
      <w:r>
        <w:rPr>
          <w:sz w:val="18"/>
        </w:rPr>
        <w:t>——————————————————————————————————————————————————————————————————————</w:t>
      </w:r>
    </w:p>
    <w:p>
      <w:pPr>
        <w:spacing w:before="160" w:after="80" w:line="240" w:lineRule="auto"/>
      </w:pPr>
      <w:r>
        <w:rPr>
          <w:b/>
        </w:rPr>
        <w:t xml:space="preserve">[432] </w:t>
      </w:r>
      <w:hyperlink r:id="rId759">
        <w:r>
          <w:rPr>
            <w:color w:val="1155CC"/>
            <w:u w:val="single"/>
          </w:rPr>
          <w:t>Unlocking High External Quantum Yield for Broadband Near‐Infrared Emission From Lead‐Free Perovskite Variant Solid Solutions Cs2Te1‒xMoxCl6</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13:54:08+00:00</w:t>
      </w:r>
      <w:r>
        <w:t xml:space="preserve">    </w:t>
      </w:r>
      <w:r>
        <w:rPr>
          <w:b/>
        </w:rPr>
        <w:t xml:space="preserve">DOI: </w:t>
      </w:r>
      <w:hyperlink r:id="rId760">
        <w:r>
          <w:rPr>
            <w:color w:val="1155CC"/>
            <w:u w:val="single"/>
          </w:rPr>
          <w:t>10.1002/adma.202520149</w:t>
        </w:r>
      </w:hyperlink>
    </w:p>
    <w:p>
      <w:pPr>
        <w:spacing w:before="0" w:after="120"/>
      </w:pPr>
      <w:r>
        <w:rPr>
          <w:b/>
        </w:rPr>
        <w:t xml:space="preserve">Notes: </w:t>
      </w:r>
      <w:r>
        <w:t>abstract_source=crossref</w:t>
      </w:r>
    </w:p>
    <w:p>
      <w:pPr>
        <w:spacing w:before="0" w:after="200" w:lineRule="auto" w:line="276"/>
      </w:pPr>
      <w:r>
        <w:rPr>
          <w:b/>
        </w:rPr>
        <w:t xml:space="preserve">Abstract: </w:t>
      </w:r>
      <w:r>
        <w:t>Broadband near‐infrared (NIR) phosphor‐converted LEDs are efficient light sources for imaging, sensing, and security. However, the development of NIR phosphors has been limited by a strategy that prioritizes internal quantum efficiency (IQE) while leaving absorption efficiency (AE) largely underexplored, causing the external quantum efficiency (EQE) to plateau. Here, we break from this convention and demonstrate an absorption‐engineered, single‐component solid solution, Cs</w:t>
      </w:r>
      <w:r>
        <w:rPr>
          <w:vertAlign w:val="subscript"/>
        </w:rPr>
        <w:t>2</w:t>
      </w:r>
      <w:r>
        <w:t>Te</w:t>
      </w:r>
      <w:r>
        <w:t xml:space="preserve"> </w:t>
      </w:r>
      <w:r>
        <w:t>0.92</w:t>
      </w:r>
      <w:r>
        <w:t xml:space="preserve"> </w:t>
      </w:r>
      <w:r>
        <w:t>Mo</w:t>
      </w:r>
      <w:r>
        <w:t xml:space="preserve"> </w:t>
      </w:r>
      <w:r>
        <w:t>0.08</w:t>
      </w:r>
      <w:r>
        <w:t xml:space="preserve"> </w:t>
      </w:r>
      <w:r>
        <w:t>Cl</w:t>
      </w:r>
      <w:r>
        <w:rPr>
          <w:vertAlign w:val="subscript"/>
        </w:rPr>
        <w:t>6</w:t>
      </w:r>
      <w:r>
        <w:t>, designed under a new strategy that synergistically optimizes AE and IQE. The material delivers broadband NIR emission spanning 750–1350 nm with an IQE of 97.4% and a record‐high EQE of 65.6% for broadband NIR phosphors beyond 900 nm. This performance originates from the synergistic effect of strong photon harvesting, low phonon energy (138 cm</w:t>
      </w:r>
      <w:r>
        <w:t xml:space="preserve"> </w:t>
      </w:r>
      <w:r>
        <w:t>−1</w:t>
      </w:r>
      <w:r>
        <w:t xml:space="preserve"> </w:t>
      </w:r>
      <w:r>
        <w:t>), and a Type‐I band alignment, as confirmed by experimental and theoretical studies. Notably, Cs</w:t>
      </w:r>
      <w:r>
        <w:rPr>
          <w:vertAlign w:val="subscript"/>
        </w:rPr>
        <w:t>2</w:t>
      </w:r>
      <w:r>
        <w:t>Te</w:t>
      </w:r>
      <w:r>
        <w:t xml:space="preserve"> </w:t>
      </w:r>
      <w:r>
        <w:t>0.92</w:t>
      </w:r>
      <w:r>
        <w:t xml:space="preserve"> </w:t>
      </w:r>
      <w:r>
        <w:t>Mo</w:t>
      </w:r>
      <w:r>
        <w:t xml:space="preserve"> </w:t>
      </w:r>
      <w:r>
        <w:t>0.08</w:t>
      </w:r>
      <w:r>
        <w:t xml:space="preserve"> </w:t>
      </w:r>
      <w:r>
        <w:t>Cl</w:t>
      </w:r>
      <w:r>
        <w:rPr>
          <w:vertAlign w:val="subscript"/>
        </w:rPr>
        <w:t>6</w:t>
      </w:r>
      <w:r>
        <w:t>maintains outstanding stability, enabling NIR LED fabrication on 395 nm UV chips. The fabricated device achieves a electro‐optical conversion efficiency of 15.2% and an optical output of 112 mW, setting a new benchmark for NIR light sources. Practical demonstrations in ethanol concentration detection, solar energy harvesting, night vision, and anti‐counterfeiting confirm its utility, thereby establishing a transformative design platform for next‐generation optoelectronics.</w:t>
      </w:r>
    </w:p>
    <w:p>
      <w:pPr>
        <w:spacing w:before="120" w:after="120"/>
      </w:pPr>
      <w:r>
        <w:rPr>
          <w:sz w:val="18"/>
        </w:rPr>
        <w:t>——————————————————————————————————————————————————————————————————————</w:t>
      </w:r>
    </w:p>
    <w:p>
      <w:pPr>
        <w:spacing w:before="160" w:after="80" w:line="240" w:lineRule="auto"/>
      </w:pPr>
      <w:r>
        <w:rPr>
          <w:b/>
        </w:rPr>
        <w:t xml:space="preserve">[433] </w:t>
      </w:r>
      <w:hyperlink r:id="rId761">
        <w:r>
          <w:rPr>
            <w:color w:val="1155CC"/>
            <w:u w:val="single"/>
          </w:rPr>
          <w:t>Interface‐Regulated Orbital Coupling Enables Nucleophilic Carbon Assembly Pathways in Electrochemical CO2 Conversion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13:56:03+00:00</w:t>
      </w:r>
      <w:r>
        <w:t xml:space="preserve">    </w:t>
      </w:r>
      <w:r>
        <w:rPr>
          <w:b/>
        </w:rPr>
        <w:t xml:space="preserve">DOI: </w:t>
      </w:r>
      <w:hyperlink r:id="rId762">
        <w:r>
          <w:rPr>
            <w:color w:val="1155CC"/>
            <w:u w:val="single"/>
          </w:rPr>
          <w:t>10.1002/anie.202525739</w:t>
        </w:r>
      </w:hyperlink>
    </w:p>
    <w:p>
      <w:pPr>
        <w:spacing w:before="0" w:after="120"/>
      </w:pPr>
      <w:r>
        <w:rPr>
          <w:b/>
        </w:rPr>
        <w:t xml:space="preserve">Notes: </w:t>
      </w:r>
      <w:r>
        <w:t>abstract_source=crossref</w:t>
      </w:r>
    </w:p>
    <w:p>
      <w:pPr>
        <w:spacing w:before="0" w:after="200" w:lineRule="auto" w:line="276"/>
      </w:pPr>
      <w:r>
        <w:rPr>
          <w:b/>
        </w:rPr>
        <w:t xml:space="preserve">Abstract: </w:t>
      </w:r>
      <w:r>
        <w:t>Achieving selective and durable CO</w:t>
      </w:r>
      <w:r>
        <w:rPr>
          <w:vertAlign w:val="subscript"/>
        </w:rPr>
        <w:t>2</w:t>
      </w:r>
      <w:r>
        <w:t>electroreduction to ethanol remains challenging due to the instability of Cu oxidation states and inefficient C─C coupling. Here, we construct a Zn single‐atom‐Cu</w:t>
      </w:r>
      <w:r>
        <w:rPr>
          <w:vertAlign w:val="subscript"/>
        </w:rPr>
        <w:t>2</w:t>
      </w:r>
      <w:r>
        <w:t>O hybrid catalyst, where atomically dispersed Zn atoms form a well‐defined ZnO─Cu interface. The catalyst delivers a high ethanol Faradaic efficiency of 74.4% and operates stably for 200 h. Density functional theory and operando X‐ray absorption spectroscopy reveal that an intrinsic orbital coupling between Zn4 s/4p and O 2p orbitals induces interfacial polarization. Under reaction conditions, this polarization stabilizes low‐coordinated Cu⁺ sites and facilitates *CHO formation. This polarization enables a nucleophilic C─C coupling pathway that bypasses *CO dimerization, reducing the kinetic barrier for ethanol formation. The concept of interfacial orbital regulation demonstrated here provides a general strategy for steering multi‐electron reactions and C─X bond formation in electrochemical carbon valorization.</w:t>
      </w:r>
    </w:p>
    <w:p>
      <w:pPr>
        <w:spacing w:before="120" w:after="120"/>
      </w:pPr>
      <w:r>
        <w:rPr>
          <w:sz w:val="18"/>
        </w:rPr>
        <w:t>——————————————————————————————————————————————————————————————————————</w:t>
      </w:r>
    </w:p>
    <w:p>
      <w:pPr>
        <w:spacing w:before="160" w:after="80" w:line="240" w:lineRule="auto"/>
      </w:pPr>
      <w:r>
        <w:rPr>
          <w:b/>
        </w:rPr>
        <w:t xml:space="preserve">[434] </w:t>
      </w:r>
      <w:hyperlink r:id="rId763">
        <w:r>
          <w:rPr>
            <w:color w:val="1155CC"/>
            <w:u w:val="single"/>
          </w:rPr>
          <w:t>Corrigendum to “Sn‐Pb Perovskite with Strong Light and Oxygen Stability for All‐Perovskite Tandem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13:56:22+00:00</w:t>
      </w:r>
      <w:r>
        <w:t xml:space="preserve">    </w:t>
      </w:r>
      <w:r>
        <w:rPr>
          <w:b/>
        </w:rPr>
        <w:t xml:space="preserve">DOI: </w:t>
      </w:r>
      <w:hyperlink r:id="rId764">
        <w:r>
          <w:rPr>
            <w:color w:val="1155CC"/>
            <w:u w:val="single"/>
          </w:rPr>
          <w:t>10.1002/adma.71974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[435] </w:t>
      </w:r>
      <w:hyperlink r:id="rId765">
        <w:r>
          <w:rPr>
            <w:color w:val="1155CC"/>
            <w:u w:val="single"/>
          </w:rPr>
          <w:t>Integrating Vibrio natriegens for Photon Manipulation in Living Lighting Devices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13:57:08+00:00</w:t>
      </w:r>
      <w:r>
        <w:t xml:space="preserve">    </w:t>
      </w:r>
      <w:r>
        <w:rPr>
          <w:b/>
        </w:rPr>
        <w:t xml:space="preserve">DOI: </w:t>
      </w:r>
      <w:hyperlink r:id="rId766">
        <w:r>
          <w:rPr>
            <w:color w:val="1155CC"/>
            <w:u w:val="single"/>
          </w:rPr>
          <w:t>10.1002/adma.202514435</w:t>
        </w:r>
      </w:hyperlink>
    </w:p>
    <w:p>
      <w:pPr>
        <w:spacing w:before="0" w:after="120"/>
      </w:pPr>
      <w:r>
        <w:rPr>
          <w:b/>
        </w:rPr>
        <w:t xml:space="preserve">Notes: </w:t>
      </w:r>
      <w:r>
        <w:t>abstract_source=crossref</w:t>
      </w:r>
    </w:p>
    <w:p>
      <w:pPr>
        <w:spacing w:before="0" w:after="200" w:lineRule="auto" w:line="276"/>
      </w:pPr>
      <w:r>
        <w:rPr>
          <w:b/>
        </w:rPr>
        <w:t xml:space="preserve">Abstract: </w:t>
      </w:r>
      <w:r>
        <w:t>Photon manipulation with bacteria is an emerging field in photonics (lasers, bio‐imaging, and cell‐sensing) and optoelectronics (bacterial‐hybrid light‐emitting diodes (BaHLEDs) and photovoltaics). In BaHLEDs, living photon down‐conversion filters based on the direct use of bacteria in optically desirable hydrophobic and/or waterless coatings have not been realized yet. Herein, we put forward a simple concept: the engineering of fluorescent</w:t>
      </w:r>
      <w:r>
        <w:t xml:space="preserve"> </w:t>
      </w:r>
      <w:r>
        <w:t>Vibrio natriegens</w:t>
      </w:r>
      <w:r>
        <w:t xml:space="preserve"> </w:t>
      </w:r>
      <w:r>
        <w:t>(</w:t>
      </w:r>
      <w:r>
        <w:t xml:space="preserve"> </w:t>
      </w:r>
      <w:r>
        <w:t>V. natriegens</w:t>
      </w:r>
      <w:r>
        <w:t xml:space="preserve"> </w:t>
      </w:r>
      <w:r>
        <w:t>) that enable easy‐to‐prepare, untreated bacteria‐silicone filters for the first red‐emitting BaHLEDs. More specifically, we have rationalized genetic and material engineering tools to optimize i) the protein production time with a 1.7‐fold enhanced volumetric productivity compared to</w:t>
      </w:r>
      <w:r>
        <w:t xml:space="preserve"> </w:t>
      </w:r>
      <w:r>
        <w:t>E. coli</w:t>
      </w:r>
      <w:r>
        <w:t xml:space="preserve"> </w:t>
      </w:r>
      <w:r>
        <w:t>with the same spectroscopic quality for the fluorescent protein (FP) DsRed, ii) the straightforward fabrication of highly emissive and stable</w:t>
      </w:r>
      <w:r>
        <w:t xml:space="preserve"> </w:t>
      </w:r>
      <w:r>
        <w:t>V. natriegens</w:t>
      </w:r>
      <w:r>
        <w:t xml:space="preserve"> </w:t>
      </w:r>
      <w:r>
        <w:t>‐silicones, and iii) device reproducibility and performance to reach competitive devices with stabilities ranging from a few days up to weeks depending on device working conditions and architectures. Overall, this work sets in bacterial photon down‐conversion using</w:t>
      </w:r>
      <w:r>
        <w:t xml:space="preserve"> </w:t>
      </w:r>
      <w:r>
        <w:t>V. natriegens</w:t>
      </w:r>
      <w:r>
        <w:t xml:space="preserve"> </w:t>
      </w:r>
      <w:r>
        <w:t>directly as a viable and more straightforward concept toward further advances in living lighting applications.</w:t>
      </w:r>
    </w:p>
    <w:p>
      <w:pPr>
        <w:spacing w:before="120" w:after="120"/>
      </w:pPr>
      <w:r>
        <w:rPr>
          <w:sz w:val="18"/>
        </w:rPr>
        <w:t>——————————————————————————————————————————————————————————————————————</w:t>
      </w:r>
    </w:p>
    <w:p>
      <w:pPr>
        <w:spacing w:before="160" w:after="80" w:line="240" w:lineRule="auto"/>
      </w:pPr>
      <w:r>
        <w:rPr>
          <w:b/>
        </w:rPr>
        <w:t xml:space="preserve">[436] </w:t>
      </w:r>
      <w:hyperlink r:id="rId767">
        <w:r>
          <w:rPr>
            <w:color w:val="1155CC"/>
            <w:u w:val="single"/>
          </w:rPr>
          <w:t>Homology‐Guided Zwitterionic Interlayers for 21% Efficiency Non‐Fullerene Organic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13:57:45+00:00</w:t>
      </w:r>
      <w:r>
        <w:t xml:space="preserve">    </w:t>
      </w:r>
      <w:r>
        <w:rPr>
          <w:b/>
        </w:rPr>
        <w:t xml:space="preserve">DOI: </w:t>
      </w:r>
      <w:hyperlink r:id="rId768">
        <w:r>
          <w:rPr>
            <w:color w:val="1155CC"/>
            <w:u w:val="single"/>
          </w:rPr>
          <w:t>10.1002/adma.202520669</w:t>
        </w:r>
      </w:hyperlink>
    </w:p>
    <w:p>
      <w:pPr>
        <w:spacing w:before="0" w:after="120"/>
      </w:pPr>
      <w:r>
        <w:rPr>
          <w:b/>
        </w:rPr>
        <w:t xml:space="preserve">Notes: </w:t>
      </w:r>
      <w:r>
        <w:t>abstract_source=crossref</w:t>
      </w:r>
    </w:p>
    <w:p>
      <w:pPr>
        <w:spacing w:before="0" w:after="200" w:lineRule="auto" w:line="276"/>
      </w:pPr>
      <w:r>
        <w:rPr>
          <w:b/>
        </w:rPr>
        <w:t xml:space="preserve">Abstract: </w:t>
      </w:r>
      <w:r>
        <w:t>The performance evolution of organic solar cells (OSCs) is increasingly constrained by a growing mismatch between state‐of‐the‐art photoactive layers and conventional cathode interlayer materials (CIMs). Here, we report a homology‐guided molecular design strategy to synchronize CIM with fused‐ring electron acceptors (FREAs). Grafting zwitterionic sidechains onto the high‐performance pentacyclic FREA, we created a novel CIM, SZ1. This design grants SZ1 a deeper lowest unoccupied molecular orbital energy level, higher electron mobility, and superior interfacial compatibility compared to the perylene diimides‐based counterpart. SZ1 simultaneously lowers the cathode work function and elevates the active layer's work function, facilitating Ohmic contact and enhancing electron extraction. SZ1 also acts as a supplemental light‐harvester, with hole/energy transfer at the SZ1/polymer interface contributing to photocurrent generation. These attributes make SZ1 a highly efficient and versatile CIM with an optimal thickness near 30 nm and exceptional thickness tolerance, retaining ∼89% of peak performance even at a thick interlayer of 90 nm. An impressive efficiency of 21.07% is achieved, ranking among the most efficient OSCs. The generality of this homology concept is demonstrated by its successful extension to non‐fused ring electron acceptors. This work establishes a transformative design paradigm for multifunctional, thickness‐insensitive interlayers, paving the way for commercially viable OSCs.</w:t>
      </w:r>
    </w:p>
    <w:p>
      <w:pPr>
        <w:spacing w:before="120" w:after="120"/>
      </w:pPr>
      <w:r>
        <w:rPr>
          <w:sz w:val="18"/>
        </w:rPr>
        <w:t>——————————————————————————————————————————————————————————————————————</w:t>
      </w:r>
    </w:p>
    <w:p>
      <w:pPr>
        <w:spacing w:before="160" w:after="80" w:line="240" w:lineRule="auto"/>
      </w:pPr>
      <w:r>
        <w:rPr>
          <w:b/>
        </w:rPr>
        <w:t xml:space="preserve">[437] </w:t>
      </w:r>
      <w:hyperlink r:id="rId769">
        <w:r>
          <w:rPr>
            <w:color w:val="1155CC"/>
            <w:u w:val="single"/>
          </w:rPr>
          <w:t>Controlled Interfacial Stress Platform for Electrochemical‐Mechanical Coupling Measurements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13:58:30+00:00</w:t>
      </w:r>
      <w:r>
        <w:t xml:space="preserve">    </w:t>
      </w:r>
      <w:r>
        <w:rPr>
          <w:b/>
        </w:rPr>
        <w:t xml:space="preserve">DOI: </w:t>
      </w:r>
      <w:hyperlink r:id="rId770">
        <w:r>
          <w:rPr>
            <w:color w:val="1155CC"/>
            <w:u w:val="single"/>
          </w:rPr>
          <w:t>10.1002/aenm.202504343</w:t>
        </w:r>
      </w:hyperlink>
    </w:p>
    <w:p>
      <w:pPr>
        <w:spacing w:before="0" w:after="120"/>
      </w:pPr>
      <w:r>
        <w:rPr>
          <w:b/>
        </w:rPr>
        <w:t xml:space="preserve">Notes: </w:t>
      </w:r>
      <w:r>
        <w:t>abstract_source=crossref</w:t>
      </w:r>
    </w:p>
    <w:p>
      <w:pPr>
        <w:spacing w:before="0" w:after="200" w:lineRule="auto" w:line="276"/>
      </w:pPr>
      <w:r>
        <w:rPr>
          <w:b/>
        </w:rPr>
        <w:t xml:space="preserve">Abstract: </w:t>
      </w:r>
      <w:r>
        <w:t>There are few direct measurements of the coupling of electrochemical processes with mechanical stresses, especially when the applied stress is an independent control variable, and the stress is nearly uniform and on a planar interface. In this paper, we demonstrate a novel controlled interfacial stress platform for electrochemical‐mechanical (CISP‐ECM) coupling measurements at a single electrode/electrolyte interface. We realize this platform using a nanoindentation system and a sample composed of a thin‐film Li</w:t>
      </w:r>
      <w:r>
        <w:t xml:space="preserve"> </w:t>
      </w:r>
      <w:r>
        <w:t>x</w:t>
      </w:r>
      <w:r>
        <w:t xml:space="preserve"> </w:t>
      </w:r>
      <w:r>
        <w:t>V</w:t>
      </w:r>
      <w:r>
        <w:rPr>
          <w:vertAlign w:val="subscript"/>
        </w:rPr>
        <w:t>2</w:t>
      </w:r>
      <w:r>
        <w:t>O</w:t>
      </w:r>
      <w:r>
        <w:rPr>
          <w:vertAlign w:val="subscript"/>
        </w:rPr>
        <w:t>5</w:t>
      </w:r>
      <w:r>
        <w:t>electrode in a lateral configuration on a solid‐electrolyte substrate, and we report the coupling of applied stress and open‐circuit voltage (OCV). These measurements provide estimates of the partial molar volume of Li in the Li</w:t>
      </w:r>
      <w:r>
        <w:t xml:space="preserve"> </w:t>
      </w:r>
      <w:r>
        <w:t>x</w:t>
      </w:r>
      <w:r>
        <w:t xml:space="preserve"> </w:t>
      </w:r>
      <w:r>
        <w:t>V</w:t>
      </w:r>
      <w:r>
        <w:rPr>
          <w:vertAlign w:val="subscript"/>
        </w:rPr>
        <w:t>2</w:t>
      </w:r>
      <w:r>
        <w:t>O</w:t>
      </w:r>
      <w:r>
        <w:rPr>
          <w:vertAlign w:val="subscript"/>
        </w:rPr>
        <w:t>5</w:t>
      </w:r>
      <w:r>
        <w:t>thin‐film electrode at various lithiation states; the resulting mean volume expansion of 1.5% for</w:t>
      </w:r>
      <w:r>
        <w:t xml:space="preserve"> </w:t>
      </w:r>
      <w:r>
        <w:t>x</w:t>
      </w:r>
      <w:r>
        <w:t xml:space="preserve"> </w:t>
      </w:r>
      <w:r>
        <w:t>= 0.32 to 0.73 in Li</w:t>
      </w:r>
      <w:r>
        <w:t xml:space="preserve"> </w:t>
      </w:r>
      <w:r>
        <w:t>x</w:t>
      </w:r>
      <w:r>
        <w:t xml:space="preserve"> </w:t>
      </w:r>
      <w:r>
        <w:t>V</w:t>
      </w:r>
      <w:r>
        <w:rPr>
          <w:vertAlign w:val="subscript"/>
        </w:rPr>
        <w:t>2</w:t>
      </w:r>
      <w:r>
        <w:t>O</w:t>
      </w:r>
      <w:r>
        <w:rPr>
          <w:vertAlign w:val="subscript"/>
        </w:rPr>
        <w:t>5</w:t>
      </w:r>
      <w:r>
        <w:t>is consistent with literature crystallographic values. Our methods provide a means to measure the partial molar volume of lithium as a function of lithium content in electrode materials for both crystalline and amorphous electrode materials. In addition to solid‐state batteries, the CISP‐ECM platform is relevant to other areas where mechanical stresses can couple with variable‐composition electrode materials, such as wearable electronics, actuators, and iontronics.</w:t>
      </w:r>
    </w:p>
    <w:p>
      <w:pPr>
        <w:spacing w:before="120" w:after="120"/>
      </w:pPr>
      <w:r>
        <w:rPr>
          <w:sz w:val="18"/>
        </w:rPr>
        <w:t>——————————————————————————————————————————————————————————————————————</w:t>
      </w:r>
    </w:p>
    <w:p>
      <w:pPr>
        <w:spacing w:before="160" w:after="80" w:line="240" w:lineRule="auto"/>
      </w:pPr>
      <w:r>
        <w:rPr>
          <w:b/>
        </w:rPr>
        <w:t xml:space="preserve">[438] </w:t>
      </w:r>
      <w:hyperlink r:id="rId771">
        <w:r>
          <w:rPr>
            <w:color w:val="1155CC"/>
            <w:u w:val="single"/>
          </w:rPr>
          <w:t>Directed Crystallization: Engineering Facet‐Specific High‐Entropy Alloy Nanocatalysts Toward Advanced Zinc‐Air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13:58:34+00:00</w:t>
      </w:r>
      <w:r>
        <w:t xml:space="preserve">    </w:t>
      </w:r>
      <w:r>
        <w:rPr>
          <w:b/>
        </w:rPr>
        <w:t xml:space="preserve">DOI: </w:t>
      </w:r>
      <w:hyperlink r:id="rId772">
        <w:r>
          <w:rPr>
            <w:color w:val="1155CC"/>
            <w:u w:val="single"/>
          </w:rPr>
          <w:t>10.1002/anie.202514811</w:t>
        </w:r>
      </w:hyperlink>
    </w:p>
    <w:p>
      <w:pPr>
        <w:spacing w:before="0" w:after="120"/>
      </w:pPr>
      <w:r>
        <w:rPr>
          <w:b/>
        </w:rPr>
        <w:t xml:space="preserve">Notes: </w:t>
      </w:r>
      <w:r>
        <w:t>abstract_source=crossref</w:t>
      </w:r>
    </w:p>
    <w:p>
      <w:pPr>
        <w:spacing w:before="0" w:after="200" w:lineRule="auto" w:line="276"/>
      </w:pPr>
      <w:r>
        <w:rPr>
          <w:b/>
        </w:rPr>
        <w:t xml:space="preserve">Abstract: </w:t>
      </w:r>
      <w:r>
        <w:t>Precisely engineering crystallographic facets and dimensional architectures at the atomic scale is critical for unleashing the catalytic efficiency of high‐entropy alloy (HEA) nanomaterials; however, the inherent complexity and atomic disorder of HEAs present significant synthetic challenges. Herein, we introduce an innovative directed crystallization strategy that integrates structure‐directing agents (SDAs) and coordination solvents to kinetically steer precursor reduction pathways, enabling the synthesis of PtRuMoNiCoFe HEA nanocatalysts with tailored morphology dimensionality (0D‐2D) and selectively exposed crystal facets. The (111)‐facet‐rich HEA nanowires (HEA@NWs) possess strain‐engineered lattices with atomic step edges, undercoordinated sites, and defect‐induced distortions that collectively promote localized electronic redistribution, thereby enhancing active‐site density and accelerating interfacial electron transfer. Theoretical calculations reveal that (111) facet exposure elevates the d‐band center, optimizing intermediate adsorption/desorption and significantly lowering the redox energy barrier. Consequently, the HEA@NWs exhibit an ultra‐low redox overpotential gap (ΔE) of 0.68 V. As cathode catalysts in Zn‐air batteries, the HEA@NWs deliver a high specific capacity of 797.8 mAh g</w:t>
      </w:r>
      <w:r>
        <w:t xml:space="preserve"> </w:t>
      </w:r>
      <w:r>
        <w:t>Zn</w:t>
      </w:r>
      <w:r>
        <w:t xml:space="preserve"> </w:t>
      </w:r>
      <w:r>
        <w:t>−1</w:t>
      </w:r>
      <w:r>
        <w:t xml:space="preserve"> </w:t>
      </w:r>
      <w:r>
        <w:t>and exceptional cycling stability over 650 h at 10 mA cm</w:t>
      </w:r>
      <w:r>
        <w:t xml:space="preserve"> </w:t>
      </w:r>
      <w:r>
        <w:t>−2</w:t>
      </w:r>
      <w:r>
        <w:t xml:space="preserve"> </w:t>
      </w:r>
      <w:r>
        <w:t>, substantially outperforming benchmark commercial catalysts (Pt/C + RuO</w:t>
      </w:r>
      <w:r>
        <w:rPr>
          <w:vertAlign w:val="subscript"/>
        </w:rPr>
        <w:t>2</w:t>
      </w:r>
      <w:r>
        <w:t>, 350 h). This work establishes an advanced synthetic paradigm for facet‐specific atomic‐level design in HEA catalysts, underscoring their substantial potential for high‐performance next‐generation energy conversion technologies.</w:t>
      </w:r>
    </w:p>
    <w:p>
      <w:pPr>
        <w:spacing w:before="120" w:after="120"/>
      </w:pPr>
      <w:r>
        <w:rPr>
          <w:sz w:val="18"/>
        </w:rPr>
        <w:t>——————————————————————————————————————————————————————————————————————</w:t>
      </w:r>
    </w:p>
    <w:p>
      <w:pPr>
        <w:spacing w:before="160" w:after="80" w:line="240" w:lineRule="auto"/>
      </w:pPr>
      <w:r>
        <w:rPr>
          <w:b/>
        </w:rPr>
        <w:t xml:space="preserve">[439] </w:t>
      </w:r>
      <w:hyperlink r:id="rId773">
        <w:r>
          <w:rPr>
            <w:color w:val="1155CC"/>
            <w:u w:val="single"/>
          </w:rPr>
          <w:t>NIR‐II Light‐Activated Neurostimulation Enabled by Broad‐Angle Light Concentrating</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13:58:35+00:00</w:t>
      </w:r>
      <w:r>
        <w:t xml:space="preserve">    </w:t>
      </w:r>
      <w:r>
        <w:rPr>
          <w:b/>
        </w:rPr>
        <w:t xml:space="preserve">DOI: </w:t>
      </w:r>
      <w:hyperlink r:id="rId774">
        <w:r>
          <w:rPr>
            <w:color w:val="1155CC"/>
            <w:u w:val="single"/>
          </w:rPr>
          <w:t>10.1002/adma.202522252</w:t>
        </w:r>
      </w:hyperlink>
    </w:p>
    <w:p>
      <w:pPr>
        <w:spacing w:before="0" w:after="120"/>
      </w:pPr>
      <w:r>
        <w:rPr>
          <w:b/>
        </w:rPr>
        <w:t xml:space="preserve">Notes: </w:t>
      </w:r>
      <w:r>
        <w:t>abstract_source=crossref</w:t>
      </w:r>
    </w:p>
    <w:p>
      <w:pPr>
        <w:spacing w:before="0" w:after="200" w:lineRule="auto" w:line="276"/>
      </w:pPr>
      <w:r>
        <w:rPr>
          <w:b/>
        </w:rPr>
        <w:t xml:space="preserve">Abstract: </w:t>
      </w:r>
      <w:r>
        <w:t>Precise, wireless control of battery‐free implantable neurostimulators using light offers a promising avenue for treating neurological disorders, while the strong tissue absorption, scattering, and alignment uncertainties under in vivo conditions limit their reliability. Here, we harness the deep tissue penetration of second near‐infrared (NIR‐II, 1000–1400 nm) light to develop a NIR‐II light‐activated neurostimulation based on integrated photothermal and pyroelectric energy conversion with a special broad‐angle lens‐free light concentrator. The flower‐inspired light concentrator enables efficient harvesting of scattered, non‐collimated light deep within tissues and eliminates the angular dependence common to existing systems. The synergistic photothermal‐pyroelectric conversion mechanism enables effective utilization of diffuse 1064 nm NIR‐II laser illumination and facilitates substantial device miniaturization, resulting in an exceptionally high voltage‐to‐volume output ratio. In vitro and in vivo evaluations confirm its biocompatibility and ability to precisely activate the nerve and modulate limb motion in frogs. Furthermore, in vivo studies in rabbits demonstrate that the device, following subcutaneous implantation, enables immediate light‐triggered electrical stimulation of the sciatic nerve through pulsed 1064 nm NIR‐II laser irradiation. This work establishes a robust and minimally invasive paradigm for light‐controlled neuromodulation, offering broad applicability in next‐generation bioelectronic systems.</w:t>
      </w:r>
    </w:p>
    <w:p>
      <w:pPr>
        <w:spacing w:before="120" w:after="120"/>
      </w:pPr>
      <w:r>
        <w:rPr>
          <w:sz w:val="18"/>
        </w:rPr>
        <w:t>——————————————————————————————————————————————————————————————————————</w:t>
      </w:r>
    </w:p>
    <w:p>
      <w:pPr>
        <w:spacing w:before="160" w:after="80" w:line="240" w:lineRule="auto"/>
      </w:pPr>
      <w:r>
        <w:rPr>
          <w:b/>
        </w:rPr>
        <w:t xml:space="preserve">[440] </w:t>
      </w:r>
      <w:hyperlink r:id="rId775">
        <w:r>
          <w:rPr>
            <w:color w:val="1155CC"/>
            <w:u w:val="single"/>
          </w:rPr>
          <w:t>Unsaturated Vinyl Branching: A Molecular‐Tailoring Strategy for Synergistic Stacking Regulation and Energy‐Loss Suppression Toward 20%‐Efficiency Organic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13:58:46+00:00</w:t>
      </w:r>
      <w:r>
        <w:t xml:space="preserve">    </w:t>
      </w:r>
      <w:r>
        <w:rPr>
          <w:b/>
        </w:rPr>
        <w:t xml:space="preserve">DOI: </w:t>
      </w:r>
      <w:hyperlink r:id="rId776">
        <w:r>
          <w:rPr>
            <w:color w:val="1155CC"/>
            <w:u w:val="single"/>
          </w:rPr>
          <w:t>10.1002/adma.202520692</w:t>
        </w:r>
      </w:hyperlink>
    </w:p>
    <w:p>
      <w:pPr>
        <w:spacing w:before="0" w:after="120"/>
      </w:pPr>
      <w:r>
        <w:rPr>
          <w:b/>
        </w:rPr>
        <w:t xml:space="preserve">Notes: </w:t>
      </w:r>
      <w:r>
        <w:t>abstract_source=crossref</w:t>
      </w:r>
    </w:p>
    <w:p>
      <w:pPr>
        <w:spacing w:before="0" w:after="200" w:lineRule="auto" w:line="276"/>
      </w:pPr>
      <w:r>
        <w:rPr>
          <w:b/>
        </w:rPr>
        <w:t xml:space="preserve">Abstract: </w:t>
      </w:r>
      <w:r>
        <w:t>The performance of organic solar cells (OSCs) is critically constrained by energy losses arising from disordered molecular packing and suboptimal blend morphology in non‐fullerene acceptor (NFA) systems. Achieving precise control over NFA aggregation during film formation is thus essential to realize optimal molecular orientation and phase separation. Herein, we propose an unsaturated vinyl branching (UVB) strategy that enables synergistic morphology control through the concurrent minimization of steric hindrance and enhancement of non‐covalent interactions. By incorporating UVB units into the inner side chains of the Y6‐OD backbone, we create a novel acceptor, BTP‐vinyl, which demonstrates optimized aggregation kinetics and facilitates compact 3D molecular packing. When blended with polymer donor D18, the BTP‐vinyl‐based system exhibits retarded crystallization, optimized domain size, and highly ordered face‐on orientation, collectively promoting efficient exciton dissociation and charge transport. Consequently, OSCs based on BTP‐vinyl display significantly reduced energetic disorder and suppressed non‐radiative energy loss compared to Y6‐OD‐based devices. The binary devices achieve a remarkable power conversion efficiency (PCE) of 19.6%, substantially outperforming the Y6‐OD‐based devices (18.1%). Furthermore, ternary devices incorporating L8‐BO attain a champion PCE of 20.06%, crossing the significant 20% threshold. This work establishes UVB as an effective molecular‐design paradigm for achieving ideal blend morphology through precise aggregation control in high‐performance OSCs.</w:t>
      </w:r>
    </w:p>
    <w:p>
      <w:pPr>
        <w:spacing w:before="120" w:after="120"/>
      </w:pPr>
      <w:r>
        <w:rPr>
          <w:sz w:val="18"/>
        </w:rPr>
        <w:t>——————————————————————————————————————————————————————————————————————</w:t>
      </w:r>
    </w:p>
    <w:p>
      <w:pPr>
        <w:spacing w:before="160" w:after="80" w:line="240" w:lineRule="auto"/>
      </w:pPr>
      <w:r>
        <w:rPr>
          <w:b/>
        </w:rPr>
        <w:t xml:space="preserve">[441] </w:t>
      </w:r>
      <w:hyperlink r:id="rId777">
        <w:r>
          <w:rPr>
            <w:color w:val="1155CC"/>
            <w:u w:val="single"/>
          </w:rPr>
          <w:t>Plasma Design of Alloy‐Based Gradient Solid Electrolyte Interphase on Lithium Metal Anodes for Energy Storage</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14:02:31+00:00</w:t>
      </w:r>
      <w:r>
        <w:t xml:space="preserve">    </w:t>
      </w:r>
      <w:r>
        <w:rPr>
          <w:b/>
        </w:rPr>
        <w:t xml:space="preserve">DOI: </w:t>
      </w:r>
      <w:hyperlink r:id="rId778">
        <w:r>
          <w:rPr>
            <w:color w:val="1155CC"/>
            <w:u w:val="single"/>
          </w:rPr>
          <w:t>10.1002/adma.202521029</w:t>
        </w:r>
      </w:hyperlink>
    </w:p>
    <w:p>
      <w:pPr>
        <w:spacing w:before="0" w:after="120"/>
      </w:pPr>
      <w:r>
        <w:rPr>
          <w:b/>
        </w:rPr>
        <w:t xml:space="preserve">Notes: </w:t>
      </w:r>
      <w:r>
        <w:t>abstract_source=crossref</w:t>
      </w:r>
    </w:p>
    <w:p>
      <w:pPr>
        <w:spacing w:before="0" w:after="200" w:lineRule="auto" w:line="276"/>
      </w:pPr>
      <w:r>
        <w:rPr>
          <w:b/>
        </w:rPr>
        <w:t xml:space="preserve">Abstract: </w:t>
      </w:r>
      <w:r>
        <w:t>Design and optimization of the solid electrolyte interphase (SEI) is extremely important for the construction of advanced lithium metal anodes. Herein, we pioneer a novel SnCl</w:t>
      </w:r>
      <w:r>
        <w:rPr>
          <w:vertAlign w:val="subscript"/>
        </w:rPr>
        <w:t>4</w:t>
      </w:r>
      <w:r>
        <w:t>/trifluorotoluene hybrid plasma technology to construct a Li‐Sn alloy‐based gradient SEI on lithium metal anodes to synergistically regulate reaction kinetics, structure, and crystal orientation of lithium deposition. Notably, the designed SEI displays a gradient layered structure, with a Li‐Sn alloy constituting the bottom layer, LiF occupying the middle layer, and a composite layer of LiCl and organic lithium compounds forming the top layer. The formation mechanism is primarily attributed to the differential acceleration effects exerted by the plasma shell's electric field on different plasma ions. The gradient SEI exhibits multifunctionality, featuring not only high Young's modulus (13.9 GPa) and enhanced interfacial structural stability, but also enabling the Li‐Sn alloy component within the SEI to facilitate the preferential growth of the (110) crystal plane with a low migration barrier, thereby achieving the uniform deposition of Li without dendrite growth. Consequently, the modified Li anode exhibits a low overpotential and high coulombic efficiency, and the corresponding pouch cell shows improved cycling stability. This research provides a pioneering interfacial modification strategy for the fabrication of high‐performance lithium metal anodes.</w:t>
      </w:r>
    </w:p>
    <w:p>
      <w:pPr>
        <w:spacing w:before="120" w:after="120"/>
      </w:pPr>
      <w:r>
        <w:rPr>
          <w:sz w:val="18"/>
        </w:rPr>
        <w:t>——————————————————————————————————————————————————————————————————————</w:t>
      </w:r>
    </w:p>
    <w:p>
      <w:pPr>
        <w:spacing w:before="160" w:after="80" w:line="240" w:lineRule="auto"/>
      </w:pPr>
      <w:r>
        <w:rPr>
          <w:b/>
        </w:rPr>
        <w:t xml:space="preserve">[442] </w:t>
      </w:r>
      <w:hyperlink r:id="rId779">
        <w:r>
          <w:rPr>
            <w:color w:val="1155CC"/>
            <w:u w:val="single"/>
          </w:rPr>
          <w:t>Formal [4+3] Bridged Cyclization of Pyridines/Isoquinolines with Vinylcarbenes via Dearomatized Oxazinopyridine Intermediates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14:02:58+00:00</w:t>
      </w:r>
      <w:r>
        <w:t xml:space="preserve">    </w:t>
      </w:r>
      <w:r>
        <w:rPr>
          <w:b/>
        </w:rPr>
        <w:t xml:space="preserve">DOI: </w:t>
      </w:r>
      <w:hyperlink r:id="rId780">
        <w:r>
          <w:rPr>
            <w:color w:val="1155CC"/>
            <w:u w:val="single"/>
          </w:rPr>
          <w:t>10.1002/anie.202521072</w:t>
        </w:r>
      </w:hyperlink>
    </w:p>
    <w:p>
      <w:pPr>
        <w:spacing w:before="0" w:after="120"/>
      </w:pPr>
      <w:r>
        <w:rPr>
          <w:b/>
        </w:rPr>
        <w:t xml:space="preserve">Notes: </w:t>
      </w:r>
      <w:r>
        <w:t>abstract_source=crossref</w:t>
      </w:r>
    </w:p>
    <w:p>
      <w:pPr>
        <w:spacing w:before="0" w:after="200" w:lineRule="auto" w:line="276"/>
      </w:pPr>
      <w:r>
        <w:rPr>
          <w:b/>
        </w:rPr>
        <w:t xml:space="preserve">Abstract: </w:t>
      </w:r>
      <w:r>
        <w:t>The direct dearomative cycloaddition of pyridines provides a powerful tool to construct medicinally important azabicyclic scaffolds. However, existing methods are limited to accessing isoquinuclidine (2‐azabicyclo[2.2.2]octane) cores. Here, we present a formal [4+3] bridged cyclization of pyridines/isoquinolines with vinylcarbenes, enabled by a dearomatization‐cycloaddition strategy through a traceless oxazino azaarene intermediate. This method facilitates the efficient construction of previously unexplored bridged azabicyclo[3.2.2]nonatrienes and their benzofused derivatives with high efficiency and excellent chemo‐, regio‐, and stereoselective control. Furthermore, downstream conversions of the bridgehead imino group enable the synthesis of diverse bridged azabicyclic and heterotricyclic frameworks. Integrated mechanistic studies and computational analyses revealed two distinct cyclization mechanisms for the reaction of oxazino pyridine/isoquinoline intermediates with vinylcarbenes, providing insights into the origins of observed regioselectivity.</w:t>
      </w:r>
    </w:p>
    <w:p>
      <w:pPr>
        <w:spacing w:before="120" w:after="120"/>
      </w:pPr>
      <w:r>
        <w:rPr>
          <w:sz w:val="18"/>
        </w:rPr>
        <w:t>——————————————————————————————————————————————————————————————————————</w:t>
      </w:r>
    </w:p>
    <w:p>
      <w:pPr>
        <w:spacing w:before="160" w:after="80" w:line="240" w:lineRule="auto"/>
      </w:pPr>
      <w:r>
        <w:rPr>
          <w:b/>
        </w:rPr>
        <w:t xml:space="preserve">[443] </w:t>
      </w:r>
      <w:hyperlink r:id="rId781">
        <w:r>
          <w:rPr>
            <w:color w:val="1155CC"/>
            <w:u w:val="single"/>
          </w:rPr>
          <w:t>Breaking the “Seesaw Effect”: 20.72% Efficiency Organic Solar Cells via Cascade Energy Transfer with a Fluorescent Sensitizer</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14:03:17+00:00</w:t>
      </w:r>
      <w:r>
        <w:t xml:space="preserve">    </w:t>
      </w:r>
      <w:r>
        <w:rPr>
          <w:b/>
        </w:rPr>
        <w:t xml:space="preserve">DOI: </w:t>
      </w:r>
      <w:hyperlink r:id="rId782">
        <w:r>
          <w:rPr>
            <w:color w:val="1155CC"/>
            <w:u w:val="single"/>
          </w:rPr>
          <w:t>10.1002/adma.202519983</w:t>
        </w:r>
      </w:hyperlink>
    </w:p>
    <w:p>
      <w:pPr>
        <w:spacing w:before="0" w:after="120"/>
      </w:pPr>
      <w:r>
        <w:rPr>
          <w:b/>
        </w:rPr>
        <w:t xml:space="preserve">Notes: </w:t>
      </w:r>
      <w:r>
        <w:t>abstract_source=crossref</w:t>
      </w:r>
    </w:p>
    <w:p>
      <w:pPr>
        <w:spacing w:before="0" w:after="200" w:lineRule="auto" w:line="276"/>
      </w:pPr>
      <w:r>
        <w:rPr>
          <w:b/>
        </w:rPr>
        <w:t xml:space="preserve">Abstract: </w:t>
      </w:r>
      <w:r>
        <w:t>Though organic solar cells (OSCs) have achieved remarkable progress recently, the intrinsic limitation of the “seesaw effect” between open‐circuit voltage (</w:t>
      </w:r>
      <w:r>
        <w:t xml:space="preserve"> </w:t>
      </w:r>
      <w:r>
        <w:t>V</w:t>
      </w:r>
      <w:r>
        <w:t xml:space="preserve"> </w:t>
      </w:r>
      <w:r>
        <w:t>oc</w:t>
      </w:r>
      <w:r>
        <w:t xml:space="preserve"> </w:t>
      </w:r>
      <w:r>
        <w:t>) and short‐circuit current density (</w:t>
      </w:r>
      <w:r>
        <w:t xml:space="preserve"> </w:t>
      </w:r>
      <w:r>
        <w:t>J</w:t>
      </w:r>
      <w:r>
        <w:t xml:space="preserve"> </w:t>
      </w:r>
      <w:r>
        <w:t>sc</w:t>
      </w:r>
      <w:r>
        <w:t xml:space="preserve"> </w:t>
      </w:r>
      <w:r>
        <w:t>) hinders their further improvements. In this study, a fluorescent small molecule, namely SD‐EDOT, is incorporated into the widely used PM6:BTP‐eC9 system to overcome this challenge. The addition of SD‐EDOT lowers the energetic disorder and electron–phonon coupling within the system. More importantly, it forms an energy cascade between donor and acceptor, enabling a side cascade energy transfer pathway and a more favorable energetic landscape. The high fluorescent property of SD‐EDOT improves the utilization rate of high‐energy excitons. These effects collectively promote faster and more efficient charge generation (improving</w:t>
      </w:r>
      <w:r>
        <w:t xml:space="preserve"> </w:t>
      </w:r>
      <w:r>
        <w:t>J</w:t>
      </w:r>
      <w:r>
        <w:t xml:space="preserve"> </w:t>
      </w:r>
      <w:r>
        <w:t>sc</w:t>
      </w:r>
      <w:r>
        <w:t xml:space="preserve"> </w:t>
      </w:r>
      <w:r>
        <w:t>), deeper highest occupied molecular orbit of donors, and suppressed non‐radiative energy loss (elevating</w:t>
      </w:r>
      <w:r>
        <w:t xml:space="preserve"> </w:t>
      </w:r>
      <w:r>
        <w:t>V</w:t>
      </w:r>
      <w:r>
        <w:t xml:space="preserve"> </w:t>
      </w:r>
      <w:r>
        <w:t>oc</w:t>
      </w:r>
      <w:r>
        <w:t xml:space="preserve"> </w:t>
      </w:r>
      <w:r>
        <w:t>). Consequently, the ternary devices achieve simultaneously higher</w:t>
      </w:r>
      <w:r>
        <w:t xml:space="preserve"> </w:t>
      </w:r>
      <w:r>
        <w:t>V</w:t>
      </w:r>
      <w:r>
        <w:t xml:space="preserve"> </w:t>
      </w:r>
      <w:r>
        <w:t>oc</w:t>
      </w:r>
      <w:r>
        <w:t xml:space="preserve"> </w:t>
      </w:r>
      <w:r>
        <w:t>and</w:t>
      </w:r>
      <w:r>
        <w:t xml:space="preserve"> </w:t>
      </w:r>
      <w:r>
        <w:t>J</w:t>
      </w:r>
      <w:r>
        <w:t xml:space="preserve"> </w:t>
      </w:r>
      <w:r>
        <w:t>sc</w:t>
      </w:r>
      <w:r>
        <w:t xml:space="preserve"> </w:t>
      </w:r>
      <w:r>
        <w:t>, significantly boosting the power conversion efficiency from 18.75% to 20.72%. This study provides a rational strategy for mitigating the</w:t>
      </w:r>
      <w:r>
        <w:t xml:space="preserve"> </w:t>
      </w:r>
      <w:r>
        <w:t>V</w:t>
      </w:r>
      <w:r>
        <w:t xml:space="preserve"> </w:t>
      </w:r>
      <w:r>
        <w:t>oc</w:t>
      </w:r>
      <w:r>
        <w:t xml:space="preserve"> </w:t>
      </w:r>
      <w:r>
        <w:t>–</w:t>
      </w:r>
      <w:r>
        <w:t xml:space="preserve"> </w:t>
      </w:r>
      <w:r>
        <w:t>J</w:t>
      </w:r>
      <w:r>
        <w:t xml:space="preserve"> </w:t>
      </w:r>
      <w:r>
        <w:t>sc</w:t>
      </w:r>
      <w:r>
        <w:t xml:space="preserve"> </w:t>
      </w:r>
      <w:r>
        <w:t>trade‐off by incorporating a highly fluorescent third component with tailored energy levels, offering a promising pathway toward higher‐performance OSCs.</w:t>
      </w:r>
    </w:p>
    <w:p>
      <w:pPr>
        <w:spacing w:before="120" w:after="120"/>
      </w:pPr>
      <w:r>
        <w:rPr>
          <w:sz w:val="18"/>
        </w:rPr>
        <w:t>——————————————————————————————————————————————————————————————————————</w:t>
      </w:r>
    </w:p>
    <w:p>
      <w:pPr>
        <w:spacing w:before="160" w:after="80" w:line="240" w:lineRule="auto"/>
      </w:pPr>
      <w:r>
        <w:rPr>
          <w:b/>
        </w:rPr>
        <w:t xml:space="preserve">[444] </w:t>
      </w:r>
      <w:hyperlink r:id="rId783">
        <w:r>
          <w:rPr>
            <w:color w:val="1155CC"/>
            <w:u w:val="single"/>
          </w:rPr>
          <w:t>Skeletal Editing of Hydroxyl Oxindoles via Organoiodine‐Catalyzed Oxygen Atom Insertion Reaction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14:04:23+00:00</w:t>
      </w:r>
      <w:r>
        <w:t xml:space="preserve">    </w:t>
      </w:r>
      <w:r>
        <w:rPr>
          <w:b/>
        </w:rPr>
        <w:t xml:space="preserve">DOI: </w:t>
      </w:r>
      <w:hyperlink r:id="rId784">
        <w:r>
          <w:rPr>
            <w:color w:val="1155CC"/>
            <w:u w:val="single"/>
          </w:rPr>
          <w:t>10.1002/anie.202519764</w:t>
        </w:r>
      </w:hyperlink>
    </w:p>
    <w:p>
      <w:pPr>
        <w:spacing w:before="0" w:after="120"/>
      </w:pPr>
      <w:r>
        <w:rPr>
          <w:b/>
        </w:rPr>
        <w:t xml:space="preserve">Notes: </w:t>
      </w:r>
      <w:r>
        <w:t>abstract_source=crossref</w:t>
      </w:r>
    </w:p>
    <w:p>
      <w:pPr>
        <w:spacing w:before="0" w:after="200" w:lineRule="auto" w:line="276"/>
      </w:pPr>
      <w:r>
        <w:rPr>
          <w:b/>
        </w:rPr>
        <w:t xml:space="preserve">Abstract: </w:t>
      </w:r>
      <w:r>
        <w:t>In the field of skeleton editing, the development of catalytic single‐atom insertion into five‐membered rings is highly desirable and holds significant synthetic value. While numerous transition‐metal‐catalyzed strategies have been established, organocatalytic single‐atom insertions into five‐membered rings remain scarce due to persistent challenges such as the development of competent organocatalytic systems and the identification of suitable five‐membered heterocyclic substrates. To address this gap, we have developed a novel organoiodine‐catalyzed single‐oxygen atom insertion reaction employing hydroxyl oxindoles and</w:t>
      </w:r>
      <w:r>
        <w:t xml:space="preserve"> </w:t>
      </w:r>
      <w:r>
        <w:t>N</w:t>
      </w:r>
      <w:r>
        <w:t xml:space="preserve"> </w:t>
      </w:r>
      <w:r>
        <w:t>‐centered nucleophiles such as triazoles, indazoles, and purine derivatives to access a broad range of structurally diverse six‐membered</w:t>
      </w:r>
      <w:r>
        <w:t xml:space="preserve"> </w:t>
      </w:r>
      <w:r>
        <w:t>N</w:t>
      </w:r>
      <w:r>
        <w:t xml:space="preserve"> </w:t>
      </w:r>
      <w:r>
        <w:t>,</w:t>
      </w:r>
      <w:r>
        <w:t xml:space="preserve"> </w:t>
      </w:r>
      <w:r>
        <w:t>O</w:t>
      </w:r>
      <w:r>
        <w:t xml:space="preserve"> </w:t>
      </w:r>
      <w:r>
        <w:t>‐heterocycles. Control experiments and theoretical calculations provide deep insight into the reaction mechanism and the activation mode underlying this organoiodine‐catalyzed transformation. Notably, theoretical studies reveal that hexafluoro‐2‐propanol (HFIP) plays a critical role by forming multiple hydrogen‐bonding and C─H•••π interactions with the reactants, thereby facilitating the single‐oxygen atom insertion. This work constitutes the first example of organocatalytic oxygen atom insertion in molecular skeletal editing and marks the first use of hydroxyl oxindoles as substrates in this context, enabling skeletal editing of five‐membered non‐aromatic heterocycles. Moreover, this study presents a successful case of catalytic intermolecular oxidation within organoiodine chemistry, thereby contributing substantially to related research areas.</w:t>
      </w:r>
    </w:p>
    <w:p>
      <w:pPr>
        <w:spacing w:before="120" w:after="120"/>
      </w:pPr>
      <w:r>
        <w:rPr>
          <w:sz w:val="18"/>
        </w:rPr>
        <w:t>——————————————————————————————————————————————————————————————————————</w:t>
      </w:r>
    </w:p>
    <w:p>
      <w:pPr>
        <w:spacing w:before="160" w:after="80" w:line="240" w:lineRule="auto"/>
      </w:pPr>
      <w:r>
        <w:rPr>
          <w:b/>
        </w:rPr>
        <w:t xml:space="preserve">[445] </w:t>
      </w:r>
      <w:hyperlink r:id="rId785">
        <w:r>
          <w:rPr>
            <w:color w:val="1155CC"/>
            <w:u w:val="single"/>
          </w:rPr>
          <w:t>Electrically Tunable and Linearly Polarized Mid‐Infrared Photoluminescence in 2D Tellurium</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14:05:22+00:00</w:t>
      </w:r>
      <w:r>
        <w:t xml:space="preserve">    </w:t>
      </w:r>
      <w:r>
        <w:rPr>
          <w:b/>
        </w:rPr>
        <w:t xml:space="preserve">DOI: </w:t>
      </w:r>
      <w:hyperlink r:id="rId786">
        <w:r>
          <w:rPr>
            <w:color w:val="1155CC"/>
            <w:u w:val="single"/>
          </w:rPr>
          <w:t>10.1002/adma.202517175</w:t>
        </w:r>
      </w:hyperlink>
    </w:p>
    <w:p>
      <w:pPr>
        <w:spacing w:before="0" w:after="120"/>
      </w:pPr>
      <w:r>
        <w:rPr>
          <w:b/>
        </w:rPr>
        <w:t xml:space="preserve">Notes: </w:t>
      </w:r>
      <w:r>
        <w:t>abstract_source=crossref</w:t>
      </w:r>
    </w:p>
    <w:p>
      <w:pPr>
        <w:spacing w:before="0" w:after="200" w:lineRule="auto" w:line="276"/>
      </w:pPr>
      <w:r>
        <w:rPr>
          <w:b/>
        </w:rPr>
        <w:t xml:space="preserve">Abstract: </w:t>
      </w:r>
      <w:r>
        <w:t>The integration of electronic and photonic chips hinges on the availability of efficient light sources and modulators that are compatible with on‐chip interconnects. Among these, mid‐infrared (mid‐IR) emitters are especially critical, as they enable low‐loss transmission through atmospheric windows and unlock powerful capabilities for molecular fingerprinting and chemical sensing. In this study, we demonstrate that 2D tellurium (Te) nanoflakes can serve as highly efficient, electrically tunable, and linearly polarized mid‐IR emitters. Leveraging the narrow direct bandgap (≈0.36 eV) and anisotropic crystal symmetry of Te nanoflakes, we achieve electrically tunable mid‐IR photoluminescence (PL) with near‐complete PL intensity modulation, a stable emission wavelength (≈3.4 µm), and near‐perfect linear polarization. In addition, we demonstrate a dual‐gate device that allows independent control of the electrostatic doping and vertical electric field, and further theoretical analysis reveals that the electrical tunability of the PL intensity originates primarily from the gate‐controlled carrier density. Building on this robust control, we demonstrate high‐speed electro‐optical switches and programmable logic gates for on‐chip encryption, underscoring the excellent compatibility of Te with advanced optoelectronic circuits. Collectively, these advances establish Te as a cornerstone material for hybrid electronic‐photonic systems, directly addressing the urgent demand for mid‐IR components in next‐generation optical interconnects.</w:t>
      </w:r>
    </w:p>
    <w:p>
      <w:pPr>
        <w:spacing w:before="120" w:after="120"/>
      </w:pPr>
      <w:r>
        <w:rPr>
          <w:sz w:val="18"/>
        </w:rPr>
        <w:t>——————————————————————————————————————————————————————————————————————</w:t>
      </w:r>
    </w:p>
    <w:p>
      <w:pPr>
        <w:spacing w:before="160" w:after="80" w:line="240" w:lineRule="auto"/>
      </w:pPr>
      <w:r>
        <w:rPr>
          <w:b/>
        </w:rPr>
        <w:t xml:space="preserve">[446] </w:t>
      </w:r>
      <w:hyperlink r:id="rId787">
        <w:r>
          <w:rPr>
            <w:color w:val="1155CC"/>
            <w:u w:val="single"/>
          </w:rPr>
          <w:t>Coordinatively Unsaturated IrC3 Single‐Atom Catalysts for Efficient Methanol Oxidation Reaction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14:07:21+00:00</w:t>
      </w:r>
      <w:r>
        <w:t xml:space="preserve">    </w:t>
      </w:r>
      <w:r>
        <w:rPr>
          <w:b/>
        </w:rPr>
        <w:t xml:space="preserve">DOI: </w:t>
      </w:r>
      <w:hyperlink r:id="rId788">
        <w:r>
          <w:rPr>
            <w:color w:val="1155CC"/>
            <w:u w:val="single"/>
          </w:rPr>
          <w:t>10.1002/adma.202521961</w:t>
        </w:r>
      </w:hyperlink>
    </w:p>
    <w:p>
      <w:pPr>
        <w:spacing w:before="0" w:after="120"/>
      </w:pPr>
      <w:r>
        <w:rPr>
          <w:b/>
        </w:rPr>
        <w:t xml:space="preserve">Notes: </w:t>
      </w:r>
      <w:r>
        <w:t>abstract_source=crossref</w:t>
      </w:r>
    </w:p>
    <w:p>
      <w:pPr>
        <w:spacing w:before="0" w:after="200" w:lineRule="auto" w:line="276"/>
      </w:pPr>
      <w:r>
        <w:rPr>
          <w:b/>
        </w:rPr>
        <w:t xml:space="preserve">Abstract: </w:t>
      </w:r>
      <w:r>
        <w:t>Methanol oxidation reaction (MOR) plays a crucial role in renewable energy conversion and storage, where the key steps involve dehydrogenation and subsequent</w:t>
      </w:r>
      <w:r>
        <w:t xml:space="preserve"> </w:t>
      </w:r>
      <w:r>
        <w:t>*</w:t>
      </w:r>
      <w:r>
        <w:t xml:space="preserve"> </w:t>
      </w:r>
      <w:r>
        <w:t>CO electrooxidation. However,</w:t>
      </w:r>
      <w:r>
        <w:t xml:space="preserve"> </w:t>
      </w:r>
      <w:r>
        <w:t>*</w:t>
      </w:r>
      <w:r>
        <w:t xml:space="preserve"> </w:t>
      </w:r>
      <w:r>
        <w:t>CO oxidation remains challenging due to its strong adsorption and insufficient</w:t>
      </w:r>
      <w:r>
        <w:t xml:space="preserve"> </w:t>
      </w:r>
      <w:r>
        <w:t>*</w:t>
      </w:r>
      <w:r>
        <w:t xml:space="preserve"> </w:t>
      </w:r>
      <w:r>
        <w:t>OH species at active sites, severely limiting reaction kinetics. Here, the single Ir atom catalyst with abundant coordinatively unsaturated IrC</w:t>
      </w:r>
      <w:r>
        <w:rPr>
          <w:vertAlign w:val="subscript"/>
        </w:rPr>
        <w:t>3</w:t>
      </w:r>
      <w:r>
        <w:t>sites is developed to electrocatalysis MOR under elevated temperature, the IrC</w:t>
      </w:r>
      <w:r>
        <w:rPr>
          <w:vertAlign w:val="subscript"/>
        </w:rPr>
        <w:t>3</w:t>
      </w:r>
      <w:r>
        <w:t>sites with stronger CH</w:t>
      </w:r>
      <w:r>
        <w:rPr>
          <w:vertAlign w:val="subscript"/>
        </w:rPr>
        <w:t>3</w:t>
      </w:r>
      <w:r>
        <w:t>OH adsorption and weaker</w:t>
      </w:r>
      <w:r>
        <w:t xml:space="preserve"> </w:t>
      </w:r>
      <w:r>
        <w:t>*</w:t>
      </w:r>
      <w:r>
        <w:t xml:space="preserve"> </w:t>
      </w:r>
      <w:r>
        <w:t>CO adsorption, which break the scaling relationship between methanol and</w:t>
      </w:r>
      <w:r>
        <w:t xml:space="preserve"> </w:t>
      </w:r>
      <w:r>
        <w:t>*</w:t>
      </w:r>
      <w:r>
        <w:t xml:space="preserve"> </w:t>
      </w:r>
      <w:r>
        <w:t>CO adsorption energy. Moreover, the IrC</w:t>
      </w:r>
      <w:r>
        <w:rPr>
          <w:vertAlign w:val="subscript"/>
        </w:rPr>
        <w:t>3</w:t>
      </w:r>
      <w:r>
        <w:t>could accelerate the electrochemical water dissociation with assistance of protophilic IrC</w:t>
      </w:r>
      <w:r>
        <w:rPr>
          <w:vertAlign w:val="subscript"/>
        </w:rPr>
        <w:t>4</w:t>
      </w:r>
      <w:r>
        <w:t>to form adsorbed</w:t>
      </w:r>
      <w:r>
        <w:t xml:space="preserve"> </w:t>
      </w:r>
      <w:r>
        <w:t>*</w:t>
      </w:r>
      <w:r>
        <w:t xml:space="preserve"> </w:t>
      </w:r>
      <w:r>
        <w:t>OH. The balanced adsorption energy and the appearance of ample</w:t>
      </w:r>
      <w:r>
        <w:t xml:space="preserve"> </w:t>
      </w:r>
      <w:r>
        <w:t>*</w:t>
      </w:r>
      <w:r>
        <w:t xml:space="preserve"> </w:t>
      </w:r>
      <w:r>
        <w:t>OH would efficiently decrease the reaction energy barriers, and further accelerate the methanol dehydrogenation and</w:t>
      </w:r>
      <w:r>
        <w:t xml:space="preserve"> </w:t>
      </w:r>
      <w:r>
        <w:t>*</w:t>
      </w:r>
      <w:r>
        <w:t xml:space="preserve"> </w:t>
      </w:r>
      <w:r>
        <w:t>CO oxidation. By assemble the high temperature polymer electrolyte membrane electrolyzer (HT‐PEME) with IrC</w:t>
      </w:r>
      <w:r>
        <w:rPr>
          <w:vertAlign w:val="subscript"/>
        </w:rPr>
        <w:t>3</w:t>
      </w:r>
      <w:r>
        <w:t>sites at 180°C, it shows an excellent MOR efficiency with onset potential about 0.05 V and H</w:t>
      </w:r>
      <w:r>
        <w:rPr>
          <w:vertAlign w:val="subscript"/>
        </w:rPr>
        <w:t>2</w:t>
      </w:r>
      <w:r>
        <w:t>generation rate with 8694 mol</w:t>
      </w:r>
      <w:r>
        <w:t xml:space="preserve"> </w:t>
      </w:r>
      <w:r>
        <w:t>H2</w:t>
      </w:r>
      <w:r>
        <w:t xml:space="preserve"> </w:t>
      </w:r>
      <w:r>
        <w:t>mol</w:t>
      </w:r>
      <w:r>
        <w:t xml:space="preserve"> </w:t>
      </w:r>
      <w:r>
        <w:t>Ir</w:t>
      </w:r>
      <w:r>
        <w:t xml:space="preserve"> </w:t>
      </w:r>
      <w:r>
        <w:t>−1</w:t>
      </w:r>
      <w:r>
        <w:t xml:space="preserve"> </w:t>
      </w:r>
      <w:r>
        <w:t>h</w:t>
      </w:r>
      <w:r>
        <w:t xml:space="preserve"> </w:t>
      </w:r>
      <w:r>
        <w:t>−1</w:t>
      </w:r>
      <w:r>
        <w:t xml:space="preserve"> </w:t>
      </w:r>
      <w:r>
        <w:t>at cathode, which is much higher than that of Ir‐C SACs parent catalyst and Pt/C catalysts. This finding provides an avenue to conquer the formidably sluggish kinetics of MOR for hydrogen utilization.</w:t>
      </w:r>
    </w:p>
    <w:p>
      <w:pPr>
        <w:spacing w:before="120" w:after="120"/>
      </w:pPr>
      <w:r>
        <w:rPr>
          <w:sz w:val="18"/>
        </w:rPr>
        <w:t>——————————————————————————————————————————————————————————————————————</w:t>
      </w:r>
    </w:p>
    <w:p>
      <w:pPr>
        <w:spacing w:before="160" w:after="80" w:line="240" w:lineRule="auto"/>
      </w:pPr>
      <w:r>
        <w:rPr>
          <w:b/>
        </w:rPr>
        <w:t xml:space="preserve">[447] </w:t>
      </w:r>
      <w:hyperlink r:id="rId789">
        <w:r>
          <w:rPr>
            <w:color w:val="1155CC"/>
            <w:u w:val="single"/>
          </w:rPr>
          <w:t>Unlocking Dual‐Pathway Low‐Potential Aldehyde Oxidation on Chromium‐Doped Copper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14:10:06+00:00</w:t>
      </w:r>
      <w:r>
        <w:t xml:space="preserve">    </w:t>
      </w:r>
      <w:r>
        <w:rPr>
          <w:b/>
        </w:rPr>
        <w:t xml:space="preserve">DOI: </w:t>
      </w:r>
      <w:hyperlink r:id="rId790">
        <w:r>
          <w:rPr>
            <w:color w:val="1155CC"/>
            <w:u w:val="single"/>
          </w:rPr>
          <w:t>10.1002/anie.202525384</w:t>
        </w:r>
      </w:hyperlink>
    </w:p>
    <w:p>
      <w:pPr>
        <w:spacing w:before="0" w:after="120"/>
      </w:pPr>
      <w:r>
        <w:rPr>
          <w:b/>
        </w:rPr>
        <w:t xml:space="preserve">Notes: </w:t>
      </w:r>
      <w:r>
        <w:t>abstract_source=crossref</w:t>
      </w:r>
    </w:p>
    <w:p>
      <w:pPr>
        <w:spacing w:before="0" w:after="200" w:lineRule="auto" w:line="276"/>
      </w:pPr>
      <w:r>
        <w:rPr>
          <w:b/>
        </w:rPr>
        <w:t xml:space="preserve">Abstract: </w:t>
      </w:r>
      <w:r>
        <w:t>The low‐potential aldehyde oxidation reaction (LPAOR) is emerging as a pivotal anodic strategy in hybrid water electrolysis and biomass fuel cell systems, enabling low‐energy hydrogen production and biomass upgrading. However, the most prior research focus on the stability of monometallic Cu catalysts and the structural modulation to accelerate hydrogen coupling, without elucidating the entire reaction pathways. Herein, a Cr‐doped mixed‐valent Cu nanowire arrays (An‐CrCu</w:t>
      </w:r>
      <w:r>
        <w:t xml:space="preserve"> </w:t>
      </w:r>
      <w:r>
        <w:t>x</w:t>
      </w:r>
      <w:r>
        <w:t xml:space="preserve"> </w:t>
      </w:r>
      <w:r>
        <w:t>O‐AC NWAs) catalyst is prepared to elucidate the dual pathways in LPAOR. Owing to the regulation of Cr on the adsorption ability of OH*, the active H* generated by C─H bond cleavage of aldehyde group combines with OH* forming H</w:t>
      </w:r>
      <w:r>
        <w:rPr>
          <w:vertAlign w:val="subscript"/>
        </w:rPr>
        <w:t>2</w:t>
      </w:r>
      <w:r>
        <w:t>O via Volmer step, triggering parallel one‐electron and two‐electron reaction pathways for An‐CrCu</w:t>
      </w:r>
      <w:r>
        <w:t xml:space="preserve"> </w:t>
      </w:r>
      <w:r>
        <w:t>x</w:t>
      </w:r>
      <w:r>
        <w:t xml:space="preserve"> </w:t>
      </w:r>
      <w:r>
        <w:t>O‐AC NWAs catalyst. Furthermore, Cr incorporation tunes the electronic structure of Cu, modulating the adsorption capacity of substrates and kinetics energy barrier of key elementary step, which makes an enhanced LPAOR performance. Concretely, the An‐CrCu</w:t>
      </w:r>
      <w:r>
        <w:t xml:space="preserve"> </w:t>
      </w:r>
      <w:r>
        <w:t>x</w:t>
      </w:r>
      <w:r>
        <w:t xml:space="preserve"> </w:t>
      </w:r>
      <w:r>
        <w:t>O‐AC NWAs catalyst attains a current density of 100 mA cm</w:t>
      </w:r>
      <w:r>
        <w:t xml:space="preserve"> </w:t>
      </w:r>
      <w:r>
        <w:t>−2</w:t>
      </w:r>
      <w:r>
        <w:t xml:space="preserve"> </w:t>
      </w:r>
      <w:r>
        <w:t>at 0.224 V</w:t>
      </w:r>
      <w:r>
        <w:t xml:space="preserve"> </w:t>
      </w:r>
      <w:r>
        <w:t>RHE</w:t>
      </w:r>
      <w:r>
        <w:t xml:space="preserve"> </w:t>
      </w:r>
      <w:r>
        <w:t>, remarkably surpassing An‐Cu</w:t>
      </w:r>
      <w:r>
        <w:t xml:space="preserve"> </w:t>
      </w:r>
      <w:r>
        <w:t>x</w:t>
      </w:r>
      <w:r>
        <w:t xml:space="preserve"> </w:t>
      </w:r>
      <w:r>
        <w:t>O‐AC NWAs catalyst (0.271 V</w:t>
      </w:r>
      <w:r>
        <w:t xml:space="preserve"> </w:t>
      </w:r>
      <w:r>
        <w:t>RHE</w:t>
      </w:r>
      <w:r>
        <w:t xml:space="preserve"> </w:t>
      </w:r>
      <w:r>
        <w:t>). A hybrid system coupled LPAOR with oxygen reduction reaction realizes a peak power density of 43.0 mW cm</w:t>
      </w:r>
      <w:r>
        <w:t xml:space="preserve"> </w:t>
      </w:r>
      <w:r>
        <w:t>−2</w:t>
      </w:r>
      <w:r>
        <w:t xml:space="preserve"> </w:t>
      </w:r>
      <w:r>
        <w:t>at 103.1 mA cm</w:t>
      </w:r>
      <w:r>
        <w:t xml:space="preserve"> </w:t>
      </w:r>
      <w:r>
        <w:t>−2</w:t>
      </w:r>
      <w:r>
        <w:t xml:space="preserve"> </w:t>
      </w:r>
      <w:r>
        <w:t>using An‐CrCu</w:t>
      </w:r>
      <w:r>
        <w:t xml:space="preserve"> </w:t>
      </w:r>
      <w:r>
        <w:t>x</w:t>
      </w:r>
      <w:r>
        <w:t xml:space="preserve"> </w:t>
      </w:r>
      <w:r>
        <w:t>O‐AC NWAs as anodic catalyst.</w:t>
      </w:r>
    </w:p>
    <w:p>
      <w:pPr>
        <w:spacing w:before="120" w:after="120"/>
      </w:pPr>
      <w:r>
        <w:rPr>
          <w:sz w:val="18"/>
        </w:rPr>
        <w:t>——————————————————————————————————————————————————————————————————————</w:t>
      </w:r>
    </w:p>
    <w:p>
      <w:pPr>
        <w:spacing w:before="160" w:after="80" w:line="240" w:lineRule="auto"/>
      </w:pPr>
      <w:r>
        <w:rPr>
          <w:b/>
        </w:rPr>
        <w:t xml:space="preserve">[448] </w:t>
      </w:r>
      <w:hyperlink r:id="rId791">
        <w:r>
          <w:rPr>
            <w:color w:val="1155CC"/>
            <w:u w:val="single"/>
          </w:rPr>
          <w:t>Late‐stage Tyrosine ortho‐C(sp2)‐H Alkenylation for Macrocyclic Peptide SuFEx Proximity Labeling and Targeted Degradation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14:12:03+00:00</w:t>
      </w:r>
      <w:r>
        <w:t xml:space="preserve">    </w:t>
      </w:r>
      <w:r>
        <w:rPr>
          <w:b/>
        </w:rPr>
        <w:t xml:space="preserve">DOI: </w:t>
      </w:r>
      <w:hyperlink r:id="rId792">
        <w:r>
          <w:rPr>
            <w:color w:val="1155CC"/>
            <w:u w:val="single"/>
          </w:rPr>
          <w:t>10.1002/anie.202524685</w:t>
        </w:r>
      </w:hyperlink>
    </w:p>
    <w:p>
      <w:pPr>
        <w:spacing w:before="0" w:after="120"/>
      </w:pPr>
      <w:r>
        <w:rPr>
          <w:b/>
        </w:rPr>
        <w:t xml:space="preserve">Notes: </w:t>
      </w:r>
      <w:r>
        <w:t>abstract_source=crossref</w:t>
      </w:r>
    </w:p>
    <w:p>
      <w:pPr>
        <w:spacing w:before="0" w:after="200" w:lineRule="auto" w:line="276"/>
      </w:pPr>
      <w:r>
        <w:rPr>
          <w:b/>
        </w:rPr>
        <w:t xml:space="preserve">Abstract: </w:t>
      </w:r>
      <w:r>
        <w:t>Cyclic peptides hold great promise in drug discovery due to their conformational stability, proteolytic resistance, and ability to disrupt protein–protein interactions (PPIs). However, their therapeutic potential is often constrained by reversible binding, while covalent labeling strategies such as Sulfur(VI) Fluoride Exchange (SuFEx) have largely been limited to linear scaffolds. Here, we report a late‐stage Pd(II)‐catalyzed ortho‐C(sp</w:t>
      </w:r>
      <w:r>
        <w:rPr>
          <w:vertAlign w:val="subscript"/>
        </w:rPr>
        <w:t>2</w:t>
      </w:r>
      <w:r>
        <w:t>)‐H alkenylation of tyrosine that achieves directing‐group‐free late‐stage peptide macrocyclization. This strategy preserves the phenolic side chain, which can subsequently be converted into an arylfluorosulfate for SuFEx‐driven covalent labeling. The dual functionality of tyrosine thus enables the construction of macrocyclic scaffolds with enhanced conformational rigidity, intrinsic fluorescence, and covalent reactivity. As proof of concept, we synthesized a cyclic GnRH analogue (c‐leuprolide) that exhibits superior antiproliferative activity compared with its linear counterpart. We further developed a covalent cyclic peptide‐lysosome targeting chimera (CCP‐TAC) that selectively degrades PD‐L1, remodels the tumor immune microenvironment, and exhibits favorable biosafety in vivo. Together, these findings establish tyrosine‐directed C─H functionalization as a versatile platform for multifunctional cyclic peptides, bridging synthetic methodology with therapeutic application and advancing peptide stapling, covalent labeling, and degrader technologies.</w:t>
      </w:r>
    </w:p>
    <w:p>
      <w:pPr>
        <w:spacing w:before="120" w:after="120"/>
      </w:pPr>
      <w:r>
        <w:rPr>
          <w:sz w:val="18"/>
        </w:rPr>
        <w:t>——————————————————————————————————————————————————————————————————————</w:t>
      </w:r>
    </w:p>
    <w:p>
      <w:pPr>
        <w:spacing w:before="160" w:after="80" w:line="240" w:lineRule="auto"/>
      </w:pPr>
      <w:r>
        <w:rPr>
          <w:b/>
        </w:rPr>
        <w:t xml:space="preserve">[449] </w:t>
      </w:r>
      <w:hyperlink r:id="rId793">
        <w:r>
          <w:rPr>
            <w:color w:val="1155CC"/>
            <w:u w:val="single"/>
          </w:rPr>
          <w:t>A Complete Operando Structural and Redox Perspective on the O2‐Type Lithium‐Rich Manganese Oxide LiMn0.75O2</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14:14:39+00:00</w:t>
      </w:r>
      <w:r>
        <w:t xml:space="preserve">    </w:t>
      </w:r>
      <w:r>
        <w:rPr>
          <w:b/>
        </w:rPr>
        <w:t xml:space="preserve">DOI: </w:t>
      </w:r>
      <w:hyperlink r:id="rId794">
        <w:r>
          <w:rPr>
            <w:color w:val="1155CC"/>
            <w:u w:val="single"/>
          </w:rPr>
          <w:t>10.1002/aenm.202505540</w:t>
        </w:r>
      </w:hyperlink>
    </w:p>
    <w:p>
      <w:pPr>
        <w:spacing w:before="0" w:after="120"/>
      </w:pPr>
      <w:r>
        <w:rPr>
          <w:b/>
        </w:rPr>
        <w:t xml:space="preserve">Notes: </w:t>
      </w:r>
      <w:r>
        <w:t>abstract_source=crossref</w:t>
      </w:r>
    </w:p>
    <w:p>
      <w:pPr>
        <w:spacing w:before="0" w:after="200" w:lineRule="auto" w:line="276"/>
      </w:pPr>
      <w:r>
        <w:rPr>
          <w:b/>
        </w:rPr>
        <w:t xml:space="preserve">Abstract: </w:t>
      </w:r>
      <w:r>
        <w:t>Lithium‐rich materials with anionic redox are promising candidates for high‐energy‐density positive electrodes. Manganese‐based compounds like Li</w:t>
      </w:r>
      <w:r>
        <w:rPr>
          <w:vertAlign w:val="subscript"/>
        </w:rPr>
        <w:t>2</w:t>
      </w:r>
      <w:r>
        <w:t>MnO</w:t>
      </w:r>
      <w:r>
        <w:rPr>
          <w:vertAlign w:val="subscript"/>
        </w:rPr>
        <w:t>3</w:t>
      </w:r>
      <w:r>
        <w:t>offer advantages, including low toxicity and abundant resources, but suffer from poor rate capability due to irreversible oxygen loss and structural transformation. Here, we study an O2‐type layered oxide LiMn</w:t>
      </w:r>
      <w:r>
        <w:t xml:space="preserve"> </w:t>
      </w:r>
      <w:r>
        <w:t>0.75</w:t>
      </w:r>
      <w:r>
        <w:t xml:space="preserve"> </w:t>
      </w:r>
      <w:r>
        <w:t>O</w:t>
      </w:r>
      <w:r>
        <w:rPr>
          <w:vertAlign w:val="subscript"/>
        </w:rPr>
        <w:t>2</w:t>
      </w:r>
      <w:r>
        <w:t>, which shows significantly enhanced cycling stability, retaining 78% of its capacity after 140 cycles, with suppressed structural reorganization and more reversible oxygen redox. By combining electrochemical analysis with</w:t>
      </w:r>
      <w:r>
        <w:t xml:space="preserve"> </w:t>
      </w:r>
      <w:r>
        <w:t>operando</w:t>
      </w:r>
      <w:r>
        <w:t xml:space="preserve"> </w:t>
      </w:r>
      <w:r>
        <w:t>X‐ray absorption spectroscopy (XAS) and pair distribution function measurements (PDF), we provide a detailed picture of the material's structural and redox evolution. The first charge differs markedly from subsequent cycles, combining partially reversible bulk oxygen redox, irreversible Li extraction from surface regions, and impurities with oxygen gas release. From the second cycle onward, the reversible bulk oxygen redox process becomes progressively activated. Besides, no clear evidence of short O–O dimers are observed in PDF, suggesting a limited degree of oxygen dimerization during the oxygen redox. Overall, this work showcases the high‐capacity potential of Mn‐based Li‐rich materials, deepens understanding of their redox behavior, and underscores the power of PDF‐based</w:t>
      </w:r>
      <w:r>
        <w:t xml:space="preserve"> </w:t>
      </w:r>
      <w:r>
        <w:t>operando</w:t>
      </w:r>
      <w:r>
        <w:t xml:space="preserve"> </w:t>
      </w:r>
      <w:r>
        <w:t>techniques in probing local structural changes during cycling.</w:t>
      </w:r>
    </w:p>
    <w:p>
      <w:pPr>
        <w:spacing w:before="120" w:after="120"/>
      </w:pPr>
      <w:r>
        <w:rPr>
          <w:sz w:val="18"/>
        </w:rPr>
        <w:t>——————————————————————————————————————————————————————————————————————</w:t>
      </w:r>
    </w:p>
    <w:p>
      <w:pPr>
        <w:spacing w:before="160" w:after="80" w:line="240" w:lineRule="auto"/>
      </w:pPr>
      <w:r>
        <w:rPr>
          <w:b/>
        </w:rPr>
        <w:t xml:space="preserve">[450] </w:t>
      </w:r>
      <w:hyperlink r:id="rId795">
        <w:r>
          <w:rPr>
            <w:color w:val="1155CC"/>
            <w:u w:val="single"/>
          </w:rPr>
          <w:t>Suppressing Thermal Aggregation of Fullerene Enables ISOS‐L‐3 Stable Inverted Perovskite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14:14:41+00:00</w:t>
      </w:r>
      <w:r>
        <w:t xml:space="preserve">    </w:t>
      </w:r>
      <w:r>
        <w:rPr>
          <w:b/>
        </w:rPr>
        <w:t xml:space="preserve">DOI: </w:t>
      </w:r>
      <w:hyperlink r:id="rId796">
        <w:r>
          <w:rPr>
            <w:color w:val="1155CC"/>
            <w:u w:val="single"/>
          </w:rPr>
          <w:t>10.1002/adma.202520308</w:t>
        </w:r>
      </w:hyperlink>
    </w:p>
    <w:p>
      <w:pPr>
        <w:spacing w:before="0" w:after="120"/>
      </w:pPr>
      <w:r>
        <w:rPr>
          <w:b/>
        </w:rPr>
        <w:t xml:space="preserve">Notes: </w:t>
      </w:r>
      <w:r>
        <w:t>abstract_source=crossref</w:t>
      </w:r>
    </w:p>
    <w:p>
      <w:pPr>
        <w:spacing w:before="0" w:after="200" w:lineRule="auto" w:line="276"/>
      </w:pPr>
      <w:r>
        <w:rPr>
          <w:b/>
        </w:rPr>
        <w:t xml:space="preserve">Abstract: </w:t>
      </w:r>
      <w:r>
        <w:t>Inverted perovskite solar cells (PSCs), as the promising candidates for practical photovoltaics, always undergo severe degradation under standard commercial testing conditions (ISOS‐L‐3, 1 sun + RH≥50% + 85°C), posing a major obstacle to their commercialization. One of the inherent bottlenecks lies on that the fullerenes would spontaneously aggregate into crystalline clusters at high temperature, causing the irreversible interface destruction. Herein, drawing inspiration from the bionic spider web, “fullerene‐fixed web” is constructed to firmly immobilize [6,6]‐phenyl‐C61‐butyric acid methyl ester (PCBM) molecules via in situ polymerized 3‐aminopropyltrimethoxysilane (APTMS)‐derived siloxane network. The hydrolyzed and polymerized APTMS forms a robust 3D framework that confines PCBM through strong hydrogen‐bonding interactions, thereby suppressing its thermal aggregation. Simultaneously, the exposed amino groups of the network passivate the perovskite surface defects and strengthen the perovskite/ETL interfacial coupling. As a result, the target inverted PSCs achieve a champion efficiency of 26.39% (certified 26.27%) and retain over 90% of initial performance after 800 h age under ISOS‐L‐3 condition—significantly outperforming the control (24.98%, T</w:t>
      </w:r>
      <w:r>
        <w:rPr>
          <w:vertAlign w:val="subscript"/>
        </w:rPr>
        <w:t>90</w:t>
      </w:r>
      <w:r>
        <w:t>&amp;lt; 250 h). This work provides a feasible and effective pathway toward achieving highly efficient and photothermally durable perovskite photovoltaics.</w:t>
      </w:r>
    </w:p>
    <w:p>
      <w:pPr>
        <w:spacing w:before="120" w:after="120"/>
      </w:pPr>
      <w:r>
        <w:rPr>
          <w:sz w:val="18"/>
        </w:rPr>
        <w:t>——————————————————————————————————————————————————————————————————————</w:t>
      </w:r>
    </w:p>
    <w:p>
      <w:pPr>
        <w:spacing w:before="160" w:after="80" w:line="240" w:lineRule="auto"/>
      </w:pPr>
      <w:r>
        <w:rPr>
          <w:b/>
        </w:rPr>
        <w:t xml:space="preserve">[451] </w:t>
      </w:r>
      <w:hyperlink r:id="rId797">
        <w:r>
          <w:rPr>
            <w:color w:val="1155CC"/>
            <w:u w:val="single"/>
          </w:rPr>
          <w:t>Tunable Stability and Performance of Fused Thienothiophene Based Polymers for Organic Electrochemical Transistors and Artificial Synapse Based on A Side Chain Reorganization Strategy</w:t>
        </w:r>
      </w:hyperlink>
    </w:p>
    <w:p>
      <w:pPr>
        <w:spacing w:before="0" w:after="120" w:line="240" w:lineRule="auto"/>
      </w:pPr>
      <w:r>
        <w:rPr>
          <w:b/>
        </w:rPr>
        <w:t xml:space="preserve">Source: </w:t>
      </w:r>
      <w:r>
        <w:t>Wiley: Advanced Materials: Table of Contents</w:t>
      </w:r>
      <w:r>
        <w:t xml:space="preserve">    </w:t>
      </w:r>
      <w:r>
        <w:rPr>
          <w:b/>
        </w:rPr>
        <w:t xml:space="preserve">Pub date: </w:t>
      </w:r>
      <w:r>
        <w:t>2025-12-26 14:16:19+00:00</w:t>
      </w:r>
      <w:r>
        <w:t xml:space="preserve">    </w:t>
      </w:r>
      <w:r>
        <w:rPr>
          <w:b/>
        </w:rPr>
        <w:t xml:space="preserve">DOI: </w:t>
      </w:r>
      <w:hyperlink r:id="rId798">
        <w:r>
          <w:rPr>
            <w:color w:val="1155CC"/>
            <w:u w:val="single"/>
          </w:rPr>
          <w:t>10.1002/adma.202512687</w:t>
        </w:r>
      </w:hyperlink>
    </w:p>
    <w:p>
      <w:pPr>
        <w:spacing w:before="0" w:after="120"/>
      </w:pPr>
      <w:r>
        <w:rPr>
          <w:b/>
        </w:rPr>
        <w:t xml:space="preserve">Notes: </w:t>
      </w:r>
      <w:r>
        <w:t>abstract_source=crossref</w:t>
      </w:r>
    </w:p>
    <w:p>
      <w:pPr>
        <w:spacing w:before="0" w:after="200" w:lineRule="auto" w:line="276"/>
      </w:pPr>
      <w:r>
        <w:rPr>
          <w:b/>
        </w:rPr>
        <w:t xml:space="preserve">Abstract: </w:t>
      </w:r>
      <w:r>
        <w:t>We report a series of novel polymeric mixed ionic‐electronic conductors based upon the incorporation of fused thieno[3,2‐</w:t>
      </w:r>
      <w:r>
        <w:t xml:space="preserve"> </w:t>
      </w:r>
      <w:r>
        <w:t>b</w:t>
      </w:r>
      <w:r>
        <w:t xml:space="preserve"> </w:t>
      </w:r>
      <w:r>
        <w:t>]thiophene and bithiophene with isomeric sidechains. The enhanced rigidity in the polymer backbone facilitated the formation of stabilized bipolarons, while the reorganized ethylene glycol side chains not only maintained the polymer's hydrophilicity but also unexpectedly enhanced the crystallinity of the polymer film. This design strategy led to the development of 4gTT‐2gT, a high‐performance and stable organic mixed ionic‐electronic conductor. The polymer exhibited a maximum</w:t>
      </w:r>
      <w:r>
        <w:t xml:space="preserve"> </w:t>
      </w:r>
      <w:r>
        <w:t>µC</w:t>
      </w:r>
      <w:r>
        <w:t xml:space="preserve"> </w:t>
      </w:r>
      <w:r>
        <w:t>* of 729 F V</w:t>
      </w:r>
      <w:r>
        <w:t xml:space="preserve"> </w:t>
      </w:r>
      <w:r>
        <w:t>−1</w:t>
      </w:r>
      <w:r>
        <w:t xml:space="preserve"> </w:t>
      </w:r>
      <w:r>
        <w:t>cm</w:t>
      </w:r>
      <w:r>
        <w:t xml:space="preserve"> </w:t>
      </w:r>
      <w:r>
        <w:t>−1</w:t>
      </w:r>
      <w:r>
        <w:t xml:space="preserve"> </w:t>
      </w:r>
      <w:r>
        <w:t>s</w:t>
      </w:r>
      <w:r>
        <w:t xml:space="preserve"> </w:t>
      </w:r>
      <w:r>
        <w:t>−1</w:t>
      </w:r>
      <w:r>
        <w:t xml:space="preserve"> </w:t>
      </w:r>
      <w:r>
        <w:t>, one of the highest values among low‐threshold voltage polythiophene derivatives, while demonstrating excellent operational stability, retaining 99% of its maximum current after 1‐h device switching cycles and 94% after 9‐h at lower bias. We implemented the material in OECT‐based artificial synapses, which maintained functionality under a large temperature range (23–373 K). These combined properties establish 4gTT‐2gT as a prime candidate for next‐generation mixed conductor devices.</w:t>
      </w:r>
    </w:p>
    <w:p>
      <w:pPr>
        <w:spacing w:before="120" w:after="120"/>
      </w:pPr>
      <w:r>
        <w:rPr>
          <w:sz w:val="18"/>
        </w:rPr>
        <w:t>——————————————————————————————————————————————————————————————————————</w:t>
      </w:r>
    </w:p>
    <w:p>
      <w:pPr>
        <w:spacing w:before="160" w:after="80" w:line="240" w:lineRule="auto"/>
      </w:pPr>
      <w:r>
        <w:rPr>
          <w:b/>
        </w:rPr>
        <w:t xml:space="preserve">[452] </w:t>
      </w:r>
      <w:hyperlink r:id="rId799">
        <w:r>
          <w:rPr>
            <w:color w:val="1155CC"/>
            <w:u w:val="single"/>
          </w:rPr>
          <w:t>O2 Activation at an Enzymatic Diiron Site: Bridging Ligand Substitutions Alter Diferric‐(Hydro)peroxo States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14:19:15+00:00</w:t>
      </w:r>
      <w:r>
        <w:t xml:space="preserve">    </w:t>
      </w:r>
      <w:r>
        <w:rPr>
          <w:b/>
        </w:rPr>
        <w:t xml:space="preserve">DOI: </w:t>
      </w:r>
      <w:hyperlink r:id="rId800">
        <w:r>
          <w:rPr>
            <w:color w:val="1155CC"/>
            <w:u w:val="single"/>
          </w:rPr>
          <w:t>10.1002/anie.202519180</w:t>
        </w:r>
      </w:hyperlink>
    </w:p>
    <w:p>
      <w:pPr>
        <w:spacing w:before="0" w:after="120"/>
      </w:pPr>
      <w:r>
        <w:rPr>
          <w:b/>
        </w:rPr>
        <w:t xml:space="preserve">Notes: </w:t>
      </w:r>
      <w:r>
        <w:t>abstract_source=crossref</w:t>
      </w:r>
    </w:p>
    <w:p>
      <w:pPr>
        <w:spacing w:before="0" w:after="200" w:lineRule="auto" w:line="276"/>
      </w:pPr>
      <w:r>
        <w:rPr>
          <w:b/>
        </w:rPr>
        <w:t xml:space="preserve">Abstract: </w:t>
      </w:r>
      <w:r>
        <w:t>A variety of non‐heme diiron enzymes employ a conserved 2‐His‐4‐carboxylate motif to coordinate a dinuclear Fe site and activate dioxygen for diverse types of reactions. Two of the carboxylate residues act as bridging ligands between the Fe ions. As the type and coordination geometry of the bridging ligands in the diferrous state are thought to modulate reactivity, they were used to group diiron oxygenases into three structural subclasses. Here, we use the small diiron‐enzyme sulerythrin as a model to demonstrate that replacements of the bridging carboxylate amino acids allow us to decrease the distance between the two Fe ions, change the coordination of the bridging ligands from 1,3‐carboxylates to 1,1‐carboxylates and generate all three structural subclasses of diferrous active sites within the same protein scaffold. In addition to the known classes, we generated a coordination mode containing two 1,1‐carboxylate bridges. The resulting changes in the Fe coordination also alter the nature of the diferric (hydro)peroxo intermediates formed upon reaction with O</w:t>
      </w:r>
      <w:r>
        <w:rPr>
          <w:vertAlign w:val="subscript"/>
        </w:rPr>
        <w:t>2</w:t>
      </w:r>
      <w:r>
        <w:t>. Finally, we show that modulating the carboxylate bridges influences the reactivity of sulerythrin with O</w:t>
      </w:r>
      <w:r>
        <w:rPr>
          <w:vertAlign w:val="subscript"/>
        </w:rPr>
        <w:t>2</w:t>
      </w:r>
      <w:r>
        <w:t>. We establish sulerythrin as a versatile platform to engineer distinct diFe centers by a few exchanges, producing various stable (hydro)peroxo intermediates for further studies.</w:t>
      </w:r>
    </w:p>
    <w:p>
      <w:pPr>
        <w:spacing w:before="120" w:after="120"/>
      </w:pPr>
      <w:r>
        <w:rPr>
          <w:sz w:val="18"/>
        </w:rPr>
        <w:t>——————————————————————————————————————————————————————————————————————</w:t>
      </w:r>
    </w:p>
    <w:p>
      <w:pPr>
        <w:spacing w:before="160" w:after="80" w:line="240" w:lineRule="auto"/>
      </w:pPr>
      <w:r>
        <w:rPr>
          <w:b/>
        </w:rPr>
        <w:t xml:space="preserve">[453] </w:t>
      </w:r>
      <w:hyperlink r:id="rId801">
        <w:r>
          <w:rPr>
            <w:color w:val="1155CC"/>
            <w:u w:val="single"/>
          </w:rPr>
          <w:t>Bio‐Inspired Cascade Photocatalysis on Fe Single‐Atom Carbon Nitride Upcycles Plastic Wastes for Effective Acetic Acid Production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14:21:18+00:00</w:t>
      </w:r>
      <w:r>
        <w:t xml:space="preserve">    </w:t>
      </w:r>
      <w:r>
        <w:rPr>
          <w:b/>
        </w:rPr>
        <w:t xml:space="preserve">DOI: </w:t>
      </w:r>
      <w:hyperlink r:id="rId802">
        <w:r>
          <w:rPr>
            <w:color w:val="1155CC"/>
            <w:u w:val="single"/>
          </w:rPr>
          <w:t>10.1002/aenm.202505453</w:t>
        </w:r>
      </w:hyperlink>
    </w:p>
    <w:p>
      <w:pPr>
        <w:spacing w:before="0" w:after="120"/>
      </w:pPr>
      <w:r>
        <w:rPr>
          <w:b/>
        </w:rPr>
        <w:t xml:space="preserve">Notes: </w:t>
      </w:r>
      <w:r>
        <w:t>abstract_source=crossref</w:t>
      </w:r>
    </w:p>
    <w:p>
      <w:pPr>
        <w:spacing w:before="0" w:after="200" w:lineRule="auto" w:line="276"/>
      </w:pPr>
      <w:r>
        <w:rPr>
          <w:b/>
        </w:rPr>
        <w:t xml:space="preserve">Abstract: </w:t>
      </w:r>
      <w:r>
        <w:t>Plastic imposes a critical threat to the environment, ecosystems, and human health because of the low utilization efficiency of plastics. Here, we demonstrate a sustainable, highly efficient cascade photocatalysis for upcycle plastics to value‐added acetic acid using Fe single‐atom catalysts (Fe@C</w:t>
      </w:r>
      <w:r>
        <w:rPr>
          <w:vertAlign w:val="subscript"/>
        </w:rPr>
        <w:t>3</w:t>
      </w:r>
      <w:r>
        <w:t>N</w:t>
      </w:r>
      <w:r>
        <w:rPr>
          <w:vertAlign w:val="subscript"/>
        </w:rPr>
        <w:t>4</w:t>
      </w:r>
      <w:r>
        <w:t>SAC) at ambient conditions. Inspired by Phanerochaete chrysosporium microbial, the defective Fe@C</w:t>
      </w:r>
      <w:r>
        <w:rPr>
          <w:vertAlign w:val="subscript"/>
        </w:rPr>
        <w:t>3</w:t>
      </w:r>
      <w:r>
        <w:t>N</w:t>
      </w:r>
      <w:r>
        <w:rPr>
          <w:vertAlign w:val="subscript"/>
        </w:rPr>
        <w:t>4</w:t>
      </w:r>
      <w:r>
        <w:t>SAC acts as a bifunctional cascade photocatalyst for both Fenton‐like and CO</w:t>
      </w:r>
      <w:r>
        <w:rPr>
          <w:vertAlign w:val="subscript"/>
        </w:rPr>
        <w:t>2</w:t>
      </w:r>
      <w:r>
        <w:t>reduction reactions. During the reaction, hydroxyl radicals (*OH) form and subsequently oxidize plastics into CO</w:t>
      </w:r>
      <w:r>
        <w:rPr>
          <w:vertAlign w:val="subscript"/>
        </w:rPr>
        <w:t>2</w:t>
      </w:r>
      <w:r>
        <w:t>intermediates. These CO</w:t>
      </w:r>
      <w:r>
        <w:rPr>
          <w:vertAlign w:val="subscript"/>
        </w:rPr>
        <w:t>2</w:t>
      </w:r>
      <w:r>
        <w:t>intermediates are then photo‐reduced to CH</w:t>
      </w:r>
      <w:r>
        <w:rPr>
          <w:vertAlign w:val="subscript"/>
        </w:rPr>
        <w:t>3</w:t>
      </w:r>
      <w:r>
        <w:t>COOH on the same catalyst via cascade photocatalysis. The mechanism is confirmed by in situ multimodal microscopy and spectroscopies, with density functional theory calculations. A state‐of‐art CH</w:t>
      </w:r>
      <w:r>
        <w:rPr>
          <w:vertAlign w:val="subscript"/>
        </w:rPr>
        <w:t>3</w:t>
      </w:r>
      <w:r>
        <w:t>COOH yield of 63.8 mg h</w:t>
      </w:r>
      <w:r>
        <w:t xml:space="preserve"> </w:t>
      </w:r>
      <w:r>
        <w:t>−1</w:t>
      </w:r>
      <w:r>
        <w:t xml:space="preserve"> </w:t>
      </w:r>
      <w:r>
        <w:t>g</w:t>
      </w:r>
      <w:r>
        <w:t xml:space="preserve"> </w:t>
      </w:r>
      <w:r>
        <w:t>cat</w:t>
      </w:r>
      <w:r>
        <w:t xml:space="preserve"> </w:t>
      </w:r>
      <w:r>
        <w:t>−1</w:t>
      </w:r>
      <w:r>
        <w:t xml:space="preserve"> </w:t>
      </w:r>
      <w:r>
        <w:t>from PVC, 12.7 mg h</w:t>
      </w:r>
      <w:r>
        <w:t xml:space="preserve"> </w:t>
      </w:r>
      <w:r>
        <w:t>−1</w:t>
      </w:r>
      <w:r>
        <w:t xml:space="preserve"> </w:t>
      </w:r>
      <w:r>
        <w:t>g</w:t>
      </w:r>
      <w:r>
        <w:t xml:space="preserve"> </w:t>
      </w:r>
      <w:r>
        <w:t>cat</w:t>
      </w:r>
      <w:r>
        <w:t xml:space="preserve"> </w:t>
      </w:r>
      <w:r>
        <w:t>−1</w:t>
      </w:r>
      <w:r>
        <w:t xml:space="preserve"> </w:t>
      </w:r>
      <w:r>
        <w:t>from PE, 5.4 mg h</w:t>
      </w:r>
      <w:r>
        <w:t xml:space="preserve"> </w:t>
      </w:r>
      <w:r>
        <w:t>−1</w:t>
      </w:r>
      <w:r>
        <w:t xml:space="preserve"> </w:t>
      </w:r>
      <w:r>
        <w:t>g</w:t>
      </w:r>
      <w:r>
        <w:t xml:space="preserve"> </w:t>
      </w:r>
      <w:r>
        <w:t>cat</w:t>
      </w:r>
      <w:r>
        <w:t xml:space="preserve"> </w:t>
      </w:r>
      <w:r>
        <w:t>−1</w:t>
      </w:r>
      <w:r>
        <w:t xml:space="preserve"> </w:t>
      </w:r>
      <w:r>
        <w:t>from PET, and 5.3 mg h</w:t>
      </w:r>
      <w:r>
        <w:t xml:space="preserve"> </w:t>
      </w:r>
      <w:r>
        <w:t>−1</w:t>
      </w:r>
      <w:r>
        <w:t xml:space="preserve"> </w:t>
      </w:r>
      <w:r>
        <w:t>g</w:t>
      </w:r>
      <w:r>
        <w:t xml:space="preserve"> </w:t>
      </w:r>
      <w:r>
        <w:t>cat</w:t>
      </w:r>
      <w:r>
        <w:t xml:space="preserve"> </w:t>
      </w:r>
      <w:r>
        <w:t>−1</w:t>
      </w:r>
      <w:r>
        <w:t xml:space="preserve"> </w:t>
      </w:r>
      <w:r>
        <w:t>from PP are directly obtained under AM1.5G solar irradiation and further validated under real sunlight (≈0.6 sun), achieving 5.6 mg h</w:t>
      </w:r>
      <w:r>
        <w:t xml:space="preserve"> </w:t>
      </w:r>
      <w:r>
        <w:t>−1</w:t>
      </w:r>
      <w:r>
        <w:t xml:space="preserve"> </w:t>
      </w:r>
      <w:r>
        <w:t>g</w:t>
      </w:r>
      <w:r>
        <w:t xml:space="preserve"> </w:t>
      </w:r>
      <w:r>
        <w:t>cat</w:t>
      </w:r>
      <w:r>
        <w:t xml:space="preserve"> </w:t>
      </w:r>
      <w:r>
        <w:t>−1</w:t>
      </w:r>
      <w:r>
        <w:t xml:space="preserve"> </w:t>
      </w:r>
      <w:r>
        <w:t>from PET, using low‐cost Fe@C</w:t>
      </w:r>
      <w:r>
        <w:rPr>
          <w:vertAlign w:val="subscript"/>
        </w:rPr>
        <w:t>3</w:t>
      </w:r>
      <w:r>
        <w:t>N</w:t>
      </w:r>
      <w:r>
        <w:rPr>
          <w:vertAlign w:val="subscript"/>
        </w:rPr>
        <w:t>4</w:t>
      </w:r>
      <w:r>
        <w:t>SAC in a sealed reactor by enhancing the photon transport and utilization efficiency. The techno‐economic analysis shows it is promising to practically mitigate plastic based on broader social welfare assessments.</w:t>
      </w:r>
    </w:p>
    <w:p>
      <w:pPr>
        <w:spacing w:before="120" w:after="120"/>
      </w:pPr>
      <w:r>
        <w:rPr>
          <w:sz w:val="18"/>
        </w:rPr>
        <w:t>——————————————————————————————————————————————————————————————————————</w:t>
      </w:r>
    </w:p>
    <w:p>
      <w:pPr>
        <w:spacing w:before="160" w:after="80" w:line="240" w:lineRule="auto"/>
      </w:pPr>
      <w:r>
        <w:rPr>
          <w:b/>
        </w:rPr>
        <w:t xml:space="preserve">[454] </w:t>
      </w:r>
      <w:hyperlink r:id="rId803">
        <w:r>
          <w:rPr>
            <w:color w:val="1155CC"/>
            <w:u w:val="single"/>
          </w:rPr>
          <w:t>Microfluidic‐Enabled Solid‐State Electrolytes With Enhanced Electrochemical Performance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2025-12-26 14:22:08+00:00</w:t>
      </w:r>
      <w:r>
        <w:t xml:space="preserve">    </w:t>
      </w:r>
      <w:r>
        <w:rPr>
          <w:b/>
        </w:rPr>
        <w:t xml:space="preserve">DOI: </w:t>
      </w:r>
      <w:hyperlink r:id="rId804">
        <w:r>
          <w:rPr>
            <w:color w:val="1155CC"/>
            <w:u w:val="single"/>
          </w:rPr>
          <w:t>10.1002/aenm.202505181</w:t>
        </w:r>
      </w:hyperlink>
    </w:p>
    <w:p>
      <w:pPr>
        <w:spacing w:before="0" w:after="120"/>
      </w:pPr>
      <w:r>
        <w:rPr>
          <w:b/>
        </w:rPr>
        <w:t xml:space="preserve">Notes: </w:t>
      </w:r>
      <w:r>
        <w:t>abstract_source=crossref</w:t>
      </w:r>
    </w:p>
    <w:p>
      <w:pPr>
        <w:spacing w:before="0" w:after="200" w:lineRule="auto" w:line="276"/>
      </w:pPr>
      <w:r>
        <w:rPr>
          <w:b/>
        </w:rPr>
        <w:t xml:space="preserve">Abstract: </w:t>
      </w:r>
      <w:r>
        <w:t>Conventional batch style sol–gel synthesis of ceramic solid‐state electrolyte (SSE) tends to suffer from irreproducibility in particle shape, size, and overall quality from batch to batch. The physical and electrochemical properties of ceramic SSE is highly dependent on its microstructure, which is correlated to the synthesis conditions. Previous synthesis methods primarily relied on extrinsic modifications, such as additive or surface coating, rather than intrinsically improving the electrochemical properties of ceramic SSEs. This inspired us to develop a synthesis method based on microfluidic (MF) engineering to enable a superior ceramic SSE with fundamentally improved solid‐state battery performance by directly optimizing the microstructure of ceramic SSEs. Using MF‐enabled sodium‐ion superionic conductor (NASICON) as an example, the ionic conductivity increased from 0.5 to 1.1 mS/cm, while the interfacial impedance decreased from 1350 to 285 Ω⋅cm</w:t>
      </w:r>
      <w:r>
        <w:rPr>
          <w:vertAlign w:val="subscript"/>
        </w:rPr>
        <w:t>2</w:t>
      </w:r>
      <w:r>
        <w:t>compared to that of conventional NASICON. Solid‐state sodium battery with MF‐enabled NASICON exhibited a specific capacity of 110 mAh/g over 1000 cycles with 80% capacity retention. Moreover, as a proof of concept, lithium lanthanum zirconium oxide (LLZO) is also fabricated by the MF method for a lithium solid‐state battery, which exhibited similarly superior electrochemical performances. Overall, this study provides new insights on ceramic SSE synthesis to intrinsically improve the electrochemical performances via tuning the microstructure of the sol–gel precursors.</w:t>
      </w:r>
    </w:p>
    <w:p>
      <w:pPr>
        <w:spacing w:before="120" w:after="120"/>
      </w:pPr>
      <w:r>
        <w:rPr>
          <w:sz w:val="18"/>
        </w:rPr>
        <w:t>——————————————————————————————————————————————————————————————————————</w:t>
      </w:r>
    </w:p>
    <w:p>
      <w:pPr>
        <w:spacing w:before="160" w:after="80" w:line="240" w:lineRule="auto"/>
      </w:pPr>
      <w:r>
        <w:rPr>
          <w:b/>
        </w:rPr>
        <w:t xml:space="preserve">[455] </w:t>
      </w:r>
      <w:hyperlink r:id="rId805">
        <w:r>
          <w:rPr>
            <w:color w:val="1155CC"/>
            <w:u w:val="single"/>
          </w:rPr>
          <w:t>Interfacial Synergy in NixMg1‐xO/CeO2 for Efficient Ammonia Decomposition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2025-12-26 14:28:10+00:00</w:t>
      </w:r>
      <w:r>
        <w:t xml:space="preserve">    </w:t>
      </w:r>
      <w:r>
        <w:rPr>
          <w:b/>
        </w:rPr>
        <w:t xml:space="preserve">DOI: </w:t>
      </w:r>
      <w:hyperlink r:id="rId806">
        <w:r>
          <w:rPr>
            <w:color w:val="1155CC"/>
            <w:u w:val="single"/>
          </w:rPr>
          <w:t>10.1002/anie.202522044</w:t>
        </w:r>
      </w:hyperlink>
    </w:p>
    <w:p>
      <w:pPr>
        <w:spacing w:before="0" w:after="120"/>
      </w:pPr>
      <w:r>
        <w:rPr>
          <w:b/>
        </w:rPr>
        <w:t xml:space="preserve">Notes: </w:t>
      </w:r>
      <w:r>
        <w:t>abstract_source=crossref</w:t>
      </w:r>
    </w:p>
    <w:p>
      <w:pPr>
        <w:spacing w:before="0" w:after="200" w:lineRule="auto" w:line="276"/>
      </w:pPr>
      <w:r>
        <w:rPr>
          <w:b/>
        </w:rPr>
        <w:t xml:space="preserve">Abstract: </w:t>
      </w:r>
      <w:r>
        <w:t>Hydrogen production via ammonia decomposition presents a promising way to solve the difficulties of hydrogen storage and transportation. Ni‐based catalysts have demonstrated promising catalytic activity for this reaction, making them a commercially viable choice, yet their activity and stability for industrial applications remain ongoing challenges. Here, we report a robust Ni</w:t>
      </w:r>
      <w:r>
        <w:t xml:space="preserve"> </w:t>
      </w:r>
      <w:r>
        <w:t>x</w:t>
      </w:r>
      <w:r>
        <w:t xml:space="preserve"> </w:t>
      </w:r>
      <w:r>
        <w:t>Mg</w:t>
      </w:r>
      <w:r>
        <w:t xml:space="preserve"> </w:t>
      </w:r>
      <w:r>
        <w:t>1‐x</w:t>
      </w:r>
      <w:r>
        <w:t xml:space="preserve"> </w:t>
      </w:r>
      <w:r>
        <w:t>O/CeO</w:t>
      </w:r>
      <w:r>
        <w:rPr>
          <w:vertAlign w:val="subscript"/>
        </w:rPr>
        <w:t>2</w:t>
      </w:r>
      <w:r>
        <w:t>catalyst that overcomes these limitations. The catalyst composes of Ni</w:t>
      </w:r>
      <w:r>
        <w:t xml:space="preserve"> </w:t>
      </w:r>
      <w:r>
        <w:t>x</w:t>
      </w:r>
      <w:r>
        <w:t xml:space="preserve"> </w:t>
      </w:r>
      <w:r>
        <w:t>Mg</w:t>
      </w:r>
      <w:r>
        <w:t xml:space="preserve"> </w:t>
      </w:r>
      <w:r>
        <w:t>1‐x</w:t>
      </w:r>
      <w:r>
        <w:t xml:space="preserve"> </w:t>
      </w:r>
      <w:r>
        <w:t>O solid solution with atomic dispersed Ni and CeO</w:t>
      </w:r>
      <w:r>
        <w:rPr>
          <w:vertAlign w:val="subscript"/>
        </w:rPr>
        <w:t>2</w:t>
      </w:r>
      <w:r>
        <w:t>, and demonstrates an impressive 99.1% NH</w:t>
      </w:r>
      <w:r>
        <w:rPr>
          <w:vertAlign w:val="subscript"/>
        </w:rPr>
        <w:t>3</w:t>
      </w:r>
      <w:r>
        <w:t>conversion close to the thermodynamic limitation at 525 °C, and exceptional stability during reaction of 5,000 h at 550 °C, outperforming Ni‐based catalysts reported to date. Characterizations and density functional theory calculations reveal a remarkable interfacial synergy effect between the Ni</w:t>
      </w:r>
      <w:r>
        <w:t xml:space="preserve"> </w:t>
      </w:r>
      <w:r>
        <w:t>x</w:t>
      </w:r>
      <w:r>
        <w:t xml:space="preserve"> </w:t>
      </w:r>
      <w:r>
        <w:t>Mg</w:t>
      </w:r>
      <w:r>
        <w:t xml:space="preserve"> </w:t>
      </w:r>
      <w:r>
        <w:t>1‐x</w:t>
      </w:r>
      <w:r>
        <w:t xml:space="preserve"> </w:t>
      </w:r>
      <w:r>
        <w:t>O solid solution and CeO</w:t>
      </w:r>
      <w:r>
        <w:rPr>
          <w:vertAlign w:val="subscript"/>
        </w:rPr>
        <w:t>2</w:t>
      </w:r>
      <w:r>
        <w:t>. Ni single atoms in Ni</w:t>
      </w:r>
      <w:r>
        <w:t xml:space="preserve"> </w:t>
      </w:r>
      <w:r>
        <w:t>x</w:t>
      </w:r>
      <w:r>
        <w:t xml:space="preserve"> </w:t>
      </w:r>
      <w:r>
        <w:t>Mg</w:t>
      </w:r>
      <w:r>
        <w:t xml:space="preserve"> </w:t>
      </w:r>
      <w:r>
        <w:t>1‐x</w:t>
      </w:r>
      <w:r>
        <w:t xml:space="preserve"> </w:t>
      </w:r>
      <w:r>
        <w:t>O efficiently activate N‒H bond dissociation of NH</w:t>
      </w:r>
      <w:r>
        <w:rPr>
          <w:vertAlign w:val="subscript"/>
        </w:rPr>
        <w:t>3</w:t>
      </w:r>
      <w:r>
        <w:t>, and the resulting H atom readily spills over to CeO</w:t>
      </w:r>
      <w:r>
        <w:rPr>
          <w:vertAlign w:val="subscript"/>
        </w:rPr>
        <w:t>2</w:t>
      </w:r>
      <w:r>
        <w:t>, preventing H‐poisoning of the Ni sites. Concurrently, CeO</w:t>
      </w:r>
      <w:r>
        <w:rPr>
          <w:vertAlign w:val="subscript"/>
        </w:rPr>
        <w:t>2</w:t>
      </w:r>
      <w:r>
        <w:t>donates electrons to Ni, promoting the recombination of N species to form N</w:t>
      </w:r>
      <w:r>
        <w:rPr>
          <w:vertAlign w:val="subscript"/>
        </w:rPr>
        <w:t>2</w:t>
      </w:r>
      <w:r>
        <w:t>, thus boosting the overall performance. This study offers a general strategy for designing high‐performance ammonia decomposition catalysts through the deliberate constructing interfacial active sites.</w:t>
      </w:r>
    </w:p>
    <w:p>
      <w:pPr>
        <w:spacing w:before="120" w:after="120"/>
      </w:pPr>
      <w:r>
        <w:rPr>
          <w:sz w:val="18"/>
        </w:rPr>
        <w:t>——————————————————————————————————————————————————————————————————————</w:t>
      </w:r>
    </w:p>
    <w:p>
      <w:pPr>
        <w:spacing w:before="160" w:after="80" w:line="240" w:lineRule="auto"/>
      </w:pPr>
      <w:r>
        <w:rPr>
          <w:b/>
        </w:rPr>
        <w:t xml:space="preserve">[456] </w:t>
      </w:r>
      <w:hyperlink r:id="rId807">
        <w:r>
          <w:rPr>
            <w:color w:val="1155CC"/>
            <w:u w:val="single"/>
          </w:rPr>
          <w:t>[ASAP] Power-to-Future: Combining Electrification Technologies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2025-12-26 14:40:09+00:00</w:t>
      </w:r>
      <w:r>
        <w:t xml:space="preserve">    </w:t>
      </w:r>
      <w:r>
        <w:rPr>
          <w:b/>
        </w:rPr>
        <w:t xml:space="preserve">DOI: </w:t>
      </w:r>
      <w:hyperlink r:id="rId808">
        <w:r>
          <w:rPr>
            <w:color w:val="1155CC"/>
            <w:u w:val="single"/>
          </w:rPr>
          <w:t>10.1021/acsenergylett.5c03357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[457] </w:t>
      </w:r>
      <w:hyperlink r:id="rId809">
        <w:r>
          <w:rPr>
            <w:color w:val="1155CC"/>
            <w:u w:val="single"/>
          </w:rPr>
          <w:t>[ASAP] Electronic Coupling of Molecular Complexes to Au Electrodes Mediated via Host–Guest Interactions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15:13:17+00:00</w:t>
      </w:r>
      <w:r>
        <w:t xml:space="preserve">    </w:t>
      </w:r>
      <w:r>
        <w:rPr>
          <w:b/>
        </w:rPr>
        <w:t xml:space="preserve">DOI: </w:t>
      </w:r>
      <w:hyperlink r:id="rId810">
        <w:r>
          <w:rPr>
            <w:color w:val="1155CC"/>
            <w:u w:val="single"/>
          </w:rPr>
          <w:t>10.1021/jacs.5c12957</w:t>
        </w:r>
      </w:hyperlink>
    </w:p>
    <w:p>
      <w:pPr>
        <w:spacing w:before="0" w:after="120"/>
      </w:pPr>
      <w:r>
        <w:rPr>
          <w:b/>
        </w:rPr>
        <w:t xml:space="preserve">Notes: </w:t>
      </w:r>
      <w:r>
        <w:t>abstract_source=pubmed</w:t>
      </w:r>
    </w:p>
    <w:p>
      <w:pPr>
        <w:spacing w:before="0" w:after="200" w:lineRule="auto" w:line="276"/>
      </w:pPr>
      <w:r>
        <w:rPr>
          <w:b/>
        </w:rPr>
        <w:t xml:space="preserve">Abstract: </w:t>
      </w:r>
      <w:r>
        <w:t>Immobilization of molecular catalysts onto electrode surfaces using host-guest (HG) interactions enables the facile regeneration of electrodes following catalyst degradation. Beyond this practical aspect, the architecture also offers a unique way to study the electronic coupling of molecules to the electrode through a nominally insulating linker. Here, we employ surface-enhanced infrared absorption spectroscopy (SEIRAS) to characterize the binding and electronic coupling of Au-bound HG complexes. Distinct spectral features and binding kinetics differentiate host-bound species from physisorbed analogues, confirming well-defined HG assemblies on the surface. Analysis of the wavenumber shifts of the guest as a function of applied potential suggests that while the coupling of physisorbed guests with the surface is not strong, the host-bound guests show a substantial electronic coupling considering their distance from the surface of ∼1.3 nm. Density functional theory calculations reveal the key role of the host in mediating this long-range coupling between the Au surface and the guest.</w:t>
      </w:r>
    </w:p>
    <w:p>
      <w:pPr>
        <w:spacing w:before="120" w:after="120"/>
      </w:pPr>
      <w:r>
        <w:rPr>
          <w:sz w:val="18"/>
        </w:rPr>
        <w:t>——————————————————————————————————————————————————————————————————————</w:t>
      </w:r>
    </w:p>
    <w:p>
      <w:pPr>
        <w:spacing w:before="160" w:after="80" w:line="240" w:lineRule="auto"/>
      </w:pPr>
      <w:r>
        <w:rPr>
          <w:b/>
        </w:rPr>
        <w:t xml:space="preserve">[458] </w:t>
      </w:r>
      <w:hyperlink r:id="rId811">
        <w:r>
          <w:rPr>
            <w:color w:val="1155CC"/>
            <w:u w:val="single"/>
          </w:rPr>
          <w:t>[ASAP] Intrinsic Electric Field Triggers Phenol Oxidative Degradation at Microbubble Interfaces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16:14:54+00:00</w:t>
      </w:r>
      <w:r>
        <w:t xml:space="preserve">    </w:t>
      </w:r>
      <w:r>
        <w:rPr>
          <w:b/>
        </w:rPr>
        <w:t xml:space="preserve">DOI: </w:t>
      </w:r>
      <w:hyperlink r:id="rId812">
        <w:r>
          <w:rPr>
            <w:color w:val="1155CC"/>
            <w:u w:val="single"/>
          </w:rPr>
          <w:t>10.1021/jacs.5c16083</w:t>
        </w:r>
      </w:hyperlink>
    </w:p>
    <w:p>
      <w:pPr>
        <w:spacing w:before="0" w:after="120"/>
      </w:pPr>
      <w:r>
        <w:rPr>
          <w:b/>
        </w:rPr>
        <w:t xml:space="preserve">Notes: </w:t>
      </w:r>
      <w:r>
        <w:t>abstract_source=pubmed</w:t>
      </w:r>
    </w:p>
    <w:p>
      <w:pPr>
        <w:spacing w:before="0" w:after="200" w:lineRule="auto" w:line="276"/>
      </w:pPr>
      <w:r>
        <w:rPr>
          <w:b/>
        </w:rPr>
        <w:t xml:space="preserve">Abstract: </w:t>
      </w:r>
      <w:r>
        <w:t>Phenol, recognized for its environmental persistence and toxicity, typically necessitates high-energy or costly catalytic methods for its removal from industrial wastewater. In this study, we demonstrate the oxidative degradation of phenol at air-water interfaces (AWIs) by microbubbling air through water. High-resolution mass spectrometry revealed the transformation of phenol into progressively oxidized intermediates and ultimately into acetic acid, with a degradation rate of over 96% after 3 h for a 2 mM phenol solution. Complementary vortex experiments constructed a detailed degradation pathway involving sequential hydroxylation, dehydrogenation, and ring-cleavage processes. Radical scavenger experiments and DFT calculations indicate that the mechanism may follow an interfacial electric field-induced excitation pathway via radical reactions. The oxidation trend of para-halogenated phenols (F &lt; Cl &lt; Br &lt; (H) &lt; I) aligns with each radical's HOMO-LUMO gap, supporting the interfacial field-induced molecular activation mechanism. Compared to conventional advanced oxidation processes, our method offers reagent-free operation, reduced secondary pollution, and high efficiency under mild conditions. These findings highlight the AWI-mediated oxidation as a sustainable strategy for degrading phenolic pollutants in water.</w:t>
      </w:r>
    </w:p>
    <w:p>
      <w:pPr>
        <w:spacing w:before="120" w:after="120"/>
      </w:pPr>
      <w:r>
        <w:rPr>
          <w:sz w:val="18"/>
        </w:rPr>
        <w:t>——————————————————————————————————————————————————————————————————————</w:t>
      </w:r>
    </w:p>
    <w:p>
      <w:pPr>
        <w:spacing w:before="160" w:after="80" w:line="240" w:lineRule="auto"/>
      </w:pPr>
      <w:r>
        <w:rPr>
          <w:b/>
        </w:rPr>
        <w:t xml:space="preserve">[459] </w:t>
      </w:r>
      <w:hyperlink r:id="rId813">
        <w:r>
          <w:rPr>
            <w:color w:val="1155CC"/>
            <w:u w:val="single"/>
          </w:rPr>
          <w:t>[ASAP] Accurate Urea Detection during Electrocatalytic Coreduction of CO2 and NO3–</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2025-12-26 16:51:25+00:00</w:t>
      </w:r>
      <w:r>
        <w:t xml:space="preserve">    </w:t>
      </w:r>
      <w:r>
        <w:rPr>
          <w:b/>
        </w:rPr>
        <w:t xml:space="preserve">DOI: </w:t>
      </w:r>
      <w:hyperlink r:id="rId814">
        <w:r>
          <w:rPr>
            <w:color w:val="1155CC"/>
            <w:u w:val="single"/>
          </w:rPr>
          <w:t>10.1021/acsenergylett.5c02590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[460] </w:t>
      </w:r>
      <w:hyperlink r:id="rId815">
        <w:r>
          <w:rPr>
            <w:color w:val="1155CC"/>
            <w:u w:val="single"/>
          </w:rPr>
          <w:t>[ASAP] Highly Selective Methylation of Ethylene to Propylene within the Confined Side Pockets of Mordenite Zeolite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17:23:14+00:00</w:t>
      </w:r>
      <w:r>
        <w:t xml:space="preserve">    </w:t>
      </w:r>
      <w:r>
        <w:rPr>
          <w:b/>
        </w:rPr>
        <w:t xml:space="preserve">DOI: </w:t>
      </w:r>
      <w:hyperlink r:id="rId816">
        <w:r>
          <w:rPr>
            <w:color w:val="1155CC"/>
            <w:u w:val="single"/>
          </w:rPr>
          <w:t>10.1021/jacs.5c19117</w:t>
        </w:r>
      </w:hyperlink>
    </w:p>
    <w:p>
      <w:pPr>
        <w:spacing w:before="0" w:after="120"/>
      </w:pPr>
      <w:r>
        <w:rPr>
          <w:b/>
        </w:rPr>
        <w:t xml:space="preserve">Notes: </w:t>
      </w:r>
      <w:r>
        <w:t>abstract_source=pubmed</w:t>
      </w:r>
    </w:p>
    <w:p>
      <w:pPr>
        <w:spacing w:before="0" w:after="200" w:lineRule="auto" w:line="276"/>
      </w:pPr>
      <w:r>
        <w:rPr>
          <w:b/>
        </w:rPr>
        <w:t xml:space="preserve">Abstract: </w:t>
      </w:r>
      <w:r>
        <w:t>Ethylene methylation with C1 reagents provides a viable route for propylene production and enables flexible adjustment of olefin output ratios in industrial processes (e.g., naphtha steam cracking and methanol-to-olefins). However, this process faces the long-standing challenges of low propylene selectivity and rapid catalyst deactivation. Herein, a highly selective and stable catalyst for ethylene methylation to propylene was developed by precisely regulating the acid site distribution in mordenite (MOR) zeolite, where the acid sites in the 12-membered ring (12-MR) channels were passivated using pyridine, while those located in the confined 8-membered ring (8-MR) side pockets remained accessible. This spatial control of acid site distribution allowed the exclusive occurrence of ethylene methylation within the sterically confined pockets, effectively suppressing the side reactions requiring larger space (e.g., methanol-to-hydrocarbons reaction and olefin oligomerization). Remarkably, the optimized pyridine-modified MOR catalyst achieved an unprecedented propylene selectivity of 97% and exhibited exceptional stability with no sign of deactivation during a 70 h test. In situ Fourier transform infrared (FT-IR) spectroscopy, theoretical calculations, and isotope labeling experiments were utilized to elucidate the mechanism of ethylene methylation and establish the reaction network within the confined pockets. It is anticipated that the side pockets of the MOR zeolite, which can be considered as an angstrom-scale reactor, would provide more opportunities for the precise assembly of small organic molecules.</w:t>
      </w:r>
    </w:p>
    <w:p>
      <w:pPr>
        <w:spacing w:before="120" w:after="120"/>
      </w:pPr>
      <w:r>
        <w:rPr>
          <w:sz w:val="18"/>
        </w:rPr>
        <w:t>——————————————————————————————————————————————————————————————————————</w:t>
      </w:r>
    </w:p>
    <w:p>
      <w:pPr>
        <w:spacing w:before="160" w:after="80" w:line="240" w:lineRule="auto"/>
      </w:pPr>
      <w:r>
        <w:rPr>
          <w:b/>
        </w:rPr>
        <w:t xml:space="preserve">[461] </w:t>
      </w:r>
      <w:hyperlink r:id="rId817">
        <w:r>
          <w:rPr>
            <w:color w:val="1155CC"/>
            <w:u w:val="single"/>
          </w:rPr>
          <w:t>[ASAP] Aromatic and Antiaromatic Dehydroannulenes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17:27:48+00:00</w:t>
      </w:r>
      <w:r>
        <w:t xml:space="preserve">    </w:t>
      </w:r>
      <w:r>
        <w:rPr>
          <w:b/>
        </w:rPr>
        <w:t xml:space="preserve">DOI: </w:t>
      </w:r>
      <w:hyperlink r:id="rId818">
        <w:r>
          <w:rPr>
            <w:color w:val="1155CC"/>
            <w:u w:val="single"/>
          </w:rPr>
          <w:t>10.1021/jacs.5c17148</w:t>
        </w:r>
      </w:hyperlink>
    </w:p>
    <w:p>
      <w:pPr>
        <w:spacing w:before="0" w:after="120"/>
      </w:pPr>
      <w:r>
        <w:rPr>
          <w:b/>
        </w:rPr>
        <w:t xml:space="preserve">Notes: </w:t>
      </w:r>
      <w:r>
        <w:t>abstract_source=pubmed</w:t>
      </w:r>
    </w:p>
    <w:p>
      <w:pPr>
        <w:spacing w:before="0" w:after="200" w:lineRule="auto" w:line="276"/>
      </w:pPr>
      <w:r>
        <w:rPr>
          <w:b/>
        </w:rPr>
        <w:t xml:space="preserve">Abstract: </w:t>
      </w:r>
      <w:r>
        <w:t>Cyclocarbons make up an emerging family of carbon allotropes, but their instability precludes the study of their physicochemical properties. We report a synthetic route to cyclopentenone-annulated [18]- and [24]dehydroannulenes that are stable aromatic and antiaromatic models of cyclocarbon precursors. Combining NMR spectroscopy, X-ray crystallography, optical spectroscopy, electrochemistry, spectroelectrochemistry, and density functional theory (DFT) calculations, we address the aromatic and antiaromatic behavior of these electron-accepting molecules. Cyclopenteno[24]dehydroannulenes undergo two-electron reductions to form Hückel-aromatic 26 π-electron dianions with significant planarization. Replacing cyclopentenone corners with more electron-withdrawing cyclopentenediones lowers the reduction potentials, thereby enhancing the redox activity. Cyclopenteno[18/24]dehydroannulenes are designed so that each cyclopentenone corner bears a dimethylacetal group on the central carbonyl moiety. The chemical shift of the methyl groups acts as a probe for the aromaticity and antiaromaticity of the annulene system, confirming the diatropicity and paratropicity of the π-conjugated system. The combination of structural control and electroactivity makes these scaffolds promising candidates for organic electronics and topochemical polymerization.</w:t>
      </w:r>
    </w:p>
    <w:p>
      <w:pPr>
        <w:spacing w:before="120" w:after="120"/>
      </w:pPr>
      <w:r>
        <w:rPr>
          <w:sz w:val="18"/>
        </w:rPr>
        <w:t>——————————————————————————————————————————————————————————————————————</w:t>
      </w:r>
    </w:p>
    <w:p>
      <w:pPr>
        <w:spacing w:before="160" w:after="80" w:line="240" w:lineRule="auto"/>
      </w:pPr>
      <w:r>
        <w:rPr>
          <w:b/>
        </w:rPr>
        <w:t xml:space="preserve">[462] </w:t>
      </w:r>
      <w:hyperlink r:id="rId819">
        <w:r>
          <w:rPr>
            <w:color w:val="1155CC"/>
            <w:u w:val="single"/>
          </w:rPr>
          <w:t>[ASAP] Crystalline Neutral Boraolympicenyl Radicals with Electronic Regulation through Boron-Doping Sites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18:28:23+00:00</w:t>
      </w:r>
      <w:r>
        <w:t xml:space="preserve">    </w:t>
      </w:r>
      <w:r>
        <w:rPr>
          <w:b/>
        </w:rPr>
        <w:t xml:space="preserve">DOI: </w:t>
      </w:r>
      <w:hyperlink r:id="rId820">
        <w:r>
          <w:rPr>
            <w:color w:val="1155CC"/>
            <w:u w:val="single"/>
          </w:rPr>
          <w:t>10.1021/jacs.5c20543</w:t>
        </w:r>
      </w:hyperlink>
    </w:p>
    <w:p>
      <w:pPr>
        <w:spacing w:before="0" w:after="120"/>
      </w:pPr>
      <w:r>
        <w:rPr>
          <w:b/>
        </w:rPr>
        <w:t xml:space="preserve">Notes: </w:t>
      </w:r>
      <w:r>
        <w:t>abstract_source=pubmed</w:t>
      </w:r>
    </w:p>
    <w:p>
      <w:pPr>
        <w:spacing w:before="0" w:after="200" w:lineRule="auto" w:line="276"/>
      </w:pPr>
      <w:r>
        <w:rPr>
          <w:b/>
        </w:rPr>
        <w:t xml:space="preserve">Abstract: </w:t>
      </w:r>
      <w:r>
        <w:t>Incorporating heteroatoms into hydrocarbon PAH radicals offers a promising strategy to modulate their electronic structures, drawing significant experimental and theoretical research interest. In this work, three isolable neutral boraolympicenyl radicals 1a-c, each with single boron doping at the 3-, 5-, and 6-positions, respectively, have been synthesized and characterized by single-crystal X-ray diffraction, cyclic voltammetry (CV), and electron paramagnetic resonance (EPR) spectroscopy. The spin density of 1a-c is primarily localized on the central pentacyclic framework, exhibiting an uneven spin distribution with the largest spin located at the 6-position, revealing that the boron center notably influences the spin density. Moreover, their unique redox properties have been thoroughly investigated. The oxidation of 1a-c resulted in the formation of the corresponding fluorescent cationic species 4a-c, which exhibits a reversible oxidation process, as further supported by the CV measurements. Meanwhile, the reduction of 1a-c led to the activation of carbene ligands to generate unprecedented anionic boraolympicenyl radicals 5a-c. Furthermore, reactions of 1a-b with half an equivalent of Ph2Se2 selectively afforded the boron-centered adducts 6a-b, consistent with the relatively large spin density distribution on the boron center.</w:t>
      </w:r>
    </w:p>
    <w:p>
      <w:pPr>
        <w:spacing w:before="120" w:after="120"/>
      </w:pPr>
      <w:r>
        <w:rPr>
          <w:sz w:val="18"/>
        </w:rPr>
        <w:t>——————————————————————————————————————————————————————————————————————</w:t>
      </w:r>
    </w:p>
    <w:p>
      <w:pPr>
        <w:spacing w:before="160" w:after="80" w:line="240" w:lineRule="auto"/>
      </w:pPr>
      <w:r>
        <w:rPr>
          <w:b/>
        </w:rPr>
        <w:t xml:space="preserve">[463] </w:t>
      </w:r>
      <w:hyperlink r:id="rId821">
        <w:r>
          <w:rPr>
            <w:color w:val="1155CC"/>
            <w:u w:val="single"/>
          </w:rPr>
          <w:t>[ASAP] Calendar Aging of LiFePO4/Graphite Batteries: Quantitative Analysis of Synergistic Effects of SEI Evolution and Electrolyte Decomposition</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2025-12-26 20:02:47+00:00</w:t>
      </w:r>
      <w:r>
        <w:t xml:space="preserve">    </w:t>
      </w:r>
      <w:r>
        <w:rPr>
          <w:b/>
        </w:rPr>
        <w:t xml:space="preserve">DOI: </w:t>
      </w:r>
      <w:hyperlink r:id="rId822">
        <w:r>
          <w:rPr>
            <w:color w:val="1155CC"/>
            <w:u w:val="single"/>
          </w:rPr>
          <w:t>10.1021/acsenergylett.5c02954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[464] </w:t>
      </w:r>
      <w:hyperlink r:id="rId823">
        <w:r>
          <w:rPr>
            <w:color w:val="1155CC"/>
            <w:u w:val="single"/>
          </w:rPr>
          <w:t>[ASAP] Electronic Structure Progression across the ACu2Q2(MQ2)n Semiconductor Series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20:38:04+00:00</w:t>
      </w:r>
      <w:r>
        <w:t xml:space="preserve">    </w:t>
      </w:r>
      <w:r>
        <w:rPr>
          <w:b/>
        </w:rPr>
        <w:t xml:space="preserve">DOI: </w:t>
      </w:r>
      <w:hyperlink r:id="rId824">
        <w:r>
          <w:rPr>
            <w:color w:val="1155CC"/>
            <w:u w:val="single"/>
          </w:rPr>
          <w:t>10.1021/jacs.5c15180</w:t>
        </w:r>
      </w:hyperlink>
    </w:p>
    <w:p>
      <w:pPr>
        <w:spacing w:before="0" w:after="120"/>
      </w:pPr>
      <w:r>
        <w:rPr>
          <w:b/>
        </w:rPr>
        <w:t xml:space="preserve">Notes: </w:t>
      </w:r>
      <w:r>
        <w:t>abstract_source=pubmed</w:t>
      </w:r>
    </w:p>
    <w:p>
      <w:pPr>
        <w:spacing w:before="0" w:after="200" w:lineRule="auto" w:line="276"/>
      </w:pPr>
      <w:r>
        <w:rPr>
          <w:b/>
        </w:rPr>
        <w:t xml:space="preserve">Abstract: </w:t>
      </w:r>
      <w:r>
        <w:t>Moving beyond the engineering of known materials and elemental substitution within common structure types is critical for designing unique properties. Here, we present a new homologous series, ACu2Q2(MQ2)n (A = Sr, Ba, 2Na; MQ2 = ZrS2, HfSe2), establishing 11 new members. In β-BaCu2Q2 and Na2Cu2Se2 (n = 0), the [Cu2Q2]2- motifs extend in two dimensions, whereas those in α-BaCu2Q2 extend in three dimensions. Hence, there are two structural evolutions within the ACu2Q2(MQ2)n family driven by the polymorphism of the host structures. MQ2 (n → ∞) displays 2D layers of edge-sharing [MQ6]8- octahedra that are 1-octahedron-thick and connected via van der Waals bonding. Each insertion of MQ2 into ACu2Q2 incorporates [MQ6]8- octahedra extending infinitely in one direction, confined to being 1-octahedron-thick in the second direction, with n controlling the number of [MQ6]8- octahedra in the third direction. Therefore, increasing n predictively expands the [Cu2MnQ2n+2]2- network in the direction controlled by n and relative to the A+/A2+ ions. We demonstrate that for a given set of elements, one can enforce a "Host(Insertion)n" formula to systematically evolve both crystal and electronic structures from the host (n = 0) to the insertion (n → ∞) materials through intermediate values of n. Specifically, the energetic misalignment of the electronic band extrema of the parents predictively determines the band extrema and the resulting band gaps of all intermediate n members.</w:t>
      </w:r>
    </w:p>
    <w:p>
      <w:pPr>
        <w:spacing w:before="120" w:after="120"/>
      </w:pPr>
      <w:r>
        <w:rPr>
          <w:sz w:val="18"/>
        </w:rPr>
        <w:t>——————————————————————————————————————————————————————————————————————</w:t>
      </w:r>
    </w:p>
    <w:p>
      <w:pPr>
        <w:spacing w:before="160" w:after="80" w:line="240" w:lineRule="auto"/>
      </w:pPr>
      <w:r>
        <w:rPr>
          <w:b/>
        </w:rPr>
        <w:t xml:space="preserve">[465] </w:t>
      </w:r>
      <w:hyperlink r:id="rId825">
        <w:r>
          <w:rPr>
            <w:color w:val="1155CC"/>
            <w:u w:val="single"/>
          </w:rPr>
          <w:t>[ASAP] Cation-Ordering-Driven Design of Superionic Lithium Halospinels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2025-12-26 20:38:37+00:00</w:t>
      </w:r>
      <w:r>
        <w:t xml:space="preserve">    </w:t>
      </w:r>
      <w:r>
        <w:rPr>
          <w:b/>
        </w:rPr>
        <w:t xml:space="preserve">DOI: </w:t>
      </w:r>
      <w:hyperlink r:id="rId826">
        <w:r>
          <w:rPr>
            <w:color w:val="1155CC"/>
            <w:u w:val="single"/>
          </w:rPr>
          <w:t>10.1021/jacs.5c15656</w:t>
        </w:r>
      </w:hyperlink>
    </w:p>
    <w:p>
      <w:pPr>
        <w:spacing w:before="0" w:after="120"/>
      </w:pPr>
      <w:r>
        <w:rPr>
          <w:b/>
        </w:rPr>
        <w:t xml:space="preserve">Notes: </w:t>
      </w:r>
      <w:r>
        <w:t>abstract_source=pubmed</w:t>
      </w:r>
    </w:p>
    <w:p>
      <w:pPr>
        <w:spacing w:before="0" w:after="200" w:lineRule="auto" w:line="276"/>
      </w:pPr>
      <w:r>
        <w:rPr>
          <w:b/>
        </w:rPr>
        <w:t xml:space="preserve">Abstract: </w:t>
      </w:r>
      <w:r>
        <w:t>Reducing the material cost of inorganic solid-state electrolytes is crucial to advancing all-solid-state batteries (ASSBs) for next-generation energy storage applications. The halospinel Li2Sc2/3Cl4 solid electrolyte (SE) possesses a high ionic conductivity of 1.5 mS cm-1 and good cycling stability up to 4.6 V. However, the high cost of Sc limits its practical application. In this study, we combine M3GNET universal machine learning interatomic potential (UMLIP) and density functional theory (DFT) for efficient screening of lower-cost cation-substituted halospinel compositions for synthesis. As a cost-mitigation strategy, predicted Mg2+-, Al3+-, and Zr4+-substituted Li2Sc2/3Cl4 spinels with substitution fractions ranging from 20.9% to 37.5% were experimentally synthesized with only minor impurities, achieving room-temperature ionic conductivities as high as 1.85 mS cm-1. Substitution of Fe3+ was also achieved, albeit with a 7% Fe2+ impurity. Molecular dynamics simulations (MD) using highly accurate moment tensor potentials (MTPs) indicate that Li+/Sc3+/Mn+ ordering plays a crucial role in determining the conductivity of disordered substituted compositions. ASSBs operating at 3.8 mAh cm-2 capacity with Li1.75Sc0.416Zr0.25Cl4 at a high current density of 2 mA cm-2 exhibited 80% of the capacity of more moderately loaded ASSBs cycled at a low rate. This work provides a foundational methodology for predicting the thermodynamic stability and ion transport of disordered lithium solid electrolytes and accelerating the discovery of novel materials for a range of applications.</w:t>
      </w:r>
    </w:p>
    <w:p>
      <w:pPr>
        <w:spacing w:before="120" w:after="120"/>
      </w:pPr>
      <w:r>
        <w:rPr>
          <w:sz w:val="18"/>
        </w:rPr>
        <w:t>——————————————————————————————————————————————————————————————————————</w:t>
      </w:r>
    </w:p>
    <w:p>
      <w:pPr>
        <w:spacing w:before="160" w:after="80" w:line="240" w:lineRule="auto"/>
      </w:pPr>
      <w:r>
        <w:rPr>
          <w:b/>
        </w:rPr>
        <w:t xml:space="preserve">[466] </w:t>
      </w:r>
      <w:hyperlink r:id="rId827">
        <w:r>
          <w:rPr>
            <w:color w:val="1155CC"/>
            <w:u w:val="single"/>
          </w:rPr>
          <w:t>Optimizing oxygen evolution/reduction reaction processes via anion vacancy engineering</w:t>
        </w:r>
      </w:hyperlink>
    </w:p>
    <w:p>
      <w:pPr>
        <w:spacing w:before="0" w:after="120" w:line="240" w:lineRule="auto"/>
      </w:pPr>
      <w:r>
        <w:rPr>
          <w:b/>
        </w:rPr>
        <w:t xml:space="preserve">Source: </w:t>
      </w:r>
      <w:r>
        <w:t>ScienceDirect Publication: Materials Today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[467] </w:t>
      </w:r>
      <w:hyperlink r:id="rId828">
        <w:r>
          <w:rPr>
            <w:color w:val="1155CC"/>
            <w:u w:val="single"/>
          </w:rPr>
          <w:t>Controlled-release aroma nano/microcarriers: design strategies, release mechanisms, and kinetic models</w:t>
        </w:r>
      </w:hyperlink>
    </w:p>
    <w:p>
      <w:pPr>
        <w:spacing w:before="0" w:after="120" w:line="240" w:lineRule="auto"/>
      </w:pPr>
      <w:r>
        <w:rPr>
          <w:b/>
        </w:rPr>
        <w:t xml:space="preserve">Source: </w:t>
      </w:r>
      <w:r>
        <w:t>ScienceDirect Publication: Materials Today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[468] </w:t>
      </w:r>
      <w:hyperlink r:id="rId829">
        <w:r>
          <w:rPr>
            <w:color w:val="1155CC"/>
            <w:u w:val="single"/>
          </w:rPr>
          <w:t>Multi-scale wake modeling based on physics-informed neural networks and transfer learning</w:t>
        </w:r>
      </w:hyperlink>
    </w:p>
    <w:p>
      <w:pPr>
        <w:spacing w:before="0" w:after="120" w:line="240" w:lineRule="auto"/>
      </w:pPr>
      <w:r>
        <w:rPr>
          <w:b/>
        </w:rPr>
        <w:t xml:space="preserve">Source: </w:t>
      </w:r>
      <w:r>
        <w:t>ScienceDirect Publication: Applied Energy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[469] </w:t>
      </w:r>
      <w:hyperlink r:id="rId830">
        <w:r>
          <w:rPr>
            <w:color w:val="1155CC"/>
            <w:u w:val="single"/>
          </w:rPr>
          <w:t>Temperature-dependent cathode starvation effects on cold start behavior of PEMFC stacks: An experimental investigation</w:t>
        </w:r>
      </w:hyperlink>
    </w:p>
    <w:p>
      <w:pPr>
        <w:spacing w:before="0" w:after="120" w:line="240" w:lineRule="auto"/>
      </w:pPr>
      <w:r>
        <w:rPr>
          <w:b/>
        </w:rPr>
        <w:t xml:space="preserve">Source: </w:t>
      </w:r>
      <w:r>
        <w:t>ScienceDirect Publication: Applied Energy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[470] </w:t>
      </w:r>
      <w:hyperlink r:id="rId831">
        <w:r>
          <w:rPr>
            <w:color w:val="1155CC"/>
            <w:u w:val="single"/>
          </w:rPr>
          <w:t>Accelerating net-zero transition: Satellite insight reveals Decarbonization potential of coal-fired power plants</w:t>
        </w:r>
      </w:hyperlink>
    </w:p>
    <w:p>
      <w:pPr>
        <w:spacing w:before="0" w:after="120" w:line="240" w:lineRule="auto"/>
      </w:pPr>
      <w:r>
        <w:rPr>
          <w:b/>
        </w:rPr>
        <w:t xml:space="preserve">Source: </w:t>
      </w:r>
      <w:r>
        <w:t>ScienceDirect Publication: Applied Energy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[471] </w:t>
      </w:r>
      <w:hyperlink r:id="rId832">
        <w:r>
          <w:rPr>
            <w:color w:val="1155CC"/>
            <w:u w:val="single"/>
          </w:rPr>
          <w:t>A physics-informed machine learning method for short-term solar radiation forecast with satellite-derived cloud optical depth</w:t>
        </w:r>
      </w:hyperlink>
    </w:p>
    <w:p>
      <w:pPr>
        <w:spacing w:before="0" w:after="120" w:line="240" w:lineRule="auto"/>
      </w:pPr>
      <w:r>
        <w:rPr>
          <w:b/>
        </w:rPr>
        <w:t xml:space="preserve">Source: </w:t>
      </w:r>
      <w:r>
        <w:t>ScienceDirect Publication: Applied Energy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[472] </w:t>
      </w:r>
      <w:hyperlink r:id="rId833">
        <w:r>
          <w:rPr>
            <w:color w:val="1155CC"/>
            <w:u w:val="single"/>
          </w:rPr>
          <w:t>Upper-layer ozone intrusion promotes wintertime secondary aerosol formation on the ground</w:t>
        </w:r>
      </w:hyperlink>
    </w:p>
    <w:p>
      <w:pPr>
        <w:spacing w:before="0" w:after="120" w:line="240" w:lineRule="auto"/>
      </w:pPr>
      <w:r>
        <w:rPr>
          <w:b/>
        </w:rPr>
        <w:t xml:space="preserve">Source: </w:t>
      </w:r>
      <w:r>
        <w:t>National Science Review Advance Access</w:t>
      </w:r>
      <w:r>
        <w:t xml:space="preserve">    </w:t>
      </w:r>
      <w:r>
        <w:rPr>
          <w:b/>
        </w:rPr>
        <w:t xml:space="preserve">Pub date: </w:t>
      </w:r>
      <w:r>
        <w:t>2025-12-27 00:00:00+00:00</w:t>
      </w:r>
      <w:r>
        <w:t xml:space="preserve">    </w:t>
      </w:r>
      <w:r>
        <w:rPr>
          <w:b/>
        </w:rPr>
        <w:t xml:space="preserve">DOI: </w:t>
      </w:r>
      <w:hyperlink r:id="rId834">
        <w:r>
          <w:rPr>
            <w:color w:val="1155CC"/>
            <w:u w:val="single"/>
          </w:rPr>
          <w:t>10.1093/nsr/nwaf593/8405682</w:t>
        </w:r>
      </w:hyperlink>
    </w:p>
    <w:p>
      <w:pPr>
        <w:spacing w:before="0" w:after="120"/>
      </w:pPr>
      <w:r>
        <w:rPr>
          <w:b/>
        </w:rPr>
        <w:t xml:space="preserve">Notes: </w:t>
      </w:r>
      <w:r>
        <w:t>abstract_source=rss_oup</w:t>
      </w:r>
    </w:p>
    <w:p>
      <w:pPr>
        <w:spacing w:before="0" w:after="200" w:lineRule="auto" w:line="276"/>
      </w:pPr>
      <w:r>
        <w:rPr>
          <w:b/>
        </w:rPr>
        <w:t xml:space="preserve">Abstract: </w:t>
      </w:r>
      <w:r>
        <w:t>Upper-layer Ozone (O₃) intrusion (ULOI) is an important source of surface O₃, affecting gas pollutants and secondary aerosol formation. However, no robust method has been reported to identify ULOI events based on ground observations and assess their effects on surface atmospheric chemistry. We propose a novel method to identify ULOI events by ranking O₃ concentrations before dawn and evaluate their contributions to ground-level O₃ and aerosol formation across China. Our results show that ULOI events occur 22%-74% across China, with higher frequency in eastern and southern coastal regions. ULOI enhances ground-level O₃ by 13-43 ppbv at night and 3-14 ppbv during the day. This increases atmospheric oxidation capacity (AOC) and enhances the contribution of the O3 oxidation path to sulfate and secondary organic aerosol (SOA) formation. This study emphasizes the importance of atmospheric layer interactions and the impact of ULOI events on surface atmospheric chemistry.</w:t>
      </w:r>
    </w:p>
    <w:p>
      <w:pPr>
        <w:spacing w:before="120" w:after="120"/>
      </w:pPr>
      <w:r>
        <w:rPr>
          <w:sz w:val="18"/>
        </w:rPr>
        <w:t>——————————————————————————————————————————————————————————————————————</w:t>
      </w:r>
    </w:p>
    <w:p>
      <w:pPr>
        <w:spacing w:before="160" w:after="80" w:line="240" w:lineRule="auto"/>
      </w:pPr>
      <w:r>
        <w:rPr>
          <w:b/>
        </w:rPr>
        <w:t xml:space="preserve">[473] </w:t>
      </w:r>
      <w:hyperlink r:id="rId835">
        <w:r>
          <w:rPr>
            <w:color w:val="1155CC"/>
            <w:u w:val="single"/>
          </w:rPr>
          <w:t>The subsurface Pt-promoted TiO2−x overlayer enhances succinonitrile production in the photocatalytic C–C coupling of acetonitrile</w:t>
        </w:r>
      </w:hyperlink>
    </w:p>
    <w:p>
      <w:pPr>
        <w:spacing w:before="0" w:after="120" w:line="240" w:lineRule="auto"/>
      </w:pPr>
      <w:r>
        <w:rPr>
          <w:b/>
        </w:rPr>
        <w:t xml:space="preserve">Source: </w:t>
      </w:r>
      <w:r>
        <w:t>National Science Review Advance Access</w:t>
      </w:r>
      <w:r>
        <w:t xml:space="preserve">    </w:t>
      </w:r>
      <w:r>
        <w:rPr>
          <w:b/>
        </w:rPr>
        <w:t xml:space="preserve">Pub date: </w:t>
      </w:r>
      <w:r>
        <w:t>2025-12-27 00:00:00+00:00</w:t>
      </w:r>
      <w:r>
        <w:t xml:space="preserve">    </w:t>
      </w:r>
      <w:r>
        <w:rPr>
          <w:b/>
        </w:rPr>
        <w:t xml:space="preserve">DOI: </w:t>
      </w:r>
      <w:hyperlink r:id="rId836">
        <w:r>
          <w:rPr>
            <w:color w:val="1155CC"/>
            <w:u w:val="single"/>
          </w:rPr>
          <w:t>10.1093/nsr/nwaf588/8405685</w:t>
        </w:r>
      </w:hyperlink>
    </w:p>
    <w:p>
      <w:pPr>
        <w:spacing w:before="0" w:after="120"/>
      </w:pPr>
      <w:r>
        <w:rPr>
          <w:b/>
        </w:rPr>
        <w:t xml:space="preserve">Notes: </w:t>
      </w:r>
      <w:r>
        <w:t>abstract_source=rss_oup</w:t>
      </w:r>
    </w:p>
    <w:p>
      <w:pPr>
        <w:spacing w:before="0" w:after="200" w:lineRule="auto" w:line="276"/>
      </w:pPr>
      <w:r>
        <w:rPr>
          <w:b/>
        </w:rPr>
        <w:t xml:space="preserve">Abstract: </w:t>
      </w:r>
      <w:r>
        <w:t>Photocatalytic coupling of monofunctional molecules offers an atom-efficient route for the synthesis of value-added bifunctional organic compounds, yet its efficiency is significantly limited by the reverse reaction of radicals. Our density functional theory (DFT) calculations have indicated that a unique structure of partially exposed Pt encapsulated by a titanium oxide overlayer could intrinsically facilitate the desorption and suppress re-adsorption of reactive radicals, hence impeding the reverse reaction in the photocatalytic acetonitrile coupling reaction. A TiO2−x/Pt inverse heterostructure has then been developed via strong metal-support interaction (SMSI) with tunable TiO2−x coverage. Among the catalysts, an optimal partially encapsulated TiO2−x/Pt catalyst achieves a marked formation rate of succinonitrile of 8.41 mmol·gcat−1·h−1 from acetonitrile, reaching a 67.3% radical-to-product efficiency and a 5.6% apparent quantum yield, representing 3-fold enhancements over a conventional Pt-supported TiO2 catalyst, over 1.9-fold higher than bare Pt/TiO2 or fully encapsulated counterparts, respectively. Kinetic investigations demonstrate that the suppression of radical-proton recombination plays a more dominant role in the overall coupling performance compared to the radical initiation. This work underscores the critical role of tailored catalysts by coating with oxide domains to mitigate reverse reactions and establishes an effective strategy for advancing the efficiency in photocatalytic coupling.</w:t>
      </w:r>
    </w:p>
    <w:p>
      <w:pPr>
        <w:spacing w:before="120" w:after="120"/>
      </w:pPr>
      <w:r>
        <w:rPr>
          <w:sz w:val="18"/>
        </w:rPr>
        <w:t>——————————————————————————————————————————————————————————————————————</w:t>
      </w:r>
    </w:p>
    <w:p>
      <w:pPr>
        <w:spacing w:before="160" w:after="80" w:line="240" w:lineRule="auto"/>
      </w:pPr>
      <w:r>
        <w:rPr>
          <w:b/>
        </w:rPr>
        <w:t xml:space="preserve">[474] </w:t>
      </w:r>
      <w:hyperlink r:id="rId837">
        <w:r>
          <w:rPr>
            <w:color w:val="1155CC"/>
            <w:u w:val="single"/>
          </w:rPr>
          <w:t>Matching daily wind speed patterns with grid demand: An offshore wind assessment framework integrating source-load similarity and resource abundance</w:t>
        </w:r>
      </w:hyperlink>
    </w:p>
    <w:p>
      <w:pPr>
        <w:spacing w:before="0" w:after="120" w:line="240" w:lineRule="auto"/>
      </w:pPr>
      <w:r>
        <w:rPr>
          <w:b/>
        </w:rPr>
        <w:t xml:space="preserve">Source: </w:t>
      </w:r>
      <w:r>
        <w:t>ScienceDirect Publication: Applied Energy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[475] </w:t>
      </w:r>
      <w:hyperlink r:id="rId838">
        <w:r>
          <w:rPr>
            <w:color w:val="1155CC"/>
            <w:u w:val="single"/>
          </w:rPr>
          <w:t>FGF7 promotes load-bearing tendon regeneration and suppresses fibrosis</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Tissue fibrosis is a major cause of organ dysfunction. Preventing fibrosis in tissue pathological condition remains a significant clinical challenge. Here we investigate the role of fibroblast growth factor 7 (FGF7) in mitigating fibrosis and promoting regeneration of load-bearing tendons. Fgf7 knockout mice exhibit impaired motor function and disordered matrix assembly in tendons. Single-cell RNA sequencing reveals an enrichment of a pro-fibrotic cell subpopulation in Fgf7-deficient tendons, which is also predominant in human tendinopathy. Using ProTracer technology, we find that FGF7 deficiency drives proliferating cells toward this pro-fibrotic lineage. Furthermore, we find that FGF7 promotes the tenogenic differentiation of tendon stem/progenitor cells while suppressing their fibrotic differentiation. Importantly, a hydrogel loaded with recombinant FGF7 effectively reduces fibrosis and significantly promotes functional tendon regeneration in vivo. These findings elucidate FGF7’s dual role in driving tenogenesis and inhibiting fibrosis, suggesting a potential therapeutic strategy.</w:t>
      </w:r>
    </w:p>
    <w:p>
      <w:pPr>
        <w:spacing w:before="120" w:after="120"/>
      </w:pPr>
      <w:r>
        <w:rPr>
          <w:sz w:val="18"/>
        </w:rPr>
        <w:t>——————————————————————————————————————————————————————————————————————</w:t>
      </w:r>
    </w:p>
    <w:p>
      <w:pPr>
        <w:spacing w:before="160" w:after="80" w:line="240" w:lineRule="auto"/>
      </w:pPr>
      <w:r>
        <w:rPr>
          <w:b/>
        </w:rPr>
        <w:t xml:space="preserve">[476] </w:t>
      </w:r>
      <w:hyperlink r:id="rId839">
        <w:r>
          <w:rPr>
            <w:color w:val="1155CC"/>
            <w:u w:val="single"/>
          </w:rPr>
          <w:t>Photocontrolled trimethoprim PROTACs targeting the eDHFR protein tag</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Proteolysis targeting chimeric small molecules (PROTACs) offer a strategy for degrading disease-associated proteins or controlling engineered protein tags fused to therapeutic proteins, like chimeric antigen receptors (CARs). New approaches are needed that allow spatiotemporal control of PROTAC activity, restricting degrader activity to targeted cells. Photopharmacology offers a solution by enabling light-mediated spatial control of drug action. Here, we synthesize photocaged and photoswitchable PROTAC molecules and test their regulation of proteins tagged with E. coli dihydrofolate reductase (eDHFR) in tumor and CAR-T cells. Several of the molecules are derived from triazole-linked trimethoprim-PROTACs (TMP-TACtz), that degrade eDHFR fused proteins at picomolar concentrations, show degradation in cells with low cereblon E3 ligase levels, and have little off-target effects. The photocleavable compound, TMP-TAC-PC yields the best light-mediated regulation of CAR T cell cytotoxicity and cytokine secretion. This work introduces photocontrolled, tag-directed degraders for controlling protein expression in tumor cells and CAR T cells.</w:t>
      </w:r>
    </w:p>
    <w:p>
      <w:pPr>
        <w:spacing w:before="120" w:after="120"/>
      </w:pPr>
      <w:r>
        <w:rPr>
          <w:sz w:val="18"/>
        </w:rPr>
        <w:t>——————————————————————————————————————————————————————————————————————</w:t>
      </w:r>
    </w:p>
    <w:p>
      <w:pPr>
        <w:spacing w:before="160" w:after="80" w:line="240" w:lineRule="auto"/>
      </w:pPr>
      <w:r>
        <w:rPr>
          <w:b/>
        </w:rPr>
        <w:t xml:space="preserve">[477] </w:t>
      </w:r>
      <w:hyperlink r:id="rId840">
        <w:r>
          <w:rPr>
            <w:color w:val="1155CC"/>
            <w:u w:val="single"/>
          </w:rPr>
          <w:t>Intercoupled electrocatalytic ammonia synthesis via a looped Li-N2/H2 battery</w:t>
        </w:r>
      </w:hyperlink>
    </w:p>
    <w:p>
      <w:pPr>
        <w:spacing w:before="0" w:after="120" w:line="240" w:lineRule="auto"/>
      </w:pPr>
      <w:r>
        <w:rPr>
          <w:b/>
        </w:rPr>
        <w:t xml:space="preserve">Source: </w:t>
      </w:r>
      <w:r>
        <w:t>National Science Review Advance Access</w:t>
      </w:r>
      <w:r>
        <w:t xml:space="preserve">    </w:t>
      </w:r>
      <w:r>
        <w:rPr>
          <w:b/>
        </w:rPr>
        <w:t xml:space="preserve">Pub date: </w:t>
      </w:r>
      <w:r>
        <w:t>2025-12-27 00:00:00+00:00</w:t>
      </w:r>
      <w:r>
        <w:t xml:space="preserve">    </w:t>
      </w:r>
      <w:r>
        <w:rPr>
          <w:b/>
        </w:rPr>
        <w:t xml:space="preserve">DOI: </w:t>
      </w:r>
      <w:hyperlink r:id="rId841">
        <w:r>
          <w:rPr>
            <w:color w:val="1155CC"/>
            <w:u w:val="single"/>
          </w:rPr>
          <w:t>10.1093/nsr/nwaf586/8405691</w:t>
        </w:r>
      </w:hyperlink>
    </w:p>
    <w:p>
      <w:pPr>
        <w:spacing w:before="0" w:after="120"/>
      </w:pPr>
      <w:r>
        <w:rPr>
          <w:b/>
        </w:rPr>
        <w:t xml:space="preserve">Notes: </w:t>
      </w:r>
      <w:r>
        <w:t>abstract_source=rss_oup</w:t>
      </w:r>
    </w:p>
    <w:p>
      <w:pPr>
        <w:spacing w:before="0" w:after="200" w:lineRule="auto" w:line="276"/>
      </w:pPr>
      <w:r>
        <w:rPr>
          <w:b/>
        </w:rPr>
        <w:t xml:space="preserve">Abstract: </w:t>
      </w:r>
      <w:r>
        <w:t>Electrochemical ammonia (NH3) synthesis offers a sustainable pathway for the chemical industry. However, the fundamental proton-coupled nitrogen (N2) reduction process has led to the competing H2 evolution and low energy efficiency, particularly at high current densities. Herein, we present the design of a looped Li-N2/H2 battery that decouples N2 reduction from protonation by two separate sub-reactions of electrocatalytic N2 reduction in discharging (6Li+ + 6e− + N2 → 2Li3N) and electrocatalytic H2 oxidation in charging (H2 → 2H+ + 2e−), which are intercoupled into a synthetic loop to enable NH3 synthesis (Li3N + 3H+ → NH3 + 3Li+) without H2 evolution. This approach achieves record-high energy efficiency (26.0%±0.9%), Faradaic efficiency (63.7%±2.3%), and high NH3 production rate (1 mA cm−2, 0.12 mol h−1 m−2) under mild conditions. These results significantly lower the cost of ammonia production compared to conventional electrochemical methods, highlighting its promising potential for practical applications.</w:t>
      </w:r>
    </w:p>
    <w:p>
      <w:pPr>
        <w:spacing w:before="120" w:after="120"/>
      </w:pPr>
      <w:r>
        <w:rPr>
          <w:sz w:val="18"/>
        </w:rPr>
        <w:t>——————————————————————————————————————————————————————————————————————</w:t>
      </w:r>
    </w:p>
    <w:p>
      <w:pPr>
        <w:spacing w:before="160" w:after="80" w:line="240" w:lineRule="auto"/>
      </w:pPr>
      <w:r>
        <w:rPr>
          <w:b/>
        </w:rPr>
        <w:t xml:space="preserve">[478] </w:t>
      </w:r>
      <w:hyperlink r:id="rId842">
        <w:r>
          <w:rPr>
            <w:color w:val="1155CC"/>
            <w:u w:val="single"/>
          </w:rPr>
          <w:t>Strategic advances in perovskite oxide photocatalysts for efficient CO2 reduction: Challenges and future outlook</w:t>
        </w:r>
      </w:hyperlink>
    </w:p>
    <w:p>
      <w:pPr>
        <w:spacing w:before="0" w:after="120" w:line="240" w:lineRule="auto"/>
      </w:pPr>
      <w:r>
        <w:rPr>
          <w:b/>
        </w:rPr>
        <w:t xml:space="preserve">Source: </w:t>
      </w:r>
      <w:r>
        <w:t>ScienceDirect Publication: Materials Today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[479] </w:t>
      </w:r>
      <w:hyperlink r:id="rId843">
        <w:r>
          <w:rPr>
            <w:color w:val="1155CC"/>
            <w:u w:val="single"/>
          </w:rPr>
          <w:t>Geopolitical fragmentation and energy transition inequalities: Climate policy uncertainty, sanctions, and the oil and gas sector</w:t>
        </w:r>
      </w:hyperlink>
    </w:p>
    <w:p>
      <w:pPr>
        <w:spacing w:before="0" w:after="120" w:line="240" w:lineRule="auto"/>
      </w:pPr>
      <w:r>
        <w:rPr>
          <w:b/>
        </w:rPr>
        <w:t xml:space="preserve">Source: </w:t>
      </w:r>
      <w:r>
        <w:t>ScienceDirect Publication: Energy Policy</w:t>
      </w:r>
      <w:r>
        <w:t xml:space="preserve">    </w:t>
      </w:r>
      <w:r>
        <w:rPr>
          <w:b/>
        </w:rPr>
        <w:t xml:space="preserve">Pub date: </w:t>
      </w:r>
      <w:r>
        <w:t>2025-12-27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[480] </w:t>
      </w:r>
      <w:hyperlink r:id="rId844">
        <w:r>
          <w:rPr>
            <w:color w:val="1155CC"/>
            <w:u w:val="single"/>
          </w:rPr>
          <w:t>Coupling nitrate electrochemical reduction and nitrite oxidation of ethanol for acetamide synthesis</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Electrochemical acetamide synthesis under ambient conditions offers a sustainable route for converting waste nitrate into valuable chemicals. Conventional methods, limited to standalone reduction or oxidation processes, typically achieve low Faradaic efficiencies (</w:t>
      </w:r>
    </w:p>
    <w:p>
      <w:pPr>
        <w:spacing w:before="120" w:after="120"/>
      </w:pPr>
      <w:r>
        <w:rPr>
          <w:sz w:val="18"/>
        </w:rPr>
        <w:t>——————————————————————————————————————————————————————————————————————</w:t>
      </w:r>
    </w:p>
    <w:p>
      <w:pPr>
        <w:spacing w:before="160" w:after="80" w:line="240" w:lineRule="auto"/>
      </w:pPr>
      <w:r>
        <w:rPr>
          <w:b/>
        </w:rPr>
        <w:t xml:space="preserve">[481] </w:t>
      </w:r>
      <w:hyperlink r:id="rId845">
        <w:r>
          <w:rPr>
            <w:color w:val="1155CC"/>
            <w:u w:val="single"/>
          </w:rPr>
          <w:t>Surface halogenation engineering for reversible silicon-based solid-state batteries</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Silicon-based solid-state batteries are promising next-generation high-energy-density technologies. However, poor (electro)chemical compatibility between silicon negative electrodes and solid electrolytes (e.g., Li6PS5Cl) plus sluggish interfacial kinetics severely limits their reversibility and Coulombic efficiency. Here, we propose a surface halogenation strategy that transforms the native amorphous SiO2 passivation layer on silicon particles into a functional Al(Si)OCl composite surface via controlled reaction with AlCl3. This artificial interphase reconciles interfacial incompatibility and enables fast ionic/electronic transport, suppressing irreversible lithium loss. The optimized negative electrode achieves a high initial Coulombic efficiency of 94.3% in half-cells and 85.6% initial Coulombic efficiency (86.6% with pre-lithiation) in full cells paired with LiNi0.88Co0.09Mn0.03O2. Enhanced reversibility further delivers long-term cyclability. The optimized negative electrode delivers 86% capacity retention and 99.998% average Coulombic efficiency over 200 cycles. Even at high-loading ( &gt; 10 mAh cm-2, and no adhesives/conductive carbon/electrolyte), it retains 72% capacity after 500 cycles. The full cells maintain 80% capacity after 200 cycles at 1 C, with an average Coulombic efficiency exceeding 99.95%. The versatility of this halogenation strategy underscores halide chemistry’s broad potential in advancing high-performance, reversible silicon-based solid-state batteries.</w:t>
      </w:r>
    </w:p>
    <w:p>
      <w:pPr>
        <w:spacing w:before="120" w:after="120"/>
      </w:pPr>
      <w:r>
        <w:rPr>
          <w:sz w:val="18"/>
        </w:rPr>
        <w:t>——————————————————————————————————————————————————————————————————————</w:t>
      </w:r>
    </w:p>
    <w:p>
      <w:pPr>
        <w:spacing w:before="160" w:after="80" w:line="240" w:lineRule="auto"/>
      </w:pPr>
      <w:r>
        <w:rPr>
          <w:b/>
        </w:rPr>
        <w:t xml:space="preserve">[482] </w:t>
      </w:r>
      <w:hyperlink r:id="rId846">
        <w:r>
          <w:rPr>
            <w:color w:val="1155CC"/>
            <w:u w:val="single"/>
          </w:rPr>
          <w:t>Highly efficient heterogeneous thermal catalysis for noble-metal-free hydrogen production from formic acid</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Hydrogen extraction from liquid hydrogen carriers is a promising strategy to address hydrogen storage and transportation challenges for a hydrogen economy. We report a novel heterogeneous catalytic architecture, Ni(Mn)-O-P/GaN nanowires, for efficient, selective, and ultra-stable hydrogen evolution from formic acid (FA). The catalyst achieves a high activity of 29.92 mol H2·gcat−1·h−1 with nearly 100% selectivity and a high turnover frequency (TOF) of 31,019.2 h−1 at 150 °C. It exhibits exceptional stability over 4000 hours under fluctuated temperatures (55-75 °C) with a turnover numbers (TONs) of 5,023,060, integrable with low-grade industrial waste heat. In-situ characterizations, isotope experiments, and density functional theory calculations collectively reveal that the synergy between Ni(Mn)-O-P and GaN are favorable for the O-H dissociation of FA with an interesting H-exchange mechanism with H2O while inhibiting the undesired FA dehydration and coking formation. An industrial prototype test validates practical on-demand hydrogen production using waste heat.</w:t>
      </w:r>
    </w:p>
    <w:p>
      <w:pPr>
        <w:spacing w:before="120" w:after="120"/>
      </w:pPr>
      <w:r>
        <w:rPr>
          <w:sz w:val="18"/>
        </w:rPr>
        <w:t>——————————————————————————————————————————————————————————————————————</w:t>
      </w:r>
    </w:p>
    <w:p>
      <w:pPr>
        <w:spacing w:before="160" w:after="80" w:line="240" w:lineRule="auto"/>
      </w:pPr>
      <w:r>
        <w:rPr>
          <w:b/>
        </w:rPr>
        <w:t xml:space="preserve">[483] </w:t>
      </w:r>
      <w:hyperlink r:id="rId847">
        <w:r>
          <w:rPr>
            <w:color w:val="1155CC"/>
            <w:u w:val="single"/>
          </w:rPr>
          <w:t>Shock compression of FeOOH and implications for iron-water interactions in super-earth magma oceans</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Iron(Fe)-water reactions in a magma ocean can influence water storage and density of planets. These reactions can form Fe-O-H phases, whose density, melting, and electronic properties at planetary interior conditions are important for informing planetary models. Here, we study natural goethite (α-FeOOH) that is shock-compressed along its principal Hugoniot. Analysis of our velocity interferometer system for any reflector (VISAR) results extends the equation of state to over 800 GPa. X-ray diffraction and VISAR reflectivity results indicate the onset of melting occurs at ~95 GPa with complete melting by 166 GPa, which may be relevant to low seismic velocity anomalies observed above the core-mantle boundary. Analysis of X-ray emission spectroscopy results up to 285 GPa shows the spin crossover of Fe, with dominantly low spin Fe above ~265 GPa in the melt, supporting formation of dense basal magma oceans in terrestrial planets. Using our measured FeOOH densities, we model planetary interiors up to 10 Earth masses. Assuming FeOOH forms via iron-water reactions, the radius decreases by up to 28%, while the density increases by up to 165% compared to the unreacted case, providing an avenue to investigate water storage and evolution in super-Earths and sub-Neptunes.</w:t>
      </w:r>
    </w:p>
    <w:p>
      <w:pPr>
        <w:spacing w:before="120" w:after="120"/>
      </w:pPr>
      <w:r>
        <w:rPr>
          <w:sz w:val="18"/>
        </w:rPr>
        <w:t>——————————————————————————————————————————————————————————————————————</w:t>
      </w:r>
    </w:p>
    <w:p>
      <w:pPr>
        <w:spacing w:before="160" w:after="80" w:line="240" w:lineRule="auto"/>
      </w:pPr>
      <w:r>
        <w:rPr>
          <w:b/>
        </w:rPr>
        <w:t xml:space="preserve">[484] </w:t>
      </w:r>
      <w:hyperlink r:id="rId848">
        <w:r>
          <w:rPr>
            <w:color w:val="1155CC"/>
            <w:u w:val="single"/>
          </w:rPr>
          <w:t>Printable polymer nanocomposites for scalable and architected radiative cooling</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Space cooling and lighting together consume 25% of global electricity, yet existing daytime radiative coolers are mostly limited to porous planar coatings that block visible light and lack durability. Here, we introduce rheology-optics coupling as a design principle that links polymer viscoelasticity to particle dispersion and optical scattering. Guided by this principle, we develop printable polydimethylsiloxane-zirconium oxide composites that achieve solar reflectance ( ~ 97.3%) and mid-infrared emissivity ( ~ 96.9%) comparable to the best reported values, despite a low filler loading of only ~4.5 vol.%. These scalable coatings provide up to 7.4 oC sub-ambient cooling and cut electricity use by 37% versus commercial paint in pilot-scale testing, while withstanding mechanical, thermal, and environmental stresses. Beyond planar coatings, the rheology-tunable polydimethylsiloxane-zirconium oxide ink enables direct ink writing of daylight-regulating architectures that deliver sub-ambient radiative cooling while admitting diffuse daylight for illumination, reducing both cooling and lighting demand. This work provides a practical and versatile platform for radiative cooling.</w:t>
      </w:r>
    </w:p>
    <w:p>
      <w:pPr>
        <w:spacing w:before="120" w:after="120"/>
      </w:pPr>
      <w:r>
        <w:rPr>
          <w:sz w:val="18"/>
        </w:rPr>
        <w:t>——————————————————————————————————————————————————————————————————————</w:t>
      </w:r>
    </w:p>
    <w:p>
      <w:pPr>
        <w:spacing w:before="160" w:after="80" w:line="240" w:lineRule="auto"/>
      </w:pPr>
      <w:r>
        <w:rPr>
          <w:b/>
        </w:rPr>
        <w:t xml:space="preserve">[485] </w:t>
      </w:r>
      <w:hyperlink r:id="rId849">
        <w:r>
          <w:rPr>
            <w:color w:val="1155CC"/>
            <w:u w:val="single"/>
          </w:rPr>
          <w:t>General variation in the Fusarium wilt rhizosphere microbiome</w:t>
        </w:r>
      </w:hyperlink>
    </w:p>
    <w:p>
      <w:pPr>
        <w:spacing w:before="0" w:after="120" w:line="240" w:lineRule="auto"/>
      </w:pPr>
      <w:r>
        <w:rPr>
          <w:b/>
        </w:rPr>
        <w:t xml:space="preserve">Source: </w:t>
      </w:r>
      <w:r>
        <w:t>Nature Communications</w:t>
      </w:r>
      <w:r>
        <w:t xml:space="preserve">    </w:t>
      </w:r>
      <w:r>
        <w:rPr>
          <w:b/>
        </w:rPr>
        <w:t xml:space="preserve">Pub date: </w:t>
      </w:r>
      <w:r>
        <w:t>2025-12-27 00:00:00+00:00</w:t>
      </w:r>
    </w:p>
    <w:p>
      <w:pPr>
        <w:spacing w:before="0" w:after="120"/>
      </w:pPr>
      <w:r>
        <w:rPr>
          <w:b/>
        </w:rPr>
        <w:t xml:space="preserve">Notes: </w:t>
      </w:r>
      <w:r>
        <w:t>abstract_source=nature_html</w:t>
      </w:r>
    </w:p>
    <w:p>
      <w:pPr>
        <w:spacing w:before="0" w:after="200" w:lineRule="auto" w:line="276"/>
      </w:pPr>
      <w:r>
        <w:rPr>
          <w:b/>
        </w:rPr>
        <w:t xml:space="preserve">Abstract: </w:t>
      </w:r>
      <w:r>
        <w:t>The dominant bacteria enriched in the Fusarium wilt plants’ rhizosphere are of increasing interest, as they adapt well to the diseased rhizosphere. However, general information about these bacteria is still lacking. Here, we perform a meta-analysis of Fusarium wilt plants rhizosphere and comprehensive studies to obtain information about the robust variation in the rhizosphere microbiome of Fusarium wilt plants. We demonstrate that Fusarium infection reproducibly changes the rhizosphere bacterial community composition. The rhizosphere microbiomes of Fusarium wilt plants are characterized by the enrichment of Flavobacterium, gene cassettes involved in antioxidant functions related to sulfur metabolism and the root secreted tocopherol acetate. We further isolate antagonistic Flavobacterium anhuiense from the diseased tomato rhizosphere, and reveal that the growth of F. anhuiense and the expression of genes related to carbohydrate metabolism in this strain are significantly stimulated by tocopherol acetate. Furthermore, the inhibitory effect of F. anhuiense against F. oxysporum and F. anhuiense population enhancement by tocopherol acetate are confirmed in planta. The robust variation in the rhizosphere microbiome elucidates key principles governing the general assembly mechanism of the microbiome in the Fusarium wilt plants’ rhizosphere.</w:t>
      </w:r>
    </w:p>
    <w:p>
      <w:pPr>
        <w:spacing w:before="120" w:after="120"/>
      </w:pPr>
      <w:r>
        <w:rPr>
          <w:sz w:val="18"/>
        </w:rPr>
        <w:t>——————————————————————————————————————————————————————————————————————</w:t>
      </w:r>
    </w:p>
    <w:p>
      <w:pPr>
        <w:spacing w:before="160" w:after="80" w:line="240" w:lineRule="auto"/>
      </w:pPr>
      <w:r>
        <w:rPr>
          <w:b/>
        </w:rPr>
        <w:t xml:space="preserve">[486] </w:t>
      </w:r>
      <w:hyperlink r:id="rId850">
        <w:r>
          <w:rPr>
            <w:color w:val="1155CC"/>
            <w:u w:val="single"/>
          </w:rPr>
          <w:t>High‐Efficiency Triboelectric‐Electromagnetic‐Piezoelectric Hybrid Magnetic Energy Harvester via Bidirectional Magnetic Bias Inducing Torque Enhancement and Counter Rotation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2025-12-27 06:20:14+00:00</w:t>
      </w:r>
      <w:r>
        <w:t xml:space="preserve">    </w:t>
      </w:r>
      <w:r>
        <w:rPr>
          <w:b/>
        </w:rPr>
        <w:t xml:space="preserve">DOI: </w:t>
      </w:r>
      <w:hyperlink r:id="rId851">
        <w:r>
          <w:rPr>
            <w:color w:val="1155CC"/>
            <w:u w:val="single"/>
          </w:rPr>
          <w:t>10.1002/aenm.202506643</w:t>
        </w:r>
      </w:hyperlink>
    </w:p>
    <w:p>
      <w:pPr>
        <w:spacing w:before="0" w:after="120"/>
      </w:pPr>
      <w:r>
        <w:rPr>
          <w:b/>
        </w:rPr>
        <w:t xml:space="preserve">Notes: </w:t>
      </w:r>
      <w:r>
        <w:t>abstract_source=crossref</w:t>
      </w:r>
    </w:p>
    <w:p>
      <w:pPr>
        <w:spacing w:before="0" w:after="200" w:lineRule="auto" w:line="276"/>
      </w:pPr>
      <w:r>
        <w:rPr>
          <w:b/>
        </w:rPr>
        <w:t xml:space="preserve">Abstract: </w:t>
      </w:r>
      <w:r>
        <w:t>To tackle the long‐standing power supply challenge for distributed sensor networks in ultra‐high voltage transmission systems, we present a high‐efficiency triboelectric‐electromagnetic‐piezoelectric hybrid magnetic energy harvester (TEP‐HMEM). Its core innovation lies in the bidirectional magnetic bias inducing torque enhancement and counter rotation strategy through the magnetic circuit design composed of symmetrical upper and lower silicon steel with reverse short‐circuit rings, which significantly enhances magnetic‐mechanical conversion efficiency, with an increase of approximately 40%. By tailoring the magnetic phase difference through an optimized arrangement of dual short‐circuit rings and high‐permeability silicon steel sheets, the harvester achieves high‐output performance under the current of 200–800 A, delivering a peak power of 38.7–84.5 mW. To minimize energy loss and maximize utilization, a multi‐channel coordinated power management circuit (MC‐PMC) with isolated storage and under‐voltage lockout is implemented, achieving a low energy loss rate of approximately 17%. The self‐powered system based on the TEP‐HMEM equipped with the MC‐PMC is successfully demonstrated in monitoring conductor temperature, underground toxic gas, ambient environmental information, and inclination, with a solution capable of providing considerable output and robust performance in the harsh electromagnetic environments, offering a sustainable, maintenance‐free energy solution for real‐time sensing and risk early warning in complex transmission power system environments.</w:t>
      </w:r>
    </w:p>
    <w:p>
      <w:pPr>
        <w:spacing w:before="120" w:after="120"/>
      </w:pPr>
      <w:r>
        <w:rPr>
          <w:sz w:val="18"/>
        </w:rPr>
        <w:t>——————————————————————————————————————————————————————————————————————</w:t>
      </w:r>
    </w:p>
    <w:p>
      <w:pPr>
        <w:spacing w:before="160" w:after="80" w:line="240" w:lineRule="auto"/>
      </w:pPr>
      <w:r>
        <w:rPr>
          <w:b/>
        </w:rPr>
        <w:t xml:space="preserve">[487] </w:t>
      </w:r>
      <w:hyperlink r:id="rId852">
        <w:r>
          <w:rPr>
            <w:color w:val="1155CC"/>
            <w:u w:val="single"/>
          </w:rPr>
          <w:t>In Cellulo Multistep Synthesis of Antitumor Zwitterionic Heterocycles Triggered by Cancer‐Specific Acrolein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06:21:14+00:00</w:t>
      </w:r>
      <w:r>
        <w:t xml:space="preserve">    </w:t>
      </w:r>
      <w:r>
        <w:rPr>
          <w:b/>
        </w:rPr>
        <w:t xml:space="preserve">DOI: </w:t>
      </w:r>
      <w:hyperlink r:id="rId853">
        <w:r>
          <w:rPr>
            <w:color w:val="1155CC"/>
            <w:u w:val="single"/>
          </w:rPr>
          <w:t>10.1002/anie.202525535</w:t>
        </w:r>
      </w:hyperlink>
    </w:p>
    <w:p>
      <w:pPr>
        <w:spacing w:before="0" w:after="120"/>
      </w:pPr>
      <w:r>
        <w:rPr>
          <w:b/>
        </w:rPr>
        <w:t xml:space="preserve">Notes: </w:t>
      </w:r>
      <w:r>
        <w:t>abstract_source=crossref</w:t>
      </w:r>
    </w:p>
    <w:p>
      <w:pPr>
        <w:spacing w:before="0" w:after="200" w:lineRule="auto" w:line="276"/>
      </w:pPr>
      <w:r>
        <w:rPr>
          <w:b/>
        </w:rPr>
        <w:t xml:space="preserve">Abstract: </w:t>
      </w:r>
      <w:r>
        <w:t>Zwitterionic heterocycles hold significant therapeutic potential; however, their application is often hindered by poor membrane permeability and limited target‐cell selectivity. Here, we report an innovative strategy for the in situ synthesis of these compounds within cancer cells, using a rationally designed precursor that is nontoxic, non‐ionic, and membrane permeable. The synthesis is initiated by endogenous acrolein, an oncometabolite elevated in cancer cells, which triggers a cascade involving 1,3‐dipolar cycloaddition, diazo formation, carbamate cleavage, imine formation, intramolecular 6π‐azaelectrocyclization, oxidative aromatization, and ester hydrolysis. We validated this methodology in human lung adenocarcinoma (A549) cells, where the in situ‐synthesized zwitterionic heterocycle exhibited anticancer activity. Conversely, its pre‐synthesized congener showed minimal cytotoxicity, underscoring the poor membrane permeability of the zwitterionic form. Precursor optimization resulted in a lead compound that, upon administration to A549 cells, converted into a cytotoxic zwitterionic heterocycle with a half‐maximal inhibitory concentration (IC</w:t>
      </w:r>
      <w:r>
        <w:rPr>
          <w:vertAlign w:val="subscript"/>
        </w:rPr>
        <w:t>50</w:t>
      </w:r>
      <w:r>
        <w:t>) of 6.2 µM. The lead precursor showed exceptional selectivity, with no cytotoxicity in normal human diploid (TIG3) cells. This selectivity arises because healthy cells contain low acrolein levels, insufficient to trigger the activation cascade. Our approach effectively addresses the key therapeutic challenges associated with zwitterionic heterocycles.</w:t>
      </w:r>
    </w:p>
    <w:p>
      <w:pPr>
        <w:spacing w:before="120" w:after="120"/>
      </w:pPr>
      <w:r>
        <w:rPr>
          <w:sz w:val="18"/>
        </w:rPr>
        <w:t>——————————————————————————————————————————————————————————————————————</w:t>
      </w:r>
    </w:p>
    <w:p>
      <w:pPr>
        <w:spacing w:before="160" w:after="80" w:line="240" w:lineRule="auto"/>
      </w:pPr>
      <w:r>
        <w:rPr>
          <w:b/>
        </w:rPr>
        <w:t xml:space="preserve">[488] </w:t>
      </w:r>
      <w:hyperlink r:id="rId854">
        <w:r>
          <w:rPr>
            <w:color w:val="1155CC"/>
            <w:u w:val="single"/>
          </w:rPr>
          <w:t>Semiconducting Borophene Realized via Hydrogenation‐Driven Structural Reconstruction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06:24:04+00:00</w:t>
      </w:r>
      <w:r>
        <w:t xml:space="preserve">    </w:t>
      </w:r>
      <w:r>
        <w:rPr>
          <w:b/>
        </w:rPr>
        <w:t xml:space="preserve">DOI: </w:t>
      </w:r>
      <w:hyperlink r:id="rId855">
        <w:r>
          <w:rPr>
            <w:color w:val="1155CC"/>
            <w:u w:val="single"/>
          </w:rPr>
          <w:t>10.1002/anie.202516206</w:t>
        </w:r>
      </w:hyperlink>
    </w:p>
    <w:p>
      <w:pPr>
        <w:spacing w:before="0" w:after="120"/>
      </w:pPr>
      <w:r>
        <w:rPr>
          <w:b/>
        </w:rPr>
        <w:t xml:space="preserve">Notes: </w:t>
      </w:r>
      <w:r>
        <w:t>abstract_source=crossref</w:t>
      </w:r>
    </w:p>
    <w:p>
      <w:pPr>
        <w:spacing w:before="0" w:after="200" w:lineRule="auto" w:line="276"/>
      </w:pPr>
      <w:r>
        <w:rPr>
          <w:b/>
        </w:rPr>
        <w:t xml:space="preserve">Abstract: </w:t>
      </w:r>
      <w:r>
        <w:t>Hydrogenation provides a robust approach to both dramatically improve borophene's ambient stability and induce semiconducting behavior—two essential requirements for its integration into nanoelectronic and optoelectronic devices. However, the vast configurational diversity of hydrogen adsorption patterns impedes the identification of a definitive semiconducting hydrogenated borophene phase. In this work, we conducted systematic high‐throughput searches to investigate various hydrogen coverages on</w:t>
      </w:r>
      <w:r>
        <w:t xml:space="preserve"> </w:t>
      </w:r>
      <w:r>
        <w:t>α</w:t>
      </w:r>
      <w:r>
        <w:t xml:space="preserve"> </w:t>
      </w:r>
      <w:r>
        <w:t>′–borophene and determined that semi‐hydrogenated configurations constitute the most promising semiconducting candidates. Guided by these predictions, we synthesized semi‐hydrogenated borophene,</w:t>
      </w:r>
      <w:r>
        <w:t xml:space="preserve"> </w:t>
      </w:r>
      <w:r>
        <w:t>α</w:t>
      </w:r>
      <w:r>
        <w:t xml:space="preserve"> </w:t>
      </w:r>
      <w:r>
        <w:t>′–B</w:t>
      </w:r>
      <w:r>
        <w:rPr>
          <w:vertAlign w:val="subscript"/>
        </w:rPr>
        <w:t>8</w:t>
      </w:r>
      <w:r>
        <w:t>H</w:t>
      </w:r>
      <w:r>
        <w:rPr>
          <w:vertAlign w:val="subscript"/>
        </w:rPr>
        <w:t>4</w:t>
      </w:r>
      <w:r>
        <w:t>via chemical vapor deposition. Subsequent extensive structural characterization and complementary computational simulations provided compelling evidence for the formation of this stable semiconducting phase. In sharp contrast to the previously proposed</w:t>
      </w:r>
      <w:r>
        <w:t xml:space="preserve"> </w:t>
      </w:r>
      <w:r>
        <w:t>α</w:t>
      </w:r>
      <w:r>
        <w:t xml:space="preserve"> </w:t>
      </w:r>
      <w:r>
        <w:t>′–4H model, the synthesized</w:t>
      </w:r>
      <w:r>
        <w:t xml:space="preserve"> </w:t>
      </w:r>
      <w:r>
        <w:t>α</w:t>
      </w:r>
      <w:r>
        <w:t xml:space="preserve"> </w:t>
      </w:r>
      <w:r>
        <w:t>′–B</w:t>
      </w:r>
      <w:r>
        <w:rPr>
          <w:vertAlign w:val="subscript"/>
        </w:rPr>
        <w:t>8</w:t>
      </w:r>
      <w:r>
        <w:t>H</w:t>
      </w:r>
      <w:r>
        <w:rPr>
          <w:vertAlign w:val="subscript"/>
        </w:rPr>
        <w:t>4</w:t>
      </w:r>
      <w:r>
        <w:t>undergoes hydrogenation‐induced structural reconstruction—stabilized by both two‐center–two‐electron B–H and three‐center–two‐electron B─H─B bonds—whose ensuing out‐of‐plane buckling drives strong hybridization between in‐plane and out‐of‐plane</w:t>
      </w:r>
      <w:r>
        <w:t xml:space="preserve"> </w:t>
      </w:r>
      <w:r>
        <w:t>p</w:t>
      </w:r>
      <w:r>
        <w:t xml:space="preserve"> </w:t>
      </w:r>
      <w:r>
        <w:t>orbitals, thereby opening a band gap. This combined theoretical and experimental study identifies an air‐stable semiconducting borophene and paves the way for borophenes as next‐generation electronic and optoelectronic materials.</w:t>
      </w:r>
    </w:p>
    <w:p>
      <w:pPr>
        <w:spacing w:before="120" w:after="120"/>
      </w:pPr>
      <w:r>
        <w:rPr>
          <w:sz w:val="18"/>
        </w:rPr>
        <w:t>——————————————————————————————————————————————————————————————————————</w:t>
      </w:r>
    </w:p>
    <w:p>
      <w:pPr>
        <w:spacing w:before="160" w:after="80" w:line="240" w:lineRule="auto"/>
      </w:pPr>
      <w:r>
        <w:rPr>
          <w:b/>
        </w:rPr>
        <w:t xml:space="preserve">[489] </w:t>
      </w:r>
      <w:hyperlink r:id="rId856">
        <w:r>
          <w:rPr>
            <w:color w:val="1155CC"/>
            <w:u w:val="single"/>
          </w:rPr>
          <w:t>Reconfigurable Hydroxyl Dissociation for Spectrally Decoupled Weight Programming and Photocurrent Computing</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06:27:55+00:00</w:t>
      </w:r>
      <w:r>
        <w:t xml:space="preserve">    </w:t>
      </w:r>
      <w:r>
        <w:rPr>
          <w:b/>
        </w:rPr>
        <w:t xml:space="preserve">DOI: </w:t>
      </w:r>
      <w:hyperlink r:id="rId857">
        <w:r>
          <w:rPr>
            <w:color w:val="1155CC"/>
            <w:u w:val="single"/>
          </w:rPr>
          <w:t>10.1002/adma.202520626</w:t>
        </w:r>
      </w:hyperlink>
    </w:p>
    <w:p>
      <w:pPr>
        <w:spacing w:before="0" w:after="120"/>
      </w:pPr>
      <w:r>
        <w:rPr>
          <w:b/>
        </w:rPr>
        <w:t xml:space="preserve">Notes: </w:t>
      </w:r>
      <w:r>
        <w:t>abstract_source=crossref</w:t>
      </w:r>
    </w:p>
    <w:p>
      <w:pPr>
        <w:spacing w:before="0" w:after="200" w:lineRule="auto" w:line="276"/>
      </w:pPr>
      <w:r>
        <w:rPr>
          <w:b/>
        </w:rPr>
        <w:t xml:space="preserve">Abstract: </w:t>
      </w:r>
      <w:r>
        <w:t>The rise of the Artificial Intelligence of Things (AIoT) demands sensory systems with reduced size, weight, and power (SWaP). The processing‐in‐sensor (PIS) paradigm offers a solution, providing superior compactness and power‐efficiency, critical for edge vision applications. Among emerging optoelectronic neuromorphic devices, the direct photocurrent computing (DPC) route is uniquely attractive, using photoresponsivity to encode weights for in‐sensor multiply–accumulate (MAC) operations. However, current DPC devices rely on electrical signals for weight programming, which complicates circuitry and limits bandwidth compared to all‐optical approaches. To address this, we present an optically programmable DPC device based on a vacancy‐modulated bismuth oxyselenide (BOS) material platform. Critically, the reversible surface hydroxyl dissociation is found to reconfigure oxygen vacancy dynamics upon ultraviolet light, enabling the spectrally decoupled weight programming and photocurrent computing. Based on this, we demonstrate a BOS array implemented PIS hardware for low‐power, coarse classification and as a pre‐processing unit for more complex vision tasks in a processing‐near‐sensor (PNS) paradigm. Finally, a hybrid architecture is proposed to intelligently allocate computational resources between PIS and PNS, promising for an optimal balance of power and performance for next‐generation edge AIoT applications.</w:t>
      </w:r>
    </w:p>
    <w:p>
      <w:pPr>
        <w:spacing w:before="120" w:after="120"/>
      </w:pPr>
      <w:r>
        <w:rPr>
          <w:sz w:val="18"/>
        </w:rPr>
        <w:t>——————————————————————————————————————————————————————————————————————</w:t>
      </w:r>
    </w:p>
    <w:p>
      <w:pPr>
        <w:spacing w:before="160" w:after="80" w:line="240" w:lineRule="auto"/>
      </w:pPr>
      <w:r>
        <w:rPr>
          <w:b/>
        </w:rPr>
        <w:t xml:space="preserve">[490] </w:t>
      </w:r>
      <w:hyperlink r:id="rId858">
        <w:r>
          <w:rPr>
            <w:color w:val="1155CC"/>
            <w:u w:val="single"/>
          </w:rPr>
          <w:t>A Biocatalytic Platform for the Synthesis of Organofunctional Silanes and Siloxanes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06:29:28+00:00</w:t>
      </w:r>
      <w:r>
        <w:t xml:space="preserve">    </w:t>
      </w:r>
      <w:r>
        <w:rPr>
          <w:b/>
        </w:rPr>
        <w:t xml:space="preserve">DOI: </w:t>
      </w:r>
      <w:hyperlink r:id="rId859">
        <w:r>
          <w:rPr>
            <w:color w:val="1155CC"/>
            <w:u w:val="single"/>
          </w:rPr>
          <w:t>10.1002/anie.202522762</w:t>
        </w:r>
      </w:hyperlink>
    </w:p>
    <w:p>
      <w:pPr>
        <w:spacing w:before="0" w:after="120"/>
      </w:pPr>
      <w:r>
        <w:rPr>
          <w:b/>
        </w:rPr>
        <w:t xml:space="preserve">Notes: </w:t>
      </w:r>
      <w:r>
        <w:t>abstract_source=crossref</w:t>
      </w:r>
    </w:p>
    <w:p>
      <w:pPr>
        <w:spacing w:before="0" w:after="200" w:lineRule="auto" w:line="276"/>
      </w:pPr>
      <w:r>
        <w:rPr>
          <w:b/>
        </w:rPr>
        <w:t xml:space="preserve">Abstract: </w:t>
      </w:r>
      <w:r>
        <w:t>Organofunctional silanes are highly useful reagents in material science, functioning as effective crosslinking agents and adhesion promoters. Traditionally, their synthesis relies on precious transition‐metal catalysts, which require downstream purification and increase overall costs. Herein, we present a green and sustainable biocatalytic platform for the enantioselective synthesis of diverse organofunctional silanes bearing ester and cyano groups. Directed evolution of</w:t>
      </w:r>
      <w:r>
        <w:t xml:space="preserve"> </w:t>
      </w:r>
      <w:r>
        <w:t>Thermus amyloliquefaciens</w:t>
      </w:r>
      <w:r>
        <w:t xml:space="preserve"> </w:t>
      </w:r>
      <w:r>
        <w:t>protoglobin (</w:t>
      </w:r>
      <w:r>
        <w:t xml:space="preserve"> </w:t>
      </w:r>
      <w:r>
        <w:t>Tam</w:t>
      </w:r>
      <w:r>
        <w:t xml:space="preserve"> </w:t>
      </w:r>
      <w:r>
        <w:t>Pgb) produced efficient enzymes for cyclopropanation of vinyl silanes and siloxanes using diazo compounds and</w:t>
      </w:r>
      <w:r>
        <w:t xml:space="preserve"> </w:t>
      </w:r>
      <w:r>
        <w:t>N</w:t>
      </w:r>
      <w:r>
        <w:t xml:space="preserve"> </w:t>
      </w:r>
      <w:r>
        <w:t>‐tosylhydrazones as carbene precursors with excellent diastereo‐ and enantiocontrol (up to 2500 TTN, &amp;gt;99% dr, &amp;gt;99% ee). Notably, we demonstrate for the first time that</w:t>
      </w:r>
      <w:r>
        <w:t xml:space="preserve"> </w:t>
      </w:r>
      <w:r>
        <w:t>N</w:t>
      </w:r>
      <w:r>
        <w:t xml:space="preserve"> </w:t>
      </w:r>
      <w:r>
        <w:t>‐tosylhydrazones can serve as carbene precursors in enzymatic reactions, providing a safer and more practical alternative for industrial applications.</w:t>
      </w:r>
    </w:p>
    <w:p>
      <w:pPr>
        <w:spacing w:before="120" w:after="120"/>
      </w:pPr>
      <w:r>
        <w:rPr>
          <w:sz w:val="18"/>
        </w:rPr>
        <w:t>——————————————————————————————————————————————————————————————————————</w:t>
      </w:r>
    </w:p>
    <w:p>
      <w:pPr>
        <w:spacing w:before="160" w:after="80" w:line="240" w:lineRule="auto"/>
      </w:pPr>
      <w:r>
        <w:rPr>
          <w:b/>
        </w:rPr>
        <w:t xml:space="preserve">[491] </w:t>
      </w:r>
      <w:hyperlink r:id="rId860">
        <w:r>
          <w:rPr>
            <w:color w:val="1155CC"/>
            <w:u w:val="single"/>
          </w:rPr>
          <w:t>3D Printing‐Assisted Interpenetrating‐Phase Composite Implant Materials Integrating Structural‐Functional Properties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06:29:38+00:00</w:t>
      </w:r>
      <w:r>
        <w:t xml:space="preserve">    </w:t>
      </w:r>
      <w:r>
        <w:rPr>
          <w:b/>
        </w:rPr>
        <w:t xml:space="preserve">DOI: </w:t>
      </w:r>
      <w:hyperlink r:id="rId861">
        <w:r>
          <w:rPr>
            <w:color w:val="1155CC"/>
            <w:u w:val="single"/>
          </w:rPr>
          <w:t>10.1002/adma.202514145</w:t>
        </w:r>
      </w:hyperlink>
    </w:p>
    <w:p>
      <w:pPr>
        <w:spacing w:before="0" w:after="120"/>
      </w:pPr>
      <w:r>
        <w:rPr>
          <w:b/>
        </w:rPr>
        <w:t xml:space="preserve">Notes: </w:t>
      </w:r>
      <w:r>
        <w:t>abstract_source=crossref</w:t>
      </w:r>
    </w:p>
    <w:p>
      <w:pPr>
        <w:spacing w:before="0" w:after="200" w:lineRule="auto" w:line="276"/>
      </w:pPr>
      <w:r>
        <w:rPr>
          <w:b/>
        </w:rPr>
        <w:t xml:space="preserve">Abstract: </w:t>
      </w:r>
      <w:r>
        <w:t>Implant materials play a pivotal role in bone repair; however, existing materials face considerable challenges in simultaneously achieving adequate mechanical properties and biological functions. In this perspective, drawing inspiration from nature and leveraging 3D printing technologies, we propose a new strategy to achieve structural‐functional integration through the development of bicontinuous interpenetrating‐phase composite implant materials. These materials are fabricated by infiltrating one constituent into 3D‐printed porous scaffolds of another, and demonstrate two potential degradation pathways after implantation – selectively partial degradation and sequentially complete degradation – depending on the types of constituents and their combinations. We elucidate the associated degradation behaviors, regulatory strategies, and the resulting biological functions, and analyze their underlying cellular and molecular mechanisms. Moreover, targeted functional integration and delivery can be realized by infiltrating hydrogels loaded with functional agents into 3D‐printed scaffolds. The mechanical and functional properties of these materials can be deliberately modulated by selecting appropriate constituents and by designing and regulating the interpenetrating‐phase structures. We further examine the challenges faced by these materials and outline prospective directions for future research. Distinct from conventional single‐component materials, 3D printing‐assisted composite implant materials hold significant promise for achieving structural‐functional integration, thereby offering new opportunities to enhance bone repair efficacy.</w:t>
      </w:r>
    </w:p>
    <w:p>
      <w:pPr>
        <w:spacing w:before="120" w:after="120"/>
      </w:pPr>
      <w:r>
        <w:rPr>
          <w:sz w:val="18"/>
        </w:rPr>
        <w:t>——————————————————————————————————————————————————————————————————————</w:t>
      </w:r>
    </w:p>
    <w:p>
      <w:pPr>
        <w:spacing w:before="160" w:after="80" w:line="240" w:lineRule="auto"/>
      </w:pPr>
      <w:r>
        <w:rPr>
          <w:b/>
        </w:rPr>
        <w:t xml:space="preserve">[492] </w:t>
      </w:r>
      <w:hyperlink r:id="rId862">
        <w:r>
          <w:rPr>
            <w:color w:val="1155CC"/>
            <w:u w:val="single"/>
          </w:rPr>
          <w:t>Visibly Transparent Monolithic Perovskite/Organic Tandem Solar Cells Achieving Over 6% Light‐Utilization Efficiency</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06:30:11+00:00</w:t>
      </w:r>
      <w:r>
        <w:t xml:space="preserve">    </w:t>
      </w:r>
      <w:r>
        <w:rPr>
          <w:b/>
        </w:rPr>
        <w:t xml:space="preserve">DOI: </w:t>
      </w:r>
      <w:hyperlink r:id="rId863">
        <w:r>
          <w:rPr>
            <w:color w:val="1155CC"/>
            <w:u w:val="single"/>
          </w:rPr>
          <w:t>10.1002/adma.202520278</w:t>
        </w:r>
      </w:hyperlink>
    </w:p>
    <w:p>
      <w:pPr>
        <w:spacing w:before="0" w:after="120"/>
      </w:pPr>
      <w:r>
        <w:rPr>
          <w:b/>
        </w:rPr>
        <w:t xml:space="preserve">Notes: </w:t>
      </w:r>
      <w:r>
        <w:t>abstract_source=crossref</w:t>
      </w:r>
    </w:p>
    <w:p>
      <w:pPr>
        <w:spacing w:before="0" w:after="200" w:lineRule="auto" w:line="276"/>
      </w:pPr>
      <w:r>
        <w:rPr>
          <w:b/>
        </w:rPr>
        <w:t xml:space="preserve">Abstract: </w:t>
      </w:r>
      <w:r>
        <w:t>Transparent photovoltaics for solar‐window applications must balance human‐visible clarity with meaningful power output. Here, we report a selectively absorbing, monolithic perovskite/organic tandem that decouples visible transmittance from photocurrent generation and minimizes voltage loss delivering record light‐utilization efficiency (LUE) for visibly transparent (VT) tandem devices. An ultra‐wide‐bandgap, DMA‐alloyed perovskite top sub‐cell harvests primarily &amp;lt;∼530 nm, achieving, as a single junction, AVT 65.68% and power conversion efficiency (PCE) 8.23% (LUE 5.46%). Complemented by a ternary PCE10‐2Cl:Y6:Y12 bottom stack that minimizes visible absorption while harvesting in the NIR, the tandem reaches PCE 10.91% at AVT 55.39%, yielding LUE 6.04%. To the best of our knowledge, this is the first VT monolithic perovskite/organic tandem to surpass 6% LUE at AVT ≥ 50%, while delivering a record‐high open circuit voltage (</w:t>
      </w:r>
      <w:r>
        <w:t xml:space="preserve"> </w:t>
      </w:r>
      <w:r>
        <w:t>V</w:t>
      </w:r>
      <w:r>
        <w:t xml:space="preserve"> </w:t>
      </w:r>
      <w:r>
        <w:t>OC</w:t>
      </w:r>
      <w:r>
        <w:t xml:space="preserve"> </w:t>
      </w:r>
      <w:r>
        <w:t>) of 2.38 V. These results establish optical–electrical co‐design guidelines for high‐clarity, power‐generating glazing, which explicitly connect materials and interface choices in both sub‐cells to energetic disorder, built‐in potential, and recombination.</w:t>
      </w:r>
    </w:p>
    <w:p>
      <w:pPr>
        <w:spacing w:before="120" w:after="120"/>
      </w:pPr>
      <w:r>
        <w:rPr>
          <w:sz w:val="18"/>
        </w:rPr>
        <w:t>——————————————————————————————————————————————————————————————————————</w:t>
      </w:r>
    </w:p>
    <w:p>
      <w:pPr>
        <w:spacing w:before="160" w:after="80" w:line="240" w:lineRule="auto"/>
      </w:pPr>
      <w:r>
        <w:rPr>
          <w:b/>
        </w:rPr>
        <w:t xml:space="preserve">[493] </w:t>
      </w:r>
      <w:hyperlink r:id="rId864">
        <w:r>
          <w:rPr>
            <w:color w:val="1155CC"/>
            <w:u w:val="single"/>
          </w:rPr>
          <w:t>Geometry‐Engineered Bipolar Photodetectors for Multivalued Logic‐Gate Encrypted Optical Communication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06:30:16+00:00</w:t>
      </w:r>
      <w:r>
        <w:t xml:space="preserve">    </w:t>
      </w:r>
      <w:r>
        <w:rPr>
          <w:b/>
        </w:rPr>
        <w:t xml:space="preserve">DOI: </w:t>
      </w:r>
      <w:hyperlink r:id="rId865">
        <w:r>
          <w:rPr>
            <w:color w:val="1155CC"/>
            <w:u w:val="single"/>
          </w:rPr>
          <w:t>10.1002/adma.202516019</w:t>
        </w:r>
      </w:hyperlink>
    </w:p>
    <w:p>
      <w:pPr>
        <w:spacing w:before="0" w:after="120"/>
      </w:pPr>
      <w:r>
        <w:rPr>
          <w:b/>
        </w:rPr>
        <w:t xml:space="preserve">Notes: </w:t>
      </w:r>
      <w:r>
        <w:t>abstract_source=crossref</w:t>
      </w:r>
    </w:p>
    <w:p>
      <w:pPr>
        <w:spacing w:before="0" w:after="200" w:lineRule="auto" w:line="276"/>
      </w:pPr>
      <w:r>
        <w:rPr>
          <w:b/>
        </w:rPr>
        <w:t xml:space="preserve">Abstract: </w:t>
      </w:r>
      <w:r>
        <w:t>Bipolar photodetectors, with positive‐negative photocurrent responses and coupling‐enabled multifunctionality, show great promise for logic‐gate‐encrypted optical communication, where precise photocurrent balancing is essential to minimize polarity‐induced logic errors and ensure transmission accuracy. Here, a parallel‐structured, self‐powered photoelectrochemical photodetector (PEC‐PD) based on fully amorphous p‐NiO</w:t>
      </w:r>
      <w:r>
        <w:t xml:space="preserve"> </w:t>
      </w:r>
      <w:r>
        <w:t>X</w:t>
      </w:r>
      <w:r>
        <w:t xml:space="preserve"> </w:t>
      </w:r>
      <w:r>
        <w:t>and n‐GaO</w:t>
      </w:r>
      <w:r>
        <w:t xml:space="preserve"> </w:t>
      </w:r>
      <w:r>
        <w:t>X</w:t>
      </w:r>
      <w:r>
        <w:t xml:space="preserve"> </w:t>
      </w:r>
      <w:r>
        <w:t>thin films is developed, exhibiting dual‐band (254 nm/365 nm) bipolar photoresponses. To address the intrinsic photocurrent asymmetry, we first employ thermal annealing to mitigate the imbalance. More significantly, leveraging the unique parallel architecture, we propose a universal geometry‐engineered strategy to accurately balance positive and negative photocurrents by simply adjusting the area ratio of the two photoactive materials. This approach enables robust photocurrent symmetry across diverse wavelength combinations, ensuring broad adaptability to complex optical environments. Based on this tunability, reconfigurable binary and ternary exclusive OR (XOR and TXOR) logic gates are demonstrated as encryption frameworks in optical communication systems. The ternary encryption scheme enhances information throughput by ∼1.585 × and expands the key space by 89% compared to binary systems. This work presents a universal strategy for implementing balanced bipolar photodetectors, facilitating their application in secure, high‐throughput underwater optical communication.</w:t>
      </w:r>
    </w:p>
    <w:p>
      <w:pPr>
        <w:spacing w:before="120" w:after="120"/>
      </w:pPr>
      <w:r>
        <w:rPr>
          <w:sz w:val="18"/>
        </w:rPr>
        <w:t>——————————————————————————————————————————————————————————————————————</w:t>
      </w:r>
    </w:p>
    <w:p>
      <w:pPr>
        <w:spacing w:before="160" w:after="80" w:line="240" w:lineRule="auto"/>
      </w:pPr>
      <w:r>
        <w:rPr>
          <w:b/>
        </w:rPr>
        <w:t xml:space="preserve">[494] </w:t>
      </w:r>
      <w:hyperlink r:id="rId866">
        <w:r>
          <w:rPr>
            <w:color w:val="1155CC"/>
            <w:u w:val="single"/>
          </w:rPr>
          <w:t>Copper‐Catalyzed Three‐Component Selective 1,4‐Amino Oxygenation of 1,3‐Dienes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06:30:29+00:00</w:t>
      </w:r>
      <w:r>
        <w:t xml:space="preserve">    </w:t>
      </w:r>
      <w:r>
        <w:rPr>
          <w:b/>
        </w:rPr>
        <w:t xml:space="preserve">DOI: </w:t>
      </w:r>
      <w:hyperlink r:id="rId867">
        <w:r>
          <w:rPr>
            <w:color w:val="1155CC"/>
            <w:u w:val="single"/>
          </w:rPr>
          <w:t>10.1002/anie.202524557</w:t>
        </w:r>
      </w:hyperlink>
    </w:p>
    <w:p>
      <w:pPr>
        <w:spacing w:before="0" w:after="120"/>
      </w:pPr>
      <w:r>
        <w:rPr>
          <w:b/>
        </w:rPr>
        <w:t xml:space="preserve">Notes: </w:t>
      </w:r>
      <w:r>
        <w:t>abstract_source=crossref</w:t>
      </w:r>
    </w:p>
    <w:p>
      <w:pPr>
        <w:spacing w:before="0" w:after="200" w:lineRule="auto" w:line="276"/>
      </w:pPr>
      <w:r>
        <w:rPr>
          <w:b/>
        </w:rPr>
        <w:t xml:space="preserve">Abstract: </w:t>
      </w:r>
      <w:r>
        <w:t>Multicomponent difunctionalization of 1,3‐dienes has emerged as a promising strategy for rapid synthesis of valuable allylic compounds. Here, we report an unprecedented three‐component 1,4‐amino oxygenation of 1,3‐dienes, enabled by copper catalysis and strong Brønsted acid. The reaction engages a novel mechanism that merges umpolung electrophilic amination via copper(I)‐catalyzed formation of aminium radical cations and copper (II)‐mediated carbon‐oxygen bond formation with alcohols. The observed 1,4‐selectivity is modulated by noncovalent interactions of aminated allylic intermediates. This method presents broad synthetic utility and offers a rapid entry to (</w:t>
      </w:r>
      <w:r>
        <w:t xml:space="preserve"> </w:t>
      </w:r>
      <w:r>
        <w:t>E</w:t>
      </w:r>
      <w:r>
        <w:t xml:space="preserve"> </w:t>
      </w:r>
      <w:r>
        <w:t>)‐1,4‐allylic amino ethers, which can be derivatized into various polyfunctional molecules with high stereocontrol.</w:t>
      </w:r>
    </w:p>
    <w:p>
      <w:pPr>
        <w:spacing w:before="120" w:after="120"/>
      </w:pPr>
      <w:r>
        <w:rPr>
          <w:sz w:val="18"/>
        </w:rPr>
        <w:t>——————————————————————————————————————————————————————————————————————</w:t>
      </w:r>
    </w:p>
    <w:p>
      <w:pPr>
        <w:spacing w:before="160" w:after="80" w:line="240" w:lineRule="auto"/>
      </w:pPr>
      <w:r>
        <w:rPr>
          <w:b/>
        </w:rPr>
        <w:t xml:space="preserve">[495] </w:t>
      </w:r>
      <w:hyperlink r:id="rId868">
        <w:r>
          <w:rPr>
            <w:color w:val="1155CC"/>
            <w:u w:val="single"/>
          </w:rPr>
          <w:t>Simultaneous Nb5+‐Driven Defect Repair and Oxygen Stabilization of Spent LiNi0.88Co0.09Al0.03O2 Toward High‐Voltage and Fast‐Charging Cathode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2025-12-27 06:30:29+00:00</w:t>
      </w:r>
      <w:r>
        <w:t xml:space="preserve">    </w:t>
      </w:r>
      <w:r>
        <w:rPr>
          <w:b/>
        </w:rPr>
        <w:t xml:space="preserve">DOI: </w:t>
      </w:r>
      <w:hyperlink r:id="rId869">
        <w:r>
          <w:rPr>
            <w:color w:val="1155CC"/>
            <w:u w:val="single"/>
          </w:rPr>
          <w:t>10.1002/aenm.202505762</w:t>
        </w:r>
      </w:hyperlink>
    </w:p>
    <w:p>
      <w:pPr>
        <w:spacing w:before="0" w:after="120"/>
      </w:pPr>
      <w:r>
        <w:rPr>
          <w:b/>
        </w:rPr>
        <w:t xml:space="preserve">Notes: </w:t>
      </w:r>
      <w:r>
        <w:t>abstract_source=crossref</w:t>
      </w:r>
    </w:p>
    <w:p>
      <w:pPr>
        <w:spacing w:before="0" w:after="200" w:lineRule="auto" w:line="276"/>
      </w:pPr>
      <w:r>
        <w:rPr>
          <w:b/>
        </w:rPr>
        <w:t xml:space="preserve">Abstract: </w:t>
      </w:r>
      <w:r>
        <w:t>The rapid growth of electric vehicles and portable electronics has led to an escalating accumulation of spent lithium‐ion batteries, creating urgent demands for efficient and sustainable recycling technologies. Direct regeneration offers a promising approach by repairing and restoring cathode materials with minimal environmental impact, preserving their intrinsic structure and electrochemical properties. However, regenerating Ni‐rich cathodes like LiNi</w:t>
      </w:r>
      <w:r>
        <w:t xml:space="preserve"> </w:t>
      </w:r>
      <w:r>
        <w:t>1‐x‐y</w:t>
      </w:r>
      <w:r>
        <w:t xml:space="preserve"> </w:t>
      </w:r>
      <w:r>
        <w:t>Co</w:t>
      </w:r>
      <w:r>
        <w:t xml:space="preserve"> </w:t>
      </w:r>
      <w:r>
        <w:t>x</w:t>
      </w:r>
      <w:r>
        <w:t xml:space="preserve"> </w:t>
      </w:r>
      <w:r>
        <w:t>Al</w:t>
      </w:r>
      <w:r>
        <w:t xml:space="preserve"> </w:t>
      </w:r>
      <w:r>
        <w:t>y</w:t>
      </w:r>
      <w:r>
        <w:t xml:space="preserve"> </w:t>
      </w:r>
      <w:r>
        <w:t>O</w:t>
      </w:r>
      <w:r>
        <w:rPr>
          <w:vertAlign w:val="subscript"/>
        </w:rPr>
        <w:t>2</w:t>
      </w:r>
      <w:r>
        <w:t>(NCA) remains challenging due to intrinsic structural instabilities, including oxygen loss and irreversible phase transitions that cause capacity fading. This study develops a one‐step molten salt‐assisted strategy that integrates single‐crystal reconstruction with in situ Nb</w:t>
      </w:r>
      <w:r>
        <w:t xml:space="preserve"> </w:t>
      </w:r>
      <w:r>
        <w:t>5+</w:t>
      </w:r>
      <w:r>
        <w:t xml:space="preserve"> </w:t>
      </w:r>
      <w:r>
        <w:t>bulk doping. Nb</w:t>
      </w:r>
      <w:r>
        <w:t xml:space="preserve"> </w:t>
      </w:r>
      <w:r>
        <w:t>5+</w:t>
      </w:r>
      <w:r>
        <w:t xml:space="preserve"> </w:t>
      </w:r>
      <w:r>
        <w:t>incorporation forms strong Nb─O bonds, enhancing lattice oxygen retention, suppressing oxygen vacancy formation, and mitigating irreversible strain caused by the H2–H3 phase transition. The regenerated Nb‐doped cathode (R‐NCA@2Nb) demonstrates outstanding cycling stability, retaining ∼80% capacity after 800 cycles at 1 C under a high cutoff voltage of 4.5 V and 84.1% retention after 300 cycles at 3 C, highlighting significant improvements in durability and rate capability. This scalable Nb</w:t>
      </w:r>
      <w:r>
        <w:t xml:space="preserve"> </w:t>
      </w:r>
      <w:r>
        <w:t>5+</w:t>
      </w:r>
      <w:r>
        <w:t xml:space="preserve"> </w:t>
      </w:r>
      <w:r>
        <w:t>doping strategy demonstrates significant promise for improving the stability and rate capability of recycled Ni‐rich cathodes, providing a practical pathway toward durable, high‐energy lithium‐ion batteries.</w:t>
      </w:r>
    </w:p>
    <w:p>
      <w:pPr>
        <w:spacing w:before="120" w:after="120"/>
      </w:pPr>
      <w:r>
        <w:rPr>
          <w:sz w:val="18"/>
        </w:rPr>
        <w:t>——————————————————————————————————————————————————————————————————————</w:t>
      </w:r>
    </w:p>
    <w:p>
      <w:pPr>
        <w:spacing w:before="160" w:after="80" w:line="240" w:lineRule="auto"/>
      </w:pPr>
      <w:r>
        <w:rPr>
          <w:b/>
        </w:rPr>
        <w:t xml:space="preserve">[496] </w:t>
      </w:r>
      <w:hyperlink r:id="rId870">
        <w:r>
          <w:rPr>
            <w:color w:val="1155CC"/>
            <w:u w:val="single"/>
          </w:rPr>
          <w:t>Directional Electron Transfer in Island‐Sea Structured Contact‐Electro‐Catalysis Enables Cascade Defluorination of PFAS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06:31:36+00:00</w:t>
      </w:r>
      <w:r>
        <w:t xml:space="preserve">    </w:t>
      </w:r>
      <w:r>
        <w:rPr>
          <w:b/>
        </w:rPr>
        <w:t xml:space="preserve">DOI: </w:t>
      </w:r>
      <w:hyperlink r:id="rId871">
        <w:r>
          <w:rPr>
            <w:color w:val="1155CC"/>
            <w:u w:val="single"/>
          </w:rPr>
          <w:t>10.1002/anie.202525861</w:t>
        </w:r>
      </w:hyperlink>
    </w:p>
    <w:p>
      <w:pPr>
        <w:spacing w:before="0" w:after="120"/>
      </w:pPr>
      <w:r>
        <w:rPr>
          <w:b/>
        </w:rPr>
        <w:t xml:space="preserve">Notes: </w:t>
      </w:r>
      <w:r>
        <w:t>abstract_source=crossref</w:t>
      </w:r>
    </w:p>
    <w:p>
      <w:pPr>
        <w:spacing w:before="0" w:after="200" w:lineRule="auto" w:line="276"/>
      </w:pPr>
      <w:r>
        <w:rPr>
          <w:b/>
        </w:rPr>
        <w:t xml:space="preserve">Abstract: </w:t>
      </w:r>
      <w:r>
        <w:t>The exceptional stability of C─F bonds in per‐ and polyfluoroalkyl substances (PFAS) impedes their activation and degradation through conventional redox processes. Contact‐Electro‐Catalysis (CEC) offers an oxidant‐free alternative but suffers from uncontrolled electronic structures and non‐directional electron transfer. Here, we design an “island–sea” structured CEC system by embedding atomically dispersed Cu─N</w:t>
      </w:r>
      <w:r>
        <w:rPr>
          <w:vertAlign w:val="subscript"/>
        </w:rPr>
        <w:t>4</w:t>
      </w:r>
      <w:r>
        <w:t>islands within a polyvinylidene fluoride (PVDF) matrix. The Cu─N</w:t>
      </w:r>
      <w:r>
        <w:rPr>
          <w:vertAlign w:val="subscript"/>
        </w:rPr>
        <w:t>4</w:t>
      </w:r>
      <w:r>
        <w:t>domains trigger interfacial electron transfer that induces β‐phase crystallization of PVDF. The aligned dipoles amplify piezoelectric polarization and strengthen interfacial electric fields (IEFs). This configuration enables efficient electron harvesting from interfacial water and field‐emission‐driven injection into Cu─N</w:t>
      </w:r>
      <w:r>
        <w:rPr>
          <w:vertAlign w:val="subscript"/>
        </w:rPr>
        <w:t>4</w:t>
      </w:r>
      <w:r>
        <w:t>sites. The electron‐enriched Cu sites activate O</w:t>
      </w:r>
      <w:r>
        <w:rPr>
          <w:vertAlign w:val="subscript"/>
        </w:rPr>
        <w:t>2</w:t>
      </w:r>
      <w:r>
        <w:t>to form</w:t>
      </w:r>
      <w:r>
        <w:t xml:space="preserve"> </w:t>
      </w:r>
      <w:r>
        <w:t>•</w:t>
      </w:r>
      <w:r>
        <w:t xml:space="preserve"> </w:t>
      </w:r>
      <w:r>
        <w:t>O</w:t>
      </w:r>
      <w:r>
        <w:rPr>
          <w:vertAlign w:val="subscript"/>
        </w:rPr>
        <w:t>2</w:t>
      </w:r>
      <w:r>
        <w:t>−</w:t>
      </w:r>
      <w:r>
        <w:t>for nucleophilic defluorination while simultaneously populating the C─F σ* orbitals to facilitate bond cleavage. In parallel,</w:t>
      </w:r>
      <w:r>
        <w:t xml:space="preserve"> </w:t>
      </w:r>
      <w:r>
        <w:t>•</w:t>
      </w:r>
      <w:r>
        <w:t xml:space="preserve"> </w:t>
      </w:r>
      <w:r>
        <w:t>OH and</w:t>
      </w:r>
      <w:r>
        <w:rPr>
          <w:vertAlign w:val="subscript"/>
        </w:rPr>
        <w:t>1</w:t>
      </w:r>
      <w:r>
        <w:t>O</w:t>
      </w:r>
      <w:r>
        <w:rPr>
          <w:vertAlign w:val="subscript"/>
        </w:rPr>
        <w:t>2</w:t>
      </w:r>
      <w:r>
        <w:t>promote oxidative mineralization of low‐fluorinated intermediates, establishing a cascade redox pathway. This cooperative mechanism achieves 95% degradation and 94.4% defluorination of perfluorooctanoic acid with excellent stability. This study defines β‐phase‐mediated IEF engineering in polymer/single‐atom hybrids as a general concept for directing interfacial electron dynamics in catalytic systems.</w:t>
      </w:r>
    </w:p>
    <w:p>
      <w:pPr>
        <w:spacing w:before="120" w:after="120"/>
      </w:pPr>
      <w:r>
        <w:rPr>
          <w:sz w:val="18"/>
        </w:rPr>
        <w:t>——————————————————————————————————————————————————————————————————————</w:t>
      </w:r>
    </w:p>
    <w:p>
      <w:pPr>
        <w:spacing w:before="160" w:after="80" w:line="240" w:lineRule="auto"/>
      </w:pPr>
      <w:r>
        <w:rPr>
          <w:b/>
        </w:rPr>
        <w:t xml:space="preserve">[497] </w:t>
      </w:r>
      <w:hyperlink r:id="rId872">
        <w:r>
          <w:rPr>
            <w:color w:val="1155CC"/>
            <w:u w:val="single"/>
          </w:rPr>
          <w:t>Pure‐Iodide Wide‐Bandgap Perovskite Solar Cells With Enhanced Photo/Thermal Stability</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2025-12-27 06:32:09+00:00</w:t>
      </w:r>
      <w:r>
        <w:t xml:space="preserve">    </w:t>
      </w:r>
      <w:r>
        <w:rPr>
          <w:b/>
        </w:rPr>
        <w:t xml:space="preserve">DOI: </w:t>
      </w:r>
      <w:hyperlink r:id="rId873">
        <w:r>
          <w:rPr>
            <w:color w:val="1155CC"/>
            <w:u w:val="single"/>
          </w:rPr>
          <w:t>10.1002/aenm.202505731</w:t>
        </w:r>
      </w:hyperlink>
    </w:p>
    <w:p>
      <w:pPr>
        <w:spacing w:before="0" w:after="120"/>
      </w:pPr>
      <w:r>
        <w:rPr>
          <w:b/>
        </w:rPr>
        <w:t xml:space="preserve">Notes: </w:t>
      </w:r>
      <w:r>
        <w:t>abstract_source=crossref</w:t>
      </w:r>
    </w:p>
    <w:p>
      <w:pPr>
        <w:spacing w:before="0" w:after="200" w:lineRule="auto" w:line="276"/>
      </w:pPr>
      <w:r>
        <w:rPr>
          <w:b/>
        </w:rPr>
        <w:t xml:space="preserve">Abstract: </w:t>
      </w:r>
      <w:r>
        <w:t>The poor stability of wide‐bandgap (&amp;gt;1.65 eV) perovskite top cells under light and heat remains a major challenge for commercializing perovskite/Si tandem solar cells. Here, we present a chloride additive‐mediated phase evolution strategy to fabricate thermodynamically stable, pure‐iodide wide‐bandgap perovskites with enhanced photo‐ and thermal stability. The incorporation of chloride additives effectively suppresses the formation of the orthorhombic secondary phase, while promoting the formation of the Cs</w:t>
      </w:r>
      <w:r>
        <w:rPr>
          <w:vertAlign w:val="subscript"/>
        </w:rPr>
        <w:t>2</w:t>
      </w:r>
      <w:r>
        <w:t>PbI</w:t>
      </w:r>
      <w:r>
        <w:rPr>
          <w:vertAlign w:val="subscript"/>
        </w:rPr>
        <w:t>2</w:t>
      </w:r>
      <w:r>
        <w:t>Cl</w:t>
      </w:r>
      <w:r>
        <w:rPr>
          <w:vertAlign w:val="subscript"/>
        </w:rPr>
        <w:t>2</w:t>
      </w:r>
      <w:r>
        <w:t>2D Ruddlesden‐Popper intermediate phase. High‐resolution transmission electron microscopy (HRTEM) reveals that this intermediate phase undergoes a topotactic transformation into the cubic α‐phase, resulting in halide‐segregation‐free, phase‐pure perovskite films. Additionally, cation engineering of the chloride additives reduces thermally unstable methylammonium (MA) content below 5%, further enhancing thermal stability. The resulting pure‐iodide wide‐bandgap perovskite solar cells achieve power conversion efficiencies exceeding 21%, comparable to those of mixed‐halide counterparts, while exhibiting significantly enhanced photostability by maintaining 95.1% of the initial performance after 1000 h under ISOS‐L‐1I conditions. More importantly, devices with reduced MA content demonstrate excellent thermal stability by retaining 82.5% of its initial performance after 1000 h at 65°C under ISOS‐L‐2I conditions. These results highlight a promising pathway toward highly efficient and stable wide‐bandgap perovskite solar cells for tandem applications.</w:t>
      </w:r>
    </w:p>
    <w:p>
      <w:pPr>
        <w:spacing w:before="120" w:after="120"/>
      </w:pPr>
      <w:r>
        <w:rPr>
          <w:sz w:val="18"/>
        </w:rPr>
        <w:t>——————————————————————————————————————————————————————————————————————</w:t>
      </w:r>
    </w:p>
    <w:p>
      <w:pPr>
        <w:spacing w:before="160" w:after="80" w:line="240" w:lineRule="auto"/>
      </w:pPr>
      <w:r>
        <w:rPr>
          <w:b/>
        </w:rPr>
        <w:t xml:space="preserve">[498] </w:t>
      </w:r>
      <w:hyperlink r:id="rId874">
        <w:r>
          <w:rPr>
            <w:color w:val="1155CC"/>
            <w:u w:val="single"/>
          </w:rPr>
          <w:t>Optimal Host–Guest Fit in Metal‐Organic Frameworks to Achieve Record C2H2 Packing Density for Trace Acetylene Capture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06:34:05+00:00</w:t>
      </w:r>
      <w:r>
        <w:t xml:space="preserve">    </w:t>
      </w:r>
      <w:r>
        <w:rPr>
          <w:b/>
        </w:rPr>
        <w:t xml:space="preserve">DOI: </w:t>
      </w:r>
      <w:hyperlink r:id="rId875">
        <w:r>
          <w:rPr>
            <w:color w:val="1155CC"/>
            <w:u w:val="single"/>
          </w:rPr>
          <w:t>10.1002/anie.202524692</w:t>
        </w:r>
      </w:hyperlink>
    </w:p>
    <w:p>
      <w:pPr>
        <w:spacing w:before="0" w:after="120"/>
      </w:pPr>
      <w:r>
        <w:rPr>
          <w:b/>
        </w:rPr>
        <w:t xml:space="preserve">Notes: </w:t>
      </w:r>
      <w:r>
        <w:t>abstract_source=crossref</w:t>
      </w:r>
    </w:p>
    <w:p>
      <w:pPr>
        <w:spacing w:before="0" w:after="200" w:lineRule="auto" w:line="276"/>
      </w:pPr>
      <w:r>
        <w:rPr>
          <w:b/>
        </w:rPr>
        <w:t xml:space="preserve">Abstract: </w:t>
      </w:r>
      <w:r>
        <w:t>Host–guest fit is critical in enzyme‐substrate binding and useful for designing crystalline porous adsorbents to remove trace impurities; however, realization of such remains highly scarce, let alone to elucidate the atomic‐level understanding on how to optimize such an effect. Herein, we demonstrate the systematic design of a pillared‐layer MOF series (CPL‐1) to achieve optimal host–guest fit through increasing the number of bulky groups, progressively enhancing the C</w:t>
      </w:r>
      <w:r>
        <w:rPr>
          <w:vertAlign w:val="subscript"/>
        </w:rPr>
        <w:t>2</w:t>
      </w:r>
      <w:r>
        <w:t>H</w:t>
      </w:r>
      <w:r>
        <w:rPr>
          <w:vertAlign w:val="subscript"/>
        </w:rPr>
        <w:t>2</w:t>
      </w:r>
      <w:r>
        <w:t>adsorption performance. The newly synthesized, best‐fit</w:t>
      </w:r>
      <w:r>
        <w:t xml:space="preserve"> </w:t>
      </w:r>
      <w:r>
        <w:t>SXU‐10</w:t>
      </w:r>
      <w:r>
        <w:t xml:space="preserve"> </w:t>
      </w:r>
      <w:r>
        <w:t>exhibits the most superior very‐low‐pressure C</w:t>
      </w:r>
      <w:r>
        <w:rPr>
          <w:vertAlign w:val="subscript"/>
        </w:rPr>
        <w:t>2</w:t>
      </w:r>
      <w:r>
        <w:t>H</w:t>
      </w:r>
      <w:r>
        <w:rPr>
          <w:vertAlign w:val="subscript"/>
        </w:rPr>
        <w:t>2</w:t>
      </w:r>
      <w:r>
        <w:t>capture—reaching near saturation at just 2 kPa. With record C</w:t>
      </w:r>
      <w:r>
        <w:rPr>
          <w:vertAlign w:val="subscript"/>
        </w:rPr>
        <w:t>2</w:t>
      </w:r>
      <w:r>
        <w:t>H</w:t>
      </w:r>
      <w:r>
        <w:rPr>
          <w:vertAlign w:val="subscript"/>
        </w:rPr>
        <w:t>2</w:t>
      </w:r>
      <w:r>
        <w:t>packing densities of 483.9 mg cm</w:t>
      </w:r>
      <w:r>
        <w:t xml:space="preserve"> </w:t>
      </w:r>
      <w:r>
        <w:t>−3</w:t>
      </w:r>
      <w:r>
        <w:t xml:space="preserve"> </w:t>
      </w:r>
      <w:r>
        <w:t>at 1 kPa and 733.97 mg cm</w:t>
      </w:r>
      <w:r>
        <w:t xml:space="preserve"> </w:t>
      </w:r>
      <w:r>
        <w:t>−3</w:t>
      </w:r>
      <w:r>
        <w:t xml:space="preserve"> </w:t>
      </w:r>
      <w:r>
        <w:t>at 100 kPa,</w:t>
      </w:r>
      <w:r>
        <w:t xml:space="preserve"> </w:t>
      </w:r>
      <w:r>
        <w:t>SXU‐10</w:t>
      </w:r>
      <w:r>
        <w:t xml:space="preserve"> </w:t>
      </w:r>
      <w:r>
        <w:t>exhibits an uptake of 1.18 mmol g</w:t>
      </w:r>
      <w:r>
        <w:t xml:space="preserve"> </w:t>
      </w:r>
      <w:r>
        <w:t>−1</w:t>
      </w:r>
      <w:r>
        <w:t xml:space="preserve"> </w:t>
      </w:r>
      <w:r>
        <w:t>C</w:t>
      </w:r>
      <w:r>
        <w:rPr>
          <w:vertAlign w:val="subscript"/>
        </w:rPr>
        <w:t>2</w:t>
      </w:r>
      <w:r>
        <w:t>H</w:t>
      </w:r>
      <w:r>
        <w:rPr>
          <w:vertAlign w:val="subscript"/>
        </w:rPr>
        <w:t>2</w:t>
      </w:r>
      <w:r>
        <w:t>at 1 kPa and C</w:t>
      </w:r>
      <w:r>
        <w:rPr>
          <w:vertAlign w:val="subscript"/>
        </w:rPr>
        <w:t>2</w:t>
      </w:r>
      <w:r>
        <w:t>H</w:t>
      </w:r>
      <w:r>
        <w:rPr>
          <w:vertAlign w:val="subscript"/>
        </w:rPr>
        <w:t>2</w:t>
      </w:r>
      <w:r>
        <w:t>/C</w:t>
      </w:r>
      <w:r>
        <w:rPr>
          <w:vertAlign w:val="subscript"/>
        </w:rPr>
        <w:t>2</w:t>
      </w:r>
      <w:r>
        <w:t>H</w:t>
      </w:r>
      <w:r>
        <w:rPr>
          <w:vertAlign w:val="subscript"/>
        </w:rPr>
        <w:t>4</w:t>
      </w:r>
      <w:r>
        <w:t>selectivity of 133 for 1/99 C</w:t>
      </w:r>
      <w:r>
        <w:rPr>
          <w:vertAlign w:val="subscript"/>
        </w:rPr>
        <w:t>2</w:t>
      </w:r>
      <w:r>
        <w:t>H</w:t>
      </w:r>
      <w:r>
        <w:rPr>
          <w:vertAlign w:val="subscript"/>
        </w:rPr>
        <w:t>2</w:t>
      </w:r>
      <w:r>
        <w:t>/C</w:t>
      </w:r>
      <w:r>
        <w:rPr>
          <w:vertAlign w:val="subscript"/>
        </w:rPr>
        <w:t>2</w:t>
      </w:r>
      <w:r>
        <w:t>H</w:t>
      </w:r>
      <w:r>
        <w:rPr>
          <w:vertAlign w:val="subscript"/>
        </w:rPr>
        <w:t>4</w:t>
      </w:r>
      <w:r>
        <w:t>mixtures (all at 298 K), along with exceptional stability and humidity tolerance, enabling the production of polymer‐grade C</w:t>
      </w:r>
      <w:r>
        <w:rPr>
          <w:vertAlign w:val="subscript"/>
        </w:rPr>
        <w:t>2</w:t>
      </w:r>
      <w:r>
        <w:t>H</w:t>
      </w:r>
      <w:r>
        <w:rPr>
          <w:vertAlign w:val="subscript"/>
        </w:rPr>
        <w:t>4</w:t>
      </w:r>
      <w:r>
        <w:t>from trace C</w:t>
      </w:r>
      <w:r>
        <w:rPr>
          <w:vertAlign w:val="subscript"/>
        </w:rPr>
        <w:t>2</w:t>
      </w:r>
      <w:r>
        <w:t>H</w:t>
      </w:r>
      <w:r>
        <w:rPr>
          <w:vertAlign w:val="subscript"/>
        </w:rPr>
        <w:t>2</w:t>
      </w:r>
      <w:r>
        <w:t>mixtures under a challenging humid condition (80% RH). The unusual steep‐rise‐uptake phenomenon and significantly improved performance are attributed to the optimized host–guest shape fit at a sub‐ångström precision which constrains the gate‐opening flexibility, evidenced via in situ single‐crystal X‐ray diffraction. The present study sheds light on the molecular‐level engineering of bioinspired porous adaptive materials.</w:t>
      </w:r>
    </w:p>
    <w:p>
      <w:pPr>
        <w:spacing w:before="120" w:after="120"/>
      </w:pPr>
      <w:r>
        <w:rPr>
          <w:sz w:val="18"/>
        </w:rPr>
        <w:t>——————————————————————————————————————————————————————————————————————</w:t>
      </w:r>
    </w:p>
    <w:p>
      <w:pPr>
        <w:spacing w:before="160" w:after="80" w:line="240" w:lineRule="auto"/>
      </w:pPr>
      <w:r>
        <w:rPr>
          <w:b/>
        </w:rPr>
        <w:t xml:space="preserve">[499] </w:t>
      </w:r>
      <w:hyperlink r:id="rId876">
        <w:r>
          <w:rPr>
            <w:color w:val="1155CC"/>
            <w:u w:val="single"/>
          </w:rPr>
          <w:t>Controlled Radical Copolymerization of Hydrofluoroolefin 2,3,3,3‐Tetrafluroropropene (R1234yf) via Thermally Activated Delayed Fluorescence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06:34:36+00:00</w:t>
      </w:r>
      <w:r>
        <w:t xml:space="preserve">    </w:t>
      </w:r>
      <w:r>
        <w:rPr>
          <w:b/>
        </w:rPr>
        <w:t xml:space="preserve">DOI: </w:t>
      </w:r>
      <w:hyperlink r:id="rId877">
        <w:r>
          <w:rPr>
            <w:color w:val="1155CC"/>
            <w:u w:val="single"/>
          </w:rPr>
          <w:t>10.1002/anie.202524267</w:t>
        </w:r>
      </w:hyperlink>
    </w:p>
    <w:p>
      <w:pPr>
        <w:spacing w:before="0" w:after="120"/>
      </w:pPr>
      <w:r>
        <w:rPr>
          <w:b/>
        </w:rPr>
        <w:t xml:space="preserve">Notes: </w:t>
      </w:r>
      <w:r>
        <w:t>abstract_source=crossref</w:t>
      </w:r>
    </w:p>
    <w:p>
      <w:pPr>
        <w:spacing w:before="0" w:after="200" w:lineRule="auto" w:line="276"/>
      </w:pPr>
      <w:r>
        <w:rPr>
          <w:b/>
        </w:rPr>
        <w:t xml:space="preserve">Abstract: </w:t>
      </w:r>
      <w:r>
        <w:t>The transformation of hydrofluoroolefins (HFOs) into value‐added materials represents an important strategy for sustainable fluorocarbon utilization. Here, we designed a thermally activated delayed fluorescence (TADF) photocatalyst based on 3,5‐difluorobenzonitrile core, which has presented high reduction potential (−1.86 V versus SCE), prolonged lifetime (</w:t>
      </w:r>
      <w:r>
        <w:t xml:space="preserve"> </w:t>
      </w:r>
      <w:r>
        <w:t>τ</w:t>
      </w:r>
      <w:r>
        <w:t xml:space="preserve"> </w:t>
      </w:r>
      <w:r>
        <w:t>TADF</w:t>
      </w:r>
      <w:r>
        <w:t xml:space="preserve"> </w:t>
      </w:r>
      <w:r>
        <w:t>= 31.02 µs) and high quantum yield after excitation. The TADF catalyst facilitated oxidative quenching with a xanthate chain‐transfer agent, enabling visible‐light controlled radical copolymerization of 2,3,3,3‐tetrafluoropropene (</w:t>
      </w:r>
      <w:r>
        <w:t xml:space="preserve"> </w:t>
      </w:r>
      <w:r>
        <w:t>R1234yf</w:t>
      </w:r>
      <w:r>
        <w:t xml:space="preserve"> </w:t>
      </w:r>
      <w:r>
        <w:t>) at ppm levels of catalyst usage under ambient conditions. The copolymerization furnished good control across various unconjugated comonomers (vinyl esters, vinyl amides), yielding HFO‐embedded chains with tunable molecular weights, controlled dispersities and good chain‐end fidelity. Furthermore, this versatile synthetic approach promoted on‐demand construction of complex block architectures through chain‐extension polymerization. After hydrolysis, the obtained amphiphilic chains exhibited outstanding performance as superhydrophobic coatings on diverse substrates, and surfactants in emulsion polymerization, supporting practical potentials of HFO‐based copolymers. This work establishes a versatile platform to access well‐defined</w:t>
      </w:r>
      <w:r>
        <w:t xml:space="preserve"> </w:t>
      </w:r>
      <w:r>
        <w:t>R1234yf</w:t>
      </w:r>
      <w:r>
        <w:t xml:space="preserve"> </w:t>
      </w:r>
      <w:r>
        <w:t>copolymers, creating opportunities to address both HFO‐transformation concern and growing demand for high‐performance fluoropolymers.</w:t>
      </w:r>
    </w:p>
    <w:p>
      <w:pPr>
        <w:spacing w:before="120" w:after="120"/>
      </w:pPr>
      <w:r>
        <w:rPr>
          <w:sz w:val="18"/>
        </w:rPr>
        <w:t>——————————————————————————————————————————————————————————————————————</w:t>
      </w:r>
    </w:p>
    <w:p>
      <w:pPr>
        <w:spacing w:before="160" w:after="80" w:line="240" w:lineRule="auto"/>
      </w:pPr>
      <w:r>
        <w:rPr>
          <w:b/>
        </w:rPr>
        <w:t xml:space="preserve">[500] </w:t>
      </w:r>
      <w:hyperlink r:id="rId878">
        <w:r>
          <w:rPr>
            <w:color w:val="1155CC"/>
            <w:u w:val="single"/>
          </w:rPr>
          <w:t>High‐Entropy Alloy‐Based Artificial Enzymes With Modulated D‐Band Center and pH‐Controllable ROS Biocatalysis for Stage‐Specific Treatment of Inflammatory and Infectious Oral Diseases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06:35:29+00:00</w:t>
      </w:r>
      <w:r>
        <w:t xml:space="preserve">    </w:t>
      </w:r>
      <w:r>
        <w:rPr>
          <w:b/>
        </w:rPr>
        <w:t xml:space="preserve">DOI: </w:t>
      </w:r>
      <w:hyperlink r:id="rId879">
        <w:r>
          <w:rPr>
            <w:color w:val="1155CC"/>
            <w:u w:val="single"/>
          </w:rPr>
          <w:t>10.1002/adma.202519865</w:t>
        </w:r>
      </w:hyperlink>
    </w:p>
    <w:p>
      <w:pPr>
        <w:spacing w:before="0" w:after="120"/>
      </w:pPr>
      <w:r>
        <w:rPr>
          <w:b/>
        </w:rPr>
        <w:t xml:space="preserve">Notes: </w:t>
      </w:r>
      <w:r>
        <w:t>abstract_source=crossref</w:t>
      </w:r>
    </w:p>
    <w:p>
      <w:pPr>
        <w:spacing w:before="0" w:after="200" w:lineRule="auto" w:line="276"/>
      </w:pPr>
      <w:r>
        <w:rPr>
          <w:b/>
        </w:rPr>
        <w:t xml:space="preserve">Abstract: </w:t>
      </w:r>
      <w:r>
        <w:t>Periodontitis, characterized by tenacious polymicrobial biofilms and persistent oxidative stress, presents a formidable therapeutic challenge in clinical practice. Current treatment modalities often fall short in achieving simultaneous biofilm eradication and inflammatory resolution. Here, we present the de novo design of high‐entropy alloy (HEA, PtPdRuRhIr)‐based artificial enzymes with modulated d‐band center and pH‐controllable biocatalysis of reactive oxygen species (ROS) for stage‐specific treatment of inflammatory and infectious periodontitis. Our studies demonstrate that the unique structure of PtPdRuRhIr‐based HEA stabilizes the d‐band center, enhances the electron density of Ru atoms, and optimizes the binding strength of oxygen species, thus enabling exceptional ROS biocatalysis and pH‐controllable switching between antioxidase‐like functions at physiological pH conditions and peroxidase‐like activity under acidic infectious environments. Therefore, the PtPdRuRhIr‐based HEA simultaneously exhibits superior regenerative functions by mitigating oxidative damage and bioadaptive antibacterial properties by generating bactericidal ROS. Comprehensive in vitro and in vivo evaluations demonstrate suppression of inflammatory cytokines, functional regeneration of alveolar bone, and also microenvironment‐adaptive disruption of biofilm. By integrating pH‐dependent anti‐inflammatory and antimicrobial activities with immunomodulatory capacity in a single nanoplatform, this smart biocatalyst represents a promising therapeutic strategy for periodontitis and other biofilm‐associated inflammatory disorders, effectively bridging the gap between microbial clearance and tissue restoration.</w:t>
      </w:r>
    </w:p>
    <w:p>
      <w:pPr>
        <w:spacing w:before="120" w:after="120"/>
      </w:pPr>
      <w:r>
        <w:rPr>
          <w:sz w:val="18"/>
        </w:rPr>
        <w:t>——————————————————————————————————————————————————————————————————————</w:t>
      </w:r>
    </w:p>
    <w:p>
      <w:pPr>
        <w:spacing w:before="160" w:after="80" w:line="240" w:lineRule="auto"/>
      </w:pPr>
      <w:r>
        <w:rPr>
          <w:b/>
        </w:rPr>
        <w:t xml:space="preserve">[501] </w:t>
      </w:r>
      <w:hyperlink r:id="rId880">
        <w:r>
          <w:rPr>
            <w:color w:val="1155CC"/>
            <w:u w:val="single"/>
          </w:rPr>
          <w:t>Harnessing the Magic Methyl Effect: Manipulating Photoluminescence and Photochromism of Salicylaldehyde Benzoylhydrazones in the Solid State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06:35:52+00:00</w:t>
      </w:r>
      <w:r>
        <w:t xml:space="preserve">    </w:t>
      </w:r>
      <w:r>
        <w:rPr>
          <w:b/>
        </w:rPr>
        <w:t xml:space="preserve">DOI: </w:t>
      </w:r>
      <w:hyperlink r:id="rId881">
        <w:r>
          <w:rPr>
            <w:color w:val="1155CC"/>
            <w:u w:val="single"/>
          </w:rPr>
          <w:t>10.1002/anie.202523608</w:t>
        </w:r>
      </w:hyperlink>
    </w:p>
    <w:p>
      <w:pPr>
        <w:spacing w:before="0" w:after="120"/>
      </w:pPr>
      <w:r>
        <w:rPr>
          <w:b/>
        </w:rPr>
        <w:t xml:space="preserve">Notes: </w:t>
      </w:r>
      <w:r>
        <w:t>abstract_source=crossref</w:t>
      </w:r>
    </w:p>
    <w:p>
      <w:pPr>
        <w:spacing w:before="0" w:after="200" w:lineRule="auto" w:line="276"/>
      </w:pPr>
      <w:r>
        <w:rPr>
          <w:b/>
        </w:rPr>
        <w:t xml:space="preserve">Abstract: </w:t>
      </w:r>
      <w:r>
        <w:t>Photoluminescence and photochromism are pivotal in developing solid‐state photoresponsive materials, yet achieving precise tuning through subtle molecular structure modifications remains challenging. Herein, we demonstrate a universal “magic methyl” strategy to effectively manipulate the photoluminescence and photochromism of salicylaldehyde benzoylhydrazones in the solid state. Interestingly, the</w:t>
      </w:r>
      <w:r>
        <w:t xml:space="preserve"> </w:t>
      </w:r>
      <w:r>
        <w:t>In</w:t>
      </w:r>
      <w:r>
        <w:t xml:space="preserve"> </w:t>
      </w:r>
      <w:r>
        <w:t>(n = 1–4) series exhibits weak photochromism but excitation‐dependent (Ex‐De) emission with green fluorescence (</w:t>
      </w:r>
      <w:r>
        <w:t xml:space="preserve"> </w:t>
      </w:r>
      <w:r>
        <w:t>cis</w:t>
      </w:r>
      <w:r>
        <w:t xml:space="preserve"> </w:t>
      </w:r>
      <w:r>
        <w:t>‐keto) and cyan fluorescence (excimer), an exceptional phenomenon to Kasha's rule. More importantly, by replacing the hydrogen atom in the ─NHCO─ group with a methyl group, the obtained</w:t>
      </w:r>
      <w:r>
        <w:t xml:space="preserve"> </w:t>
      </w:r>
      <w:r>
        <w:t>IIn</w:t>
      </w:r>
      <w:r>
        <w:t xml:space="preserve"> </w:t>
      </w:r>
      <w:r>
        <w:t>(n = 1–4) series displays quenched fluorescence but pronounced photochromism. This subtle structural modification allows</w:t>
      </w:r>
      <w:r>
        <w:t xml:space="preserve"> </w:t>
      </w:r>
      <w:r>
        <w:t>IIn</w:t>
      </w:r>
      <w:r>
        <w:t xml:space="preserve"> </w:t>
      </w:r>
      <w:r>
        <w:t>series to reversibly switch the powder colors between white and orange under 365 and 520 nm light irradiation within seconds. The photochromic behavior persists from ambient temperature to ‐193 °C across different substituents. Notably, compound</w:t>
      </w:r>
      <w:r>
        <w:t xml:space="preserve"> </w:t>
      </w:r>
      <w:r>
        <w:t>II3</w:t>
      </w:r>
      <w:r>
        <w:t xml:space="preserve"> </w:t>
      </w:r>
      <w:r>
        <w:t>, featuring a fluorine substituent, exhibits an exceptionally long half‐life of ∼240 min for its out‐of‐equilibrium</w:t>
      </w:r>
      <w:r>
        <w:t xml:space="preserve"> </w:t>
      </w:r>
      <w:r>
        <w:t>trans</w:t>
      </w:r>
      <w:r>
        <w:t xml:space="preserve"> </w:t>
      </w:r>
      <w:r>
        <w:t>‐keto tautomer, attributed to intramolecular hydrogen bonding from ─F···HN─ within this form. These exceptional photophysical properties suggest promising applications in anti‐counterfeiting, smart coatings, and encrypted information storage, providing insightful strategies for developing organic small molecule based solid‐state photoresponsive materials.</w:t>
      </w:r>
    </w:p>
    <w:p>
      <w:pPr>
        <w:spacing w:before="120" w:after="120"/>
      </w:pPr>
      <w:r>
        <w:rPr>
          <w:sz w:val="18"/>
        </w:rPr>
        <w:t>——————————————————————————————————————————————————————————————————————</w:t>
      </w:r>
    </w:p>
    <w:p>
      <w:pPr>
        <w:spacing w:before="160" w:after="80" w:line="240" w:lineRule="auto"/>
      </w:pPr>
      <w:r>
        <w:rPr>
          <w:b/>
        </w:rPr>
        <w:t xml:space="preserve">[502] </w:t>
      </w:r>
      <w:hyperlink r:id="rId882">
        <w:r>
          <w:rPr>
            <w:color w:val="1155CC"/>
            <w:u w:val="single"/>
          </w:rPr>
          <w:t>Redirecting Tryptophan Metabolism Through Host‐Microbial Crosstalk to Enhance Precise Bioorthogonal Chemoimmunotherapy</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06:38:24+00:00</w:t>
      </w:r>
      <w:r>
        <w:t xml:space="preserve">    </w:t>
      </w:r>
      <w:r>
        <w:rPr>
          <w:b/>
        </w:rPr>
        <w:t xml:space="preserve">DOI: </w:t>
      </w:r>
      <w:hyperlink r:id="rId883">
        <w:r>
          <w:rPr>
            <w:color w:val="1155CC"/>
            <w:u w:val="single"/>
          </w:rPr>
          <w:t>10.1002/adma.202517934</w:t>
        </w:r>
      </w:hyperlink>
    </w:p>
    <w:p>
      <w:pPr>
        <w:spacing w:before="0" w:after="120"/>
      </w:pPr>
      <w:r>
        <w:rPr>
          <w:b/>
        </w:rPr>
        <w:t xml:space="preserve">Notes: </w:t>
      </w:r>
      <w:r>
        <w:t>abstract_source=crossref</w:t>
      </w:r>
    </w:p>
    <w:p>
      <w:pPr>
        <w:spacing w:before="0" w:after="200" w:lineRule="auto" w:line="276"/>
      </w:pPr>
      <w:r>
        <w:rPr>
          <w:b/>
        </w:rPr>
        <w:t xml:space="preserve">Abstract: </w:t>
      </w:r>
      <w:r>
        <w:t>Bioorthogonal chemistry offers a promising approach for advancing chemoimmunotherapy, yet two critical challenges remain: (1) achieving deep tumor penetration of catalysts while ensuring precise tumor‐confined prodrug activation, and (2) reversing metabolic immunosuppression to potentiate immunotherapy efficacy. To tackle these issues, here we fabricate a bioorthogonal probiotic nanosystem (NP@ZIF‐8@Apt‐Lr) by engineering prodrug catalysts and an indoleamine 2,3‐dioxygenase (IDO) inhibitor onto AS1411 aptamer‐modified Lactobacillus reuteri (Lr). AS1411‐guided recognition and GSH‐responsive prodrug decaging provide a double guarantee for tumor‐selective drug activation, enabling localized tumor killing and further immunogenic cell death (ICD). Also, the inherent tumor‐homing properties of Lr endow the nanosystem with the ability of penetrating deep tissue. More crucially, the released IDO inhibitor blocks the immunosuppressive kynurenine pathway of tryptophan metabolism, while Lr redirects tryptophan metabolism toward the immunostimulatory indole‐3‐aldehyde pathway through host‐microbial crosstalk. Upon treatment, NP@ZIF‐8@Apt‐Lr overcomes immune tolerance and stimulates T lymphocyte infiltration into tumors. Furthermore, it significantly enhances the efficacy of chemoimmunotherapy by suppressing bilateral tumor development and inducing an immune memory response. This work presents a new strategy for enhancing bioorthogonal chemoimmunotherapy through precise prodrug activation and probiotic‐mediated metabolic reprogramming by host‐microbial crosstalk.</w:t>
      </w:r>
    </w:p>
    <w:p>
      <w:pPr>
        <w:spacing w:before="120" w:after="120"/>
      </w:pPr>
      <w:r>
        <w:rPr>
          <w:sz w:val="18"/>
        </w:rPr>
        <w:t>——————————————————————————————————————————————————————————————————————</w:t>
      </w:r>
    </w:p>
    <w:p>
      <w:pPr>
        <w:spacing w:before="160" w:after="80" w:line="240" w:lineRule="auto"/>
      </w:pPr>
      <w:r>
        <w:rPr>
          <w:b/>
        </w:rPr>
        <w:t xml:space="preserve">[503] </w:t>
      </w:r>
      <w:hyperlink r:id="rId884">
        <w:r>
          <w:rPr>
            <w:color w:val="1155CC"/>
            <w:u w:val="single"/>
          </w:rPr>
          <w:t>Spin‐Split Edge States in Metal‐Supported Graphene Nanoislands Obtained by CVD</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06:51:52+00:00</w:t>
      </w:r>
      <w:r>
        <w:t xml:space="preserve">    </w:t>
      </w:r>
      <w:r>
        <w:rPr>
          <w:b/>
        </w:rPr>
        <w:t xml:space="preserve">DOI: </w:t>
      </w:r>
      <w:hyperlink r:id="rId885">
        <w:r>
          <w:rPr>
            <w:color w:val="1155CC"/>
            <w:u w:val="single"/>
          </w:rPr>
          <w:t>10.1002/adma.202512943</w:t>
        </w:r>
      </w:hyperlink>
    </w:p>
    <w:p>
      <w:pPr>
        <w:spacing w:before="0" w:after="120"/>
      </w:pPr>
      <w:r>
        <w:rPr>
          <w:b/>
        </w:rPr>
        <w:t xml:space="preserve">Notes: </w:t>
      </w:r>
      <w:r>
        <w:t>abstract_source=crossref</w:t>
      </w:r>
    </w:p>
    <w:p>
      <w:pPr>
        <w:spacing w:before="0" w:after="200" w:lineRule="auto" w:line="276"/>
      </w:pPr>
      <w:r>
        <w:rPr>
          <w:b/>
        </w:rPr>
        <w:t xml:space="preserve">Abstract: </w:t>
      </w:r>
      <w:r>
        <w:t>Spin‐split states localized on zigzag edges have been predicted for different free‐standing graphene nanostructures. However, the stability of the edge magnetism can be severely compromised by interfacial interactions when supported on metallic substrates. This imposes a serious challenge for the surface‐assisted synthesis and characterization of magnetic graphene nanostructures, and their application in metal supports. In this work we demonstrate that graphene nanoislands with well‐defined zigzag edges, synthesized by ultra‐high vacuum chemical vapour deposition, can retrieve their spin‐split edge states by minimizing interfacial interactions through metal intercalation. Using scanning tunneling microscopy and spectroscopy we detect edge states with subnanometer spatial localization and 1.2 eV energy splitting, comparable to the spin‐polarized states predicted by ab‐initio calculations. The fabrication of magnetic nanographenes by CVD opens a new avenue for the fabrication of 2D nanostructures that cannot be achieved by on‐surface synthesis, and enables the implementation of demonstrated processes for scaling up synthesis.</w:t>
      </w:r>
    </w:p>
    <w:p>
      <w:pPr>
        <w:spacing w:before="120" w:after="120"/>
      </w:pPr>
      <w:r>
        <w:rPr>
          <w:sz w:val="18"/>
        </w:rPr>
        <w:t>——————————————————————————————————————————————————————————————————————</w:t>
      </w:r>
    </w:p>
    <w:p>
      <w:pPr>
        <w:spacing w:before="160" w:after="80" w:line="240" w:lineRule="auto"/>
      </w:pPr>
      <w:r>
        <w:rPr>
          <w:b/>
        </w:rPr>
        <w:t xml:space="preserve">[504] </w:t>
      </w:r>
      <w:hyperlink r:id="rId886">
        <w:r>
          <w:rPr>
            <w:color w:val="1155CC"/>
            <w:u w:val="single"/>
          </w:rPr>
          <w:t>A General Reverse Micelle‐Confined Strategy for the Facile Synthesis of 2D Conjugated MOF Colloids with Good Photothermal Properties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06:52:15+00:00</w:t>
      </w:r>
      <w:r>
        <w:t xml:space="preserve">    </w:t>
      </w:r>
      <w:r>
        <w:rPr>
          <w:b/>
        </w:rPr>
        <w:t xml:space="preserve">DOI: </w:t>
      </w:r>
      <w:hyperlink r:id="rId887">
        <w:r>
          <w:rPr>
            <w:color w:val="1155CC"/>
            <w:u w:val="single"/>
          </w:rPr>
          <w:t>10.1002/anie.202525678</w:t>
        </w:r>
      </w:hyperlink>
    </w:p>
    <w:p>
      <w:pPr>
        <w:spacing w:before="0" w:after="120"/>
      </w:pPr>
      <w:r>
        <w:rPr>
          <w:b/>
        </w:rPr>
        <w:t xml:space="preserve">Notes: </w:t>
      </w:r>
      <w:r>
        <w:t>abstract_source=crossref</w:t>
      </w:r>
    </w:p>
    <w:p>
      <w:pPr>
        <w:spacing w:before="0" w:after="200" w:lineRule="auto" w:line="276"/>
      </w:pPr>
      <w:r>
        <w:rPr>
          <w:b/>
        </w:rPr>
        <w:t xml:space="preserve">Abstract: </w:t>
      </w:r>
      <w:r>
        <w:t>Micelle‐confined synthesis is a well‐established bottom‐up strategy for nanomaterials synthesis, offering precise synthetic control and inherent dispersibility in solution. Herein, we pioneer a reverse micelle‐confined growth strategy for synthesizing two‐dimensional conjugated metal‐organic frameworks (2D</w:t>
      </w:r>
      <w:r>
        <w:t xml:space="preserve"> </w:t>
      </w:r>
      <w:r>
        <w:t>c</w:t>
      </w:r>
      <w:r>
        <w:t xml:space="preserve"> </w:t>
      </w:r>
      <w:r>
        <w:t>‐MOFs) colloids, including Cu/Zn/Mn‐HHTP. And scalable synthesis under mild conditions is also achieved. The confined space of micelle microenvironment effectively regulates the growth kinetics and stacking morphology, yielding nanoscale 2D</w:t>
      </w:r>
      <w:r>
        <w:t xml:space="preserve"> </w:t>
      </w:r>
      <w:r>
        <w:t>c</w:t>
      </w:r>
      <w:r>
        <w:t xml:space="preserve"> </w:t>
      </w:r>
      <w:r>
        <w:t>‐MOFs in minutes that form stable colloids in various solvents for over 20 days. Considering the efficient visible‐near infrared absorption in addition to the strong light‐matter interactions of the 2D</w:t>
      </w:r>
      <w:r>
        <w:t xml:space="preserve"> </w:t>
      </w:r>
      <w:r>
        <w:t>c</w:t>
      </w:r>
      <w:r>
        <w:t xml:space="preserve"> </w:t>
      </w:r>
      <w:r>
        <w:t>‐MOF colloids, an exceptional photothermal conversion efficiency of 80.3% is achieved under 880 nm laser irradiation, which outperforms most other 2D photothermal materials. Leveraging this, the material served as an efficient catalyst toward the selective oxidation of a chemical warfare agent simulant (i.e., 2‐chloroethyl ethyl sulfide, CEES) under visible light, reaching near 100% yield to non‐toxic sulfoxide with extremely low 2D</w:t>
      </w:r>
      <w:r>
        <w:t xml:space="preserve"> </w:t>
      </w:r>
      <w:r>
        <w:t>c</w:t>
      </w:r>
      <w:r>
        <w:t xml:space="preserve"> </w:t>
      </w:r>
      <w:r>
        <w:t>‐MOFs usage. Our work highlights that micelle‐confined synthesis serves as an efficient, energy‐saving, and green strategy for fabricating 2D</w:t>
      </w:r>
      <w:r>
        <w:t xml:space="preserve"> </w:t>
      </w:r>
      <w:r>
        <w:t>c</w:t>
      </w:r>
      <w:r>
        <w:t xml:space="preserve"> </w:t>
      </w:r>
      <w:r>
        <w:t>‐MOF colloids, paving the way for their applications in catalysis and beyond.</w:t>
      </w:r>
    </w:p>
    <w:p>
      <w:pPr>
        <w:spacing w:before="120" w:after="120"/>
      </w:pPr>
      <w:r>
        <w:rPr>
          <w:sz w:val="18"/>
        </w:rPr>
        <w:t>——————————————————————————————————————————————————————————————————————</w:t>
      </w:r>
    </w:p>
    <w:p>
      <w:pPr>
        <w:spacing w:before="160" w:after="80" w:line="240" w:lineRule="auto"/>
      </w:pPr>
      <w:r>
        <w:rPr>
          <w:b/>
        </w:rPr>
        <w:t xml:space="preserve">[505] </w:t>
      </w:r>
      <w:hyperlink r:id="rId888">
        <w:r>
          <w:rPr>
            <w:color w:val="1155CC"/>
            <w:u w:val="single"/>
          </w:rPr>
          <w:t>Balancing Performance and Device Complexity in Single‐Point Miniaturized Spectrometers via Multi‐Peak Modulation Strategies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06:58:51+00:00</w:t>
      </w:r>
      <w:r>
        <w:t xml:space="preserve">    </w:t>
      </w:r>
      <w:r>
        <w:rPr>
          <w:b/>
        </w:rPr>
        <w:t xml:space="preserve">DOI: </w:t>
      </w:r>
      <w:hyperlink r:id="rId889">
        <w:r>
          <w:rPr>
            <w:color w:val="1155CC"/>
            <w:u w:val="single"/>
          </w:rPr>
          <w:t>10.1002/adma.202520521</w:t>
        </w:r>
      </w:hyperlink>
    </w:p>
    <w:p>
      <w:pPr>
        <w:spacing w:before="0" w:after="120"/>
      </w:pPr>
      <w:r>
        <w:rPr>
          <w:b/>
        </w:rPr>
        <w:t xml:space="preserve">Notes: </w:t>
      </w:r>
      <w:r>
        <w:t>abstract_source=crossref</w:t>
      </w:r>
    </w:p>
    <w:p>
      <w:pPr>
        <w:spacing w:before="0" w:after="200" w:lineRule="auto" w:line="276"/>
      </w:pPr>
      <w:r>
        <w:rPr>
          <w:b/>
        </w:rPr>
        <w:t xml:space="preserve">Abstract: </w:t>
      </w:r>
      <w:r>
        <w:t>Balancing resolution, complexity, bandwidth, power, and scalability is essential for advancing single‐point miniaturized spectrometers from lab prototypes to practical portable and integrated photonic systems. In this paper, we present a high‐performance two‐terminal asymmetric back‐to‐back organic spectrometer (BTBOS) that utilizes a bias‐controlled multi‐peak modulation strategy to mitigate the ill‐posed inverse problem common in single‐point architectures. The device achieves a 1 nm spectral resolution across the broad 300–1000 nm range, with a ∼0.25 nm peak error and &amp;lt;2% spectral crosstalk, using only a low driving voltage of 0.6 V. The device further features a structurally simple design along with remarkable stability and reproducibility. In addition, we demonstrate its practical applicability in spectral imaging. This scalable and energy‐efficient approach paves the way for practical and commercial use of miniaturized spectrometers in wearable and on‐chip optical systems.</w:t>
      </w:r>
    </w:p>
    <w:p>
      <w:pPr>
        <w:spacing w:before="120" w:after="120"/>
      </w:pPr>
      <w:r>
        <w:rPr>
          <w:sz w:val="18"/>
        </w:rPr>
        <w:t>——————————————————————————————————————————————————————————————————————</w:t>
      </w:r>
    </w:p>
    <w:p>
      <w:pPr>
        <w:spacing w:before="160" w:after="80" w:line="240" w:lineRule="auto"/>
      </w:pPr>
      <w:r>
        <w:rPr>
          <w:b/>
        </w:rPr>
        <w:t xml:space="preserve">[506] </w:t>
      </w:r>
      <w:hyperlink r:id="rId890">
        <w:r>
          <w:rPr>
            <w:color w:val="1155CC"/>
            <w:u w:val="single"/>
          </w:rPr>
          <w:t>Metal‐Free Nanoarchitectonics of Fluorescent Transparent Materials via Co‐Assembling Non‐Aromatic Amino Acids and Tetrafluorophthalic Acid for Adhesion, Coating, and Information Encryption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07:02:19+00:00</w:t>
      </w:r>
      <w:r>
        <w:t xml:space="preserve">    </w:t>
      </w:r>
      <w:r>
        <w:rPr>
          <w:b/>
        </w:rPr>
        <w:t xml:space="preserve">DOI: </w:t>
      </w:r>
      <w:hyperlink r:id="rId891">
        <w:r>
          <w:rPr>
            <w:color w:val="1155CC"/>
            <w:u w:val="single"/>
          </w:rPr>
          <w:t>10.1002/adma.202517671</w:t>
        </w:r>
      </w:hyperlink>
    </w:p>
    <w:p>
      <w:pPr>
        <w:spacing w:before="0" w:after="120"/>
      </w:pPr>
      <w:r>
        <w:rPr>
          <w:b/>
        </w:rPr>
        <w:t xml:space="preserve">Notes: </w:t>
      </w:r>
      <w:r>
        <w:t>abstract_source=crossref</w:t>
      </w:r>
    </w:p>
    <w:p>
      <w:pPr>
        <w:spacing w:before="0" w:after="200" w:lineRule="auto" w:line="276"/>
      </w:pPr>
      <w:r>
        <w:rPr>
          <w:b/>
        </w:rPr>
        <w:t xml:space="preserve">Abstract: </w:t>
      </w:r>
      <w:r>
        <w:t>Realizing fluorescence emission from non‐aromatic amino acids is a difficult challenge in the development of optical materials in the absence of polymeric backbones and covalent cross‐linkers. Herein, a non‐covalent approach is used to fabricate a series of bulk glasses exhibiting strong fluorescence from non‐aromatic amino acids (ʟ‐arginine, ʟ‐lysine, ʟ‐proline, and ʟ‐histidine) by co‐assembling them with tetrafluorophthalic acid (</w:t>
      </w:r>
      <w:r>
        <w:t xml:space="preserve"> </w:t>
      </w:r>
      <w:r>
        <w:t>FA</w:t>
      </w:r>
      <w:r>
        <w:t xml:space="preserve"> </w:t>
      </w:r>
      <w:r>
        <w:t>).</w:t>
      </w:r>
      <w:r>
        <w:t xml:space="preserve"> </w:t>
      </w:r>
      <w:r>
        <w:t>FA</w:t>
      </w:r>
      <w:r>
        <w:t xml:space="preserve"> </w:t>
      </w:r>
      <w:r>
        <w:t>, amino acids, and non‐covalent bonding between them play essential roles in both glass formation and fluorescent properties. The high viscosity and rapid annealing process of the glass formation process effectively prevent the crystallization and packing of</w:t>
      </w:r>
      <w:r>
        <w:t xml:space="preserve"> </w:t>
      </w:r>
      <w:r>
        <w:t>FA</w:t>
      </w:r>
      <w:r>
        <w:t xml:space="preserve"> </w:t>
      </w:r>
      <w:r>
        <w:t>and amino acids, slow the free internal rotations of the amino acids, and reduce the intermolecular collisions, thus increasing the fluorescence emissions of glasses.</w:t>
      </w:r>
      <w:r>
        <w:t xml:space="preserve"> </w:t>
      </w:r>
      <w:r>
        <w:t>FA</w:t>
      </w:r>
      <w:r>
        <w:t xml:space="preserve"> </w:t>
      </w:r>
      <w:r>
        <w:t>‐amino acids glasses display high fluorescence quantum yields (&amp;gt; 44%) and large Stokes shifts. Their fluorescence performance is maintained even under various harsh conditions, including low temperatures, exposure to organic solvents, and coating with porous materials. Based on their robust anti‐freezing adhesion capacity (4.77 MPa at −40°C, 3.30 MPa at −196°C) and long‐term stable solid‐state luminescence characteristics, these materials show great potential as fluorescent coatings and labeling agents suitable for use at low temperatures.</w:t>
      </w:r>
    </w:p>
    <w:p>
      <w:pPr>
        <w:spacing w:before="120" w:after="120"/>
      </w:pPr>
      <w:r>
        <w:rPr>
          <w:sz w:val="18"/>
        </w:rPr>
        <w:t>——————————————————————————————————————————————————————————————————————</w:t>
      </w:r>
    </w:p>
    <w:p>
      <w:pPr>
        <w:spacing w:before="160" w:after="80" w:line="240" w:lineRule="auto"/>
      </w:pPr>
      <w:r>
        <w:rPr>
          <w:b/>
        </w:rPr>
        <w:t xml:space="preserve">[507] </w:t>
      </w:r>
      <w:hyperlink r:id="rId892">
        <w:r>
          <w:rPr>
            <w:color w:val="1155CC"/>
            <w:u w:val="single"/>
          </w:rPr>
          <w:t>Dual‐Exciplex White OLEDs for Natural‐Quality Lighting and Optical Data Transmission</w:t>
        </w:r>
      </w:hyperlink>
    </w:p>
    <w:p>
      <w:pPr>
        <w:spacing w:before="0" w:after="120" w:line="240" w:lineRule="auto"/>
      </w:pPr>
      <w:r>
        <w:rPr>
          <w:b/>
        </w:rPr>
        <w:t xml:space="preserve">Source: </w:t>
      </w:r>
      <w:r>
        <w:t>Wiley: Advanced Materials: Table of Contents</w:t>
      </w:r>
      <w:r>
        <w:t xml:space="preserve">    </w:t>
      </w:r>
      <w:r>
        <w:rPr>
          <w:b/>
        </w:rPr>
        <w:t xml:space="preserve">Pub date: </w:t>
      </w:r>
      <w:r>
        <w:t>2025-12-27 07:04:25+00:00</w:t>
      </w:r>
      <w:r>
        <w:t xml:space="preserve">    </w:t>
      </w:r>
      <w:r>
        <w:rPr>
          <w:b/>
        </w:rPr>
        <w:t xml:space="preserve">DOI: </w:t>
      </w:r>
      <w:hyperlink r:id="rId893">
        <w:r>
          <w:rPr>
            <w:color w:val="1155CC"/>
            <w:u w:val="single"/>
          </w:rPr>
          <w:t>10.1002/adma.202519228</w:t>
        </w:r>
      </w:hyperlink>
    </w:p>
    <w:p>
      <w:pPr>
        <w:spacing w:before="0" w:after="120"/>
      </w:pPr>
      <w:r>
        <w:rPr>
          <w:b/>
        </w:rPr>
        <w:t xml:space="preserve">Notes: </w:t>
      </w:r>
      <w:r>
        <w:t>abstract_source=crossref</w:t>
      </w:r>
    </w:p>
    <w:p>
      <w:pPr>
        <w:spacing w:before="0" w:after="200" w:lineRule="auto" w:line="276"/>
      </w:pPr>
      <w:r>
        <w:rPr>
          <w:b/>
        </w:rPr>
        <w:t xml:space="preserve">Abstract: </w:t>
      </w:r>
      <w:r>
        <w:t>The integration of high‐quality organic solid‐state lighting with high‐speed optical wireless communication offers an innovative pathway toward next‐generation optoelectronic devices. Here, we report a structurally simplified white organic light‐emitting diode (WOLED) that achieves seamless integration of natural‐light‐quality illumination and visible light communication (VLC) using a unique dual‐exciplex architecture. Central to this design is a versatile organic layer of PPCzTrz that serves as both an electron donor and acceptor at two distinct interfaces, establishing complementary charge‐transport pathways and a voltage‐controlled dynamic shift of the exciton recombination zone. This spatial redistribution balances blue and green exciplex emissions, while Förster resonance energy transfer (FRET) sequentially funnels energy to strategically positioned green, orange, and red phosphorescent ultrathin layers. The resulting multi‐path exciton management strategy ensures spectrally stable white light from 400 to 700 nm, yielding a record‐high color rendering index (CRI = 97), a peak external quantum efficiency of 27.0%, and a power efficiency of 85.8 lm W</w:t>
      </w:r>
      <w:r>
        <w:t xml:space="preserve"> </w:t>
      </w:r>
      <w:r>
        <w:t>−1</w:t>
      </w:r>
      <w:r>
        <w:t xml:space="preserve"> </w:t>
      </w:r>
      <w:r>
        <w:t>. The same device enables high‐speed VLC with a data rate of 14.0 Mbps. This work provides a scalable and energy‐efficient platform that simultaneously addresses the needs of high‐quality lighting and optical data transmission, paving the way for smart lighting systems and fully organic integrated optoelectronics.</w:t>
      </w:r>
    </w:p>
    <w:p>
      <w:pPr>
        <w:spacing w:before="120" w:after="120"/>
      </w:pPr>
      <w:r>
        <w:rPr>
          <w:sz w:val="18"/>
        </w:rPr>
        <w:t>——————————————————————————————————————————————————————————————————————</w:t>
      </w:r>
    </w:p>
    <w:p>
      <w:pPr>
        <w:spacing w:before="160" w:after="80" w:line="240" w:lineRule="auto"/>
      </w:pPr>
      <w:r>
        <w:rPr>
          <w:b/>
        </w:rPr>
        <w:t xml:space="preserve">[508] </w:t>
      </w:r>
      <w:hyperlink r:id="rId894">
        <w:r>
          <w:rPr>
            <w:color w:val="1155CC"/>
            <w:u w:val="single"/>
          </w:rPr>
          <w:t>Nickel‐Catalyzed Chemo‐ and Diastereoselective Dearomative Dialkylation of Indoles with Two Different Alkyl Halides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07:05:09+00:00</w:t>
      </w:r>
      <w:r>
        <w:t xml:space="preserve">    </w:t>
      </w:r>
      <w:r>
        <w:rPr>
          <w:b/>
        </w:rPr>
        <w:t xml:space="preserve">DOI: </w:t>
      </w:r>
      <w:hyperlink r:id="rId895">
        <w:r>
          <w:rPr>
            <w:color w:val="1155CC"/>
            <w:u w:val="single"/>
          </w:rPr>
          <w:t>10.1002/anie.202520330</w:t>
        </w:r>
      </w:hyperlink>
    </w:p>
    <w:p>
      <w:pPr>
        <w:spacing w:before="0" w:after="120"/>
      </w:pPr>
      <w:r>
        <w:rPr>
          <w:b/>
        </w:rPr>
        <w:t xml:space="preserve">Notes: </w:t>
      </w:r>
      <w:r>
        <w:t>abstract_source=crossref</w:t>
      </w:r>
    </w:p>
    <w:p>
      <w:pPr>
        <w:spacing w:before="0" w:after="200" w:lineRule="auto" w:line="276"/>
      </w:pPr>
      <w:r>
        <w:rPr>
          <w:b/>
        </w:rPr>
        <w:t xml:space="preserve">Abstract: </w:t>
      </w:r>
      <w:r>
        <w:t>The catalytic dearomative dicarbofunctionalization of indoles constitutes one of the most efficient ways to access poly‐substituted indolines that are prevalent in many natural products and drugs. However, despite significant advances, three component dearomative dicarbofunctionalization of indoles has remained elusive. Herein, we report an unprecedented nickel‐catalyzed dearomative dialkylation of indoles with two different alkyl halides via three component cross‐electrophile coupling under mild conditions with the construction of two vicinal C(sp</w:t>
      </w:r>
      <w:r>
        <w:rPr>
          <w:vertAlign w:val="subscript"/>
        </w:rPr>
        <w:t>3</w:t>
      </w:r>
      <w:r>
        <w:t>)─C(sp</w:t>
      </w:r>
      <w:r>
        <w:rPr>
          <w:vertAlign w:val="subscript"/>
        </w:rPr>
        <w:t>3</w:t>
      </w:r>
      <w:r>
        <w:t>) bonds at C2 and C3 sites. The catalytic protocol offers an efficient and straightforward route for the modular assembly of diverse carbon quaternary center‐containing dialkylated indoline derivatives with a broad substrate scope (75 examples), excellent functional group tolerance and high chemo‐ and diastereoselectivities. Mechanistic studies, combining a series of experiments and DFT calculations, reveal that the catalytic reaction proceeds via a radical pathway.</w:t>
      </w:r>
    </w:p>
    <w:p>
      <w:pPr>
        <w:spacing w:before="120" w:after="120"/>
      </w:pPr>
      <w:r>
        <w:rPr>
          <w:sz w:val="18"/>
        </w:rPr>
        <w:t>——————————————————————————————————————————————————————————————————————</w:t>
      </w:r>
    </w:p>
    <w:p>
      <w:pPr>
        <w:spacing w:before="160" w:after="80" w:line="240" w:lineRule="auto"/>
      </w:pPr>
      <w:r>
        <w:rPr>
          <w:b/>
        </w:rPr>
        <w:t xml:space="preserve">[509] </w:t>
      </w:r>
      <w:hyperlink r:id="rId896">
        <w:r>
          <w:rPr>
            <w:color w:val="1155CC"/>
            <w:u w:val="single"/>
          </w:rPr>
          <w:t>Precision‐Engineered Electronic Modulation of Ruthenium Clusters and Single Atoms on Vacancy‐Rich α‐MoC1‐x Enables Efficient Electrocatalytic Water Splitting</w:t>
        </w:r>
      </w:hyperlink>
    </w:p>
    <w:p>
      <w:pPr>
        <w:spacing w:before="0" w:after="120" w:line="240" w:lineRule="auto"/>
      </w:pPr>
      <w:r>
        <w:rPr>
          <w:b/>
        </w:rPr>
        <w:t xml:space="preserve">Source: </w:t>
      </w:r>
      <w:r>
        <w:t>Wiley: Advanced Materials: Table of Contents</w:t>
      </w:r>
      <w:r>
        <w:t xml:space="preserve">    </w:t>
      </w:r>
      <w:r>
        <w:rPr>
          <w:b/>
        </w:rPr>
        <w:t xml:space="preserve">Pub date: </w:t>
      </w:r>
      <w:r>
        <w:t>2025-12-27 09:49:13+00:00</w:t>
      </w:r>
      <w:r>
        <w:t xml:space="preserve">    </w:t>
      </w:r>
      <w:r>
        <w:rPr>
          <w:b/>
        </w:rPr>
        <w:t xml:space="preserve">DOI: </w:t>
      </w:r>
      <w:hyperlink r:id="rId897">
        <w:r>
          <w:rPr>
            <w:color w:val="1155CC"/>
            <w:u w:val="single"/>
          </w:rPr>
          <w:t>10.1002/adma.202519840</w:t>
        </w:r>
      </w:hyperlink>
    </w:p>
    <w:p>
      <w:pPr>
        <w:spacing w:before="0" w:after="120"/>
      </w:pPr>
      <w:r>
        <w:rPr>
          <w:b/>
        </w:rPr>
        <w:t xml:space="preserve">Notes: </w:t>
      </w:r>
      <w:r>
        <w:t>abstract_source=crossref</w:t>
      </w:r>
    </w:p>
    <w:p>
      <w:pPr>
        <w:spacing w:before="0" w:after="200" w:lineRule="auto" w:line="276"/>
      </w:pPr>
      <w:r>
        <w:rPr>
          <w:b/>
        </w:rPr>
        <w:t xml:space="preserve">Abstract: </w:t>
      </w:r>
      <w:r>
        <w:t>Maximizing the utilization of active metals while maintaining efficient catalytic activity is of great importance for electrocatalytic alkaline hydrogen evolution reaction. Herein, we report a facile pyrolysis strategy to anchor Ru clusters and adjacent Ru single atoms on α‐MoC</w:t>
      </w:r>
      <w:r>
        <w:t xml:space="preserve"> </w:t>
      </w:r>
      <w:r>
        <w:t>1‐x</w:t>
      </w:r>
      <w:r>
        <w:t xml:space="preserve"> </w:t>
      </w:r>
      <w:r>
        <w:t>coated carbon nanospheres (termed as Ru</w:t>
      </w:r>
      <w:r>
        <w:t xml:space="preserve"> </w:t>
      </w:r>
      <w:r>
        <w:t>CS/SA</w:t>
      </w:r>
      <w:r>
        <w:t xml:space="preserve"> </w:t>
      </w:r>
      <w:r>
        <w:t>/α‐MoC</w:t>
      </w:r>
      <w:r>
        <w:t xml:space="preserve"> </w:t>
      </w:r>
      <w:r>
        <w:t>1‐x</w:t>
      </w:r>
      <w:r>
        <w:t xml:space="preserve"> </w:t>
      </w:r>
      <w:r>
        <w:t>/C). Theoretical calculations combined with in situ characterizations reveal that an electron‐bridging mechanism whereby Ru single atoms donate electrons to the defective α‐MoC</w:t>
      </w:r>
      <w:r>
        <w:t xml:space="preserve"> </w:t>
      </w:r>
      <w:r>
        <w:t>1‐</w:t>
      </w:r>
      <w:r>
        <w:t xml:space="preserve"> </w:t>
      </w:r>
      <w:r>
        <w:t>x</w:t>
      </w:r>
      <w:r>
        <w:t xml:space="preserve"> </w:t>
      </w:r>
      <w:r>
        <w:t>, which subsequently transfers electron to Ru clusters, enabling a cooperative modulation of the electronic structure across different types of Ru sites. Therefore, the dual excitation of Ru single atoms and α‐MoC</w:t>
      </w:r>
      <w:r>
        <w:t xml:space="preserve"> </w:t>
      </w:r>
      <w:r>
        <w:t>1‐x</w:t>
      </w:r>
      <w:r>
        <w:t xml:space="preserve"> </w:t>
      </w:r>
      <w:r>
        <w:t>weakens the binding strength between Ru clusters and H*, accelerates the desorption of H</w:t>
      </w:r>
      <w:r>
        <w:rPr>
          <w:vertAlign w:val="subscript"/>
        </w:rPr>
        <w:t>2</w:t>
      </w:r>
      <w:r>
        <w:t>. The as‐obtained 3%‐Ru</w:t>
      </w:r>
      <w:r>
        <w:t xml:space="preserve"> </w:t>
      </w:r>
      <w:r>
        <w:t>CS/SA</w:t>
      </w:r>
      <w:r>
        <w:t xml:space="preserve"> </w:t>
      </w:r>
      <w:r>
        <w:t>/α‐MoC</w:t>
      </w:r>
      <w:r>
        <w:t xml:space="preserve"> </w:t>
      </w:r>
      <w:r>
        <w:t>1‐x</w:t>
      </w:r>
      <w:r>
        <w:t xml:space="preserve"> </w:t>
      </w:r>
      <w:r>
        <w:t>/C sample attains an excellent overpotential of 9 mV at 10 mA cm</w:t>
      </w:r>
      <w:r>
        <w:t xml:space="preserve"> </w:t>
      </w:r>
      <w:r>
        <w:t>−2</w:t>
      </w:r>
      <w:r>
        <w:t xml:space="preserve"> </w:t>
      </w:r>
      <w:r>
        <w:t>along with a mass activity of 20.38 A mg</w:t>
      </w:r>
      <w:r>
        <w:t xml:space="preserve"> </w:t>
      </w:r>
      <w:r>
        <w:t>−1</w:t>
      </w:r>
      <w:r>
        <w:t xml:space="preserve"> </w:t>
      </w:r>
      <w:r>
        <w:t>Ru</w:t>
      </w:r>
      <w:r>
        <w:t xml:space="preserve"> </w:t>
      </w:r>
      <w:r>
        <w:t>(‐100 mV) and a turnover frequency of 1.71 H</w:t>
      </w:r>
      <w:r>
        <w:rPr>
          <w:vertAlign w:val="subscript"/>
        </w:rPr>
        <w:t>2</w:t>
      </w:r>
      <w:r>
        <w:t>s</w:t>
      </w:r>
      <w:r>
        <w:t xml:space="preserve"> </w:t>
      </w:r>
      <w:r>
        <w:t>−1</w:t>
      </w:r>
      <w:r>
        <w:t xml:space="preserve"> </w:t>
      </w:r>
      <w:r>
        <w:t>at 25 mV, which is larger than those of 20% Pt/C. Moreover, Both the anion exchange membrane water electrolysis cells and Zn–H</w:t>
      </w:r>
      <w:r>
        <w:rPr>
          <w:vertAlign w:val="subscript"/>
        </w:rPr>
        <w:t>2</w:t>
      </w:r>
      <w:r>
        <w:t>O batteries employing 3%‐Ru</w:t>
      </w:r>
      <w:r>
        <w:t xml:space="preserve"> </w:t>
      </w:r>
      <w:r>
        <w:t>CS/SA</w:t>
      </w:r>
      <w:r>
        <w:t xml:space="preserve"> </w:t>
      </w:r>
      <w:r>
        <w:t>/α‐MoC</w:t>
      </w:r>
      <w:r>
        <w:t xml:space="preserve"> </w:t>
      </w:r>
      <w:r>
        <w:t>1‐x</w:t>
      </w:r>
      <w:r>
        <w:t xml:space="preserve"> </w:t>
      </w:r>
      <w:r>
        <w:t>/C as the cathode electrocatalyst exhibit exceptional performance.</w:t>
      </w:r>
    </w:p>
    <w:p>
      <w:pPr>
        <w:spacing w:before="120" w:after="120"/>
      </w:pPr>
      <w:r>
        <w:rPr>
          <w:sz w:val="18"/>
        </w:rPr>
        <w:t>——————————————————————————————————————————————————————————————————————</w:t>
      </w:r>
    </w:p>
    <w:p>
      <w:pPr>
        <w:spacing w:before="160" w:after="80" w:line="240" w:lineRule="auto"/>
      </w:pPr>
      <w:r>
        <w:rPr>
          <w:b/>
        </w:rPr>
        <w:t xml:space="preserve">[510] </w:t>
      </w:r>
      <w:hyperlink r:id="rId898">
        <w:r>
          <w:rPr>
            <w:color w:val="1155CC"/>
            <w:u w:val="single"/>
          </w:rPr>
          <w:t>Highly Efficient and Stable All‐Weather Moisture Power Generation via Asymmetric Structured Color Photothermal Evaporation‐Induced Cotton Fabrics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09:49:33+00:00</w:t>
      </w:r>
      <w:r>
        <w:t xml:space="preserve">    </w:t>
      </w:r>
      <w:r>
        <w:rPr>
          <w:b/>
        </w:rPr>
        <w:t xml:space="preserve">DOI: </w:t>
      </w:r>
      <w:hyperlink r:id="rId899">
        <w:r>
          <w:rPr>
            <w:color w:val="1155CC"/>
            <w:u w:val="single"/>
          </w:rPr>
          <w:t>10.1002/adma.202518736</w:t>
        </w:r>
      </w:hyperlink>
    </w:p>
    <w:p>
      <w:pPr>
        <w:spacing w:before="0" w:after="120"/>
      </w:pPr>
      <w:r>
        <w:rPr>
          <w:b/>
        </w:rPr>
        <w:t xml:space="preserve">Notes: </w:t>
      </w:r>
      <w:r>
        <w:t>abstract_source=crossref</w:t>
      </w:r>
    </w:p>
    <w:p>
      <w:pPr>
        <w:spacing w:before="0" w:after="200" w:lineRule="auto" w:line="276"/>
      </w:pPr>
      <w:r>
        <w:rPr>
          <w:b/>
        </w:rPr>
        <w:t xml:space="preserve">Abstract: </w:t>
      </w:r>
      <w:r>
        <w:t>Harvesting electrical energy from the ubiquitous water cycle to power flexible electronic devices is receiving increasing attention. However, the development of moisture‐driven generators with high and stable power output remains a significant challenge. Here, we design a photothermal evaporation‐driven moisture generator (PEMG) that modifies a cotton fabric with in situ polymerized pyrrole by a polydopamine (PDA)‐structured color film to form an asymmetric photothermal temperature gradient. The PDA asymmetric photothermal layer not only effectively addresses the issue of insufficient sustained power generation caused by water adsorption saturation but also mitigates the unstable moisture gradient resulting from excessive water evaporation. CF@PPy@PDA (purple) achieved an open‐circuit voltage (</w:t>
      </w:r>
      <w:r>
        <w:t xml:space="preserve"> </w:t>
      </w:r>
      <w:r>
        <w:t>V</w:t>
      </w:r>
      <w:r>
        <w:t xml:space="preserve"> </w:t>
      </w:r>
      <w:r>
        <w:t>oc</w:t>
      </w:r>
      <w:r>
        <w:t xml:space="preserve"> </w:t>
      </w:r>
      <w:r>
        <w:t>) of 0.74 V and a short‐circuit current (</w:t>
      </w:r>
      <w:r>
        <w:t xml:space="preserve"> </w:t>
      </w:r>
      <w:r>
        <w:t>I</w:t>
      </w:r>
      <w:r>
        <w:t xml:space="preserve"> </w:t>
      </w:r>
      <w:r>
        <w:t>sc</w:t>
      </w:r>
      <w:r>
        <w:t xml:space="preserve"> </w:t>
      </w:r>
      <w:r>
        <w:t>) of 0.72 mA under 60% relative humidity (RH) and 1‐sun illumination, respectively. White LED bulbs emit a steady stream of light for more than 24 h. Moreover, the</w:t>
      </w:r>
      <w:r>
        <w:t xml:space="preserve"> </w:t>
      </w:r>
      <w:r>
        <w:t>V</w:t>
      </w:r>
      <w:r>
        <w:t xml:space="preserve"> </w:t>
      </w:r>
      <w:r>
        <w:t>oc</w:t>
      </w:r>
      <w:r>
        <w:t xml:space="preserve"> </w:t>
      </w:r>
      <w:r>
        <w:t>of the PEMG (six units in series) reaches 1.18 V at an average solar intensity of 1000 W m</w:t>
      </w:r>
      <w:r>
        <w:t xml:space="preserve"> </w:t>
      </w:r>
      <w:r>
        <w:t>−2</w:t>
      </w:r>
      <w:r>
        <w:t xml:space="preserve"> </w:t>
      </w:r>
      <w:r>
        <w:t>and 43% RH, while the</w:t>
      </w:r>
      <w:r>
        <w:t xml:space="preserve"> </w:t>
      </w:r>
      <w:r>
        <w:t>V</w:t>
      </w:r>
      <w:r>
        <w:t xml:space="preserve"> </w:t>
      </w:r>
      <w:r>
        <w:t>oc</w:t>
      </w:r>
      <w:r>
        <w:t xml:space="preserve"> </w:t>
      </w:r>
      <w:r>
        <w:t>is 0.72 V at night (52% RH). Meanwhile, wearable systems designed with integrated PEMG units provide sufficient power supply for electronic devices under natural conditions.</w:t>
      </w:r>
    </w:p>
    <w:p>
      <w:pPr>
        <w:spacing w:before="120" w:after="120"/>
      </w:pPr>
      <w:r>
        <w:rPr>
          <w:sz w:val="18"/>
        </w:rPr>
        <w:t>——————————————————————————————————————————————————————————————————————</w:t>
      </w:r>
    </w:p>
    <w:p>
      <w:pPr>
        <w:spacing w:before="160" w:after="80" w:line="240" w:lineRule="auto"/>
      </w:pPr>
      <w:r>
        <w:rPr>
          <w:b/>
        </w:rPr>
        <w:t xml:space="preserve">[511] </w:t>
      </w:r>
      <w:hyperlink r:id="rId900">
        <w:r>
          <w:rPr>
            <w:color w:val="1155CC"/>
            <w:u w:val="single"/>
          </w:rPr>
          <w:t>Single Halide Electrolytes for High‐Performance Mn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09:51:02+00:00</w:t>
      </w:r>
      <w:r>
        <w:t xml:space="preserve">    </w:t>
      </w:r>
      <w:r>
        <w:rPr>
          <w:b/>
        </w:rPr>
        <w:t xml:space="preserve">DOI: </w:t>
      </w:r>
      <w:hyperlink r:id="rId901">
        <w:r>
          <w:rPr>
            <w:color w:val="1155CC"/>
            <w:u w:val="single"/>
          </w:rPr>
          <w:t>10.1002/anie.202525344</w:t>
        </w:r>
      </w:hyperlink>
    </w:p>
    <w:p>
      <w:pPr>
        <w:spacing w:before="0" w:after="120"/>
      </w:pPr>
      <w:r>
        <w:rPr>
          <w:b/>
        </w:rPr>
        <w:t xml:space="preserve">Notes: </w:t>
      </w:r>
      <w:r>
        <w:t>abstract_source=crossref</w:t>
      </w:r>
    </w:p>
    <w:p>
      <w:pPr>
        <w:spacing w:before="0" w:after="200" w:lineRule="auto" w:line="276"/>
      </w:pPr>
      <w:r>
        <w:rPr>
          <w:b/>
        </w:rPr>
        <w:t xml:space="preserve">Abstract: </w:t>
      </w:r>
      <w:r>
        <w:t>Rechargeable manganese (Mn) batteries have risen as a highly promising battery technology for sustainable energy storage due to rich abundance, high capacity and low working potential of Mn metal. The key challenge lies at developing advanced Mn‐based electrolyte ensuring reversible Mn plating/stripping. Herein, we report new Mn electrolytes based on low‐cost single halide (MnBr</w:t>
      </w:r>
      <w:r>
        <w:rPr>
          <w:vertAlign w:val="subscript"/>
        </w:rPr>
        <w:t>2</w:t>
      </w:r>
      <w:r>
        <w:t>or MnCl</w:t>
      </w:r>
      <w:r>
        <w:rPr>
          <w:vertAlign w:val="subscript"/>
        </w:rPr>
        <w:t>2</w:t>
      </w:r>
      <w:r>
        <w:t>), relative to the benchmark hybrid system (MnCl</w:t>
      </w:r>
      <w:r>
        <w:rPr>
          <w:vertAlign w:val="subscript"/>
        </w:rPr>
        <w:t>2</w:t>
      </w:r>
      <w:r>
        <w:t>‐AlCl</w:t>
      </w:r>
      <w:r>
        <w:rPr>
          <w:vertAlign w:val="subscript"/>
        </w:rPr>
        <w:t>3</w:t>
      </w:r>
      <w:r>
        <w:t>‐Mn(TFSI)</w:t>
      </w:r>
      <w:r>
        <w:rPr>
          <w:vertAlign w:val="subscript"/>
        </w:rPr>
        <w:t>2</w:t>
      </w:r>
      <w:r>
        <w:t>; TFSI = bis(trifluoromethanesulphonyl)imide), for high‐performance Mn metal batteries (MMBs). In the optimized solvent system, for instance, MnBr</w:t>
      </w:r>
      <w:r>
        <w:rPr>
          <w:vertAlign w:val="subscript"/>
        </w:rPr>
        <w:t>2</w:t>
      </w:r>
      <w:r>
        <w:t>dissociates as various solvated [MnBr</w:t>
      </w:r>
      <w:r>
        <w:t xml:space="preserve"> </w:t>
      </w:r>
      <w:r>
        <w:t>x</w:t>
      </w:r>
      <w:r>
        <w:t xml:space="preserve"> </w:t>
      </w:r>
      <w:r>
        <w:t>]</w:t>
      </w:r>
      <w:r>
        <w:t xml:space="preserve"> </w:t>
      </w:r>
      <w:r>
        <w:t>2−</w:t>
      </w:r>
      <w:r>
        <w:t xml:space="preserve"> </w:t>
      </w:r>
      <w:r>
        <w:t>x</w:t>
      </w:r>
      <w:r>
        <w:t xml:space="preserve"> </w:t>
      </w:r>
      <w:r>
        <w:t>(0 ≤</w:t>
      </w:r>
      <w:r>
        <w:t xml:space="preserve"> </w:t>
      </w:r>
      <w:r>
        <w:t>x</w:t>
      </w:r>
      <w:r>
        <w:t xml:space="preserve"> </w:t>
      </w:r>
      <w:r>
        <w:t>≤ 4) ions with assistance of triethyl phosphate. No passivation layer is formed on Mn anode owing to non‐reducibility of Br</w:t>
      </w:r>
      <w:r>
        <w:t xml:space="preserve"> </w:t>
      </w:r>
      <w:r>
        <w:t>−</w:t>
      </w:r>
      <w:r>
        <w:t>. The MnBr</w:t>
      </w:r>
      <w:r>
        <w:rPr>
          <w:vertAlign w:val="subscript"/>
        </w:rPr>
        <w:t>2</w:t>
      </w:r>
      <w:r>
        <w:t>electrolyte displays superior Mn plating/stripping stability (&amp;gt;1300 h) with near integer Coulombic efficiency under practical areal capacities of 1–50 mAh cm</w:t>
      </w:r>
      <w:r>
        <w:t xml:space="preserve"> </w:t>
      </w:r>
      <w:r>
        <w:t>−2</w:t>
      </w:r>
      <w:r>
        <w:t xml:space="preserve"> </w:t>
      </w:r>
      <w:r>
        <w:t>. The overpotential is suppressed as low as &amp;lt;200 mV at 0.5 mA cm</w:t>
      </w:r>
      <w:r>
        <w:t xml:space="preserve"> </w:t>
      </w:r>
      <w:r>
        <w:t>−2</w:t>
      </w:r>
      <w:r>
        <w:t xml:space="preserve"> </w:t>
      </w:r>
      <w:r>
        <w:t>. When paring the Mn metal anode with different cathodes like organic Mn</w:t>
      </w:r>
      <w:r>
        <w:t xml:space="preserve"> </w:t>
      </w:r>
      <w:r>
        <w:t>2+</w:t>
      </w:r>
      <w:r>
        <w:t xml:space="preserve"> </w:t>
      </w:r>
      <w:r>
        <w:t>hosts, activated carbon and even a Br</w:t>
      </w:r>
      <w:r>
        <w:t xml:space="preserve"> </w:t>
      </w:r>
      <w:r>
        <w:t>−</w:t>
      </w:r>
      <w:r>
        <w:t>/Br</w:t>
      </w:r>
      <w:r>
        <w:rPr>
          <w:vertAlign w:val="subscript"/>
        </w:rPr>
        <w:t>0</w:t>
      </w:r>
      <w:r>
        <w:t>conversion cathode, high‐performance MMBs have been demonstrated with long cycling life (&amp;gt;2000 cycles) and high voltage (1.6 V). Our work represents a brand‐new electrolyte design concept for advanced MMBs and can be readily expanded to other multivalent metal batteries.</w:t>
      </w:r>
    </w:p>
    <w:p>
      <w:pPr>
        <w:spacing w:before="120" w:after="120"/>
      </w:pPr>
      <w:r>
        <w:rPr>
          <w:sz w:val="18"/>
        </w:rPr>
        <w:t>——————————————————————————————————————————————————————————————————————</w:t>
      </w:r>
    </w:p>
    <w:p>
      <w:pPr>
        <w:spacing w:before="160" w:after="80" w:line="240" w:lineRule="auto"/>
      </w:pPr>
      <w:r>
        <w:rPr>
          <w:b/>
        </w:rPr>
        <w:t xml:space="preserve">[512] </w:t>
      </w:r>
      <w:hyperlink r:id="rId902">
        <w:r>
          <w:rPr>
            <w:color w:val="1155CC"/>
            <w:u w:val="single"/>
          </w:rPr>
          <w:t>Proximity‐Driven Non‐Volatile Spin and Valley Control in a Van Der Waals Antiferromagnetic Heterostructure</w:t>
        </w:r>
      </w:hyperlink>
    </w:p>
    <w:p>
      <w:pPr>
        <w:spacing w:before="0" w:after="120" w:line="240" w:lineRule="auto"/>
      </w:pPr>
      <w:r>
        <w:rPr>
          <w:b/>
        </w:rPr>
        <w:t xml:space="preserve">Source: </w:t>
      </w:r>
      <w:r>
        <w:t>Wiley: Advanced Materials: Table of Contents</w:t>
      </w:r>
      <w:r>
        <w:t xml:space="preserve">    </w:t>
      </w:r>
      <w:r>
        <w:rPr>
          <w:b/>
        </w:rPr>
        <w:t xml:space="preserve">Pub date: </w:t>
      </w:r>
      <w:r>
        <w:t>2025-12-27 09:51:19+00:00</w:t>
      </w:r>
      <w:r>
        <w:t xml:space="preserve">    </w:t>
      </w:r>
      <w:r>
        <w:rPr>
          <w:b/>
        </w:rPr>
        <w:t xml:space="preserve">DOI: </w:t>
      </w:r>
      <w:hyperlink r:id="rId903">
        <w:r>
          <w:rPr>
            <w:color w:val="1155CC"/>
            <w:u w:val="single"/>
          </w:rPr>
          <w:t>10.1002/adma.202515464</w:t>
        </w:r>
      </w:hyperlink>
    </w:p>
    <w:p>
      <w:pPr>
        <w:spacing w:before="0" w:after="120"/>
      </w:pPr>
      <w:r>
        <w:rPr>
          <w:b/>
        </w:rPr>
        <w:t xml:space="preserve">Notes: </w:t>
      </w:r>
      <w:r>
        <w:t>abstract_source=crossref</w:t>
      </w:r>
    </w:p>
    <w:p>
      <w:pPr>
        <w:spacing w:before="0" w:after="200" w:lineRule="auto" w:line="276"/>
      </w:pPr>
      <w:r>
        <w:rPr>
          <w:b/>
        </w:rPr>
        <w:t xml:space="preserve">Abstract: </w:t>
      </w:r>
      <w:r>
        <w:t>The integration of non‐volatile spin and valley control in 2D quantum systems remains a pivotal challenge for spintronic and valleytronic functionalities. Here, we demonstrate persistent spin and valley polarizations in a van der Waals heterostructure comprising bulk antiferromagnetic CrPS</w:t>
      </w:r>
      <w:r>
        <w:rPr>
          <w:vertAlign w:val="subscript"/>
        </w:rPr>
        <w:t>4</w:t>
      </w:r>
      <w:r>
        <w:t>and monolayer MoSe</w:t>
      </w:r>
      <w:r>
        <w:rPr>
          <w:vertAlign w:val="subscript"/>
        </w:rPr>
        <w:t>2</w:t>
      </w:r>
      <w:r>
        <w:t>, achieved via interfacial magnetic proximity effects. The 1L‐MoSe</w:t>
      </w:r>
      <w:r>
        <w:rPr>
          <w:vertAlign w:val="subscript"/>
        </w:rPr>
        <w:t>2</w:t>
      </w:r>
      <w:r>
        <w:t>/bulk‐CrPS</w:t>
      </w:r>
      <w:r>
        <w:rPr>
          <w:vertAlign w:val="subscript"/>
        </w:rPr>
        <w:t>4</w:t>
      </w:r>
      <w:r>
        <w:t>heterostructure exhibits non‐volatile hysteresis in chiral photoluminescence (PL), directly linked to the antiferromagnetic ordering of bulk‐CrPS</w:t>
      </w:r>
      <w:r>
        <w:rPr>
          <w:vertAlign w:val="subscript"/>
        </w:rPr>
        <w:t>4</w:t>
      </w:r>
      <w:r>
        <w:t>. This helicity of PL persists at zero field, enabled by the spin‐polarized charge transfer from the K valley in the MoSe</w:t>
      </w:r>
      <w:r>
        <w:rPr>
          <w:vertAlign w:val="subscript"/>
        </w:rPr>
        <w:t>2</w:t>
      </w:r>
      <w:r>
        <w:t>monolayer to the conduction band of CrPS</w:t>
      </w:r>
      <w:r>
        <w:rPr>
          <w:vertAlign w:val="subscript"/>
        </w:rPr>
        <w:t>4</w:t>
      </w:r>
      <w:r>
        <w:t>, breaking the valley degeneracy without external stimuli. Remarkably, the PL helicity switches surprisingly at a magnetic field of ∼ 0.5 T, a 17‐fold smaller than the spin‐flip field of ∼8.5 T in bulk CrPS</w:t>
      </w:r>
      <w:r>
        <w:rPr>
          <w:vertAlign w:val="subscript"/>
        </w:rPr>
        <w:t>4</w:t>
      </w:r>
      <w:r>
        <w:t>. Our work establishes bulk antiferromagnet‐based heterostructure as a robust platform for low‐energy, magnetically tunable quantum devices, bridging the gap between the transient valleytronic phenomena and practical non‐volatile applications.</w:t>
      </w:r>
    </w:p>
    <w:p>
      <w:pPr>
        <w:spacing w:before="120" w:after="120"/>
      </w:pPr>
      <w:r>
        <w:rPr>
          <w:sz w:val="18"/>
        </w:rPr>
        <w:t>——————————————————————————————————————————————————————————————————————</w:t>
      </w:r>
    </w:p>
    <w:p>
      <w:pPr>
        <w:spacing w:before="160" w:after="80" w:line="240" w:lineRule="auto"/>
      </w:pPr>
      <w:r>
        <w:rPr>
          <w:b/>
        </w:rPr>
        <w:t xml:space="preserve">[513] </w:t>
      </w:r>
      <w:hyperlink r:id="rId904">
        <w:r>
          <w:rPr>
            <w:color w:val="1155CC"/>
            <w:u w:val="single"/>
          </w:rPr>
          <w:t>Comprehensive Mapping of Compositional Dynamics in the Formose Reaction Network</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09:52:27+00:00</w:t>
      </w:r>
      <w:r>
        <w:t xml:space="preserve">    </w:t>
      </w:r>
      <w:r>
        <w:rPr>
          <w:b/>
        </w:rPr>
        <w:t xml:space="preserve">DOI: </w:t>
      </w:r>
      <w:hyperlink r:id="rId905">
        <w:r>
          <w:rPr>
            <w:color w:val="1155CC"/>
            <w:u w:val="single"/>
          </w:rPr>
          <w:t>10.1002/anie.202525258</w:t>
        </w:r>
      </w:hyperlink>
    </w:p>
    <w:p>
      <w:pPr>
        <w:spacing w:before="0" w:after="120"/>
      </w:pPr>
      <w:r>
        <w:rPr>
          <w:b/>
        </w:rPr>
        <w:t xml:space="preserve">Notes: </w:t>
      </w:r>
      <w:r>
        <w:t>abstract_source=crossref</w:t>
      </w:r>
    </w:p>
    <w:p>
      <w:pPr>
        <w:spacing w:before="0" w:after="200" w:lineRule="auto" w:line="276"/>
      </w:pPr>
      <w:r>
        <w:rPr>
          <w:b/>
        </w:rPr>
        <w:t xml:space="preserve">Abstract: </w:t>
      </w:r>
      <w:r>
        <w:t>A chemical reaction network (CRN) can generate complex molecules from simple starting materials through multiple interconnected reactions. The formose reaction, which produces monosaccharides from formaldehyde (HCHO), is a prototypical non‐enzymatic CRN. Although more than half of the feedstock in this reaction is converted into non‐target products (products other than the target monosaccharides), traditionally referred to as “tar,” the compositional evolution of these products has remained unexplored. In this study, we visualized the formose reaction's compositional landscape (target and non‐target products) by applying van Krevelen (VK) diagrams and Kendrick mass defect (KMD) plots using data from high‐resolution mass spectrometry, enabling comprehensive visualization of the products' composition without structural identification of individual compounds. Under NaOH catalysis, various side reactions proceeded with low selectivity, leading to a wide variety of non‐target products, whereas under Ca(OH)</w:t>
      </w:r>
      <w:r>
        <w:rPr>
          <w:vertAlign w:val="subscript"/>
        </w:rPr>
        <w:t>2</w:t>
      </w:r>
      <w:r>
        <w:t>catalysis, dehydration‐type side reactions became predominant in the later stages. These findings reveal that the product distribution in the formose reaction is highly catalyst‐ and stage‐dependent. The developed visualization framework provides a powerful tool for understanding complex CRNs and suggests rational strategies for reaction control, such as suppressing dehydration to improve the yield of target products in the presence of Ca(OH)</w:t>
      </w:r>
      <w:r>
        <w:rPr>
          <w:vertAlign w:val="subscript"/>
        </w:rPr>
        <w:t>2</w:t>
      </w:r>
      <w:r>
        <w:t>catalyst.</w:t>
      </w:r>
    </w:p>
    <w:p>
      <w:pPr>
        <w:spacing w:before="120" w:after="120"/>
      </w:pPr>
      <w:r>
        <w:rPr>
          <w:sz w:val="18"/>
        </w:rPr>
        <w:t>——————————————————————————————————————————————————————————————————————</w:t>
      </w:r>
    </w:p>
    <w:p>
      <w:pPr>
        <w:spacing w:before="160" w:after="80" w:line="240" w:lineRule="auto"/>
      </w:pPr>
      <w:r>
        <w:rPr>
          <w:b/>
        </w:rPr>
        <w:t xml:space="preserve">[514] </w:t>
      </w:r>
      <w:hyperlink r:id="rId906">
        <w:r>
          <w:rPr>
            <w:color w:val="1155CC"/>
            <w:u w:val="single"/>
          </w:rPr>
          <w:t>Low‐Temperature Aluminum‐Zinc Hydrogen‐Aided Battery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09:53:14+00:00</w:t>
      </w:r>
      <w:r>
        <w:t xml:space="preserve">    </w:t>
      </w:r>
      <w:r>
        <w:rPr>
          <w:b/>
        </w:rPr>
        <w:t xml:space="preserve">DOI: </w:t>
      </w:r>
      <w:hyperlink r:id="rId907">
        <w:r>
          <w:rPr>
            <w:color w:val="1155CC"/>
            <w:u w:val="single"/>
          </w:rPr>
          <w:t>10.1002/anie.202524485</w:t>
        </w:r>
      </w:hyperlink>
    </w:p>
    <w:p>
      <w:pPr>
        <w:spacing w:before="0" w:after="120"/>
      </w:pPr>
      <w:r>
        <w:rPr>
          <w:b/>
        </w:rPr>
        <w:t xml:space="preserve">Notes: </w:t>
      </w:r>
      <w:r>
        <w:t>abstract_source=crossref</w:t>
      </w:r>
    </w:p>
    <w:p>
      <w:pPr>
        <w:spacing w:before="0" w:after="200" w:lineRule="auto" w:line="276"/>
      </w:pPr>
      <w:r>
        <w:rPr>
          <w:b/>
        </w:rPr>
        <w:t xml:space="preserve">Abstract: </w:t>
      </w:r>
      <w:r>
        <w:t>The need for reliable power sources in cold environments drives the development of efficient low‐temperature batteries. While zinc‐air batteries (ZABs) are promising due to low cost, high safety, and environmental compatibility, their performance at low temperatures is limited by sluggish kinetics. Here, we report an aluminum‐zinc hydrogen‐aided battery (AZ‐HAB) that overcomes this limitation through a synergistic redesign of both electrodes. At the cathode, the kinetically favorable hydrogen oxidation reaction (HOR) replaces the oxygen evolution reaction (OER), reducing the charging potential and enhancing high‐rate performance at low temperatures. The anode uses a composite structure (Al@Zn) with Zn pre‐deposited on Al, leveraging Al's high activity and low deposition overpotential. This design reduces the full‐cell resistance to one‐third that of bare Zn, promotes uniform Zn deposition, and lowers polarization by 200 mV at 150 mA cm</w:t>
      </w:r>
      <w:r>
        <w:t xml:space="preserve"> </w:t>
      </w:r>
      <w:r>
        <w:t>−</w:t>
      </w:r>
      <w:r>
        <w:rPr>
          <w:vertAlign w:val="subscript"/>
        </w:rPr>
        <w:t>2</w:t>
      </w:r>
      <w:r>
        <w:t>. The synergistic effect of both electrodes accelerates reaction kinetics, enabling an 11‐fold longer cycle life than conventional ZABs at −20 °C. This work presents a viable strategy for high‐performance energy storage and electric vehicles in extremely cold environments.</w:t>
      </w:r>
    </w:p>
    <w:p>
      <w:pPr>
        <w:spacing w:before="120" w:after="120"/>
      </w:pPr>
      <w:r>
        <w:rPr>
          <w:sz w:val="18"/>
        </w:rPr>
        <w:t>——————————————————————————————————————————————————————————————————————</w:t>
      </w:r>
    </w:p>
    <w:p>
      <w:pPr>
        <w:spacing w:before="160" w:after="80" w:line="240" w:lineRule="auto"/>
      </w:pPr>
      <w:r>
        <w:rPr>
          <w:b/>
        </w:rPr>
        <w:t xml:space="preserve">[515] </w:t>
      </w:r>
      <w:hyperlink r:id="rId908">
        <w:r>
          <w:rPr>
            <w:color w:val="1155CC"/>
            <w:u w:val="single"/>
          </w:rPr>
          <w:t>Guanidyl‐Engineered SAMs with Electrostatic–Coordination Synergy for High‐Efficiency Tandem‐Compatible Perovskite Solar Cells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09:57:05+00:00</w:t>
      </w:r>
      <w:r>
        <w:t xml:space="preserve">    </w:t>
      </w:r>
      <w:r>
        <w:rPr>
          <w:b/>
        </w:rPr>
        <w:t xml:space="preserve">DOI: </w:t>
      </w:r>
      <w:hyperlink r:id="rId909">
        <w:r>
          <w:rPr>
            <w:color w:val="1155CC"/>
            <w:u w:val="single"/>
          </w:rPr>
          <w:t>10.1002/adma.202519563</w:t>
        </w:r>
      </w:hyperlink>
    </w:p>
    <w:p>
      <w:pPr>
        <w:spacing w:before="0" w:after="120"/>
      </w:pPr>
      <w:r>
        <w:rPr>
          <w:b/>
        </w:rPr>
        <w:t xml:space="preserve">Notes: </w:t>
      </w:r>
      <w:r>
        <w:t>abstract_source=crossref</w:t>
      </w:r>
    </w:p>
    <w:p>
      <w:pPr>
        <w:spacing w:before="0" w:after="200" w:lineRule="auto" w:line="276"/>
      </w:pPr>
      <w:r>
        <w:rPr>
          <w:b/>
        </w:rPr>
        <w:t xml:space="preserve">Abstract: </w:t>
      </w:r>
      <w:r>
        <w:t>Wide‐bandgap inverted perovskite solar cells (PSCs) have attracted significant interest owing to their excellent stability feature and unique compatibility with tandem device architectures. However, two major challenges remain: the inhomogeneity of self‐assembled monolayers (SAMs) and the insufficient passivation of buried interface defects. In this study, we introduce polyhexamethylene guanidine hydrochloride (PHMG) as an additive to 4‐(7H‐dibenzo[c,g]carbazole‐7‐yl) phosphonic acid (4PADCB) SAMs, wherein guanidyl groups in PHMG establish electrostatic–coordination synergy with 4PADCB and perovskite species, respectively. The electrostatic interaction suppresses SAM aggregation, reduces interfacial defects, and optimizes energy‐level alignment at the SAM/perovskite interface, while the coordination effect promotes perovskite crystallization, enlarges grains, reduces defect densities, and relaxes interface stress. Consequently, the optimized 1.68 eV‐bandgap PSC delivers a remarkable power conversion efficiency (PCE) of 23.62%, representing the highest value reported to date, with over 95% efficiency retention after 1300 h of thermal aging at 85°C in N</w:t>
      </w:r>
      <w:r>
        <w:rPr>
          <w:vertAlign w:val="subscript"/>
        </w:rPr>
        <w:t>2</w:t>
      </w:r>
      <w:r>
        <w:t>. Furthermore, these PSCs are integrated into perovskite/silicon tandem solar cells, achieving a record PCE of 32.49% for a laminated tandem device and the superior values of 32.25% (with an active area of 1 cm</w:t>
      </w:r>
      <w:r>
        <w:rPr>
          <w:vertAlign w:val="subscript"/>
        </w:rPr>
        <w:t>2</w:t>
      </w:r>
      <w:r>
        <w:t>) and 29.34% (with an active area of 20 cm</w:t>
      </w:r>
      <w:r>
        <w:rPr>
          <w:vertAlign w:val="subscript"/>
        </w:rPr>
        <w:t>2</w:t>
      </w:r>
      <w:r>
        <w:t>) for monolithic tandem devices.</w:t>
      </w:r>
    </w:p>
    <w:p>
      <w:pPr>
        <w:spacing w:before="120" w:after="120"/>
      </w:pPr>
      <w:r>
        <w:rPr>
          <w:sz w:val="18"/>
        </w:rPr>
        <w:t>——————————————————————————————————————————————————————————————————————</w:t>
      </w:r>
    </w:p>
    <w:p>
      <w:pPr>
        <w:spacing w:before="160" w:after="80" w:line="240" w:lineRule="auto"/>
      </w:pPr>
      <w:r>
        <w:rPr>
          <w:b/>
        </w:rPr>
        <w:t xml:space="preserve">[516] </w:t>
      </w:r>
      <w:hyperlink r:id="rId910">
        <w:r>
          <w:rPr>
            <w:color w:val="1155CC"/>
            <w:u w:val="single"/>
          </w:rPr>
          <w:t>Flexible Multiband Photonic Synapses for Nociceptive Perception and Neuromorphic Computation via Fluorinated InP Quantum Dots</w:t>
        </w:r>
      </w:hyperlink>
    </w:p>
    <w:p>
      <w:pPr>
        <w:spacing w:before="0" w:after="120" w:line="240" w:lineRule="auto"/>
      </w:pPr>
      <w:r>
        <w:rPr>
          <w:b/>
        </w:rPr>
        <w:t xml:space="preserve">Source: </w:t>
      </w:r>
      <w:r>
        <w:t>Wiley: Advanced Materials: Table of Contents</w:t>
      </w:r>
      <w:r>
        <w:t xml:space="preserve">    </w:t>
      </w:r>
      <w:r>
        <w:rPr>
          <w:b/>
        </w:rPr>
        <w:t xml:space="preserve">Pub date: </w:t>
      </w:r>
      <w:r>
        <w:t>2025-12-27 09:59:22+00:00</w:t>
      </w:r>
      <w:r>
        <w:t xml:space="preserve">    </w:t>
      </w:r>
      <w:r>
        <w:rPr>
          <w:b/>
        </w:rPr>
        <w:t xml:space="preserve">DOI: </w:t>
      </w:r>
      <w:hyperlink r:id="rId911">
        <w:r>
          <w:rPr>
            <w:color w:val="1155CC"/>
            <w:u w:val="single"/>
          </w:rPr>
          <w:t>10.1002/adma.202518057</w:t>
        </w:r>
      </w:hyperlink>
    </w:p>
    <w:p>
      <w:pPr>
        <w:spacing w:before="0" w:after="120"/>
      </w:pPr>
      <w:r>
        <w:rPr>
          <w:b/>
        </w:rPr>
        <w:t xml:space="preserve">Notes: </w:t>
      </w:r>
      <w:r>
        <w:t>abstract_source=crossref</w:t>
      </w:r>
    </w:p>
    <w:p>
      <w:pPr>
        <w:spacing w:before="0" w:after="200" w:lineRule="auto" w:line="276"/>
      </w:pPr>
      <w:r>
        <w:rPr>
          <w:b/>
        </w:rPr>
        <w:t xml:space="preserve">Abstract: </w:t>
      </w:r>
      <w:r>
        <w:t>Organic photonic synaptic transistors (OPSTs), emulating biological synaptic behaviors under optical stimulation, serve as essential hardware components for neuromorphic visual systems. To satisfy various demands, state‐of‐the‐art OPSTs typically require multispectral responsiveness that is often pursued by leveraging the excellent optoelectronic properties and solution‐processability of quantum dots (QDs). However, this strategy suffers from complex fabrication procedures, limited mechanical flexibility and toxic cadmium/lead compositions in QDs, which raise serious environmental and biosafety concerns. In this work, we demonstrate a fully solution‐processed and self‐supporting flexible OPST based on environmentally benign indium phosphide (InP) QDs. Through ligand exchange with fluorinated thiols, the QDs demonstrate improved photostability and enhanced energy level alignment with organic semiconductors. Furthermore, the interfacial dipole induced by fluorinated ligands enables long‐term charge retention. The resulting QD‐OPST devices exhibit broadband excitatory postsynaptic current (EPSC) responses, tunable synaptic plasticity, remarkable mechanical durability and ultralow energy consumption of 0.016 fJ, effectively mimicking cornea‐like nociceptor behaviors. In addition, the QD‐OPSTs display pronounced color selectivity, enabling blue‐feature recognition while suppressing red‐green background noise. This study provides a feasible strategy for developing high‐performance, eco‐friendly, and flexible photonic synapse devices, highlighting great potential for applications in visual perception and brain‐inspired computing.</w:t>
      </w:r>
    </w:p>
    <w:p>
      <w:pPr>
        <w:spacing w:before="120" w:after="120"/>
      </w:pPr>
      <w:r>
        <w:rPr>
          <w:sz w:val="18"/>
        </w:rPr>
        <w:t>——————————————————————————————————————————————————————————————————————</w:t>
      </w:r>
    </w:p>
    <w:p>
      <w:pPr>
        <w:spacing w:before="160" w:after="80" w:line="240" w:lineRule="auto"/>
      </w:pPr>
      <w:r>
        <w:rPr>
          <w:b/>
        </w:rPr>
        <w:t xml:space="preserve">[517] </w:t>
      </w:r>
      <w:hyperlink r:id="rId912">
        <w:r>
          <w:rPr>
            <w:color w:val="1155CC"/>
            <w:u w:val="single"/>
          </w:rPr>
          <w:t>Suppressing Alkyl Ammonium Deprotonation with Low‐pKa Solvent for Reproduceable and Stable High‐Efficiency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2025-12-27 10:02:09+00:00</w:t>
      </w:r>
      <w:r>
        <w:t xml:space="preserve">    </w:t>
      </w:r>
      <w:r>
        <w:rPr>
          <w:b/>
        </w:rPr>
        <w:t xml:space="preserve">DOI: </w:t>
      </w:r>
      <w:hyperlink r:id="rId913">
        <w:r>
          <w:rPr>
            <w:color w:val="1155CC"/>
            <w:u w:val="single"/>
          </w:rPr>
          <w:t>10.1002/anie.202510623</w:t>
        </w:r>
      </w:hyperlink>
    </w:p>
    <w:p>
      <w:pPr>
        <w:spacing w:before="0" w:after="120"/>
      </w:pPr>
      <w:r>
        <w:rPr>
          <w:b/>
        </w:rPr>
        <w:t xml:space="preserve">Notes: </w:t>
      </w:r>
      <w:r>
        <w:t>abstract_source=crossref</w:t>
      </w:r>
    </w:p>
    <w:p>
      <w:pPr>
        <w:spacing w:before="0" w:after="200" w:lineRule="auto" w:line="276"/>
      </w:pPr>
      <w:r>
        <w:rPr>
          <w:b/>
        </w:rPr>
        <w:t xml:space="preserve">Abstract: </w:t>
      </w:r>
      <w:r>
        <w:t>Various passivation strategies have been explored to enhance the stability of the perovskite solar cells (PSCs). However, the chemical stability of passivators has received limited attention. This study investigates replacing conventional isopropyl alcohol (IPA) with hexafluoroisopropanol (HFIP) as the solvent for depositing passivation layers on perovskite films, offering a novel approach to minimizing defects and improving photovoltaic performance. The unique properties of HFIP, particularly its low pKa and strong proton‐donating ability, effectively inhibit the deprotonation of organic ammonia salts. As a result, the HFIP‐based passivation solution exhibits enhanced chemical stability, leading to highly reproducible PSCs fabrication. Additionally, perovskite films treated with the HFIP passivation solution demonstrate higher photoluminescence (PL) intensity and longer carrier lifetimes. Consequently, PSCs treated with HFIP‐based 1,3‐propanediamine dihydroiodide (PDAI) solution achieved a champion power conversion efficiency (PCE) of 26.91% (certified PCE of 26.88%) and maintained 95.9% of their initial efficiency under operational conditions for 1000 h.</w:t>
      </w:r>
    </w:p>
    <w:p>
      <w:pPr>
        <w:spacing w:before="120" w:after="120"/>
      </w:pPr>
      <w:r>
        <w:rPr>
          <w:sz w:val="18"/>
        </w:rPr>
        <w:t>——————————————————————————————————————————————————————————————————————</w:t>
      </w:r>
    </w:p>
    <w:p>
      <w:pPr>
        <w:spacing w:before="160" w:after="80" w:line="240" w:lineRule="auto"/>
      </w:pPr>
      <w:r>
        <w:rPr>
          <w:b/>
        </w:rPr>
        <w:t xml:space="preserve">[518] </w:t>
      </w:r>
      <w:hyperlink r:id="rId914">
        <w:r>
          <w:rPr>
            <w:color w:val="1155CC"/>
            <w:u w:val="single"/>
          </w:rPr>
          <w:t>[ASAP] The Role of Intrinsically Disordered Domains in Regulating G Protein-Coupled Receptor Signaling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14:29:07+00:00</w:t>
      </w:r>
      <w:r>
        <w:t xml:space="preserve">    </w:t>
      </w:r>
      <w:r>
        <w:rPr>
          <w:b/>
        </w:rPr>
        <w:t xml:space="preserve">DOI: </w:t>
      </w:r>
      <w:hyperlink r:id="rId915">
        <w:r>
          <w:rPr>
            <w:color w:val="1155CC"/>
            <w:u w:val="single"/>
          </w:rPr>
          <w:t>10.1021/jacs.5c17796</w:t>
        </w:r>
      </w:hyperlink>
    </w:p>
    <w:p>
      <w:pPr>
        <w:spacing w:before="0" w:after="120"/>
      </w:pPr>
      <w:r>
        <w:rPr>
          <w:b/>
        </w:rPr>
        <w:t xml:space="preserve">Notes: </w:t>
      </w:r>
      <w:r>
        <w:t>abstract_source=pubmed</w:t>
      </w:r>
    </w:p>
    <w:p>
      <w:pPr>
        <w:spacing w:before="0" w:after="200" w:lineRule="auto" w:line="276"/>
      </w:pPr>
      <w:r>
        <w:rPr>
          <w:b/>
        </w:rPr>
        <w:t xml:space="preserve">Abstract: </w:t>
      </w:r>
      <w:r>
        <w:t>The α2A adrenergic receptor (α2AAR) is a clinically important target for various diseases including hypertension, diabetes, and chronic pain. Here, using single-molecule fluorescence resonance energy transfer imaging, we show how agonist-specific activation dynamics in both structured transmembrane domain (TMD) and intrinsic disorder regions (IDRs) of α2AAR lead to diverse signaling profiles. Through seven pairs of strategically designed fluorophore labels, we systematically investigate the real-time conformational changes of α2AAR. Our study reveals unique TM6 dynamics in α2AAR, featured by a high energy barrier for agonist-induced outward movements essential for activation. In contrast, we identify agonist-specific conformational dynamics of a partially disordered extracellular loop (ECL2), highlighting its role as a dynamic regulatory module that controls receptor function. Moreover, we characterize the conformational landscapes of the long third intracellular loop (ICL3), revealing its compact structural features and membrane-proximal localization in the basal state, where it acts as a negative allosteric regulator in transducer coupling. Furthermore, we identify multiple functional substates of ICL3 that are dynamically modulated by both kinase phosphorylation and drug efficacy. These findings offer previously underappreciated structural and dynamic insights into α2AAR function governed by both TMD and IDRs and may open up new avenues for the development of better therapeutics.</w:t>
      </w:r>
    </w:p>
    <w:p>
      <w:pPr>
        <w:spacing w:before="120" w:after="120"/>
      </w:pPr>
      <w:r>
        <w:rPr>
          <w:sz w:val="18"/>
        </w:rPr>
        <w:t>——————————————————————————————————————————————————————————————————————</w:t>
      </w:r>
    </w:p>
    <w:p>
      <w:pPr>
        <w:spacing w:before="160" w:after="80" w:line="240" w:lineRule="auto"/>
      </w:pPr>
      <w:r>
        <w:rPr>
          <w:b/>
        </w:rPr>
        <w:t xml:space="preserve">[519] </w:t>
      </w:r>
      <w:hyperlink r:id="rId916">
        <w:r>
          <w:rPr>
            <w:color w:val="1155CC"/>
            <w:u w:val="single"/>
          </w:rPr>
          <w:t>[ASAP] Attractive Noncovalent Interactions versus Steric Confinement in Asymmetric Supramolecular Catalysis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14:29:46+00:00</w:t>
      </w:r>
      <w:r>
        <w:t xml:space="preserve">    </w:t>
      </w:r>
      <w:r>
        <w:rPr>
          <w:b/>
        </w:rPr>
        <w:t xml:space="preserve">DOI: </w:t>
      </w:r>
      <w:hyperlink r:id="rId917">
        <w:r>
          <w:rPr>
            <w:color w:val="1155CC"/>
            <w:u w:val="single"/>
          </w:rPr>
          <w:t>10.1021/jacs.5c17872</w:t>
        </w:r>
      </w:hyperlink>
    </w:p>
    <w:p>
      <w:pPr>
        <w:spacing w:before="0" w:after="120"/>
      </w:pPr>
      <w:r>
        <w:rPr>
          <w:b/>
        </w:rPr>
        <w:t xml:space="preserve">Notes: </w:t>
      </w:r>
      <w:r>
        <w:t>abstract_source=pubmed</w:t>
      </w:r>
    </w:p>
    <w:p>
      <w:pPr>
        <w:spacing w:before="0" w:after="200" w:lineRule="auto" w:line="276"/>
      </w:pPr>
      <w:r>
        <w:rPr>
          <w:b/>
        </w:rPr>
        <w:t xml:space="preserve">Abstract: </w:t>
      </w:r>
      <w:r>
        <w:t>The remarkable catalytic performance of enzymes stems from their ability to engage in precise noncovalent interactions (NCIs) within a sterically confined space. Supramolecular catalysis seeks to emulate and understand these strategies through the rational design of simple and controlled catalyst microenvironments. While both steric confinement and attractive interactions have been invoked as key to host activity, their relative contribution to rate enhancement and selectivity, as well as potential trade-offs, remains an outstanding question. Here, we address this question by systematically comparing two metal-organic supramolecular catalysts, which differ in the strength of their attractive noncovalent interactions and in their cavity volume. Our findings reveal that the catalyst with the larger cavity, and with stronger available NCIs, exhibits both significant rate acceleration (100-fold) and enhanced enantioselectivity (84% vs 14% ee) in a model ketone reduction compared to its smaller analogue. Mechanistic analysis, binding competition experiments, and computational modeling indicate that these differences predominantly stem from stabilizing noncovalent interactions in the larger catalyst, a result that challenges existing steric-based models of supramolecular stereoinduction. Understanding the governing factors of asymmetric induction and rate acceleration in supramolecular hosts will undoubtedly inform future catalyst design.</w:t>
      </w:r>
    </w:p>
    <w:p>
      <w:pPr>
        <w:spacing w:before="120" w:after="120"/>
      </w:pPr>
      <w:r>
        <w:rPr>
          <w:sz w:val="18"/>
        </w:rPr>
        <w:t>——————————————————————————————————————————————————————————————————————</w:t>
      </w:r>
    </w:p>
    <w:p>
      <w:pPr>
        <w:spacing w:before="160" w:after="80" w:line="240" w:lineRule="auto"/>
      </w:pPr>
      <w:r>
        <w:rPr>
          <w:b/>
        </w:rPr>
        <w:t xml:space="preserve">[520] </w:t>
      </w:r>
      <w:hyperlink r:id="rId918">
        <w:r>
          <w:rPr>
            <w:color w:val="1155CC"/>
            <w:u w:val="single"/>
          </w:rPr>
          <w:t>[ASAP] Incorporating Carbamate Groups into Polyolefin Elastomers for High Performance and Closed-Loop Recyclability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14:30:58+00:00</w:t>
      </w:r>
      <w:r>
        <w:t xml:space="preserve">    </w:t>
      </w:r>
      <w:r>
        <w:rPr>
          <w:b/>
        </w:rPr>
        <w:t xml:space="preserve">DOI: </w:t>
      </w:r>
      <w:hyperlink r:id="rId919">
        <w:r>
          <w:rPr>
            <w:color w:val="1155CC"/>
            <w:u w:val="single"/>
          </w:rPr>
          <w:t>10.1021/jacs.5c18420</w:t>
        </w:r>
      </w:hyperlink>
    </w:p>
    <w:p>
      <w:pPr>
        <w:spacing w:before="0" w:after="120"/>
      </w:pPr>
      <w:r>
        <w:rPr>
          <w:b/>
        </w:rPr>
        <w:t xml:space="preserve">Notes: </w:t>
      </w:r>
      <w:r>
        <w:t>abstract_source=pubmed</w:t>
      </w:r>
    </w:p>
    <w:p>
      <w:pPr>
        <w:spacing w:before="0" w:after="200" w:lineRule="auto" w:line="276"/>
      </w:pPr>
      <w:r>
        <w:rPr>
          <w:b/>
        </w:rPr>
        <w:t xml:space="preserve">Abstract: </w:t>
      </w:r>
      <w:r>
        <w:t>Polar polyolefins find widespread applications owing to their superior properties. Conventional synthesis methods incorporated polar groups into the side chains of polyolefins, offering effective pathways for diverse functional applications. In contrast, reports on main-chain polar polyolefins remain relatively scarce, and systematic studies of their properties are particularly underdeveloped. Here, we report a hydrogen-bonding-enhanced main-chain polar polyolefin (H-PO) synthesized via efficient polymerization of α,ω-dihydroxy telechelic polyolefins (tPO) and hexamethylene diisocyanate (HDI), incorporating 3.6-10.6 carbamate linkages per 1000C into the polyolefin backbone. The resulting H-PO shows high molecular weight (Mn up to 120.6 kDa), excellent strength, elongation (up to 3048%), and toughness (up to 268 MJ·m-3). Notably, manganese-catalyzed hydrogenolysis allows closed-loop recycling of tPO macromonomers and HDI precursors (≥95% yield). This approach uniquely combines high performance and easy synthesis of high-molecular-weight polyolefins with efficient circularity within a single material through main-chain polar linkages. It offers a new way to design high-performance, sustainable olefin polymer materials by utilizing multifunctional linkages for closed-loop recycling and enhanced properties.</w:t>
      </w:r>
    </w:p>
    <w:p>
      <w:pPr>
        <w:spacing w:before="120" w:after="120"/>
      </w:pPr>
      <w:r>
        <w:rPr>
          <w:sz w:val="18"/>
        </w:rPr>
        <w:t>——————————————————————————————————————————————————————————————————————</w:t>
      </w:r>
    </w:p>
    <w:p>
      <w:pPr>
        <w:spacing w:before="160" w:after="80" w:line="240" w:lineRule="auto"/>
      </w:pPr>
      <w:r>
        <w:rPr>
          <w:b/>
        </w:rPr>
        <w:t xml:space="preserve">[521] </w:t>
      </w:r>
      <w:hyperlink r:id="rId920">
        <w:r>
          <w:rPr>
            <w:color w:val="1155CC"/>
            <w:u w:val="single"/>
          </w:rPr>
          <w:t>[ASAP] Unveiling Exciton-Molecular Crosstalk Mediating Photocatalysis on Perovskite Quantum Dots via In-Situ SERS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14:31:31+00:00</w:t>
      </w:r>
      <w:r>
        <w:t xml:space="preserve">    </w:t>
      </w:r>
      <w:r>
        <w:rPr>
          <w:b/>
        </w:rPr>
        <w:t xml:space="preserve">DOI: </w:t>
      </w:r>
      <w:hyperlink r:id="rId921">
        <w:r>
          <w:rPr>
            <w:color w:val="1155CC"/>
            <w:u w:val="single"/>
          </w:rPr>
          <w:t>10.1021/jacs.5c18664</w:t>
        </w:r>
      </w:hyperlink>
    </w:p>
    <w:p>
      <w:pPr>
        <w:spacing w:before="0" w:after="120"/>
      </w:pPr>
      <w:r>
        <w:rPr>
          <w:b/>
        </w:rPr>
        <w:t xml:space="preserve">Notes: </w:t>
      </w:r>
      <w:r>
        <w:t>abstract_source=pubmed</w:t>
      </w:r>
    </w:p>
    <w:p>
      <w:pPr>
        <w:spacing w:before="0" w:after="200" w:lineRule="auto" w:line="276"/>
      </w:pPr>
      <w:r>
        <w:rPr>
          <w:b/>
        </w:rPr>
        <w:t xml:space="preserve">Abstract: </w:t>
      </w:r>
      <w:r>
        <w:t>Semiconductor quantum dots (QDs) have emerged as a paradigm-shifting catalytic platform for visible-light-driven organic synthesis, owing to their highly tunable excitonic properties. However, the critical role of nanoconfined exciton evolution in governing surface reactions remains experimentally elusive. Here, we synthesized Au@perovskite QD superstructures for in-situ surface-enhanced Raman spectroscopy to probe exciton-molecular crosstalk during the photocatalytic self-coupling of aromatic thiols on QD surfaces. We find that quasi-ligand coordination of thiols with surface Pb sites simultaneously attenuates three exciton relaxation pathways: radiative recombination, Auger recombination, and exciton-phonon coupling, while enhancing trap-assistant recombination. Thermodynamically, coordinating molecules with varying substituent groups reduce the exciton binding energy (Eb) in QD systems through their tunable dipole moments. This excitonic modulation effectively lowers the activation barrier during the reaction and thus facilitates S-S bond coupling, as demonstrated by substituting -Cl with -OCH3, which reduces Eb by 38.3% and increases the reaction rate by 84.7%. Our work reveals exciton-molecular crosstalk as a key mechanistic aspect in QD catalysis and enriches the theoretical framework of heterogeneous catalytic processes under quantum confinement.</w:t>
      </w:r>
    </w:p>
    <w:p>
      <w:pPr>
        <w:spacing w:before="120" w:after="120"/>
      </w:pPr>
      <w:r>
        <w:rPr>
          <w:sz w:val="18"/>
        </w:rPr>
        <w:t>——————————————————————————————————————————————————————————————————————</w:t>
      </w:r>
    </w:p>
    <w:p>
      <w:pPr>
        <w:spacing w:before="160" w:after="80" w:line="240" w:lineRule="auto"/>
      </w:pPr>
      <w:r>
        <w:rPr>
          <w:b/>
        </w:rPr>
        <w:t xml:space="preserve">[522] </w:t>
      </w:r>
      <w:hyperlink r:id="rId922">
        <w:r>
          <w:rPr>
            <w:color w:val="1155CC"/>
            <w:u w:val="single"/>
          </w:rPr>
          <w:t>[ASAP] Seeking Order in Complex Electrochemical Interfaces: Insights for Energy Conversion Devices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2025-12-27 14:59:22+00:00</w:t>
      </w:r>
      <w:r>
        <w:t xml:space="preserve">    </w:t>
      </w:r>
      <w:r>
        <w:rPr>
          <w:b/>
        </w:rPr>
        <w:t xml:space="preserve">DOI: </w:t>
      </w:r>
      <w:hyperlink r:id="rId923">
        <w:r>
          <w:rPr>
            <w:color w:val="1155CC"/>
            <w:u w:val="single"/>
          </w:rPr>
          <w:t>10.1021/acsenergylett.5c03605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[523] </w:t>
      </w:r>
      <w:hyperlink r:id="rId924">
        <w:r>
          <w:rPr>
            <w:color w:val="1155CC"/>
            <w:u w:val="single"/>
          </w:rPr>
          <w:t>[ASAP] Harnessing Aggregation-Induced Quantum Interference in Molecular Junctions for Enhanced Electron Transport</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15:05:42+00:00</w:t>
      </w:r>
      <w:r>
        <w:t xml:space="preserve">    </w:t>
      </w:r>
      <w:r>
        <w:rPr>
          <w:b/>
        </w:rPr>
        <w:t xml:space="preserve">DOI: </w:t>
      </w:r>
      <w:hyperlink r:id="rId925">
        <w:r>
          <w:rPr>
            <w:color w:val="1155CC"/>
            <w:u w:val="single"/>
          </w:rPr>
          <w:t>10.1021/jacs.5c18502</w:t>
        </w:r>
      </w:hyperlink>
    </w:p>
    <w:p>
      <w:pPr>
        <w:spacing w:before="0" w:after="120"/>
      </w:pPr>
      <w:r>
        <w:rPr>
          <w:b/>
        </w:rPr>
        <w:t xml:space="preserve">Notes: </w:t>
      </w:r>
      <w:r>
        <w:t>abstract_source=pubmed</w:t>
      </w:r>
    </w:p>
    <w:p>
      <w:pPr>
        <w:spacing w:before="0" w:after="200" w:lineRule="auto" w:line="276"/>
      </w:pPr>
      <w:r>
        <w:rPr>
          <w:b/>
        </w:rPr>
        <w:t xml:space="preserve">Abstract: </w:t>
      </w:r>
      <w:r>
        <w:t>Noncovalent stacking interactions, particularly π-π stacking, play a vital role in chemistry, biology, and organic optoelectronics. A deep understanding and precise control of these interactions are essential for molecular design and the development of functional devices. Here, we demonstrate an often-overlooked strategy for regulating electron transport in aromatic molecular junctions through solution-concentration-controlled molecular aggregation. By leveraging the intrinsic π-π stacking tendency of aromatic molecules in solution, we successfully guided meta- and para-substituted aromatic rings to form dual-anchored π-stacked dimer junctions simply by adjusting the concentration (from 10-7 M to 10-3 M). In contrast to widely reported parallel-displaced π-stacked dimer junctions─which typically exhibit significantly lower conductance than their monomeric counterparts─the concentration-induced dual-anchored π-stacked dimer junctions achieved up to a 700% increase in conductance. Flicker noise analysis revealed that these high-concentration parallel-stacked dimers not only contribute substantially to through-space charge transport but also effectively modulate the destructive quantum interference effect originally present in the meta-connected single-molecule junctions. Theoretical calculations further confirmed that the intermolecular interactions in parallel-stacked structures reshape the charge transport pathways and alter the quantum interference characteristics. This work experimentally introduces the concept of "aggregation-induced modulation" into the field of molecular electronics, offering a new theoretical and experimental foundation for developing solution-processable and smart-responsive molecular electronic devices.</w:t>
      </w:r>
    </w:p>
    <w:p>
      <w:pPr>
        <w:spacing w:before="120" w:after="120"/>
      </w:pPr>
      <w:r>
        <w:rPr>
          <w:sz w:val="18"/>
        </w:rPr>
        <w:t>——————————————————————————————————————————————————————————————————————</w:t>
      </w:r>
    </w:p>
    <w:p>
      <w:pPr>
        <w:spacing w:before="160" w:after="80" w:line="240" w:lineRule="auto"/>
      </w:pPr>
      <w:r>
        <w:rPr>
          <w:b/>
        </w:rPr>
        <w:t xml:space="preserve">[524] </w:t>
      </w:r>
      <w:hyperlink r:id="rId926">
        <w:r>
          <w:rPr>
            <w:color w:val="1155CC"/>
            <w:u w:val="single"/>
          </w:rPr>
          <w:t>[ASAP] Correlation of Morphology and Interface Properties with Charge Transport in Wide Band Gap Perovskite Solar Cells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2025-12-27 17:57:42+00:00</w:t>
      </w:r>
      <w:r>
        <w:t xml:space="preserve">    </w:t>
      </w:r>
      <w:r>
        <w:rPr>
          <w:b/>
        </w:rPr>
        <w:t xml:space="preserve">DOI: </w:t>
      </w:r>
      <w:hyperlink r:id="rId927">
        <w:r>
          <w:rPr>
            <w:color w:val="1155CC"/>
            <w:u w:val="single"/>
          </w:rPr>
          <w:t>10.1021/acsenergylett.5c03527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[525] </w:t>
      </w:r>
      <w:hyperlink r:id="rId928">
        <w:r>
          <w:rPr>
            <w:color w:val="1155CC"/>
            <w:u w:val="single"/>
          </w:rPr>
          <w:t>[ASAP] Proton-Transfer Isomerization Driven by Strong Electric Fields in Aqueous Microdroplets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18:52:03+00:00</w:t>
      </w:r>
      <w:r>
        <w:t xml:space="preserve">    </w:t>
      </w:r>
      <w:r>
        <w:rPr>
          <w:b/>
        </w:rPr>
        <w:t xml:space="preserve">DOI: </w:t>
      </w:r>
      <w:hyperlink r:id="rId929">
        <w:r>
          <w:rPr>
            <w:color w:val="1155CC"/>
            <w:u w:val="single"/>
          </w:rPr>
          <w:t>10.1021/jacs.5c18552</w:t>
        </w:r>
      </w:hyperlink>
    </w:p>
    <w:p>
      <w:pPr>
        <w:spacing w:before="0" w:after="120"/>
      </w:pPr>
      <w:r>
        <w:rPr>
          <w:b/>
        </w:rPr>
        <w:t xml:space="preserve">Notes: </w:t>
      </w:r>
      <w:r>
        <w:t>abstract_source=pubmed</w:t>
      </w:r>
    </w:p>
    <w:p>
      <w:pPr>
        <w:spacing w:before="0" w:after="200" w:lineRule="auto" w:line="276"/>
      </w:pPr>
      <w:r>
        <w:rPr>
          <w:b/>
        </w:rPr>
        <w:t xml:space="preserve">Abstract: </w:t>
      </w:r>
      <w:r>
        <w:t>Proton-transfer isomerization is a fundamental process in chemistry, drug development, and materials science. External electric fields can serve as a powerful driving force for such isomerization, yet conventional approaches to generating strong fields are often limited by poor stability and demanding operational conditions. Here, we demonstrate that the spontaneously generated strong electric fields at the interface of aqueous microdroplets can efficiently drive the proton-transfer isomerization of 2,5-diamino-1,4-benzoquinone (DABQ). Combining mass spectrometry (MS), surface-enhanced Raman spectroscopy (SERS), ultraviolet-visible (UV-vis) absorption spectroscopy and density functional theory (DFT) calculations, we show that the isomerization proceeds via a water-assisted proton transfer pathway that concurrently converts the keto-enol and enamine-imine isomers. By tuning the interfacial electric field strength, the direction of the isomerization equilibrium and the distribution of individual isomers can be precisely controlled. Furthermore, we find that the environmental pollutant N-(1,3-dimethylbutyl)-N'-phenyl-p-phenylenediamine quinone (6PPD-Q), which possesses a similar molecular backbone, also undergoes spontaneous isomerization in microdroplets, resulting in a significant reduction of its ecological toxicity across multiple trophic levels. This work establishes a novel platform for studying and controlling proton-transfer isomerization and offers a promising strategy for mitigating the toxicity of environmental pollutants.</w:t>
      </w:r>
    </w:p>
    <w:p>
      <w:pPr>
        <w:spacing w:before="120" w:after="120"/>
      </w:pPr>
      <w:r>
        <w:rPr>
          <w:sz w:val="18"/>
        </w:rPr>
        <w:t>——————————————————————————————————————————————————————————————————————</w:t>
      </w:r>
    </w:p>
    <w:p>
      <w:pPr>
        <w:spacing w:before="160" w:after="80" w:line="240" w:lineRule="auto"/>
      </w:pPr>
      <w:r>
        <w:rPr>
          <w:b/>
        </w:rPr>
        <w:t xml:space="preserve">[526] </w:t>
      </w:r>
      <w:hyperlink r:id="rId930">
        <w:r>
          <w:rPr>
            <w:color w:val="1155CC"/>
            <w:u w:val="single"/>
          </w:rPr>
          <w:t>[ASAP] Bubble Management via Synergy of Dual-Gradient Electrodes and Electrolytes for High-Efficiency Water Electrolysis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2025-12-27 20:00:00+00:00</w:t>
      </w:r>
      <w:r>
        <w:t xml:space="preserve">    </w:t>
      </w:r>
      <w:r>
        <w:rPr>
          <w:b/>
        </w:rPr>
        <w:t xml:space="preserve">DOI: </w:t>
      </w:r>
      <w:hyperlink r:id="rId931">
        <w:r>
          <w:rPr>
            <w:color w:val="1155CC"/>
            <w:u w:val="single"/>
          </w:rPr>
          <w:t>10.1021/jacs.5c18681</w:t>
        </w:r>
      </w:hyperlink>
    </w:p>
    <w:p>
      <w:pPr>
        <w:spacing w:before="0" w:after="120"/>
      </w:pPr>
      <w:r>
        <w:rPr>
          <w:b/>
        </w:rPr>
        <w:t xml:space="preserve">Notes: </w:t>
      </w:r>
      <w:r>
        <w:t>abstract_source=pubmed</w:t>
      </w:r>
    </w:p>
    <w:p>
      <w:pPr>
        <w:spacing w:before="0" w:after="200" w:lineRule="auto" w:line="276"/>
      </w:pPr>
      <w:r>
        <w:rPr>
          <w:b/>
        </w:rPr>
        <w:t xml:space="preserve">Abstract: </w:t>
      </w:r>
      <w:r>
        <w:t>Efficient management of bubble behavior on electrode surfaces remains a significant challenge in enhancing water electrolysis performance. Drawing inspiration from the asymmetric wettability of lotus leaves, the selective gas absorption capability of mangrove respiratory roots, and the directional liquid transport mechanism of cactus spines, a bioinspired electrode integrating both wettability and geometric gradients is developed. This design utilizes the Laplace pressure difference induced by the two gradients to mitigate the pinning effect of the three-phase contact line and drive directional three-dimensional bubble transport, thereby substantially improving the hydrogen evolution reaction performance. The regulation of electrolyte ionic strength works synergistically with the electrode structure design, achieving a reduction in potential by up to 22.47% without external field assistance. High ionic strength reduces the charge transfer resistance and promotes rapid bubble detachment via the enhanced solutal Marangoni effect. The constructed fractal structure electrode achieves a Faraday efficiency of 95.80%, demonstrating excellent stability in the continuous generation, directional transport, and efficient collection of hydrogen bubbles.</w:t>
      </w:r>
    </w:p>
    <w:p>
      <w:pPr>
        <w:spacing w:before="120" w:after="120"/>
      </w:pPr>
      <w:r>
        <w:rPr>
          <w:sz w:val="18"/>
        </w:rPr>
        <w:t>——————————————————————————————————————————————————————————————————————</w:t>
      </w:r>
    </w:p>
    <w:p>
      <w:pPr>
        <w:spacing w:before="160" w:after="80" w:line="240" w:lineRule="auto"/>
      </w:pPr>
      <w:r>
        <w:rPr>
          <w:b/>
        </w:rPr>
        <w:t xml:space="preserve">[527] </w:t>
      </w:r>
      <w:hyperlink r:id="rId932">
        <w:r>
          <w:rPr>
            <w:color w:val="1155CC"/>
            <w:u w:val="single"/>
          </w:rPr>
          <w:t>Energy performance and outdoor thermal comfort of angular-selective radiative cooling walls in urban canyons: a Monte Carlo based study</w:t>
        </w:r>
      </w:hyperlink>
    </w:p>
    <w:p>
      <w:pPr>
        <w:spacing w:before="0" w:after="120" w:line="240" w:lineRule="auto"/>
      </w:pPr>
      <w:r>
        <w:rPr>
          <w:b/>
        </w:rPr>
        <w:t xml:space="preserve">Source: </w:t>
      </w:r>
      <w:r>
        <w:t>ScienceDirect Publication: Applied Energy</w:t>
      </w:r>
      <w:r>
        <w:t xml:space="preserve">    </w:t>
      </w:r>
      <w:r>
        <w:rPr>
          <w:b/>
        </w:rPr>
        <w:t xml:space="preserve">Pub date: </w:t>
      </w:r>
      <w:r>
        <w:t>2025-12-28 00:00:00+00:00</w:t>
      </w:r>
    </w:p>
    <w:p>
      <w:pPr>
        <w:spacing w:before="0" w:after="200" w:lineRule="auto" w:line="276"/>
      </w:pPr>
      <w:r>
        <w:rPr>
          <w:b/>
        </w:rPr>
        <w:t xml:space="preserve">Abstract: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65-025-02092-y" TargetMode="External"/><Relationship Id="rId10" Type="http://schemas.openxmlformats.org/officeDocument/2006/relationships/hyperlink" Target="https://academic.oup.com/nsr/advance-article/doi/10.1093/nsr/nwaf578/8402922?rss=1" TargetMode="External"/><Relationship Id="rId11" Type="http://schemas.openxmlformats.org/officeDocument/2006/relationships/hyperlink" Target="https://doi.org/10.1093/nsr/nwaf578/8402922" TargetMode="External"/><Relationship Id="rId12" Type="http://schemas.openxmlformats.org/officeDocument/2006/relationships/hyperlink" Target="https://www.nature.com/articles/s41467-025-67379-z" TargetMode="External"/><Relationship Id="rId13" Type="http://schemas.openxmlformats.org/officeDocument/2006/relationships/hyperlink" Target="https://academic.oup.com/nsr/advance-article/doi/10.1093/nsr/nwaf571/8402818?rss=1" TargetMode="External"/><Relationship Id="rId14" Type="http://schemas.openxmlformats.org/officeDocument/2006/relationships/hyperlink" Target="https://doi.org/10.1093/nsr/nwaf571/8402818" TargetMode="External"/><Relationship Id="rId15" Type="http://schemas.openxmlformats.org/officeDocument/2006/relationships/hyperlink" Target="http://pubs.rsc.org/en/Content/ArticleLanding/2026/EE/D5EE05654C" TargetMode="External"/><Relationship Id="rId16" Type="http://schemas.openxmlformats.org/officeDocument/2006/relationships/hyperlink" Target="http://pubs.rsc.org/en/Content/ArticleLanding/2026/EE/D5EE05568G" TargetMode="External"/><Relationship Id="rId17" Type="http://schemas.openxmlformats.org/officeDocument/2006/relationships/hyperlink" Target="http://pubs.rsc.org/en/Content/ArticleLanding/2026/CS/D5CS00948K" TargetMode="External"/><Relationship Id="rId18" Type="http://schemas.openxmlformats.org/officeDocument/2006/relationships/hyperlink" Target="http://pubs.rsc.org/en/Content/ArticleLanding/2026/CS/D5CS00248F" TargetMode="External"/><Relationship Id="rId19" Type="http://schemas.openxmlformats.org/officeDocument/2006/relationships/hyperlink" Target="https://www.cell.com/joule/fulltext/S2542-4351(25)00445-3?rss=yes" TargetMode="External"/><Relationship Id="rId20" Type="http://schemas.openxmlformats.org/officeDocument/2006/relationships/hyperlink" Target="https://www.cell.com/matter/fulltext/S2590-2385(25)00668-X?rss=yes" TargetMode="External"/><Relationship Id="rId21" Type="http://schemas.openxmlformats.org/officeDocument/2006/relationships/hyperlink" Target="https://www.nature.com/articles/d41586-025-04068-3" TargetMode="External"/><Relationship Id="rId22" Type="http://schemas.openxmlformats.org/officeDocument/2006/relationships/hyperlink" Target="https://www.sciencedirect.com/science/article/pii/S0301421525005129?dgcid=rss_sd_all" TargetMode="External"/><Relationship Id="rId23" Type="http://schemas.openxmlformats.org/officeDocument/2006/relationships/hyperlink" Target="https://www.nature.com/articles/s41467-025-66836-z" TargetMode="External"/><Relationship Id="rId24" Type="http://schemas.openxmlformats.org/officeDocument/2006/relationships/hyperlink" Target="https://www.nature.com/articles/s41586-025-10044-8" TargetMode="External"/><Relationship Id="rId25" Type="http://schemas.openxmlformats.org/officeDocument/2006/relationships/hyperlink" Target="https://www.nature.com/articles/s41565-025-02098-6" TargetMode="External"/><Relationship Id="rId26" Type="http://schemas.openxmlformats.org/officeDocument/2006/relationships/hyperlink" Target="https://www.nature.com/articles/s41565-025-02094-w" TargetMode="External"/><Relationship Id="rId27" Type="http://schemas.openxmlformats.org/officeDocument/2006/relationships/hyperlink" Target="https://www.nature.com/articles/s41565-025-02071-3" TargetMode="External"/><Relationship Id="rId28" Type="http://schemas.openxmlformats.org/officeDocument/2006/relationships/hyperlink" Target="https://www.nature.com/articles/s41565-025-02070-4" TargetMode="External"/><Relationship Id="rId29" Type="http://schemas.openxmlformats.org/officeDocument/2006/relationships/hyperlink" Target="https://www.nature.com/articles/s41560-025-01929-z" TargetMode="External"/><Relationship Id="rId30" Type="http://schemas.openxmlformats.org/officeDocument/2006/relationships/hyperlink" Target="https://www.nature.com/articles/s41467-025-67765-7" TargetMode="External"/><Relationship Id="rId31" Type="http://schemas.openxmlformats.org/officeDocument/2006/relationships/hyperlink" Target="https://www.nature.com/articles/s41467-025-67638-z" TargetMode="External"/><Relationship Id="rId32" Type="http://schemas.openxmlformats.org/officeDocument/2006/relationships/hyperlink" Target="https://www.nature.com/articles/s41467-025-67593-9" TargetMode="External"/><Relationship Id="rId33" Type="http://schemas.openxmlformats.org/officeDocument/2006/relationships/hyperlink" Target="https://www.nature.com/articles/s41467-025-67558-y" TargetMode="External"/><Relationship Id="rId34" Type="http://schemas.openxmlformats.org/officeDocument/2006/relationships/hyperlink" Target="https://www.nature.com/articles/s41928-025-01550-8" TargetMode="External"/><Relationship Id="rId35" Type="http://schemas.openxmlformats.org/officeDocument/2006/relationships/hyperlink" Target="https://www.sciencedirect.com/science/article/pii/S0301421525005178?dgcid=rss_sd_all" TargetMode="External"/><Relationship Id="rId36" Type="http://schemas.openxmlformats.org/officeDocument/2006/relationships/hyperlink" Target="https://academic.oup.com/nsr/advance-article/doi/10.1093/nsr/nwaf576/8402871?rss=1" TargetMode="External"/><Relationship Id="rId37" Type="http://schemas.openxmlformats.org/officeDocument/2006/relationships/hyperlink" Target="https://doi.org/10.1093/nsr/nwaf576/8402871" TargetMode="External"/><Relationship Id="rId38" Type="http://schemas.openxmlformats.org/officeDocument/2006/relationships/hyperlink" Target="https://www.sciencedirect.com/science/article/pii/S0301421525005440?dgcid=rss_sd_all" TargetMode="External"/><Relationship Id="rId39" Type="http://schemas.openxmlformats.org/officeDocument/2006/relationships/hyperlink" Target="https://www.sciencedirect.com/science/article/pii/S0306261925020355?dgcid=rss_sd_all" TargetMode="External"/><Relationship Id="rId40" Type="http://schemas.openxmlformats.org/officeDocument/2006/relationships/hyperlink" Target="https://www.sciencedirect.com/science/article/pii/S0306261925020240?dgcid=rss_sd_all" TargetMode="External"/><Relationship Id="rId41" Type="http://schemas.openxmlformats.org/officeDocument/2006/relationships/hyperlink" Target="https://www.sciencedirect.com/science/article/pii/S0306261925020215?dgcid=rss_sd_all" TargetMode="External"/><Relationship Id="rId42" Type="http://schemas.openxmlformats.org/officeDocument/2006/relationships/hyperlink" Target="https://www.sciencedirect.com/science/article/pii/S0306261925020203?dgcid=rss_sd_all" TargetMode="External"/><Relationship Id="rId43" Type="http://schemas.openxmlformats.org/officeDocument/2006/relationships/hyperlink" Target="https://www.sciencedirect.com/science/article/pii/S0306261925020161?dgcid=rss_sd_all" TargetMode="External"/><Relationship Id="rId44" Type="http://schemas.openxmlformats.org/officeDocument/2006/relationships/hyperlink" Target="https://www.sciencedirect.com/science/article/pii/S0306261925020069?dgcid=rss_sd_all" TargetMode="External"/><Relationship Id="rId45" Type="http://schemas.openxmlformats.org/officeDocument/2006/relationships/hyperlink" Target="https://www.sciencedirect.com/science/article/pii/S030626192501997X?dgcid=rss_sd_all" TargetMode="External"/><Relationship Id="rId46" Type="http://schemas.openxmlformats.org/officeDocument/2006/relationships/hyperlink" Target="https://www.sciencedirect.com/science/article/pii/S0306261925019932?dgcid=rss_sd_all" TargetMode="External"/><Relationship Id="rId47" Type="http://schemas.openxmlformats.org/officeDocument/2006/relationships/hyperlink" Target="https://www.sciencedirect.com/science/article/pii/S0306261925019919?dgcid=rss_sd_all" TargetMode="External"/><Relationship Id="rId48" Type="http://schemas.openxmlformats.org/officeDocument/2006/relationships/hyperlink" Target="https://www.sciencedirect.com/science/article/pii/S0306261925019762?dgcid=rss_sd_all" TargetMode="External"/><Relationship Id="rId49" Type="http://schemas.openxmlformats.org/officeDocument/2006/relationships/hyperlink" Target="https://www.sciencedirect.com/science/article/pii/S0306261925019749?dgcid=rss_sd_all" TargetMode="External"/><Relationship Id="rId50" Type="http://schemas.openxmlformats.org/officeDocument/2006/relationships/hyperlink" Target="https://www.sciencedirect.com/science/article/pii/S0306261925019737?dgcid=rss_sd_all" TargetMode="External"/><Relationship Id="rId51" Type="http://schemas.openxmlformats.org/officeDocument/2006/relationships/hyperlink" Target="https://www.sciencedirect.com/science/article/pii/S0301421525005208?dgcid=rss_sd_all" TargetMode="External"/><Relationship Id="rId52" Type="http://schemas.openxmlformats.org/officeDocument/2006/relationships/hyperlink" Target="https://www.sciencedirect.com/science/article/pii/S0306261925019725?dgcid=rss_sd_all" TargetMode="External"/><Relationship Id="rId53" Type="http://schemas.openxmlformats.org/officeDocument/2006/relationships/hyperlink" Target="https://www.nature.com/articles/s41467-025-67037-4" TargetMode="External"/><Relationship Id="rId54" Type="http://schemas.openxmlformats.org/officeDocument/2006/relationships/hyperlink" Target="https://www.sciencedirect.com/science/article/pii/S0306261925019701?dgcid=rss_sd_all" TargetMode="External"/><Relationship Id="rId55" Type="http://schemas.openxmlformats.org/officeDocument/2006/relationships/hyperlink" Target="https://www.sciencedirect.com/science/article/pii/S030142152500552X?dgcid=rss_sd_all" TargetMode="External"/><Relationship Id="rId56" Type="http://schemas.openxmlformats.org/officeDocument/2006/relationships/hyperlink" Target="https://www.sciencedirect.com/science/article/pii/S0301421525005531?dgcid=rss_sd_all" TargetMode="External"/><Relationship Id="rId57" Type="http://schemas.openxmlformats.org/officeDocument/2006/relationships/hyperlink" Target="https://www.sciencedirect.com/science/article/pii/S0306261925019440?dgcid=rss_sd_all" TargetMode="External"/><Relationship Id="rId58" Type="http://schemas.openxmlformats.org/officeDocument/2006/relationships/hyperlink" Target="https://www.sciencedirect.com/science/article/pii/S0306261925019531?dgcid=rss_sd_all" TargetMode="External"/><Relationship Id="rId59" Type="http://schemas.openxmlformats.org/officeDocument/2006/relationships/hyperlink" Target="https://www.sciencedirect.com/science/article/pii/S0306261925019634?dgcid=rss_sd_all" TargetMode="External"/><Relationship Id="rId60" Type="http://schemas.openxmlformats.org/officeDocument/2006/relationships/hyperlink" Target="https://www.sciencedirect.com/science/article/pii/S0306261925019543?dgcid=rss_sd_all" TargetMode="External"/><Relationship Id="rId61" Type="http://schemas.openxmlformats.org/officeDocument/2006/relationships/hyperlink" Target="https://www.sciencedirect.com/science/article/pii/S0306261925019658?dgcid=rss_sd_all" TargetMode="External"/><Relationship Id="rId62" Type="http://schemas.openxmlformats.org/officeDocument/2006/relationships/hyperlink" Target="https://advanced.onlinelibrary.wiley.com/doi/10.1002/adma.202511921?af=R" TargetMode="External"/><Relationship Id="rId63" Type="http://schemas.openxmlformats.org/officeDocument/2006/relationships/hyperlink" Target="https://doi.org/10.1002/adma.202511921" TargetMode="External"/><Relationship Id="rId64" Type="http://schemas.openxmlformats.org/officeDocument/2006/relationships/hyperlink" Target="https://onlinelibrary.wiley.com/doi/10.1002/anie.202519203?af=R" TargetMode="External"/><Relationship Id="rId65" Type="http://schemas.openxmlformats.org/officeDocument/2006/relationships/hyperlink" Target="https://doi.org/10.1002/anie.202519203" TargetMode="External"/><Relationship Id="rId66" Type="http://schemas.openxmlformats.org/officeDocument/2006/relationships/hyperlink" Target="https://onlinelibrary.wiley.com/doi/10.1002/anie.202523140?af=R" TargetMode="External"/><Relationship Id="rId67" Type="http://schemas.openxmlformats.org/officeDocument/2006/relationships/hyperlink" Target="https://doi.org/10.1002/anie.202523140" TargetMode="External"/><Relationship Id="rId68" Type="http://schemas.openxmlformats.org/officeDocument/2006/relationships/hyperlink" Target="https://advanced.onlinelibrary.wiley.com/doi/10.1002/adma.202519486?af=R" TargetMode="External"/><Relationship Id="rId69" Type="http://schemas.openxmlformats.org/officeDocument/2006/relationships/hyperlink" Target="https://doi.org/10.1002/adma.202519486" TargetMode="External"/><Relationship Id="rId70" Type="http://schemas.openxmlformats.org/officeDocument/2006/relationships/hyperlink" Target="https://advanced.onlinelibrary.wiley.com/doi/10.1002/adma.202517292?af=R" TargetMode="External"/><Relationship Id="rId71" Type="http://schemas.openxmlformats.org/officeDocument/2006/relationships/hyperlink" Target="https://doi.org/10.1002/adma.202517292" TargetMode="External"/><Relationship Id="rId72" Type="http://schemas.openxmlformats.org/officeDocument/2006/relationships/hyperlink" Target="https://advanced.onlinelibrary.wiley.com/doi/10.1002/aenm.202505244?af=R" TargetMode="External"/><Relationship Id="rId73" Type="http://schemas.openxmlformats.org/officeDocument/2006/relationships/hyperlink" Target="https://doi.org/10.1002/aenm.202505244" TargetMode="External"/><Relationship Id="rId74" Type="http://schemas.openxmlformats.org/officeDocument/2006/relationships/hyperlink" Target="https://advanced.onlinelibrary.wiley.com/doi/10.1002/adma.202514033?af=R" TargetMode="External"/><Relationship Id="rId75" Type="http://schemas.openxmlformats.org/officeDocument/2006/relationships/hyperlink" Target="https://doi.org/10.1002/adma.202514033" TargetMode="External"/><Relationship Id="rId76" Type="http://schemas.openxmlformats.org/officeDocument/2006/relationships/hyperlink" Target="https://advanced.onlinelibrary.wiley.com/doi/10.1002/adma.202514373?af=R" TargetMode="External"/><Relationship Id="rId77" Type="http://schemas.openxmlformats.org/officeDocument/2006/relationships/hyperlink" Target="https://doi.org/10.1002/adma.202514373" TargetMode="External"/><Relationship Id="rId78" Type="http://schemas.openxmlformats.org/officeDocument/2006/relationships/hyperlink" Target="https://advanced.onlinelibrary.wiley.com/doi/10.1002/adma.202517846?af=R" TargetMode="External"/><Relationship Id="rId79" Type="http://schemas.openxmlformats.org/officeDocument/2006/relationships/hyperlink" Target="https://doi.org/10.1002/adma.202517846" TargetMode="External"/><Relationship Id="rId80" Type="http://schemas.openxmlformats.org/officeDocument/2006/relationships/hyperlink" Target="https://www.pnas.org/doi/abs/10.1073/pnas.2510262122?mi=eymic2&amp;af=R&amp;access=on&amp;content=articlesChapters&amp;publication=pnas&amp;sortBy=Earliest&amp;target=default" TargetMode="External"/><Relationship Id="rId81" Type="http://schemas.openxmlformats.org/officeDocument/2006/relationships/hyperlink" Target="https://doi.org/10.1073/pnas.2510262122" TargetMode="External"/><Relationship Id="rId82" Type="http://schemas.openxmlformats.org/officeDocument/2006/relationships/hyperlink" Target="https://www.pnas.org/doi/abs/10.1073/pnas.2500226122?mi=eymic2&amp;af=R&amp;access=on&amp;content=articlesChapters&amp;publication=pnas&amp;sortBy=Earliest&amp;target=default" TargetMode="External"/><Relationship Id="rId83" Type="http://schemas.openxmlformats.org/officeDocument/2006/relationships/hyperlink" Target="https://doi.org/10.1073/pnas.2500226122" TargetMode="External"/><Relationship Id="rId84" Type="http://schemas.openxmlformats.org/officeDocument/2006/relationships/hyperlink" Target="https://www.pnas.org/doi/abs/10.1073/pnas.2517012122?mi=eymic2&amp;af=R&amp;access=on&amp;content=articlesChapters&amp;publication=pnas&amp;sortBy=Earliest&amp;target=default" TargetMode="External"/><Relationship Id="rId85" Type="http://schemas.openxmlformats.org/officeDocument/2006/relationships/hyperlink" Target="https://doi.org/10.1073/pnas.2517012122" TargetMode="External"/><Relationship Id="rId86" Type="http://schemas.openxmlformats.org/officeDocument/2006/relationships/hyperlink" Target="https://www.pnas.org/doi/abs/10.1073/iti5125122?mi=eymic2&amp;af=R&amp;access=on&amp;content=articlesChapters&amp;publication=pnas&amp;sortBy=Earliest&amp;target=default" TargetMode="External"/><Relationship Id="rId87" Type="http://schemas.openxmlformats.org/officeDocument/2006/relationships/hyperlink" Target="https://doi.org/10.1073/iti5125122" TargetMode="External"/><Relationship Id="rId88" Type="http://schemas.openxmlformats.org/officeDocument/2006/relationships/hyperlink" Target="https://www.pnas.org/doi/abs/10.1073/pnas.2516465122?mi=eymic2&amp;af=R&amp;access=on&amp;content=articlesChapters&amp;publication=pnas&amp;sortBy=Earliest&amp;target=default" TargetMode="External"/><Relationship Id="rId89" Type="http://schemas.openxmlformats.org/officeDocument/2006/relationships/hyperlink" Target="https://doi.org/10.1073/pnas.2516465122" TargetMode="External"/><Relationship Id="rId90" Type="http://schemas.openxmlformats.org/officeDocument/2006/relationships/hyperlink" Target="https://www.pnas.org/doi/abs/10.1073/pnas.2516306122?mi=eymic2&amp;af=R&amp;access=on&amp;content=articlesChapters&amp;publication=pnas&amp;sortBy=Earliest&amp;target=default" TargetMode="External"/><Relationship Id="rId91" Type="http://schemas.openxmlformats.org/officeDocument/2006/relationships/hyperlink" Target="https://doi.org/10.1073/pnas.2516306122" TargetMode="External"/><Relationship Id="rId92" Type="http://schemas.openxmlformats.org/officeDocument/2006/relationships/hyperlink" Target="https://www.pnas.org/doi/abs/10.1073/pnas.2519255122?mi=eymic2&amp;af=R&amp;access=on&amp;content=articlesChapters&amp;publication=pnas&amp;sortBy=Earliest&amp;target=default" TargetMode="External"/><Relationship Id="rId93" Type="http://schemas.openxmlformats.org/officeDocument/2006/relationships/hyperlink" Target="https://doi.org/10.1073/pnas.2519255122" TargetMode="External"/><Relationship Id="rId94" Type="http://schemas.openxmlformats.org/officeDocument/2006/relationships/hyperlink" Target="https://www.pnas.org/doi/abs/10.1073/pnas.2517730122?mi=eymic2&amp;af=R&amp;access=on&amp;content=articlesChapters&amp;publication=pnas&amp;sortBy=Earliest&amp;target=default" TargetMode="External"/><Relationship Id="rId95" Type="http://schemas.openxmlformats.org/officeDocument/2006/relationships/hyperlink" Target="https://doi.org/10.1073/pnas.2517730122" TargetMode="External"/><Relationship Id="rId96" Type="http://schemas.openxmlformats.org/officeDocument/2006/relationships/hyperlink" Target="https://www.pnas.org/doi/abs/10.1073/pnas.2514555122?mi=eymic2&amp;af=R&amp;access=on&amp;content=articlesChapters&amp;publication=pnas&amp;sortBy=Earliest&amp;target=default" TargetMode="External"/><Relationship Id="rId97" Type="http://schemas.openxmlformats.org/officeDocument/2006/relationships/hyperlink" Target="https://doi.org/10.1073/pnas.2514555122" TargetMode="External"/><Relationship Id="rId98" Type="http://schemas.openxmlformats.org/officeDocument/2006/relationships/hyperlink" Target="https://www.pnas.org/doi/abs/10.1073/pnas.2519994122?mi=eymic2&amp;af=R&amp;access=on&amp;content=articlesChapters&amp;publication=pnas&amp;sortBy=Earliest&amp;target=default" TargetMode="External"/><Relationship Id="rId99" Type="http://schemas.openxmlformats.org/officeDocument/2006/relationships/hyperlink" Target="https://doi.org/10.1073/pnas.2519994122" TargetMode="External"/><Relationship Id="rId100" Type="http://schemas.openxmlformats.org/officeDocument/2006/relationships/hyperlink" Target="https://www.pnas.org/doi/abs/10.1073/pnas.2522750122?mi=eymic2&amp;af=R&amp;access=on&amp;content=articlesChapters&amp;publication=pnas&amp;sortBy=Earliest&amp;target=default" TargetMode="External"/><Relationship Id="rId101" Type="http://schemas.openxmlformats.org/officeDocument/2006/relationships/hyperlink" Target="https://doi.org/10.1073/pnas.2522750122" TargetMode="External"/><Relationship Id="rId102" Type="http://schemas.openxmlformats.org/officeDocument/2006/relationships/hyperlink" Target="https://www.pnas.org/doi/abs/10.1073/pnas.2512604122?mi=eymic2&amp;af=R&amp;access=on&amp;content=articlesChapters&amp;publication=pnas&amp;sortBy=Earliest&amp;target=default" TargetMode="External"/><Relationship Id="rId103" Type="http://schemas.openxmlformats.org/officeDocument/2006/relationships/hyperlink" Target="https://doi.org/10.1073/pnas.2512604122" TargetMode="External"/><Relationship Id="rId104" Type="http://schemas.openxmlformats.org/officeDocument/2006/relationships/hyperlink" Target="https://www.pnas.org/doi/abs/10.1073/pnas.2511892122?mi=eymic2&amp;af=R&amp;access=on&amp;content=articlesChapters&amp;publication=pnas&amp;sortBy=Earliest&amp;target=default" TargetMode="External"/><Relationship Id="rId105" Type="http://schemas.openxmlformats.org/officeDocument/2006/relationships/hyperlink" Target="https://doi.org/10.1073/pnas.2511892122" TargetMode="External"/><Relationship Id="rId106" Type="http://schemas.openxmlformats.org/officeDocument/2006/relationships/hyperlink" Target="https://www.pnas.org/doi/abs/10.1073/pnas.2523198122?mi=eymic2&amp;af=R&amp;access=on&amp;content=articlesChapters&amp;publication=pnas&amp;sortBy=Earliest&amp;target=default" TargetMode="External"/><Relationship Id="rId107" Type="http://schemas.openxmlformats.org/officeDocument/2006/relationships/hyperlink" Target="https://doi.org/10.1073/pnas.2523198122" TargetMode="External"/><Relationship Id="rId108" Type="http://schemas.openxmlformats.org/officeDocument/2006/relationships/hyperlink" Target="https://www.pnas.org/doi/abs/10.1073/pnas.2514196122?mi=eymic2&amp;af=R&amp;access=on&amp;content=articlesChapters&amp;publication=pnas&amp;sortBy=Earliest&amp;target=default" TargetMode="External"/><Relationship Id="rId109" Type="http://schemas.openxmlformats.org/officeDocument/2006/relationships/hyperlink" Target="https://doi.org/10.1073/pnas.2514196122" TargetMode="External"/><Relationship Id="rId110" Type="http://schemas.openxmlformats.org/officeDocument/2006/relationships/hyperlink" Target="https://www.pnas.org/doi/abs/10.1073/pnas.2518037122?mi=eymic2&amp;af=R&amp;access=on&amp;content=articlesChapters&amp;publication=pnas&amp;sortBy=Earliest&amp;target=default" TargetMode="External"/><Relationship Id="rId111" Type="http://schemas.openxmlformats.org/officeDocument/2006/relationships/hyperlink" Target="https://doi.org/10.1073/pnas.2518037122" TargetMode="External"/><Relationship Id="rId112" Type="http://schemas.openxmlformats.org/officeDocument/2006/relationships/hyperlink" Target="https://onlinelibrary.wiley.com/doi/10.1002/anie.202517282?af=R" TargetMode="External"/><Relationship Id="rId113" Type="http://schemas.openxmlformats.org/officeDocument/2006/relationships/hyperlink" Target="https://doi.org/10.1002/anie.202517282" TargetMode="External"/><Relationship Id="rId114" Type="http://schemas.openxmlformats.org/officeDocument/2006/relationships/hyperlink" Target="https://onlinelibrary.wiley.com/doi/10.1002/anie.202517145?af=R" TargetMode="External"/><Relationship Id="rId115" Type="http://schemas.openxmlformats.org/officeDocument/2006/relationships/hyperlink" Target="https://doi.org/10.1002/anie.202517145" TargetMode="External"/><Relationship Id="rId116" Type="http://schemas.openxmlformats.org/officeDocument/2006/relationships/hyperlink" Target="https://onlinelibrary.wiley.com/doi/10.1002/anie.202517047?af=R" TargetMode="External"/><Relationship Id="rId117" Type="http://schemas.openxmlformats.org/officeDocument/2006/relationships/hyperlink" Target="https://doi.org/10.1002/anie.202517047" TargetMode="External"/><Relationship Id="rId118" Type="http://schemas.openxmlformats.org/officeDocument/2006/relationships/hyperlink" Target="https://onlinelibrary.wiley.com/doi/10.1002/anie.202516998?af=R" TargetMode="External"/><Relationship Id="rId119" Type="http://schemas.openxmlformats.org/officeDocument/2006/relationships/hyperlink" Target="https://doi.org/10.1002/anie.202516998" TargetMode="External"/><Relationship Id="rId120" Type="http://schemas.openxmlformats.org/officeDocument/2006/relationships/hyperlink" Target="https://onlinelibrary.wiley.com/doi/10.1002/anie.202516782?af=R" TargetMode="External"/><Relationship Id="rId121" Type="http://schemas.openxmlformats.org/officeDocument/2006/relationships/hyperlink" Target="https://doi.org/10.1002/anie.202516782" TargetMode="External"/><Relationship Id="rId122" Type="http://schemas.openxmlformats.org/officeDocument/2006/relationships/hyperlink" Target="https://onlinelibrary.wiley.com/doi/10.1002/anie.202516746?af=R" TargetMode="External"/><Relationship Id="rId123" Type="http://schemas.openxmlformats.org/officeDocument/2006/relationships/hyperlink" Target="https://doi.org/10.1002/anie.202516746" TargetMode="External"/><Relationship Id="rId124" Type="http://schemas.openxmlformats.org/officeDocument/2006/relationships/hyperlink" Target="https://onlinelibrary.wiley.com/doi/10.1002/anie.202516704?af=R" TargetMode="External"/><Relationship Id="rId125" Type="http://schemas.openxmlformats.org/officeDocument/2006/relationships/hyperlink" Target="https://doi.org/10.1002/anie.202516704" TargetMode="External"/><Relationship Id="rId126" Type="http://schemas.openxmlformats.org/officeDocument/2006/relationships/hyperlink" Target="https://onlinelibrary.wiley.com/doi/10.1002/anie.202516614?af=R" TargetMode="External"/><Relationship Id="rId127" Type="http://schemas.openxmlformats.org/officeDocument/2006/relationships/hyperlink" Target="https://doi.org/10.1002/anie.202516614" TargetMode="External"/><Relationship Id="rId128" Type="http://schemas.openxmlformats.org/officeDocument/2006/relationships/hyperlink" Target="https://onlinelibrary.wiley.com/doi/10.1002/anie.202517133?af=R" TargetMode="External"/><Relationship Id="rId129" Type="http://schemas.openxmlformats.org/officeDocument/2006/relationships/hyperlink" Target="https://doi.org/10.1002/anie.202517133" TargetMode="External"/><Relationship Id="rId130" Type="http://schemas.openxmlformats.org/officeDocument/2006/relationships/hyperlink" Target="https://onlinelibrary.wiley.com/doi/10.1002/anie.202517305?af=R" TargetMode="External"/><Relationship Id="rId131" Type="http://schemas.openxmlformats.org/officeDocument/2006/relationships/hyperlink" Target="https://doi.org/10.1002/anie.202517305" TargetMode="External"/><Relationship Id="rId132" Type="http://schemas.openxmlformats.org/officeDocument/2006/relationships/hyperlink" Target="https://onlinelibrary.wiley.com/doi/10.1002/anie.202518567?af=R" TargetMode="External"/><Relationship Id="rId133" Type="http://schemas.openxmlformats.org/officeDocument/2006/relationships/hyperlink" Target="https://doi.org/10.1002/anie.202518567" TargetMode="External"/><Relationship Id="rId134" Type="http://schemas.openxmlformats.org/officeDocument/2006/relationships/hyperlink" Target="https://onlinelibrary.wiley.com/doi/10.1002/anie.202517603?af=R" TargetMode="External"/><Relationship Id="rId135" Type="http://schemas.openxmlformats.org/officeDocument/2006/relationships/hyperlink" Target="https://doi.org/10.1002/anie.202517603" TargetMode="External"/><Relationship Id="rId136" Type="http://schemas.openxmlformats.org/officeDocument/2006/relationships/hyperlink" Target="https://onlinelibrary.wiley.com/doi/10.1002/anie.202517837?af=R" TargetMode="External"/><Relationship Id="rId137" Type="http://schemas.openxmlformats.org/officeDocument/2006/relationships/hyperlink" Target="https://doi.org/10.1002/anie.202517837" TargetMode="External"/><Relationship Id="rId138" Type="http://schemas.openxmlformats.org/officeDocument/2006/relationships/hyperlink" Target="https://onlinelibrary.wiley.com/doi/10.1002/anie.202517916?af=R" TargetMode="External"/><Relationship Id="rId139" Type="http://schemas.openxmlformats.org/officeDocument/2006/relationships/hyperlink" Target="https://doi.org/10.1002/anie.202517916" TargetMode="External"/><Relationship Id="rId140" Type="http://schemas.openxmlformats.org/officeDocument/2006/relationships/hyperlink" Target="https://onlinelibrary.wiley.com/doi/10.1002/anie.202518003?af=R" TargetMode="External"/><Relationship Id="rId141" Type="http://schemas.openxmlformats.org/officeDocument/2006/relationships/hyperlink" Target="https://doi.org/10.1002/anie.202518003" TargetMode="External"/><Relationship Id="rId142" Type="http://schemas.openxmlformats.org/officeDocument/2006/relationships/hyperlink" Target="https://onlinelibrary.wiley.com/doi/10.1002/anie.202518043?af=R" TargetMode="External"/><Relationship Id="rId143" Type="http://schemas.openxmlformats.org/officeDocument/2006/relationships/hyperlink" Target="https://doi.org/10.1002/anie.202518043" TargetMode="External"/><Relationship Id="rId144" Type="http://schemas.openxmlformats.org/officeDocument/2006/relationships/hyperlink" Target="https://onlinelibrary.wiley.com/doi/10.1002/anie.202518106?af=R" TargetMode="External"/><Relationship Id="rId145" Type="http://schemas.openxmlformats.org/officeDocument/2006/relationships/hyperlink" Target="https://doi.org/10.1002/anie.202518106" TargetMode="External"/><Relationship Id="rId146" Type="http://schemas.openxmlformats.org/officeDocument/2006/relationships/hyperlink" Target="https://onlinelibrary.wiley.com/doi/10.1002/anie.202518108?af=R" TargetMode="External"/><Relationship Id="rId147" Type="http://schemas.openxmlformats.org/officeDocument/2006/relationships/hyperlink" Target="https://doi.org/10.1002/anie.202518108" TargetMode="External"/><Relationship Id="rId148" Type="http://schemas.openxmlformats.org/officeDocument/2006/relationships/hyperlink" Target="https://onlinelibrary.wiley.com/doi/10.1002/anie.202518109?af=R" TargetMode="External"/><Relationship Id="rId149" Type="http://schemas.openxmlformats.org/officeDocument/2006/relationships/hyperlink" Target="https://doi.org/10.1002/anie.202518109" TargetMode="External"/><Relationship Id="rId150" Type="http://schemas.openxmlformats.org/officeDocument/2006/relationships/hyperlink" Target="https://onlinelibrary.wiley.com/doi/10.1002/anie.202518169?af=R" TargetMode="External"/><Relationship Id="rId151" Type="http://schemas.openxmlformats.org/officeDocument/2006/relationships/hyperlink" Target="https://doi.org/10.1002/anie.202518169" TargetMode="External"/><Relationship Id="rId152" Type="http://schemas.openxmlformats.org/officeDocument/2006/relationships/hyperlink" Target="https://onlinelibrary.wiley.com/doi/10.1002/anie.202518187?af=R" TargetMode="External"/><Relationship Id="rId153" Type="http://schemas.openxmlformats.org/officeDocument/2006/relationships/hyperlink" Target="https://doi.org/10.1002/anie.202518187" TargetMode="External"/><Relationship Id="rId154" Type="http://schemas.openxmlformats.org/officeDocument/2006/relationships/hyperlink" Target="https://onlinelibrary.wiley.com/doi/10.1002/anie.202518217?af=R" TargetMode="External"/><Relationship Id="rId155" Type="http://schemas.openxmlformats.org/officeDocument/2006/relationships/hyperlink" Target="https://doi.org/10.1002/anie.202518217" TargetMode="External"/><Relationship Id="rId156" Type="http://schemas.openxmlformats.org/officeDocument/2006/relationships/hyperlink" Target="https://onlinelibrary.wiley.com/doi/10.1002/anie.202518346?af=R" TargetMode="External"/><Relationship Id="rId157" Type="http://schemas.openxmlformats.org/officeDocument/2006/relationships/hyperlink" Target="https://doi.org/10.1002/anie.202518346" TargetMode="External"/><Relationship Id="rId158" Type="http://schemas.openxmlformats.org/officeDocument/2006/relationships/hyperlink" Target="https://onlinelibrary.wiley.com/doi/10.1002/anie.202517373?af=R" TargetMode="External"/><Relationship Id="rId159" Type="http://schemas.openxmlformats.org/officeDocument/2006/relationships/hyperlink" Target="https://doi.org/10.1002/anie.202517373" TargetMode="External"/><Relationship Id="rId160" Type="http://schemas.openxmlformats.org/officeDocument/2006/relationships/hyperlink" Target="https://onlinelibrary.wiley.com/doi/10.1002/anie.202516389?af=R" TargetMode="External"/><Relationship Id="rId161" Type="http://schemas.openxmlformats.org/officeDocument/2006/relationships/hyperlink" Target="https://doi.org/10.1002/anie.202516389" TargetMode="External"/><Relationship Id="rId162" Type="http://schemas.openxmlformats.org/officeDocument/2006/relationships/hyperlink" Target="https://onlinelibrary.wiley.com/doi/10.1002/anie.202515511?af=R" TargetMode="External"/><Relationship Id="rId163" Type="http://schemas.openxmlformats.org/officeDocument/2006/relationships/hyperlink" Target="https://doi.org/10.1002/anie.202515511" TargetMode="External"/><Relationship Id="rId164" Type="http://schemas.openxmlformats.org/officeDocument/2006/relationships/hyperlink" Target="https://onlinelibrary.wiley.com/doi/10.1002/anie.202516351?af=R" TargetMode="External"/><Relationship Id="rId165" Type="http://schemas.openxmlformats.org/officeDocument/2006/relationships/hyperlink" Target="https://doi.org/10.1002/anie.202516351" TargetMode="External"/><Relationship Id="rId166" Type="http://schemas.openxmlformats.org/officeDocument/2006/relationships/hyperlink" Target="https://onlinelibrary.wiley.com/doi/10.1002/anie.202515336?af=R" TargetMode="External"/><Relationship Id="rId167" Type="http://schemas.openxmlformats.org/officeDocument/2006/relationships/hyperlink" Target="https://doi.org/10.1002/anie.202515336" TargetMode="External"/><Relationship Id="rId168" Type="http://schemas.openxmlformats.org/officeDocument/2006/relationships/hyperlink" Target="https://onlinelibrary.wiley.com/doi/10.1002/anie.202515471?af=R" TargetMode="External"/><Relationship Id="rId169" Type="http://schemas.openxmlformats.org/officeDocument/2006/relationships/hyperlink" Target="https://doi.org/10.1002/anie.202515471" TargetMode="External"/><Relationship Id="rId170" Type="http://schemas.openxmlformats.org/officeDocument/2006/relationships/hyperlink" Target="https://onlinelibrary.wiley.com/doi/10.1002/anie.202515175?af=R" TargetMode="External"/><Relationship Id="rId171" Type="http://schemas.openxmlformats.org/officeDocument/2006/relationships/hyperlink" Target="https://doi.org/10.1002/anie.202515175" TargetMode="External"/><Relationship Id="rId172" Type="http://schemas.openxmlformats.org/officeDocument/2006/relationships/hyperlink" Target="https://onlinelibrary.wiley.com/doi/10.1002/anie.202515055?af=R" TargetMode="External"/><Relationship Id="rId173" Type="http://schemas.openxmlformats.org/officeDocument/2006/relationships/hyperlink" Target="https://doi.org/10.1002/anie.202515055" TargetMode="External"/><Relationship Id="rId174" Type="http://schemas.openxmlformats.org/officeDocument/2006/relationships/hyperlink" Target="https://onlinelibrary.wiley.com/doi/10.1002/anie.202515017?af=R" TargetMode="External"/><Relationship Id="rId175" Type="http://schemas.openxmlformats.org/officeDocument/2006/relationships/hyperlink" Target="https://doi.org/10.1002/anie.202515017" TargetMode="External"/><Relationship Id="rId176" Type="http://schemas.openxmlformats.org/officeDocument/2006/relationships/hyperlink" Target="https://onlinelibrary.wiley.com/doi/10.1002/anie.202518377?af=R" TargetMode="External"/><Relationship Id="rId177" Type="http://schemas.openxmlformats.org/officeDocument/2006/relationships/hyperlink" Target="https://doi.org/10.1002/anie.202518377" TargetMode="External"/><Relationship Id="rId178" Type="http://schemas.openxmlformats.org/officeDocument/2006/relationships/hyperlink" Target="https://onlinelibrary.wiley.com/doi/10.1002/anie.202514726?af=R" TargetMode="External"/><Relationship Id="rId179" Type="http://schemas.openxmlformats.org/officeDocument/2006/relationships/hyperlink" Target="https://doi.org/10.1002/anie.202514726" TargetMode="External"/><Relationship Id="rId180" Type="http://schemas.openxmlformats.org/officeDocument/2006/relationships/hyperlink" Target="https://onlinelibrary.wiley.com/doi/10.1002/anie.202514543?af=R" TargetMode="External"/><Relationship Id="rId181" Type="http://schemas.openxmlformats.org/officeDocument/2006/relationships/hyperlink" Target="https://doi.org/10.1002/anie.202514543" TargetMode="External"/><Relationship Id="rId182" Type="http://schemas.openxmlformats.org/officeDocument/2006/relationships/hyperlink" Target="https://onlinelibrary.wiley.com/doi/10.1002/anie.202514536?af=R" TargetMode="External"/><Relationship Id="rId183" Type="http://schemas.openxmlformats.org/officeDocument/2006/relationships/hyperlink" Target="https://doi.org/10.1002/anie.202514536" TargetMode="External"/><Relationship Id="rId184" Type="http://schemas.openxmlformats.org/officeDocument/2006/relationships/hyperlink" Target="https://onlinelibrary.wiley.com/doi/10.1002/anie.202514520?af=R" TargetMode="External"/><Relationship Id="rId185" Type="http://schemas.openxmlformats.org/officeDocument/2006/relationships/hyperlink" Target="https://doi.org/10.1002/anie.202514520" TargetMode="External"/><Relationship Id="rId186" Type="http://schemas.openxmlformats.org/officeDocument/2006/relationships/hyperlink" Target="https://onlinelibrary.wiley.com/doi/10.1002/anie.202513842?af=R" TargetMode="External"/><Relationship Id="rId187" Type="http://schemas.openxmlformats.org/officeDocument/2006/relationships/hyperlink" Target="https://doi.org/10.1002/anie.202513842" TargetMode="External"/><Relationship Id="rId188" Type="http://schemas.openxmlformats.org/officeDocument/2006/relationships/hyperlink" Target="https://onlinelibrary.wiley.com/doi/10.1002/anie.202513628?af=R" TargetMode="External"/><Relationship Id="rId189" Type="http://schemas.openxmlformats.org/officeDocument/2006/relationships/hyperlink" Target="https://doi.org/10.1002/anie.202513628" TargetMode="External"/><Relationship Id="rId190" Type="http://schemas.openxmlformats.org/officeDocument/2006/relationships/hyperlink" Target="https://onlinelibrary.wiley.com/doi/10.1002/anie.202513394?af=R" TargetMode="External"/><Relationship Id="rId191" Type="http://schemas.openxmlformats.org/officeDocument/2006/relationships/hyperlink" Target="https://doi.org/10.1002/anie.202513394" TargetMode="External"/><Relationship Id="rId192" Type="http://schemas.openxmlformats.org/officeDocument/2006/relationships/hyperlink" Target="https://onlinelibrary.wiley.com/doi/10.1002/anie.202513121?af=R" TargetMode="External"/><Relationship Id="rId193" Type="http://schemas.openxmlformats.org/officeDocument/2006/relationships/hyperlink" Target="https://doi.org/10.1002/anie.202513121" TargetMode="External"/><Relationship Id="rId194" Type="http://schemas.openxmlformats.org/officeDocument/2006/relationships/hyperlink" Target="https://onlinelibrary.wiley.com/doi/10.1002/anie.202515778?af=R" TargetMode="External"/><Relationship Id="rId195" Type="http://schemas.openxmlformats.org/officeDocument/2006/relationships/hyperlink" Target="https://doi.org/10.1002/anie.202515778" TargetMode="External"/><Relationship Id="rId196" Type="http://schemas.openxmlformats.org/officeDocument/2006/relationships/hyperlink" Target="https://onlinelibrary.wiley.com/doi/10.1002/anie.202512834?af=R" TargetMode="External"/><Relationship Id="rId197" Type="http://schemas.openxmlformats.org/officeDocument/2006/relationships/hyperlink" Target="https://doi.org/10.1002/anie.202512834" TargetMode="External"/><Relationship Id="rId198" Type="http://schemas.openxmlformats.org/officeDocument/2006/relationships/hyperlink" Target="https://onlinelibrary.wiley.com/doi/10.1002/anie.202512515?af=R" TargetMode="External"/><Relationship Id="rId199" Type="http://schemas.openxmlformats.org/officeDocument/2006/relationships/hyperlink" Target="https://doi.org/10.1002/anie.202512515" TargetMode="External"/><Relationship Id="rId200" Type="http://schemas.openxmlformats.org/officeDocument/2006/relationships/hyperlink" Target="https://onlinelibrary.wiley.com/doi/10.1002/anie.202511332?af=R" TargetMode="External"/><Relationship Id="rId201" Type="http://schemas.openxmlformats.org/officeDocument/2006/relationships/hyperlink" Target="https://doi.org/10.1002/anie.202511332" TargetMode="External"/><Relationship Id="rId202" Type="http://schemas.openxmlformats.org/officeDocument/2006/relationships/hyperlink" Target="https://onlinelibrary.wiley.com/doi/10.1002/anie.202511223?af=R" TargetMode="External"/><Relationship Id="rId203" Type="http://schemas.openxmlformats.org/officeDocument/2006/relationships/hyperlink" Target="https://doi.org/10.1002/anie.202511223" TargetMode="External"/><Relationship Id="rId204" Type="http://schemas.openxmlformats.org/officeDocument/2006/relationships/hyperlink" Target="https://onlinelibrary.wiley.com/doi/10.1002/anie.202515918?af=R" TargetMode="External"/><Relationship Id="rId205" Type="http://schemas.openxmlformats.org/officeDocument/2006/relationships/hyperlink" Target="https://doi.org/10.1002/anie.202515918" TargetMode="External"/><Relationship Id="rId206" Type="http://schemas.openxmlformats.org/officeDocument/2006/relationships/hyperlink" Target="https://onlinelibrary.wiley.com/doi/10.1002/anie.202510193?af=R" TargetMode="External"/><Relationship Id="rId207" Type="http://schemas.openxmlformats.org/officeDocument/2006/relationships/hyperlink" Target="https://doi.org/10.1002/anie.202510193" TargetMode="External"/><Relationship Id="rId208" Type="http://schemas.openxmlformats.org/officeDocument/2006/relationships/hyperlink" Target="https://onlinelibrary.wiley.com/doi/10.1002/anie.202506429?af=R" TargetMode="External"/><Relationship Id="rId209" Type="http://schemas.openxmlformats.org/officeDocument/2006/relationships/hyperlink" Target="https://doi.org/10.1002/anie.202506429" TargetMode="External"/><Relationship Id="rId210" Type="http://schemas.openxmlformats.org/officeDocument/2006/relationships/hyperlink" Target="https://onlinelibrary.wiley.com/doi/10.1002/anie.202515927?af=R" TargetMode="External"/><Relationship Id="rId211" Type="http://schemas.openxmlformats.org/officeDocument/2006/relationships/hyperlink" Target="https://doi.org/10.1002/anie.202515927" TargetMode="External"/><Relationship Id="rId212" Type="http://schemas.openxmlformats.org/officeDocument/2006/relationships/hyperlink" Target="https://onlinelibrary.wiley.com/doi/10.1002/anie.202516058?af=R" TargetMode="External"/><Relationship Id="rId213" Type="http://schemas.openxmlformats.org/officeDocument/2006/relationships/hyperlink" Target="https://doi.org/10.1002/anie.202516058" TargetMode="External"/><Relationship Id="rId214" Type="http://schemas.openxmlformats.org/officeDocument/2006/relationships/hyperlink" Target="https://onlinelibrary.wiley.com/doi/10.1002/anie.202516172?af=R" TargetMode="External"/><Relationship Id="rId215" Type="http://schemas.openxmlformats.org/officeDocument/2006/relationships/hyperlink" Target="https://doi.org/10.1002/anie.202516172" TargetMode="External"/><Relationship Id="rId216" Type="http://schemas.openxmlformats.org/officeDocument/2006/relationships/hyperlink" Target="https://onlinelibrary.wiley.com/doi/10.1002/anie.202516184?af=R" TargetMode="External"/><Relationship Id="rId217" Type="http://schemas.openxmlformats.org/officeDocument/2006/relationships/hyperlink" Target="https://doi.org/10.1002/anie.202516184" TargetMode="External"/><Relationship Id="rId218" Type="http://schemas.openxmlformats.org/officeDocument/2006/relationships/hyperlink" Target="https://onlinelibrary.wiley.com/doi/10.1002/anie.202516283?af=R" TargetMode="External"/><Relationship Id="rId219" Type="http://schemas.openxmlformats.org/officeDocument/2006/relationships/hyperlink" Target="https://doi.org/10.1002/anie.202516283" TargetMode="External"/><Relationship Id="rId220" Type="http://schemas.openxmlformats.org/officeDocument/2006/relationships/hyperlink" Target="https://onlinelibrary.wiley.com/doi/10.1002/anie.202516383?af=R" TargetMode="External"/><Relationship Id="rId221" Type="http://schemas.openxmlformats.org/officeDocument/2006/relationships/hyperlink" Target="https://doi.org/10.1002/anie.202516383" TargetMode="External"/><Relationship Id="rId222" Type="http://schemas.openxmlformats.org/officeDocument/2006/relationships/hyperlink" Target="https://onlinelibrary.wiley.com/doi/10.1002/anie.202518402?af=R" TargetMode="External"/><Relationship Id="rId223" Type="http://schemas.openxmlformats.org/officeDocument/2006/relationships/hyperlink" Target="https://doi.org/10.1002/anie.202518402" TargetMode="External"/><Relationship Id="rId224" Type="http://schemas.openxmlformats.org/officeDocument/2006/relationships/hyperlink" Target="https://onlinelibrary.wiley.com/doi/10.1002/anie.202515411?af=R" TargetMode="External"/><Relationship Id="rId225" Type="http://schemas.openxmlformats.org/officeDocument/2006/relationships/hyperlink" Target="https://doi.org/10.1002/anie.202515411" TargetMode="External"/><Relationship Id="rId226" Type="http://schemas.openxmlformats.org/officeDocument/2006/relationships/hyperlink" Target="https://onlinelibrary.wiley.com/doi/10.1002/anie.202521400?af=R" TargetMode="External"/><Relationship Id="rId227" Type="http://schemas.openxmlformats.org/officeDocument/2006/relationships/hyperlink" Target="https://doi.org/10.1002/anie.202521400" TargetMode="External"/><Relationship Id="rId228" Type="http://schemas.openxmlformats.org/officeDocument/2006/relationships/hyperlink" Target="https://onlinelibrary.wiley.com/doi/10.1002/anie.202520738?af=R" TargetMode="External"/><Relationship Id="rId229" Type="http://schemas.openxmlformats.org/officeDocument/2006/relationships/hyperlink" Target="https://doi.org/10.1002/anie.202520738" TargetMode="External"/><Relationship Id="rId230" Type="http://schemas.openxmlformats.org/officeDocument/2006/relationships/hyperlink" Target="https://onlinelibrary.wiley.com/doi/10.1002/anie.202521269?af=R" TargetMode="External"/><Relationship Id="rId231" Type="http://schemas.openxmlformats.org/officeDocument/2006/relationships/hyperlink" Target="https://doi.org/10.1002/anie.202521269" TargetMode="External"/><Relationship Id="rId232" Type="http://schemas.openxmlformats.org/officeDocument/2006/relationships/hyperlink" Target="https://onlinelibrary.wiley.com/doi/10.1002/anie.202520964?af=R" TargetMode="External"/><Relationship Id="rId233" Type="http://schemas.openxmlformats.org/officeDocument/2006/relationships/hyperlink" Target="https://doi.org/10.1002/anie.202520964" TargetMode="External"/><Relationship Id="rId234" Type="http://schemas.openxmlformats.org/officeDocument/2006/relationships/hyperlink" Target="https://onlinelibrary.wiley.com/doi/10.1002/anie.202519660?af=R" TargetMode="External"/><Relationship Id="rId235" Type="http://schemas.openxmlformats.org/officeDocument/2006/relationships/hyperlink" Target="https://doi.org/10.1002/anie.202519660" TargetMode="External"/><Relationship Id="rId236" Type="http://schemas.openxmlformats.org/officeDocument/2006/relationships/hyperlink" Target="https://onlinelibrary.wiley.com/doi/10.1002/anie.202519818?af=R" TargetMode="External"/><Relationship Id="rId237" Type="http://schemas.openxmlformats.org/officeDocument/2006/relationships/hyperlink" Target="https://doi.org/10.1002/anie.202519818" TargetMode="External"/><Relationship Id="rId238" Type="http://schemas.openxmlformats.org/officeDocument/2006/relationships/hyperlink" Target="https://onlinelibrary.wiley.com/doi/10.1002/anie.202515342?af=R" TargetMode="External"/><Relationship Id="rId239" Type="http://schemas.openxmlformats.org/officeDocument/2006/relationships/hyperlink" Target="https://doi.org/10.1002/anie.202515342" TargetMode="External"/><Relationship Id="rId240" Type="http://schemas.openxmlformats.org/officeDocument/2006/relationships/hyperlink" Target="https://onlinelibrary.wiley.com/doi/10.1002/anie.202520947?af=R" TargetMode="External"/><Relationship Id="rId241" Type="http://schemas.openxmlformats.org/officeDocument/2006/relationships/hyperlink" Target="https://doi.org/10.1002/anie.202520947" TargetMode="External"/><Relationship Id="rId242" Type="http://schemas.openxmlformats.org/officeDocument/2006/relationships/hyperlink" Target="https://onlinelibrary.wiley.com/doi/10.1002/anie.202520013?af=R" TargetMode="External"/><Relationship Id="rId243" Type="http://schemas.openxmlformats.org/officeDocument/2006/relationships/hyperlink" Target="https://doi.org/10.1002/anie.202520013" TargetMode="External"/><Relationship Id="rId244" Type="http://schemas.openxmlformats.org/officeDocument/2006/relationships/hyperlink" Target="https://onlinelibrary.wiley.com/doi/10.1002/anie.202520094?af=R" TargetMode="External"/><Relationship Id="rId245" Type="http://schemas.openxmlformats.org/officeDocument/2006/relationships/hyperlink" Target="https://doi.org/10.1002/anie.202520094" TargetMode="External"/><Relationship Id="rId246" Type="http://schemas.openxmlformats.org/officeDocument/2006/relationships/hyperlink" Target="https://onlinelibrary.wiley.com/doi/10.1002/anie.202520097?af=R" TargetMode="External"/><Relationship Id="rId247" Type="http://schemas.openxmlformats.org/officeDocument/2006/relationships/hyperlink" Target="https://doi.org/10.1002/anie.202520097" TargetMode="External"/><Relationship Id="rId248" Type="http://schemas.openxmlformats.org/officeDocument/2006/relationships/hyperlink" Target="https://onlinelibrary.wiley.com/doi/10.1002/anie.202520148?af=R" TargetMode="External"/><Relationship Id="rId249" Type="http://schemas.openxmlformats.org/officeDocument/2006/relationships/hyperlink" Target="https://doi.org/10.1002/anie.202520148" TargetMode="External"/><Relationship Id="rId250" Type="http://schemas.openxmlformats.org/officeDocument/2006/relationships/hyperlink" Target="https://onlinelibrary.wiley.com/doi/10.1002/anie.202520168?af=R" TargetMode="External"/><Relationship Id="rId251" Type="http://schemas.openxmlformats.org/officeDocument/2006/relationships/hyperlink" Target="https://doi.org/10.1002/anie.202520168" TargetMode="External"/><Relationship Id="rId252" Type="http://schemas.openxmlformats.org/officeDocument/2006/relationships/hyperlink" Target="https://onlinelibrary.wiley.com/doi/10.1002/anie.202520178?af=R" TargetMode="External"/><Relationship Id="rId253" Type="http://schemas.openxmlformats.org/officeDocument/2006/relationships/hyperlink" Target="https://doi.org/10.1002/anie.202520178" TargetMode="External"/><Relationship Id="rId254" Type="http://schemas.openxmlformats.org/officeDocument/2006/relationships/hyperlink" Target="https://onlinelibrary.wiley.com/doi/10.1002/anie.202520259?af=R" TargetMode="External"/><Relationship Id="rId255" Type="http://schemas.openxmlformats.org/officeDocument/2006/relationships/hyperlink" Target="https://doi.org/10.1002/anie.202520259" TargetMode="External"/><Relationship Id="rId256" Type="http://schemas.openxmlformats.org/officeDocument/2006/relationships/hyperlink" Target="https://onlinelibrary.wiley.com/doi/10.1002/anie.202520336?af=R" TargetMode="External"/><Relationship Id="rId257" Type="http://schemas.openxmlformats.org/officeDocument/2006/relationships/hyperlink" Target="https://doi.org/10.1002/anie.202520336" TargetMode="External"/><Relationship Id="rId258" Type="http://schemas.openxmlformats.org/officeDocument/2006/relationships/hyperlink" Target="https://onlinelibrary.wiley.com/doi/10.1002/anie.202520377?af=R" TargetMode="External"/><Relationship Id="rId259" Type="http://schemas.openxmlformats.org/officeDocument/2006/relationships/hyperlink" Target="https://doi.org/10.1002/anie.202520377" TargetMode="External"/><Relationship Id="rId260" Type="http://schemas.openxmlformats.org/officeDocument/2006/relationships/hyperlink" Target="https://onlinelibrary.wiley.com/doi/10.1002/anie.202520392?af=R" TargetMode="External"/><Relationship Id="rId261" Type="http://schemas.openxmlformats.org/officeDocument/2006/relationships/hyperlink" Target="https://doi.org/10.1002/anie.202520392" TargetMode="External"/><Relationship Id="rId262" Type="http://schemas.openxmlformats.org/officeDocument/2006/relationships/hyperlink" Target="https://onlinelibrary.wiley.com/doi/10.1002/anie.202520855?af=R" TargetMode="External"/><Relationship Id="rId263" Type="http://schemas.openxmlformats.org/officeDocument/2006/relationships/hyperlink" Target="https://doi.org/10.1002/anie.202520855" TargetMode="External"/><Relationship Id="rId264" Type="http://schemas.openxmlformats.org/officeDocument/2006/relationships/hyperlink" Target="https://onlinelibrary.wiley.com/doi/10.1002/anie.202520576?af=R" TargetMode="External"/><Relationship Id="rId265" Type="http://schemas.openxmlformats.org/officeDocument/2006/relationships/hyperlink" Target="https://doi.org/10.1002/anie.202520576" TargetMode="External"/><Relationship Id="rId266" Type="http://schemas.openxmlformats.org/officeDocument/2006/relationships/hyperlink" Target="https://onlinelibrary.wiley.com/doi/10.1002/anie.202519610?af=R" TargetMode="External"/><Relationship Id="rId267" Type="http://schemas.openxmlformats.org/officeDocument/2006/relationships/hyperlink" Target="https://doi.org/10.1002/anie.202519610" TargetMode="External"/><Relationship Id="rId268" Type="http://schemas.openxmlformats.org/officeDocument/2006/relationships/hyperlink" Target="https://onlinelibrary.wiley.com/doi/10.1002/anie.202521452?af=R" TargetMode="External"/><Relationship Id="rId269" Type="http://schemas.openxmlformats.org/officeDocument/2006/relationships/hyperlink" Target="https://doi.org/10.1002/anie.202521452" TargetMode="External"/><Relationship Id="rId270" Type="http://schemas.openxmlformats.org/officeDocument/2006/relationships/hyperlink" Target="https://onlinelibrary.wiley.com/doi/10.1002/anie.202520852?af=R" TargetMode="External"/><Relationship Id="rId271" Type="http://schemas.openxmlformats.org/officeDocument/2006/relationships/hyperlink" Target="https://doi.org/10.1002/anie.202520852" TargetMode="External"/><Relationship Id="rId272" Type="http://schemas.openxmlformats.org/officeDocument/2006/relationships/hyperlink" Target="https://onlinelibrary.wiley.com/doi/10.1002/anie.202519218?af=R" TargetMode="External"/><Relationship Id="rId273" Type="http://schemas.openxmlformats.org/officeDocument/2006/relationships/hyperlink" Target="https://doi.org/10.1002/anie.202519218" TargetMode="External"/><Relationship Id="rId274" Type="http://schemas.openxmlformats.org/officeDocument/2006/relationships/hyperlink" Target="https://onlinelibrary.wiley.com/doi/10.1002/anie.202518722?af=R" TargetMode="External"/><Relationship Id="rId275" Type="http://schemas.openxmlformats.org/officeDocument/2006/relationships/hyperlink" Target="https://doi.org/10.1002/anie.202518722" TargetMode="External"/><Relationship Id="rId276" Type="http://schemas.openxmlformats.org/officeDocument/2006/relationships/hyperlink" Target="https://onlinelibrary.wiley.com/doi/10.1002/anie.202518748?af=R" TargetMode="External"/><Relationship Id="rId277" Type="http://schemas.openxmlformats.org/officeDocument/2006/relationships/hyperlink" Target="https://doi.org/10.1002/anie.202518748" TargetMode="External"/><Relationship Id="rId278" Type="http://schemas.openxmlformats.org/officeDocument/2006/relationships/hyperlink" Target="https://onlinelibrary.wiley.com/doi/10.1002/anie.202518925?af=R" TargetMode="External"/><Relationship Id="rId279" Type="http://schemas.openxmlformats.org/officeDocument/2006/relationships/hyperlink" Target="https://doi.org/10.1002/anie.202518925" TargetMode="External"/><Relationship Id="rId280" Type="http://schemas.openxmlformats.org/officeDocument/2006/relationships/hyperlink" Target="https://onlinelibrary.wiley.com/doi/10.1002/anie.202521643?af=R" TargetMode="External"/><Relationship Id="rId281" Type="http://schemas.openxmlformats.org/officeDocument/2006/relationships/hyperlink" Target="https://doi.org/10.1002/anie.202521643" TargetMode="External"/><Relationship Id="rId282" Type="http://schemas.openxmlformats.org/officeDocument/2006/relationships/hyperlink" Target="https://onlinelibrary.wiley.com/doi/10.1002/anie.202518926?af=R" TargetMode="External"/><Relationship Id="rId283" Type="http://schemas.openxmlformats.org/officeDocument/2006/relationships/hyperlink" Target="https://doi.org/10.1002/anie.202518926" TargetMode="External"/><Relationship Id="rId284" Type="http://schemas.openxmlformats.org/officeDocument/2006/relationships/hyperlink" Target="https://onlinelibrary.wiley.com/doi/10.1002/anie.202518939?af=R" TargetMode="External"/><Relationship Id="rId285" Type="http://schemas.openxmlformats.org/officeDocument/2006/relationships/hyperlink" Target="https://doi.org/10.1002/anie.202518939" TargetMode="External"/><Relationship Id="rId286" Type="http://schemas.openxmlformats.org/officeDocument/2006/relationships/hyperlink" Target="https://onlinelibrary.wiley.com/doi/10.1002/anie.202518983?af=R" TargetMode="External"/><Relationship Id="rId287" Type="http://schemas.openxmlformats.org/officeDocument/2006/relationships/hyperlink" Target="https://doi.org/10.1002/anie.202518983" TargetMode="External"/><Relationship Id="rId288" Type="http://schemas.openxmlformats.org/officeDocument/2006/relationships/hyperlink" Target="https://onlinelibrary.wiley.com/doi/10.1002/anie.202518965?af=R" TargetMode="External"/><Relationship Id="rId289" Type="http://schemas.openxmlformats.org/officeDocument/2006/relationships/hyperlink" Target="https://doi.org/10.1002/anie.202518965" TargetMode="External"/><Relationship Id="rId290" Type="http://schemas.openxmlformats.org/officeDocument/2006/relationships/hyperlink" Target="https://onlinelibrary.wiley.com/doi/10.1002/anie.202518996?af=R" TargetMode="External"/><Relationship Id="rId291" Type="http://schemas.openxmlformats.org/officeDocument/2006/relationships/hyperlink" Target="https://doi.org/10.1002/anie.202518996" TargetMode="External"/><Relationship Id="rId292" Type="http://schemas.openxmlformats.org/officeDocument/2006/relationships/hyperlink" Target="https://onlinelibrary.wiley.com/doi/10.1002/anie.202518593?af=R" TargetMode="External"/><Relationship Id="rId293" Type="http://schemas.openxmlformats.org/officeDocument/2006/relationships/hyperlink" Target="https://doi.org/10.1002/anie.202518593" TargetMode="External"/><Relationship Id="rId294" Type="http://schemas.openxmlformats.org/officeDocument/2006/relationships/hyperlink" Target="https://onlinelibrary.wiley.com/doi/10.1002/anie.202523633?af=R" TargetMode="External"/><Relationship Id="rId295" Type="http://schemas.openxmlformats.org/officeDocument/2006/relationships/hyperlink" Target="https://doi.org/10.1002/anie.202523633" TargetMode="External"/><Relationship Id="rId296" Type="http://schemas.openxmlformats.org/officeDocument/2006/relationships/hyperlink" Target="https://onlinelibrary.wiley.com/doi/10.1002/anie.202518589?af=R" TargetMode="External"/><Relationship Id="rId297" Type="http://schemas.openxmlformats.org/officeDocument/2006/relationships/hyperlink" Target="https://doi.org/10.1002/anie.202518589" TargetMode="External"/><Relationship Id="rId298" Type="http://schemas.openxmlformats.org/officeDocument/2006/relationships/hyperlink" Target="https://onlinelibrary.wiley.com/doi/10.1002/anie.202519144?af=R" TargetMode="External"/><Relationship Id="rId299" Type="http://schemas.openxmlformats.org/officeDocument/2006/relationships/hyperlink" Target="https://doi.org/10.1002/anie.202519144" TargetMode="External"/><Relationship Id="rId300" Type="http://schemas.openxmlformats.org/officeDocument/2006/relationships/hyperlink" Target="https://onlinelibrary.wiley.com/doi/10.1002/anie.202524324?af=R" TargetMode="External"/><Relationship Id="rId301" Type="http://schemas.openxmlformats.org/officeDocument/2006/relationships/hyperlink" Target="https://doi.org/10.1002/anie.202524324" TargetMode="External"/><Relationship Id="rId302" Type="http://schemas.openxmlformats.org/officeDocument/2006/relationships/hyperlink" Target="https://advanced.onlinelibrary.wiley.com/doi/10.1002/adma.202518355?af=R" TargetMode="External"/><Relationship Id="rId303" Type="http://schemas.openxmlformats.org/officeDocument/2006/relationships/hyperlink" Target="https://doi.org/10.1002/adma.202518355" TargetMode="External"/><Relationship Id="rId304" Type="http://schemas.openxmlformats.org/officeDocument/2006/relationships/hyperlink" Target="https://advanced.onlinelibrary.wiley.com/doi/10.1002/adma.202516135?af=R" TargetMode="External"/><Relationship Id="rId305" Type="http://schemas.openxmlformats.org/officeDocument/2006/relationships/hyperlink" Target="https://doi.org/10.1002/adma.202516135" TargetMode="External"/><Relationship Id="rId306" Type="http://schemas.openxmlformats.org/officeDocument/2006/relationships/hyperlink" Target="https://advanced.onlinelibrary.wiley.com/doi/10.1002/adma.202519676?af=R" TargetMode="External"/><Relationship Id="rId307" Type="http://schemas.openxmlformats.org/officeDocument/2006/relationships/hyperlink" Target="https://doi.org/10.1002/adma.202519676" TargetMode="External"/><Relationship Id="rId308" Type="http://schemas.openxmlformats.org/officeDocument/2006/relationships/hyperlink" Target="https://advanced.onlinelibrary.wiley.com/doi/10.1002/adma.202519541?af=R" TargetMode="External"/><Relationship Id="rId309" Type="http://schemas.openxmlformats.org/officeDocument/2006/relationships/hyperlink" Target="https://doi.org/10.1002/adma.202519541" TargetMode="External"/><Relationship Id="rId310" Type="http://schemas.openxmlformats.org/officeDocument/2006/relationships/hyperlink" Target="https://advanced.onlinelibrary.wiley.com/doi/10.1002/adma.202517224?af=R" TargetMode="External"/><Relationship Id="rId311" Type="http://schemas.openxmlformats.org/officeDocument/2006/relationships/hyperlink" Target="https://doi.org/10.1002/adma.202517224" TargetMode="External"/><Relationship Id="rId312" Type="http://schemas.openxmlformats.org/officeDocument/2006/relationships/hyperlink" Target="https://onlinelibrary.wiley.com/doi/10.1002/anie.202524310?af=R" TargetMode="External"/><Relationship Id="rId313" Type="http://schemas.openxmlformats.org/officeDocument/2006/relationships/hyperlink" Target="https://doi.org/10.1002/anie.202524310" TargetMode="External"/><Relationship Id="rId314" Type="http://schemas.openxmlformats.org/officeDocument/2006/relationships/hyperlink" Target="https://onlinelibrary.wiley.com/doi/10.1002/anie.202520907?af=R" TargetMode="External"/><Relationship Id="rId315" Type="http://schemas.openxmlformats.org/officeDocument/2006/relationships/hyperlink" Target="https://doi.org/10.1002/anie.202520907" TargetMode="External"/><Relationship Id="rId316" Type="http://schemas.openxmlformats.org/officeDocument/2006/relationships/hyperlink" Target="https://onlinelibrary.wiley.com/doi/10.1002/anie.202523850?af=R" TargetMode="External"/><Relationship Id="rId317" Type="http://schemas.openxmlformats.org/officeDocument/2006/relationships/hyperlink" Target="https://doi.org/10.1002/anie.202523850" TargetMode="External"/><Relationship Id="rId318" Type="http://schemas.openxmlformats.org/officeDocument/2006/relationships/hyperlink" Target="https://onlinelibrary.wiley.com/doi/10.1002/anie.202513138?af=R" TargetMode="External"/><Relationship Id="rId319" Type="http://schemas.openxmlformats.org/officeDocument/2006/relationships/hyperlink" Target="https://doi.org/10.1002/anie.202513138" TargetMode="External"/><Relationship Id="rId320" Type="http://schemas.openxmlformats.org/officeDocument/2006/relationships/hyperlink" Target="https://onlinelibrary.wiley.com/doi/10.1002/anie.202514748?af=R" TargetMode="External"/><Relationship Id="rId321" Type="http://schemas.openxmlformats.org/officeDocument/2006/relationships/hyperlink" Target="https://doi.org/10.1002/anie.202514748" TargetMode="External"/><Relationship Id="rId322" Type="http://schemas.openxmlformats.org/officeDocument/2006/relationships/hyperlink" Target="https://onlinelibrary.wiley.com/doi/10.1002/anie.202513667?af=R" TargetMode="External"/><Relationship Id="rId323" Type="http://schemas.openxmlformats.org/officeDocument/2006/relationships/hyperlink" Target="https://doi.org/10.1002/anie.202513667" TargetMode="External"/><Relationship Id="rId324" Type="http://schemas.openxmlformats.org/officeDocument/2006/relationships/hyperlink" Target="https://onlinelibrary.wiley.com/doi/10.1002/anie.202513891?af=R" TargetMode="External"/><Relationship Id="rId325" Type="http://schemas.openxmlformats.org/officeDocument/2006/relationships/hyperlink" Target="https://doi.org/10.1002/anie.202513891" TargetMode="External"/><Relationship Id="rId326" Type="http://schemas.openxmlformats.org/officeDocument/2006/relationships/hyperlink" Target="https://onlinelibrary.wiley.com/doi/10.1002/anie.202520871?af=R" TargetMode="External"/><Relationship Id="rId327" Type="http://schemas.openxmlformats.org/officeDocument/2006/relationships/hyperlink" Target="https://doi.org/10.1002/anie.202520871" TargetMode="External"/><Relationship Id="rId328" Type="http://schemas.openxmlformats.org/officeDocument/2006/relationships/hyperlink" Target="https://onlinelibrary.wiley.com/doi/10.1002/anie.202518543?af=R" TargetMode="External"/><Relationship Id="rId329" Type="http://schemas.openxmlformats.org/officeDocument/2006/relationships/hyperlink" Target="https://doi.org/10.1002/anie.202518543" TargetMode="External"/><Relationship Id="rId330" Type="http://schemas.openxmlformats.org/officeDocument/2006/relationships/hyperlink" Target="https://onlinelibrary.wiley.com/doi/10.1002/anie.202516530?af=R" TargetMode="External"/><Relationship Id="rId331" Type="http://schemas.openxmlformats.org/officeDocument/2006/relationships/hyperlink" Target="https://doi.org/10.1002/anie.202516530" TargetMode="External"/><Relationship Id="rId332" Type="http://schemas.openxmlformats.org/officeDocument/2006/relationships/hyperlink" Target="https://onlinelibrary.wiley.com/doi/10.1002/anie.202520504?af=R" TargetMode="External"/><Relationship Id="rId333" Type="http://schemas.openxmlformats.org/officeDocument/2006/relationships/hyperlink" Target="https://doi.org/10.1002/anie.202520504" TargetMode="External"/><Relationship Id="rId334" Type="http://schemas.openxmlformats.org/officeDocument/2006/relationships/hyperlink" Target="https://onlinelibrary.wiley.com/doi/10.1002/anie.202518277?af=R" TargetMode="External"/><Relationship Id="rId335" Type="http://schemas.openxmlformats.org/officeDocument/2006/relationships/hyperlink" Target="https://doi.org/10.1002/anie.202518277" TargetMode="External"/><Relationship Id="rId336" Type="http://schemas.openxmlformats.org/officeDocument/2006/relationships/hyperlink" Target="https://onlinelibrary.wiley.com/doi/10.1002/anie.202518260?af=R" TargetMode="External"/><Relationship Id="rId337" Type="http://schemas.openxmlformats.org/officeDocument/2006/relationships/hyperlink" Target="https://doi.org/10.1002/anie.202518260" TargetMode="External"/><Relationship Id="rId338" Type="http://schemas.openxmlformats.org/officeDocument/2006/relationships/hyperlink" Target="https://onlinelibrary.wiley.com/doi/10.1002/anie.202518250?af=R" TargetMode="External"/><Relationship Id="rId339" Type="http://schemas.openxmlformats.org/officeDocument/2006/relationships/hyperlink" Target="https://doi.org/10.1002/anie.202518250" TargetMode="External"/><Relationship Id="rId340" Type="http://schemas.openxmlformats.org/officeDocument/2006/relationships/hyperlink" Target="https://onlinelibrary.wiley.com/doi/10.1002/anie.202517861?af=R" TargetMode="External"/><Relationship Id="rId341" Type="http://schemas.openxmlformats.org/officeDocument/2006/relationships/hyperlink" Target="https://doi.org/10.1002/anie.202517861" TargetMode="External"/><Relationship Id="rId342" Type="http://schemas.openxmlformats.org/officeDocument/2006/relationships/hyperlink" Target="https://onlinelibrary.wiley.com/doi/10.1002/anie.202519128?af=R" TargetMode="External"/><Relationship Id="rId343" Type="http://schemas.openxmlformats.org/officeDocument/2006/relationships/hyperlink" Target="https://doi.org/10.1002/anie.202519128" TargetMode="External"/><Relationship Id="rId344" Type="http://schemas.openxmlformats.org/officeDocument/2006/relationships/hyperlink" Target="https://onlinelibrary.wiley.com/doi/10.1002/anie.202519513?af=R" TargetMode="External"/><Relationship Id="rId345" Type="http://schemas.openxmlformats.org/officeDocument/2006/relationships/hyperlink" Target="https://doi.org/10.1002/anie.202519513" TargetMode="External"/><Relationship Id="rId346" Type="http://schemas.openxmlformats.org/officeDocument/2006/relationships/hyperlink" Target="https://onlinelibrary.wiley.com/doi/10.1002/anie.202520757?af=R" TargetMode="External"/><Relationship Id="rId347" Type="http://schemas.openxmlformats.org/officeDocument/2006/relationships/hyperlink" Target="https://doi.org/10.1002/anie.202520757" TargetMode="External"/><Relationship Id="rId348" Type="http://schemas.openxmlformats.org/officeDocument/2006/relationships/hyperlink" Target="https://onlinelibrary.wiley.com/doi/10.1002/anie.202519630?af=R" TargetMode="External"/><Relationship Id="rId349" Type="http://schemas.openxmlformats.org/officeDocument/2006/relationships/hyperlink" Target="https://doi.org/10.1002/anie.202519630" TargetMode="External"/><Relationship Id="rId350" Type="http://schemas.openxmlformats.org/officeDocument/2006/relationships/hyperlink" Target="https://onlinelibrary.wiley.com/doi/10.1002/anie.202517221?af=R" TargetMode="External"/><Relationship Id="rId351" Type="http://schemas.openxmlformats.org/officeDocument/2006/relationships/hyperlink" Target="https://doi.org/10.1002/anie.202517221" TargetMode="External"/><Relationship Id="rId352" Type="http://schemas.openxmlformats.org/officeDocument/2006/relationships/hyperlink" Target="https://onlinelibrary.wiley.com/doi/10.1002/anie.202517058?af=R" TargetMode="External"/><Relationship Id="rId353" Type="http://schemas.openxmlformats.org/officeDocument/2006/relationships/hyperlink" Target="https://doi.org/10.1002/anie.202517058" TargetMode="External"/><Relationship Id="rId354" Type="http://schemas.openxmlformats.org/officeDocument/2006/relationships/hyperlink" Target="https://onlinelibrary.wiley.com/doi/10.1002/anie.202517057?af=R" TargetMode="External"/><Relationship Id="rId355" Type="http://schemas.openxmlformats.org/officeDocument/2006/relationships/hyperlink" Target="https://doi.org/10.1002/anie.202517057" TargetMode="External"/><Relationship Id="rId356" Type="http://schemas.openxmlformats.org/officeDocument/2006/relationships/hyperlink" Target="https://onlinelibrary.wiley.com/doi/10.1002/anie.202519641?af=R" TargetMode="External"/><Relationship Id="rId357" Type="http://schemas.openxmlformats.org/officeDocument/2006/relationships/hyperlink" Target="https://doi.org/10.1002/anie.202519641" TargetMode="External"/><Relationship Id="rId358" Type="http://schemas.openxmlformats.org/officeDocument/2006/relationships/hyperlink" Target="https://onlinelibrary.wiley.com/doi/10.1002/anie.202519925?af=R" TargetMode="External"/><Relationship Id="rId359" Type="http://schemas.openxmlformats.org/officeDocument/2006/relationships/hyperlink" Target="https://doi.org/10.1002/anie.202519925" TargetMode="External"/><Relationship Id="rId360" Type="http://schemas.openxmlformats.org/officeDocument/2006/relationships/hyperlink" Target="https://onlinelibrary.wiley.com/doi/10.1002/anie.202516591?af=R" TargetMode="External"/><Relationship Id="rId361" Type="http://schemas.openxmlformats.org/officeDocument/2006/relationships/hyperlink" Target="https://doi.org/10.1002/anie.202516591" TargetMode="External"/><Relationship Id="rId362" Type="http://schemas.openxmlformats.org/officeDocument/2006/relationships/hyperlink" Target="https://onlinelibrary.wiley.com/doi/10.1002/anie.202518427?af=R" TargetMode="External"/><Relationship Id="rId363" Type="http://schemas.openxmlformats.org/officeDocument/2006/relationships/hyperlink" Target="https://doi.org/10.1002/anie.202518427" TargetMode="External"/><Relationship Id="rId364" Type="http://schemas.openxmlformats.org/officeDocument/2006/relationships/hyperlink" Target="https://onlinelibrary.wiley.com/doi/10.1002/anie.202516124?af=R" TargetMode="External"/><Relationship Id="rId365" Type="http://schemas.openxmlformats.org/officeDocument/2006/relationships/hyperlink" Target="https://doi.org/10.1002/anie.202516124" TargetMode="External"/><Relationship Id="rId366" Type="http://schemas.openxmlformats.org/officeDocument/2006/relationships/hyperlink" Target="https://onlinelibrary.wiley.com/doi/10.1002/anie.202517103?af=R" TargetMode="External"/><Relationship Id="rId367" Type="http://schemas.openxmlformats.org/officeDocument/2006/relationships/hyperlink" Target="https://doi.org/10.1002/anie.202517103" TargetMode="External"/><Relationship Id="rId368" Type="http://schemas.openxmlformats.org/officeDocument/2006/relationships/hyperlink" Target="https://onlinelibrary.wiley.com/doi/10.1002/anie.202519880?af=R" TargetMode="External"/><Relationship Id="rId369" Type="http://schemas.openxmlformats.org/officeDocument/2006/relationships/hyperlink" Target="https://doi.org/10.1002/anie.202519880" TargetMode="External"/><Relationship Id="rId370" Type="http://schemas.openxmlformats.org/officeDocument/2006/relationships/hyperlink" Target="http://dx.doi.org/10.1021/jacs.5c16939" TargetMode="External"/><Relationship Id="rId371" Type="http://schemas.openxmlformats.org/officeDocument/2006/relationships/hyperlink" Target="https://doi.org/10.1021/jacs.5c16939" TargetMode="External"/><Relationship Id="rId372" Type="http://schemas.openxmlformats.org/officeDocument/2006/relationships/hyperlink" Target="http://dx.doi.org/10.1021/jacs.5c16840" TargetMode="External"/><Relationship Id="rId373" Type="http://schemas.openxmlformats.org/officeDocument/2006/relationships/hyperlink" Target="https://doi.org/10.1021/jacs.5c16840" TargetMode="External"/><Relationship Id="rId374" Type="http://schemas.openxmlformats.org/officeDocument/2006/relationships/hyperlink" Target="http://dx.doi.org/10.1021/acsenergylett.5c03184" TargetMode="External"/><Relationship Id="rId375" Type="http://schemas.openxmlformats.org/officeDocument/2006/relationships/hyperlink" Target="https://doi.org/10.1021/acsenergylett.5c03184" TargetMode="External"/><Relationship Id="rId376" Type="http://schemas.openxmlformats.org/officeDocument/2006/relationships/hyperlink" Target="http://dx.doi.org/10.1021/acs.chemrev.5c00611" TargetMode="External"/><Relationship Id="rId377" Type="http://schemas.openxmlformats.org/officeDocument/2006/relationships/hyperlink" Target="https://doi.org/10.1021/acs.chemrev.5c00611" TargetMode="External"/><Relationship Id="rId378" Type="http://schemas.openxmlformats.org/officeDocument/2006/relationships/hyperlink" Target="http://dx.doi.org/10.1021/jacs.5c17009" TargetMode="External"/><Relationship Id="rId379" Type="http://schemas.openxmlformats.org/officeDocument/2006/relationships/hyperlink" Target="https://doi.org/10.1021/jacs.5c17009" TargetMode="External"/><Relationship Id="rId380" Type="http://schemas.openxmlformats.org/officeDocument/2006/relationships/hyperlink" Target="http://dx.doi.org/10.1021/jacs.5c16080" TargetMode="External"/><Relationship Id="rId381" Type="http://schemas.openxmlformats.org/officeDocument/2006/relationships/hyperlink" Target="https://doi.org/10.1021/jacs.5c16080" TargetMode="External"/><Relationship Id="rId382" Type="http://schemas.openxmlformats.org/officeDocument/2006/relationships/hyperlink" Target="http://dx.doi.org/10.1021/jacs.5c14198" TargetMode="External"/><Relationship Id="rId383" Type="http://schemas.openxmlformats.org/officeDocument/2006/relationships/hyperlink" Target="https://doi.org/10.1021/jacs.5c14198" TargetMode="External"/><Relationship Id="rId384" Type="http://schemas.openxmlformats.org/officeDocument/2006/relationships/hyperlink" Target="http://dx.doi.org/10.1021/jacs.5c14493" TargetMode="External"/><Relationship Id="rId385" Type="http://schemas.openxmlformats.org/officeDocument/2006/relationships/hyperlink" Target="https://doi.org/10.1021/jacs.5c14493" TargetMode="External"/><Relationship Id="rId386" Type="http://schemas.openxmlformats.org/officeDocument/2006/relationships/hyperlink" Target="http://dx.doi.org/10.1021/jacs.5c11543" TargetMode="External"/><Relationship Id="rId387" Type="http://schemas.openxmlformats.org/officeDocument/2006/relationships/hyperlink" Target="https://doi.org/10.1021/jacs.5c11543" TargetMode="External"/><Relationship Id="rId388" Type="http://schemas.openxmlformats.org/officeDocument/2006/relationships/hyperlink" Target="http://dx.doi.org/10.1021/jacs.5c16624" TargetMode="External"/><Relationship Id="rId389" Type="http://schemas.openxmlformats.org/officeDocument/2006/relationships/hyperlink" Target="https://doi.org/10.1021/jacs.5c16624" TargetMode="External"/><Relationship Id="rId390" Type="http://schemas.openxmlformats.org/officeDocument/2006/relationships/hyperlink" Target="http://dx.doi.org/10.1021/acsenergylett.5c03397" TargetMode="External"/><Relationship Id="rId391" Type="http://schemas.openxmlformats.org/officeDocument/2006/relationships/hyperlink" Target="https://doi.org/10.1021/acsenergylett.5c03397" TargetMode="External"/><Relationship Id="rId392" Type="http://schemas.openxmlformats.org/officeDocument/2006/relationships/hyperlink" Target="http://dx.doi.org/10.1021/jacs.5c18904" TargetMode="External"/><Relationship Id="rId393" Type="http://schemas.openxmlformats.org/officeDocument/2006/relationships/hyperlink" Target="https://doi.org/10.1021/jacs.5c18904" TargetMode="External"/><Relationship Id="rId394" Type="http://schemas.openxmlformats.org/officeDocument/2006/relationships/hyperlink" Target="http://dx.doi.org/10.1021/jacs.5c21117" TargetMode="External"/><Relationship Id="rId395" Type="http://schemas.openxmlformats.org/officeDocument/2006/relationships/hyperlink" Target="https://doi.org/10.1021/jacs.5c21117" TargetMode="External"/><Relationship Id="rId396" Type="http://schemas.openxmlformats.org/officeDocument/2006/relationships/hyperlink" Target="http://dx.doi.org/10.1021/jacs.5c19143" TargetMode="External"/><Relationship Id="rId397" Type="http://schemas.openxmlformats.org/officeDocument/2006/relationships/hyperlink" Target="https://doi.org/10.1021/jacs.5c19143" TargetMode="External"/><Relationship Id="rId398" Type="http://schemas.openxmlformats.org/officeDocument/2006/relationships/hyperlink" Target="http://dx.doi.org/10.1021/jacs.5c16144" TargetMode="External"/><Relationship Id="rId399" Type="http://schemas.openxmlformats.org/officeDocument/2006/relationships/hyperlink" Target="https://doi.org/10.1021/jacs.5c16144" TargetMode="External"/><Relationship Id="rId400" Type="http://schemas.openxmlformats.org/officeDocument/2006/relationships/hyperlink" Target="http://dx.doi.org/10.1021/jacs.5c20725" TargetMode="External"/><Relationship Id="rId401" Type="http://schemas.openxmlformats.org/officeDocument/2006/relationships/hyperlink" Target="https://doi.org/10.1021/jacs.5c20725" TargetMode="External"/><Relationship Id="rId402" Type="http://schemas.openxmlformats.org/officeDocument/2006/relationships/hyperlink" Target="http://dx.doi.org/10.1021/acsenergylett.5c03371" TargetMode="External"/><Relationship Id="rId403" Type="http://schemas.openxmlformats.org/officeDocument/2006/relationships/hyperlink" Target="https://doi.org/10.1021/acsenergylett.5c03371" TargetMode="External"/><Relationship Id="rId404" Type="http://schemas.openxmlformats.org/officeDocument/2006/relationships/hyperlink" Target="http://dx.doi.org/10.1021/jacs.5c16639" TargetMode="External"/><Relationship Id="rId405" Type="http://schemas.openxmlformats.org/officeDocument/2006/relationships/hyperlink" Target="https://doi.org/10.1021/jacs.5c16639" TargetMode="External"/><Relationship Id="rId406" Type="http://schemas.openxmlformats.org/officeDocument/2006/relationships/hyperlink" Target="http://dx.doi.org/10.1021/acsenergylett.5c03259" TargetMode="External"/><Relationship Id="rId407" Type="http://schemas.openxmlformats.org/officeDocument/2006/relationships/hyperlink" Target="https://doi.org/10.1021/acsenergylett.5c03259" TargetMode="External"/><Relationship Id="rId408" Type="http://schemas.openxmlformats.org/officeDocument/2006/relationships/hyperlink" Target="http://dx.doi.org/10.1021/acsenergylett.5c03731" TargetMode="External"/><Relationship Id="rId409" Type="http://schemas.openxmlformats.org/officeDocument/2006/relationships/hyperlink" Target="https://doi.org/10.1021/acsenergylett.5c03731" TargetMode="External"/><Relationship Id="rId410" Type="http://schemas.openxmlformats.org/officeDocument/2006/relationships/hyperlink" Target="http://dx.doi.org/10.1021/jacs.5c20160" TargetMode="External"/><Relationship Id="rId411" Type="http://schemas.openxmlformats.org/officeDocument/2006/relationships/hyperlink" Target="https://doi.org/10.1021/jacs.5c20160" TargetMode="External"/><Relationship Id="rId412" Type="http://schemas.openxmlformats.org/officeDocument/2006/relationships/hyperlink" Target="http://dx.doi.org/10.1021/jacs.5c17176" TargetMode="External"/><Relationship Id="rId413" Type="http://schemas.openxmlformats.org/officeDocument/2006/relationships/hyperlink" Target="https://doi.org/10.1021/jacs.5c17176" TargetMode="External"/><Relationship Id="rId414" Type="http://schemas.openxmlformats.org/officeDocument/2006/relationships/hyperlink" Target="http://dx.doi.org/10.1021/jacs.5c15335" TargetMode="External"/><Relationship Id="rId415" Type="http://schemas.openxmlformats.org/officeDocument/2006/relationships/hyperlink" Target="https://doi.org/10.1021/jacs.5c15335" TargetMode="External"/><Relationship Id="rId416" Type="http://schemas.openxmlformats.org/officeDocument/2006/relationships/hyperlink" Target="http://dx.doi.org/10.1021/jacs.5c18864" TargetMode="External"/><Relationship Id="rId417" Type="http://schemas.openxmlformats.org/officeDocument/2006/relationships/hyperlink" Target="https://doi.org/10.1021/jacs.5c18864" TargetMode="External"/><Relationship Id="rId418" Type="http://schemas.openxmlformats.org/officeDocument/2006/relationships/hyperlink" Target="https://www.nature.com/articles/s41467-025-67812-3" TargetMode="External"/><Relationship Id="rId419" Type="http://schemas.openxmlformats.org/officeDocument/2006/relationships/hyperlink" Target="https://www.sciencedirect.com/science/article/pii/S0306261925019993?dgcid=rss_sd_all" TargetMode="External"/><Relationship Id="rId420" Type="http://schemas.openxmlformats.org/officeDocument/2006/relationships/hyperlink" Target="http://pubs.rsc.org/en/Content/ArticleLanding/2026/CS/D5CS01177A" TargetMode="External"/><Relationship Id="rId421" Type="http://schemas.openxmlformats.org/officeDocument/2006/relationships/hyperlink" Target="https://www.nature.com/articles/s41467-025-67838-7" TargetMode="External"/><Relationship Id="rId422" Type="http://schemas.openxmlformats.org/officeDocument/2006/relationships/hyperlink" Target="https://www.sciencedirect.com/science/article/pii/S0306261925019452?dgcid=rss_sd_all" TargetMode="External"/><Relationship Id="rId423" Type="http://schemas.openxmlformats.org/officeDocument/2006/relationships/hyperlink" Target="https://www.sciencedirect.com/science/article/pii/S0306261925019403?dgcid=rss_sd_all" TargetMode="External"/><Relationship Id="rId424" Type="http://schemas.openxmlformats.org/officeDocument/2006/relationships/hyperlink" Target="https://www.nature.com/articles/s41563-025-02466-6" TargetMode="External"/><Relationship Id="rId425" Type="http://schemas.openxmlformats.org/officeDocument/2006/relationships/hyperlink" Target="https://www.sciencedirect.com/science/article/pii/S0306261925020264?dgcid=rss_sd_all" TargetMode="External"/><Relationship Id="rId426" Type="http://schemas.openxmlformats.org/officeDocument/2006/relationships/hyperlink" Target="https://www.nature.com/articles/s41467-025-67739-9" TargetMode="External"/><Relationship Id="rId427" Type="http://schemas.openxmlformats.org/officeDocument/2006/relationships/hyperlink" Target="https://www.sciencedirect.com/science/article/pii/S0306261925020227?dgcid=rss_sd_all" TargetMode="External"/><Relationship Id="rId428" Type="http://schemas.openxmlformats.org/officeDocument/2006/relationships/hyperlink" Target="https://www.sciencedirect.com/science/article/pii/S0306261925019099?dgcid=rss_sd_all" TargetMode="External"/><Relationship Id="rId429" Type="http://schemas.openxmlformats.org/officeDocument/2006/relationships/hyperlink" Target="https://www.nature.com/articles/d41586-025-03756-4" TargetMode="External"/><Relationship Id="rId430" Type="http://schemas.openxmlformats.org/officeDocument/2006/relationships/hyperlink" Target="https://www.sciencedirect.com/science/article/pii/S0306261925020185?dgcid=rss_sd_all" TargetMode="External"/><Relationship Id="rId431" Type="http://schemas.openxmlformats.org/officeDocument/2006/relationships/hyperlink" Target="https://www.sciencedirect.com/science/article/pii/S0306261925019890?dgcid=rss_sd_all" TargetMode="External"/><Relationship Id="rId432" Type="http://schemas.openxmlformats.org/officeDocument/2006/relationships/hyperlink" Target="https://www.sciencedirect.com/science/article/pii/S0306261925019907?dgcid=rss_sd_all" TargetMode="External"/><Relationship Id="rId433" Type="http://schemas.openxmlformats.org/officeDocument/2006/relationships/hyperlink" Target="https://www.sciencedirect.com/science/article/pii/S0306261925019968?dgcid=rss_sd_all" TargetMode="External"/><Relationship Id="rId434" Type="http://schemas.openxmlformats.org/officeDocument/2006/relationships/hyperlink" Target="https://www.sciencedirect.com/science/article/pii/S0306261925020124?dgcid=rss_sd_all" TargetMode="External"/><Relationship Id="rId435" Type="http://schemas.openxmlformats.org/officeDocument/2006/relationships/hyperlink" Target="https://www.sciencedirect.com/science/article/pii/S0306261925020112?dgcid=rss_sd_all" TargetMode="External"/><Relationship Id="rId436" Type="http://schemas.openxmlformats.org/officeDocument/2006/relationships/hyperlink" Target="https://www.sciencedirect.com/science/article/pii/S0306261925020100?dgcid=rss_sd_all" TargetMode="External"/><Relationship Id="rId437" Type="http://schemas.openxmlformats.org/officeDocument/2006/relationships/hyperlink" Target="http://pubs.rsc.org/en/Content/ArticleLanding/2026/CS/D5CS00810G" TargetMode="External"/><Relationship Id="rId438" Type="http://schemas.openxmlformats.org/officeDocument/2006/relationships/hyperlink" Target="https://www.sciencedirect.com/science/article/pii/S0306261925020082?dgcid=rss_sd_all" TargetMode="External"/><Relationship Id="rId439" Type="http://schemas.openxmlformats.org/officeDocument/2006/relationships/hyperlink" Target="https://www.sciencedirect.com/science/article/pii/S0306261925019579?dgcid=rss_sd_all" TargetMode="External"/><Relationship Id="rId440" Type="http://schemas.openxmlformats.org/officeDocument/2006/relationships/hyperlink" Target="https://www.nature.com/articles/s41565-025-02080-2" TargetMode="External"/><Relationship Id="rId441" Type="http://schemas.openxmlformats.org/officeDocument/2006/relationships/hyperlink" Target="https://www.sciencedirect.com/science/article/pii/S0306261925019488?dgcid=rss_sd_all" TargetMode="External"/><Relationship Id="rId442" Type="http://schemas.openxmlformats.org/officeDocument/2006/relationships/hyperlink" Target="https://academic.oup.com/nsr/advance-article/doi/10.1093/nsr/nwaf585/8404160?rss=1" TargetMode="External"/><Relationship Id="rId443" Type="http://schemas.openxmlformats.org/officeDocument/2006/relationships/hyperlink" Target="https://doi.org/10.1093/nsr/nwaf585/8404160" TargetMode="External"/><Relationship Id="rId444" Type="http://schemas.openxmlformats.org/officeDocument/2006/relationships/hyperlink" Target="https://www.sciencedirect.com/science/article/pii/S030626192502032X?dgcid=rss_sd_all" TargetMode="External"/><Relationship Id="rId445" Type="http://schemas.openxmlformats.org/officeDocument/2006/relationships/hyperlink" Target="https://www.nature.com/articles/s41893-025-01720-8" TargetMode="External"/><Relationship Id="rId446" Type="http://schemas.openxmlformats.org/officeDocument/2006/relationships/hyperlink" Target="https://www.sciencedirect.com/science/article/pii/S0301421525005166?dgcid=rss_sd_all" TargetMode="External"/><Relationship Id="rId447" Type="http://schemas.openxmlformats.org/officeDocument/2006/relationships/hyperlink" Target="https://www.sciencedirect.com/science/article/pii/S0301421525005427?dgcid=rss_sd_all" TargetMode="External"/><Relationship Id="rId448" Type="http://schemas.openxmlformats.org/officeDocument/2006/relationships/hyperlink" Target="https://onlinelibrary.wiley.com/doi/10.1002/anie.202522965?af=R" TargetMode="External"/><Relationship Id="rId449" Type="http://schemas.openxmlformats.org/officeDocument/2006/relationships/hyperlink" Target="https://doi.org/10.1002/anie.202522965" TargetMode="External"/><Relationship Id="rId450" Type="http://schemas.openxmlformats.org/officeDocument/2006/relationships/hyperlink" Target="https://onlinelibrary.wiley.com/doi/10.1002/anie.202522510?af=R" TargetMode="External"/><Relationship Id="rId451" Type="http://schemas.openxmlformats.org/officeDocument/2006/relationships/hyperlink" Target="https://doi.org/10.1002/anie.202522510" TargetMode="External"/><Relationship Id="rId452" Type="http://schemas.openxmlformats.org/officeDocument/2006/relationships/hyperlink" Target="https://onlinelibrary.wiley.com/doi/10.1002/anie.202521215?af=R" TargetMode="External"/><Relationship Id="rId453" Type="http://schemas.openxmlformats.org/officeDocument/2006/relationships/hyperlink" Target="https://doi.org/10.1002/anie.202521215" TargetMode="External"/><Relationship Id="rId454" Type="http://schemas.openxmlformats.org/officeDocument/2006/relationships/hyperlink" Target="https://onlinelibrary.wiley.com/doi/10.1002/anie.202517035?af=R" TargetMode="External"/><Relationship Id="rId455" Type="http://schemas.openxmlformats.org/officeDocument/2006/relationships/hyperlink" Target="https://doi.org/10.1002/anie.202517035" TargetMode="External"/><Relationship Id="rId456" Type="http://schemas.openxmlformats.org/officeDocument/2006/relationships/hyperlink" Target="https://onlinelibrary.wiley.com/doi/10.1002/anie.202517243?af=R" TargetMode="External"/><Relationship Id="rId457" Type="http://schemas.openxmlformats.org/officeDocument/2006/relationships/hyperlink" Target="https://doi.org/10.1002/anie.202517243" TargetMode="External"/><Relationship Id="rId458" Type="http://schemas.openxmlformats.org/officeDocument/2006/relationships/hyperlink" Target="https://advanced.onlinelibrary.wiley.com/doi/10.1002/adma.202519287?af=R" TargetMode="External"/><Relationship Id="rId459" Type="http://schemas.openxmlformats.org/officeDocument/2006/relationships/hyperlink" Target="https://doi.org/10.1002/adma.202519287" TargetMode="External"/><Relationship Id="rId460" Type="http://schemas.openxmlformats.org/officeDocument/2006/relationships/hyperlink" Target="https://advanced.onlinelibrary.wiley.com/doi/10.1002/adma.202512947?af=R" TargetMode="External"/><Relationship Id="rId461" Type="http://schemas.openxmlformats.org/officeDocument/2006/relationships/hyperlink" Target="https://doi.org/10.1002/adma.202512947" TargetMode="External"/><Relationship Id="rId462" Type="http://schemas.openxmlformats.org/officeDocument/2006/relationships/hyperlink" Target="https://advanced.onlinelibrary.wiley.com/doi/10.1002/aenm.202505932?af=R" TargetMode="External"/><Relationship Id="rId463" Type="http://schemas.openxmlformats.org/officeDocument/2006/relationships/hyperlink" Target="https://doi.org/10.1002/aenm.202505932" TargetMode="External"/><Relationship Id="rId464" Type="http://schemas.openxmlformats.org/officeDocument/2006/relationships/hyperlink" Target="https://advanced.onlinelibrary.wiley.com/doi/10.1002/aenm.202505589?af=R" TargetMode="External"/><Relationship Id="rId465" Type="http://schemas.openxmlformats.org/officeDocument/2006/relationships/hyperlink" Target="https://doi.org/10.1002/aenm.202505589" TargetMode="External"/><Relationship Id="rId466" Type="http://schemas.openxmlformats.org/officeDocument/2006/relationships/hyperlink" Target="https://onlinelibrary.wiley.com/doi/10.1002/anie.202525767?af=R" TargetMode="External"/><Relationship Id="rId467" Type="http://schemas.openxmlformats.org/officeDocument/2006/relationships/hyperlink" Target="https://doi.org/10.1002/anie.202525767" TargetMode="External"/><Relationship Id="rId468" Type="http://schemas.openxmlformats.org/officeDocument/2006/relationships/hyperlink" Target="https://advanced.onlinelibrary.wiley.com/doi/10.1002/aenm.202506068?af=R" TargetMode="External"/><Relationship Id="rId469" Type="http://schemas.openxmlformats.org/officeDocument/2006/relationships/hyperlink" Target="https://doi.org/10.1002/aenm.202506068" TargetMode="External"/><Relationship Id="rId470" Type="http://schemas.openxmlformats.org/officeDocument/2006/relationships/hyperlink" Target="https://onlinelibrary.wiley.com/doi/10.1002/anie.202524814?af=R" TargetMode="External"/><Relationship Id="rId471" Type="http://schemas.openxmlformats.org/officeDocument/2006/relationships/hyperlink" Target="https://doi.org/10.1002/anie.202524814" TargetMode="External"/><Relationship Id="rId472" Type="http://schemas.openxmlformats.org/officeDocument/2006/relationships/hyperlink" Target="https://advanced.onlinelibrary.wiley.com/doi/10.1002/aenm.202504386?af=R" TargetMode="External"/><Relationship Id="rId473" Type="http://schemas.openxmlformats.org/officeDocument/2006/relationships/hyperlink" Target="https://doi.org/10.1002/aenm.202504386" TargetMode="External"/><Relationship Id="rId474" Type="http://schemas.openxmlformats.org/officeDocument/2006/relationships/hyperlink" Target="https://onlinelibrary.wiley.com/doi/10.1002/anie.202520060?af=R" TargetMode="External"/><Relationship Id="rId475" Type="http://schemas.openxmlformats.org/officeDocument/2006/relationships/hyperlink" Target="https://doi.org/10.1002/anie.202520060" TargetMode="External"/><Relationship Id="rId476" Type="http://schemas.openxmlformats.org/officeDocument/2006/relationships/hyperlink" Target="https://onlinelibrary.wiley.com/doi/10.1002/anie.202523246?af=R" TargetMode="External"/><Relationship Id="rId477" Type="http://schemas.openxmlformats.org/officeDocument/2006/relationships/hyperlink" Target="https://doi.org/10.1002/anie.202523246" TargetMode="External"/><Relationship Id="rId478" Type="http://schemas.openxmlformats.org/officeDocument/2006/relationships/hyperlink" Target="https://onlinelibrary.wiley.com/doi/10.1002/anie.202523447?af=R" TargetMode="External"/><Relationship Id="rId479" Type="http://schemas.openxmlformats.org/officeDocument/2006/relationships/hyperlink" Target="https://doi.org/10.1002/anie.202523447" TargetMode="External"/><Relationship Id="rId480" Type="http://schemas.openxmlformats.org/officeDocument/2006/relationships/hyperlink" Target="https://onlinelibrary.wiley.com/doi/10.1002/anie.202518872?af=R" TargetMode="External"/><Relationship Id="rId481" Type="http://schemas.openxmlformats.org/officeDocument/2006/relationships/hyperlink" Target="https://doi.org/10.1002/anie.202518872" TargetMode="External"/><Relationship Id="rId482" Type="http://schemas.openxmlformats.org/officeDocument/2006/relationships/hyperlink" Target="https://advanced.onlinelibrary.wiley.com/doi/10.1002/aenm.202505711?af=R" TargetMode="External"/><Relationship Id="rId483" Type="http://schemas.openxmlformats.org/officeDocument/2006/relationships/hyperlink" Target="https://doi.org/10.1002/aenm.202505711" TargetMode="External"/><Relationship Id="rId484" Type="http://schemas.openxmlformats.org/officeDocument/2006/relationships/hyperlink" Target="https://onlinelibrary.wiley.com/doi/10.1002/anie.202521629?af=R" TargetMode="External"/><Relationship Id="rId485" Type="http://schemas.openxmlformats.org/officeDocument/2006/relationships/hyperlink" Target="https://doi.org/10.1002/anie.202521629" TargetMode="External"/><Relationship Id="rId486" Type="http://schemas.openxmlformats.org/officeDocument/2006/relationships/hyperlink" Target="https://onlinelibrary.wiley.com/doi/10.1002/anie.202523672?af=R" TargetMode="External"/><Relationship Id="rId487" Type="http://schemas.openxmlformats.org/officeDocument/2006/relationships/hyperlink" Target="https://doi.org/10.1002/anie.202523672" TargetMode="External"/><Relationship Id="rId488" Type="http://schemas.openxmlformats.org/officeDocument/2006/relationships/hyperlink" Target="https://onlinelibrary.wiley.com/doi/10.1002/anie.202521436?af=R" TargetMode="External"/><Relationship Id="rId489" Type="http://schemas.openxmlformats.org/officeDocument/2006/relationships/hyperlink" Target="https://doi.org/10.1002/anie.202521436" TargetMode="External"/><Relationship Id="rId490" Type="http://schemas.openxmlformats.org/officeDocument/2006/relationships/hyperlink" Target="https://onlinelibrary.wiley.com/doi/10.1002/anie.4747825?af=R" TargetMode="External"/><Relationship Id="rId491" Type="http://schemas.openxmlformats.org/officeDocument/2006/relationships/hyperlink" Target="https://doi.org/10.1002/anie.4747825" TargetMode="External"/><Relationship Id="rId492" Type="http://schemas.openxmlformats.org/officeDocument/2006/relationships/hyperlink" Target="https://www.pnas.org/doi/abs/10.1073/pnas.2502522122?mi=eymic2&amp;af=R&amp;access=on&amp;content=articlesChapters&amp;publication=pnas&amp;sortBy=Earliest&amp;target=default" TargetMode="External"/><Relationship Id="rId493" Type="http://schemas.openxmlformats.org/officeDocument/2006/relationships/hyperlink" Target="https://doi.org/10.1073/pnas.2502522122" TargetMode="External"/><Relationship Id="rId494" Type="http://schemas.openxmlformats.org/officeDocument/2006/relationships/hyperlink" Target="https://www.pnas.org/doi/abs/10.1073/pnas.2501312122?mi=eymic2&amp;af=R&amp;access=on&amp;content=articlesChapters&amp;publication=pnas&amp;sortBy=Earliest&amp;target=default" TargetMode="External"/><Relationship Id="rId495" Type="http://schemas.openxmlformats.org/officeDocument/2006/relationships/hyperlink" Target="https://doi.org/10.1073/pnas.2501312122" TargetMode="External"/><Relationship Id="rId496" Type="http://schemas.openxmlformats.org/officeDocument/2006/relationships/hyperlink" Target="https://www.pnas.org/doi/abs/10.1073/pnas.2535078122?mi=eymic2&amp;af=R&amp;access=on&amp;content=articlesChapters&amp;publication=pnas&amp;sortBy=Earliest&amp;target=default" TargetMode="External"/><Relationship Id="rId497" Type="http://schemas.openxmlformats.org/officeDocument/2006/relationships/hyperlink" Target="https://doi.org/10.1073/pnas.2535078122" TargetMode="External"/><Relationship Id="rId498" Type="http://schemas.openxmlformats.org/officeDocument/2006/relationships/hyperlink" Target="https://www.pnas.org/doi/abs/10.1073/pnas.2526122122?mi=eymic2&amp;af=R&amp;access=on&amp;content=articlesChapters&amp;publication=pnas&amp;sortBy=Earliest&amp;target=default" TargetMode="External"/><Relationship Id="rId499" Type="http://schemas.openxmlformats.org/officeDocument/2006/relationships/hyperlink" Target="https://doi.org/10.1073/pnas.2526122122" TargetMode="External"/><Relationship Id="rId500" Type="http://schemas.openxmlformats.org/officeDocument/2006/relationships/hyperlink" Target="https://www.pnas.org/doi/abs/10.1073/pnas.2528670122?mi=eymic2&amp;af=R&amp;access=on&amp;content=articlesChapters&amp;publication=pnas&amp;sortBy=Earliest&amp;target=default" TargetMode="External"/><Relationship Id="rId501" Type="http://schemas.openxmlformats.org/officeDocument/2006/relationships/hyperlink" Target="https://doi.org/10.1073/pnas.2528670122" TargetMode="External"/><Relationship Id="rId502" Type="http://schemas.openxmlformats.org/officeDocument/2006/relationships/hyperlink" Target="https://www.pnas.org/doi/abs/10.1073/pnas.2510996122?mi=eymic2&amp;af=R&amp;access=on&amp;content=articlesChapters&amp;publication=pnas&amp;sortBy=Earliest&amp;target=default" TargetMode="External"/><Relationship Id="rId503" Type="http://schemas.openxmlformats.org/officeDocument/2006/relationships/hyperlink" Target="https://doi.org/10.1073/pnas.2510996122" TargetMode="External"/><Relationship Id="rId504" Type="http://schemas.openxmlformats.org/officeDocument/2006/relationships/hyperlink" Target="https://www.pnas.org/doi/abs/10.1073/pnas.2521561122?mi=eymic2&amp;af=R&amp;access=on&amp;content=articlesChapters&amp;publication=pnas&amp;sortBy=Earliest&amp;target=default" TargetMode="External"/><Relationship Id="rId505" Type="http://schemas.openxmlformats.org/officeDocument/2006/relationships/hyperlink" Target="https://doi.org/10.1073/pnas.2521561122" TargetMode="External"/><Relationship Id="rId506" Type="http://schemas.openxmlformats.org/officeDocument/2006/relationships/hyperlink" Target="https://www.pnas.org/doi/abs/10.1073/pnas.2535281122?mi=eymic2&amp;af=R&amp;access=on&amp;content=articlesChapters&amp;publication=pnas&amp;sortBy=Earliest&amp;target=default" TargetMode="External"/><Relationship Id="rId507" Type="http://schemas.openxmlformats.org/officeDocument/2006/relationships/hyperlink" Target="https://doi.org/10.1073/pnas.2535281122" TargetMode="External"/><Relationship Id="rId508" Type="http://schemas.openxmlformats.org/officeDocument/2006/relationships/hyperlink" Target="https://www.pnas.org/doi/abs/10.1073/pnas.2512142122?mi=eymic2&amp;af=R&amp;access=on&amp;content=articlesChapters&amp;publication=pnas&amp;sortBy=Earliest&amp;target=default" TargetMode="External"/><Relationship Id="rId509" Type="http://schemas.openxmlformats.org/officeDocument/2006/relationships/hyperlink" Target="https://doi.org/10.1073/pnas.2512142122" TargetMode="External"/><Relationship Id="rId510" Type="http://schemas.openxmlformats.org/officeDocument/2006/relationships/hyperlink" Target="https://www.pnas.org/doi/abs/10.1073/pnas.2520444122?mi=eymic2&amp;af=R&amp;access=on&amp;content=articlesChapters&amp;publication=pnas&amp;sortBy=Earliest&amp;target=default" TargetMode="External"/><Relationship Id="rId511" Type="http://schemas.openxmlformats.org/officeDocument/2006/relationships/hyperlink" Target="https://doi.org/10.1073/pnas.2520444122" TargetMode="External"/><Relationship Id="rId512" Type="http://schemas.openxmlformats.org/officeDocument/2006/relationships/hyperlink" Target="https://www.pnas.org/doi/abs/10.1073/pnas.2518980122?mi=eymic2&amp;af=R&amp;access=on&amp;content=articlesChapters&amp;publication=pnas&amp;sortBy=Earliest&amp;target=default" TargetMode="External"/><Relationship Id="rId513" Type="http://schemas.openxmlformats.org/officeDocument/2006/relationships/hyperlink" Target="https://doi.org/10.1073/pnas.2518980122" TargetMode="External"/><Relationship Id="rId514" Type="http://schemas.openxmlformats.org/officeDocument/2006/relationships/hyperlink" Target="https://www.pnas.org/doi/abs/10.1073/pnas.2518863122?mi=eymic2&amp;af=R&amp;access=on&amp;content=articlesChapters&amp;publication=pnas&amp;sortBy=Earliest&amp;target=default" TargetMode="External"/><Relationship Id="rId515" Type="http://schemas.openxmlformats.org/officeDocument/2006/relationships/hyperlink" Target="https://doi.org/10.1073/pnas.2518863122" TargetMode="External"/><Relationship Id="rId516" Type="http://schemas.openxmlformats.org/officeDocument/2006/relationships/hyperlink" Target="https://www.pnas.org/doi/abs/10.1073/pnas.2516667122?mi=eymic2&amp;af=R&amp;access=on&amp;content=articlesChapters&amp;publication=pnas&amp;sortBy=Earliest&amp;target=default" TargetMode="External"/><Relationship Id="rId517" Type="http://schemas.openxmlformats.org/officeDocument/2006/relationships/hyperlink" Target="https://doi.org/10.1073/pnas.2516667122" TargetMode="External"/><Relationship Id="rId518" Type="http://schemas.openxmlformats.org/officeDocument/2006/relationships/hyperlink" Target="https://www.pnas.org/doi/abs/10.1073/pnas.2511925122?mi=eymic2&amp;af=R&amp;access=on&amp;content=articlesChapters&amp;publication=pnas&amp;sortBy=Earliest&amp;target=default" TargetMode="External"/><Relationship Id="rId519" Type="http://schemas.openxmlformats.org/officeDocument/2006/relationships/hyperlink" Target="https://doi.org/10.1073/pnas.2511925122" TargetMode="External"/><Relationship Id="rId520" Type="http://schemas.openxmlformats.org/officeDocument/2006/relationships/hyperlink" Target="https://www.pnas.org/doi/abs/10.1073/pnas.2514687122?mi=eymic2&amp;af=R&amp;access=on&amp;content=articlesChapters&amp;publication=pnas&amp;sortBy=Earliest&amp;target=default" TargetMode="External"/><Relationship Id="rId521" Type="http://schemas.openxmlformats.org/officeDocument/2006/relationships/hyperlink" Target="https://doi.org/10.1073/pnas.2514687122" TargetMode="External"/><Relationship Id="rId522" Type="http://schemas.openxmlformats.org/officeDocument/2006/relationships/hyperlink" Target="https://www.pnas.org/doi/abs/10.1073/pnas.2514202122?mi=eymic2&amp;af=R&amp;access=on&amp;content=articlesChapters&amp;publication=pnas&amp;sortBy=Earliest&amp;target=default" TargetMode="External"/><Relationship Id="rId523" Type="http://schemas.openxmlformats.org/officeDocument/2006/relationships/hyperlink" Target="https://doi.org/10.1073/pnas.2514202122" TargetMode="External"/><Relationship Id="rId524" Type="http://schemas.openxmlformats.org/officeDocument/2006/relationships/hyperlink" Target="http://dx.doi.org/10.1021/acsenergylett.5c03431" TargetMode="External"/><Relationship Id="rId525" Type="http://schemas.openxmlformats.org/officeDocument/2006/relationships/hyperlink" Target="https://doi.org/10.1021/acsenergylett.5c03431" TargetMode="External"/><Relationship Id="rId526" Type="http://schemas.openxmlformats.org/officeDocument/2006/relationships/hyperlink" Target="http://dx.doi.org/10.1021/jacs.5c18532" TargetMode="External"/><Relationship Id="rId527" Type="http://schemas.openxmlformats.org/officeDocument/2006/relationships/hyperlink" Target="https://doi.org/10.1021/jacs.5c18532" TargetMode="External"/><Relationship Id="rId528" Type="http://schemas.openxmlformats.org/officeDocument/2006/relationships/hyperlink" Target="http://dx.doi.org/10.1021/jacs.5c19910" TargetMode="External"/><Relationship Id="rId529" Type="http://schemas.openxmlformats.org/officeDocument/2006/relationships/hyperlink" Target="https://doi.org/10.1021/jacs.5c19910" TargetMode="External"/><Relationship Id="rId530" Type="http://schemas.openxmlformats.org/officeDocument/2006/relationships/hyperlink" Target="http://dx.doi.org/10.1021/jacs.5c19241" TargetMode="External"/><Relationship Id="rId531" Type="http://schemas.openxmlformats.org/officeDocument/2006/relationships/hyperlink" Target="https://doi.org/10.1021/jacs.5c19241" TargetMode="External"/><Relationship Id="rId532" Type="http://schemas.openxmlformats.org/officeDocument/2006/relationships/hyperlink" Target="http://dx.doi.org/10.1021/acsenergylett.5c03306" TargetMode="External"/><Relationship Id="rId533" Type="http://schemas.openxmlformats.org/officeDocument/2006/relationships/hyperlink" Target="https://doi.org/10.1021/acsenergylett.5c03306" TargetMode="External"/><Relationship Id="rId534" Type="http://schemas.openxmlformats.org/officeDocument/2006/relationships/hyperlink" Target="http://dx.doi.org/10.1021/jacs.5c16415" TargetMode="External"/><Relationship Id="rId535" Type="http://schemas.openxmlformats.org/officeDocument/2006/relationships/hyperlink" Target="https://doi.org/10.1021/jacs.5c16415" TargetMode="External"/><Relationship Id="rId536" Type="http://schemas.openxmlformats.org/officeDocument/2006/relationships/hyperlink" Target="http://dx.doi.org/10.1021/jacs.5c18414" TargetMode="External"/><Relationship Id="rId537" Type="http://schemas.openxmlformats.org/officeDocument/2006/relationships/hyperlink" Target="https://doi.org/10.1021/jacs.5c18414" TargetMode="External"/><Relationship Id="rId538" Type="http://schemas.openxmlformats.org/officeDocument/2006/relationships/hyperlink" Target="http://dx.doi.org/10.1021/jacs.5c17893" TargetMode="External"/><Relationship Id="rId539" Type="http://schemas.openxmlformats.org/officeDocument/2006/relationships/hyperlink" Target="https://doi.org/10.1021/jacs.5c17893" TargetMode="External"/><Relationship Id="rId540" Type="http://schemas.openxmlformats.org/officeDocument/2006/relationships/hyperlink" Target="https://onlinelibrary.wiley.com/doi/10.1002/anie.202525064?af=R" TargetMode="External"/><Relationship Id="rId541" Type="http://schemas.openxmlformats.org/officeDocument/2006/relationships/hyperlink" Target="https://doi.org/10.1002/anie.202525064" TargetMode="External"/><Relationship Id="rId542" Type="http://schemas.openxmlformats.org/officeDocument/2006/relationships/hyperlink" Target="https://onlinelibrary.wiley.com/doi/10.1002/anie.202517867?af=R" TargetMode="External"/><Relationship Id="rId543" Type="http://schemas.openxmlformats.org/officeDocument/2006/relationships/hyperlink" Target="https://doi.org/10.1002/anie.202517867" TargetMode="External"/><Relationship Id="rId544" Type="http://schemas.openxmlformats.org/officeDocument/2006/relationships/hyperlink" Target="https://onlinelibrary.wiley.com/doi/10.1002/anie.202520698?af=R" TargetMode="External"/><Relationship Id="rId545" Type="http://schemas.openxmlformats.org/officeDocument/2006/relationships/hyperlink" Target="https://doi.org/10.1002/anie.202520698" TargetMode="External"/><Relationship Id="rId546" Type="http://schemas.openxmlformats.org/officeDocument/2006/relationships/hyperlink" Target="https://advanced.onlinelibrary.wiley.com/doi/10.1002/adma.202519347?af=R" TargetMode="External"/><Relationship Id="rId547" Type="http://schemas.openxmlformats.org/officeDocument/2006/relationships/hyperlink" Target="https://doi.org/10.1002/adma.202519347" TargetMode="External"/><Relationship Id="rId548" Type="http://schemas.openxmlformats.org/officeDocument/2006/relationships/hyperlink" Target="https://onlinelibrary.wiley.com/doi/10.1002/anie.202521702?af=R" TargetMode="External"/><Relationship Id="rId549" Type="http://schemas.openxmlformats.org/officeDocument/2006/relationships/hyperlink" Target="https://doi.org/10.1002/anie.202521702" TargetMode="External"/><Relationship Id="rId550" Type="http://schemas.openxmlformats.org/officeDocument/2006/relationships/hyperlink" Target="https://advanced.onlinelibrary.wiley.com/doi/10.1002/adma.202521118?af=R" TargetMode="External"/><Relationship Id="rId551" Type="http://schemas.openxmlformats.org/officeDocument/2006/relationships/hyperlink" Target="https://doi.org/10.1002/adma.202521118" TargetMode="External"/><Relationship Id="rId552" Type="http://schemas.openxmlformats.org/officeDocument/2006/relationships/hyperlink" Target="https://onlinelibrary.wiley.com/doi/10.1002/anie.202521955?af=R" TargetMode="External"/><Relationship Id="rId553" Type="http://schemas.openxmlformats.org/officeDocument/2006/relationships/hyperlink" Target="https://doi.org/10.1002/anie.202521955" TargetMode="External"/><Relationship Id="rId554" Type="http://schemas.openxmlformats.org/officeDocument/2006/relationships/hyperlink" Target="https://advanced.onlinelibrary.wiley.com/doi/10.1002/adma.202517245?af=R" TargetMode="External"/><Relationship Id="rId555" Type="http://schemas.openxmlformats.org/officeDocument/2006/relationships/hyperlink" Target="https://doi.org/10.1002/adma.202517245" TargetMode="External"/><Relationship Id="rId556" Type="http://schemas.openxmlformats.org/officeDocument/2006/relationships/hyperlink" Target="http://dx.doi.org/10.1021/jacs.5c13641" TargetMode="External"/><Relationship Id="rId557" Type="http://schemas.openxmlformats.org/officeDocument/2006/relationships/hyperlink" Target="https://doi.org/10.1021/jacs.5c13641" TargetMode="External"/><Relationship Id="rId558" Type="http://schemas.openxmlformats.org/officeDocument/2006/relationships/hyperlink" Target="http://dx.doi.org/10.1021/jacs.5c15348" TargetMode="External"/><Relationship Id="rId559" Type="http://schemas.openxmlformats.org/officeDocument/2006/relationships/hyperlink" Target="https://doi.org/10.1021/jacs.5c15348" TargetMode="External"/><Relationship Id="rId560" Type="http://schemas.openxmlformats.org/officeDocument/2006/relationships/hyperlink" Target="https://advanced.onlinelibrary.wiley.com/doi/10.1002/adma.202520173?af=R" TargetMode="External"/><Relationship Id="rId561" Type="http://schemas.openxmlformats.org/officeDocument/2006/relationships/hyperlink" Target="https://doi.org/10.1002/adma.202520173" TargetMode="External"/><Relationship Id="rId562" Type="http://schemas.openxmlformats.org/officeDocument/2006/relationships/hyperlink" Target="https://advanced.onlinelibrary.wiley.com/doi/10.1002/adma.202521034?af=R" TargetMode="External"/><Relationship Id="rId563" Type="http://schemas.openxmlformats.org/officeDocument/2006/relationships/hyperlink" Target="https://doi.org/10.1002/adma.202521034" TargetMode="External"/><Relationship Id="rId564" Type="http://schemas.openxmlformats.org/officeDocument/2006/relationships/hyperlink" Target="https://advanced.onlinelibrary.wiley.com/doi/10.1002/adma.202516181?af=R" TargetMode="External"/><Relationship Id="rId565" Type="http://schemas.openxmlformats.org/officeDocument/2006/relationships/hyperlink" Target="https://doi.org/10.1002/adma.202516181" TargetMode="External"/><Relationship Id="rId566" Type="http://schemas.openxmlformats.org/officeDocument/2006/relationships/hyperlink" Target="https://onlinelibrary.wiley.com/doi/10.1002/anie.202524105?af=R" TargetMode="External"/><Relationship Id="rId567" Type="http://schemas.openxmlformats.org/officeDocument/2006/relationships/hyperlink" Target="https://doi.org/10.1002/anie.202524105" TargetMode="External"/><Relationship Id="rId568" Type="http://schemas.openxmlformats.org/officeDocument/2006/relationships/hyperlink" Target="https://advanced.onlinelibrary.wiley.com/doi/10.1002/adma.202517014?af=R" TargetMode="External"/><Relationship Id="rId569" Type="http://schemas.openxmlformats.org/officeDocument/2006/relationships/hyperlink" Target="https://doi.org/10.1002/adma.202517014" TargetMode="External"/><Relationship Id="rId570" Type="http://schemas.openxmlformats.org/officeDocument/2006/relationships/hyperlink" Target="https://onlinelibrary.wiley.com/doi/10.1002/anie.202524478?af=R" TargetMode="External"/><Relationship Id="rId571" Type="http://schemas.openxmlformats.org/officeDocument/2006/relationships/hyperlink" Target="https://doi.org/10.1002/anie.202524478" TargetMode="External"/><Relationship Id="rId572" Type="http://schemas.openxmlformats.org/officeDocument/2006/relationships/hyperlink" Target="https://advanced.onlinelibrary.wiley.com/doi/10.1002/adma.202519531?af=R" TargetMode="External"/><Relationship Id="rId573" Type="http://schemas.openxmlformats.org/officeDocument/2006/relationships/hyperlink" Target="https://doi.org/10.1002/adma.202519531" TargetMode="External"/><Relationship Id="rId574" Type="http://schemas.openxmlformats.org/officeDocument/2006/relationships/hyperlink" Target="https://advanced.onlinelibrary.wiley.com/doi/10.1002/adma.202514620?af=R" TargetMode="External"/><Relationship Id="rId575" Type="http://schemas.openxmlformats.org/officeDocument/2006/relationships/hyperlink" Target="https://doi.org/10.1002/adma.202514620" TargetMode="External"/><Relationship Id="rId576" Type="http://schemas.openxmlformats.org/officeDocument/2006/relationships/hyperlink" Target="https://advanced.onlinelibrary.wiley.com/doi/10.1002/adma.202515355?af=R" TargetMode="External"/><Relationship Id="rId577" Type="http://schemas.openxmlformats.org/officeDocument/2006/relationships/hyperlink" Target="https://doi.org/10.1002/adma.202515355" TargetMode="External"/><Relationship Id="rId578" Type="http://schemas.openxmlformats.org/officeDocument/2006/relationships/hyperlink" Target="https://advanced.onlinelibrary.wiley.com/doi/10.1002/adma.202516524?af=R" TargetMode="External"/><Relationship Id="rId579" Type="http://schemas.openxmlformats.org/officeDocument/2006/relationships/hyperlink" Target="https://doi.org/10.1002/adma.202516524" TargetMode="External"/><Relationship Id="rId580" Type="http://schemas.openxmlformats.org/officeDocument/2006/relationships/hyperlink" Target="https://advanced.onlinelibrary.wiley.com/doi/10.1002/adma.202520325?af=R" TargetMode="External"/><Relationship Id="rId581" Type="http://schemas.openxmlformats.org/officeDocument/2006/relationships/hyperlink" Target="https://doi.org/10.1002/adma.202520325" TargetMode="External"/><Relationship Id="rId582" Type="http://schemas.openxmlformats.org/officeDocument/2006/relationships/hyperlink" Target="https://advanced.onlinelibrary.wiley.com/doi/10.1002/adma.202518468?af=R" TargetMode="External"/><Relationship Id="rId583" Type="http://schemas.openxmlformats.org/officeDocument/2006/relationships/hyperlink" Target="https://doi.org/10.1002/adma.202518468" TargetMode="External"/><Relationship Id="rId584" Type="http://schemas.openxmlformats.org/officeDocument/2006/relationships/hyperlink" Target="https://advanced.onlinelibrary.wiley.com/doi/10.1002/adma.202517395?af=R" TargetMode="External"/><Relationship Id="rId585" Type="http://schemas.openxmlformats.org/officeDocument/2006/relationships/hyperlink" Target="https://doi.org/10.1002/adma.202517395" TargetMode="External"/><Relationship Id="rId586" Type="http://schemas.openxmlformats.org/officeDocument/2006/relationships/hyperlink" Target="https://advanced.onlinelibrary.wiley.com/doi/10.1002/adma.202516403?af=R" TargetMode="External"/><Relationship Id="rId587" Type="http://schemas.openxmlformats.org/officeDocument/2006/relationships/hyperlink" Target="https://doi.org/10.1002/adma.202516403" TargetMode="External"/><Relationship Id="rId588" Type="http://schemas.openxmlformats.org/officeDocument/2006/relationships/hyperlink" Target="https://advanced.onlinelibrary.wiley.com/doi/10.1002/adma.202517600?af=R" TargetMode="External"/><Relationship Id="rId589" Type="http://schemas.openxmlformats.org/officeDocument/2006/relationships/hyperlink" Target="https://doi.org/10.1002/adma.202517600" TargetMode="External"/><Relationship Id="rId590" Type="http://schemas.openxmlformats.org/officeDocument/2006/relationships/hyperlink" Target="http://dx.doi.org/10.1021/acsenergylett.5c03634" TargetMode="External"/><Relationship Id="rId591" Type="http://schemas.openxmlformats.org/officeDocument/2006/relationships/hyperlink" Target="https://doi.org/10.1021/acsenergylett.5c03634" TargetMode="External"/><Relationship Id="rId592" Type="http://schemas.openxmlformats.org/officeDocument/2006/relationships/hyperlink" Target="http://dx.doi.org/10.1021/jacs.5c20395" TargetMode="External"/><Relationship Id="rId593" Type="http://schemas.openxmlformats.org/officeDocument/2006/relationships/hyperlink" Target="https://doi.org/10.1021/jacs.5c20395" TargetMode="External"/><Relationship Id="rId594" Type="http://schemas.openxmlformats.org/officeDocument/2006/relationships/hyperlink" Target="http://dx.doi.org/10.1021/acsenergylett.5c03429" TargetMode="External"/><Relationship Id="rId595" Type="http://schemas.openxmlformats.org/officeDocument/2006/relationships/hyperlink" Target="https://doi.org/10.1021/acsenergylett.5c03429" TargetMode="External"/><Relationship Id="rId596" Type="http://schemas.openxmlformats.org/officeDocument/2006/relationships/hyperlink" Target="http://dx.doi.org/10.1021/jacs.5c03875" TargetMode="External"/><Relationship Id="rId597" Type="http://schemas.openxmlformats.org/officeDocument/2006/relationships/hyperlink" Target="https://doi.org/10.1021/jacs.5c03875" TargetMode="External"/><Relationship Id="rId598" Type="http://schemas.openxmlformats.org/officeDocument/2006/relationships/hyperlink" Target="http://dx.doi.org/10.1021/acsenergylett.5c02595" TargetMode="External"/><Relationship Id="rId599" Type="http://schemas.openxmlformats.org/officeDocument/2006/relationships/hyperlink" Target="https://doi.org/10.1021/acsenergylett.5c02595" TargetMode="External"/><Relationship Id="rId600" Type="http://schemas.openxmlformats.org/officeDocument/2006/relationships/hyperlink" Target="http://dx.doi.org/10.1021/jacs.5c16069" TargetMode="External"/><Relationship Id="rId601" Type="http://schemas.openxmlformats.org/officeDocument/2006/relationships/hyperlink" Target="https://doi.org/10.1021/jacs.5c16069" TargetMode="External"/><Relationship Id="rId602" Type="http://schemas.openxmlformats.org/officeDocument/2006/relationships/hyperlink" Target="https://www.nature.com/articles/s41467-025-67996-8" TargetMode="External"/><Relationship Id="rId603" Type="http://schemas.openxmlformats.org/officeDocument/2006/relationships/hyperlink" Target="https://www.sciencedirect.com/science/article/pii/S1369702125005474?dgcid=rss_sd_all" TargetMode="External"/><Relationship Id="rId604" Type="http://schemas.openxmlformats.org/officeDocument/2006/relationships/hyperlink" Target="https://www.sciencedirect.com/science/article/pii/S0306261925019920?dgcid=rss_sd_all" TargetMode="External"/><Relationship Id="rId605" Type="http://schemas.openxmlformats.org/officeDocument/2006/relationships/hyperlink" Target="https://www.nature.com/articles/s41467-025-68082-9" TargetMode="External"/><Relationship Id="rId606" Type="http://schemas.openxmlformats.org/officeDocument/2006/relationships/hyperlink" Target="https://www.sciencedirect.com/science/article/pii/S1369702125005395?dgcid=rss_sd_all" TargetMode="External"/><Relationship Id="rId607" Type="http://schemas.openxmlformats.org/officeDocument/2006/relationships/hyperlink" Target="https://www.sciencedirect.com/science/article/pii/S1369702125005371?dgcid=rss_sd_all" TargetMode="External"/><Relationship Id="rId608" Type="http://schemas.openxmlformats.org/officeDocument/2006/relationships/hyperlink" Target="https://www.sciencedirect.com/science/article/pii/S1369702125005358?dgcid=rss_sd_all" TargetMode="External"/><Relationship Id="rId609" Type="http://schemas.openxmlformats.org/officeDocument/2006/relationships/hyperlink" Target="https://www.nature.com/articles/s41467-025-67450-9" TargetMode="External"/><Relationship Id="rId610" Type="http://schemas.openxmlformats.org/officeDocument/2006/relationships/hyperlink" Target="https://www.nature.com/articles/s41467-025-67613-8" TargetMode="External"/><Relationship Id="rId611" Type="http://schemas.openxmlformats.org/officeDocument/2006/relationships/hyperlink" Target="https://www.nature.com/articles/s41467-025-68086-5" TargetMode="External"/><Relationship Id="rId612" Type="http://schemas.openxmlformats.org/officeDocument/2006/relationships/hyperlink" Target="https://www.sciencedirect.com/science/article/pii/S1369702125005346?dgcid=rss_sd_all" TargetMode="External"/><Relationship Id="rId613" Type="http://schemas.openxmlformats.org/officeDocument/2006/relationships/hyperlink" Target="https://www.sciencedirect.com/science/article/pii/S0306261925019373?dgcid=rss_sd_all" TargetMode="External"/><Relationship Id="rId614" Type="http://schemas.openxmlformats.org/officeDocument/2006/relationships/hyperlink" Target="https://www.sciencedirect.com/science/article/pii/S0306261925020288?dgcid=rss_sd_all" TargetMode="External"/><Relationship Id="rId615" Type="http://schemas.openxmlformats.org/officeDocument/2006/relationships/hyperlink" Target="https://www.sciencedirect.com/science/article/pii/S0306261925020136?dgcid=rss_sd_all" TargetMode="External"/><Relationship Id="rId616" Type="http://schemas.openxmlformats.org/officeDocument/2006/relationships/hyperlink" Target="https://www.sciencedirect.com/science/article/pii/S0306261925020173?dgcid=rss_sd_all" TargetMode="External"/><Relationship Id="rId617" Type="http://schemas.openxmlformats.org/officeDocument/2006/relationships/hyperlink" Target="https://www.sciencedirect.com/science/article/pii/S0306261925017805?dgcid=rss_sd_all" TargetMode="External"/><Relationship Id="rId618" Type="http://schemas.openxmlformats.org/officeDocument/2006/relationships/hyperlink" Target="https://www.sciencedirect.com/science/article/pii/S1369702125005498?dgcid=rss_sd_all" TargetMode="External"/><Relationship Id="rId619" Type="http://schemas.openxmlformats.org/officeDocument/2006/relationships/hyperlink" Target="https://www.nature.com/articles/s41467-025-67731-3" TargetMode="External"/><Relationship Id="rId620" Type="http://schemas.openxmlformats.org/officeDocument/2006/relationships/hyperlink" Target="http://dx.doi.org/10.1021/jacs.5c19267" TargetMode="External"/><Relationship Id="rId621" Type="http://schemas.openxmlformats.org/officeDocument/2006/relationships/hyperlink" Target="https://doi.org/10.1021/jacs.5c19267" TargetMode="External"/><Relationship Id="rId622" Type="http://schemas.openxmlformats.org/officeDocument/2006/relationships/hyperlink" Target="http://dx.doi.org/10.1021/acsenergylett.5c03423" TargetMode="External"/><Relationship Id="rId623" Type="http://schemas.openxmlformats.org/officeDocument/2006/relationships/hyperlink" Target="https://doi.org/10.1021/acsenergylett.5c03423" TargetMode="External"/><Relationship Id="rId624" Type="http://schemas.openxmlformats.org/officeDocument/2006/relationships/hyperlink" Target="http://dx.doi.org/10.1021/jacs.5c03265" TargetMode="External"/><Relationship Id="rId625" Type="http://schemas.openxmlformats.org/officeDocument/2006/relationships/hyperlink" Target="https://doi.org/10.1021/jacs.5c03265" TargetMode="External"/><Relationship Id="rId626" Type="http://schemas.openxmlformats.org/officeDocument/2006/relationships/hyperlink" Target="http://dx.doi.org/10.1021/jacs.5c19579" TargetMode="External"/><Relationship Id="rId627" Type="http://schemas.openxmlformats.org/officeDocument/2006/relationships/hyperlink" Target="https://doi.org/10.1021/jacs.5c19579" TargetMode="External"/><Relationship Id="rId628" Type="http://schemas.openxmlformats.org/officeDocument/2006/relationships/hyperlink" Target="http://dx.doi.org/10.1021/jacs.5c13663" TargetMode="External"/><Relationship Id="rId629" Type="http://schemas.openxmlformats.org/officeDocument/2006/relationships/hyperlink" Target="https://doi.org/10.1021/jacs.5c13663" TargetMode="External"/><Relationship Id="rId630" Type="http://schemas.openxmlformats.org/officeDocument/2006/relationships/hyperlink" Target="http://dx.doi.org/10.1021/jacs.5c20426" TargetMode="External"/><Relationship Id="rId631" Type="http://schemas.openxmlformats.org/officeDocument/2006/relationships/hyperlink" Target="https://doi.org/10.1021/jacs.5c20426" TargetMode="External"/><Relationship Id="rId632" Type="http://schemas.openxmlformats.org/officeDocument/2006/relationships/hyperlink" Target="https://www.sciencedirect.com/science/article/pii/S1369702125005486?dgcid=rss_sd_all" TargetMode="External"/><Relationship Id="rId633" Type="http://schemas.openxmlformats.org/officeDocument/2006/relationships/hyperlink" Target="https://www.nature.com/articles/s41467-025-67534-6" TargetMode="External"/><Relationship Id="rId634" Type="http://schemas.openxmlformats.org/officeDocument/2006/relationships/hyperlink" Target="https://www.sciencedirect.com/science/article/pii/S0301421525005567?dgcid=rss_sd_all" TargetMode="External"/><Relationship Id="rId635" Type="http://schemas.openxmlformats.org/officeDocument/2006/relationships/hyperlink" Target="https://www.nature.com/articles/s41565-025-02068-y" TargetMode="External"/><Relationship Id="rId636" Type="http://schemas.openxmlformats.org/officeDocument/2006/relationships/hyperlink" Target="https://www.nature.com/articles/s41467-025-67626-3" TargetMode="External"/><Relationship Id="rId637" Type="http://schemas.openxmlformats.org/officeDocument/2006/relationships/hyperlink" Target="https://www.nature.com/articles/s41565-025-02064-2" TargetMode="External"/><Relationship Id="rId638" Type="http://schemas.openxmlformats.org/officeDocument/2006/relationships/hyperlink" Target="https://www.nature.com/articles/s41467-025-67876-1" TargetMode="External"/><Relationship Id="rId639" Type="http://schemas.openxmlformats.org/officeDocument/2006/relationships/hyperlink" Target="https://www.nature.com/articles/s41565-025-02039-3" TargetMode="External"/><Relationship Id="rId640" Type="http://schemas.openxmlformats.org/officeDocument/2006/relationships/hyperlink" Target="https://www.sciencedirect.com/science/article/pii/S0306261925020306?dgcid=rss_sd_all" TargetMode="External"/><Relationship Id="rId641" Type="http://schemas.openxmlformats.org/officeDocument/2006/relationships/hyperlink" Target="https://www.nature.com/articles/s41467-025-68013-8" TargetMode="External"/><Relationship Id="rId642" Type="http://schemas.openxmlformats.org/officeDocument/2006/relationships/hyperlink" Target="https://www.sciencedirect.com/science/article/pii/S0306261925020276?dgcid=rss_sd_all" TargetMode="External"/><Relationship Id="rId643" Type="http://schemas.openxmlformats.org/officeDocument/2006/relationships/hyperlink" Target="https://www.nature.com/articles/s41467-025-67951-7" TargetMode="External"/><Relationship Id="rId644" Type="http://schemas.openxmlformats.org/officeDocument/2006/relationships/hyperlink" Target="https://www.sciencedirect.com/science/article/pii/S0306261925020070?dgcid=rss_sd_all" TargetMode="External"/><Relationship Id="rId645" Type="http://schemas.openxmlformats.org/officeDocument/2006/relationships/hyperlink" Target="https://www.nature.com/articles/s41467-025-67864-5" TargetMode="External"/><Relationship Id="rId646" Type="http://schemas.openxmlformats.org/officeDocument/2006/relationships/hyperlink" Target="https://academic.oup.com/nsr/advance-article/doi/10.1093/nsr/nwaf584/8405343?rss=1" TargetMode="External"/><Relationship Id="rId647" Type="http://schemas.openxmlformats.org/officeDocument/2006/relationships/hyperlink" Target="https://doi.org/10.1093/nsr/nwaf584/8405343" TargetMode="External"/><Relationship Id="rId648" Type="http://schemas.openxmlformats.org/officeDocument/2006/relationships/hyperlink" Target="https://www.nature.com/articles/s41467-025-67817-y" TargetMode="External"/><Relationship Id="rId649" Type="http://schemas.openxmlformats.org/officeDocument/2006/relationships/hyperlink" Target="https://academic.oup.com/nsr/advance-article/doi/10.1093/nsr/nwaf591/8405273?rss=1" TargetMode="External"/><Relationship Id="rId650" Type="http://schemas.openxmlformats.org/officeDocument/2006/relationships/hyperlink" Target="https://doi.org/10.1093/nsr/nwaf591/8405273" TargetMode="External"/><Relationship Id="rId651" Type="http://schemas.openxmlformats.org/officeDocument/2006/relationships/hyperlink" Target="https://www.sciencedirect.com/science/article/pii/S0306261925020008?dgcid=rss_sd_all" TargetMode="External"/><Relationship Id="rId652" Type="http://schemas.openxmlformats.org/officeDocument/2006/relationships/hyperlink" Target="https://academic.oup.com/nsr/advance-article/doi/10.1093/nsr/nwaf590/8405285?rss=1" TargetMode="External"/><Relationship Id="rId653" Type="http://schemas.openxmlformats.org/officeDocument/2006/relationships/hyperlink" Target="https://doi.org/10.1093/nsr/nwaf590/8405285" TargetMode="External"/><Relationship Id="rId654" Type="http://schemas.openxmlformats.org/officeDocument/2006/relationships/hyperlink" Target="https://www.cell.com/one-earth/fulltext/S2590-3322(25)00385-9?rss=yes" TargetMode="External"/><Relationship Id="rId655" Type="http://schemas.openxmlformats.org/officeDocument/2006/relationships/hyperlink" Target="https://academic.oup.com/nsr/advance-article/doi/10.1093/nsr/nwaf587/8405334?rss=1" TargetMode="External"/><Relationship Id="rId656" Type="http://schemas.openxmlformats.org/officeDocument/2006/relationships/hyperlink" Target="https://doi.org/10.1093/nsr/nwaf587/8405334" TargetMode="External"/><Relationship Id="rId657" Type="http://schemas.openxmlformats.org/officeDocument/2006/relationships/hyperlink" Target="https://www.nature.com/articles/s41467-025-67513-x" TargetMode="External"/><Relationship Id="rId658" Type="http://schemas.openxmlformats.org/officeDocument/2006/relationships/hyperlink" Target="http://pubs.rsc.org/en/Content/ArticleLanding/2026/EE/D5EE06121K" TargetMode="External"/><Relationship Id="rId659" Type="http://schemas.openxmlformats.org/officeDocument/2006/relationships/hyperlink" Target="https://www.pnas.org/doi/abs/10.1073/pnas.2424956122?mi=eymic2&amp;af=R&amp;access=on&amp;content=articlesChapters&amp;publication=pnas&amp;sortBy=Earliest&amp;target=default" TargetMode="External"/><Relationship Id="rId660" Type="http://schemas.openxmlformats.org/officeDocument/2006/relationships/hyperlink" Target="https://doi.org/10.1073/pnas.2424956122" TargetMode="External"/><Relationship Id="rId661" Type="http://schemas.openxmlformats.org/officeDocument/2006/relationships/hyperlink" Target="https://www.pnas.org/doi/abs/10.1073/pnas.2528478122?mi=eymic2&amp;af=R&amp;access=on&amp;content=articlesChapters&amp;publication=pnas&amp;sortBy=Earliest&amp;target=default" TargetMode="External"/><Relationship Id="rId662" Type="http://schemas.openxmlformats.org/officeDocument/2006/relationships/hyperlink" Target="https://doi.org/10.1073/pnas.2528478122" TargetMode="External"/><Relationship Id="rId663" Type="http://schemas.openxmlformats.org/officeDocument/2006/relationships/hyperlink" Target="https://www.pnas.org/doi/abs/10.1073/pnas.2525268122?mi=eymic2&amp;af=R&amp;access=on&amp;content=articlesChapters&amp;publication=pnas&amp;sortBy=Earliest&amp;target=default" TargetMode="External"/><Relationship Id="rId664" Type="http://schemas.openxmlformats.org/officeDocument/2006/relationships/hyperlink" Target="https://doi.org/10.1073/pnas.2525268122" TargetMode="External"/><Relationship Id="rId665" Type="http://schemas.openxmlformats.org/officeDocument/2006/relationships/hyperlink" Target="https://www.pnas.org/doi/abs/10.1073/pnas.2525032122?mi=eymic2&amp;af=R&amp;access=on&amp;content=articlesChapters&amp;publication=pnas&amp;sortBy=Earliest&amp;target=default" TargetMode="External"/><Relationship Id="rId666" Type="http://schemas.openxmlformats.org/officeDocument/2006/relationships/hyperlink" Target="https://doi.org/10.1073/pnas.2525032122" TargetMode="External"/><Relationship Id="rId667" Type="http://schemas.openxmlformats.org/officeDocument/2006/relationships/hyperlink" Target="https://www.pnas.org/doi/abs/10.1073/pnas.2524774122?mi=eymic2&amp;af=R&amp;access=on&amp;content=articlesChapters&amp;publication=pnas&amp;sortBy=Earliest&amp;target=default" TargetMode="External"/><Relationship Id="rId668" Type="http://schemas.openxmlformats.org/officeDocument/2006/relationships/hyperlink" Target="https://doi.org/10.1073/pnas.2524774122" TargetMode="External"/><Relationship Id="rId669" Type="http://schemas.openxmlformats.org/officeDocument/2006/relationships/hyperlink" Target="https://www.pnas.org/doi/abs/10.1073/pnas.2524299122?mi=eymic2&amp;af=R&amp;access=on&amp;content=articlesChapters&amp;publication=pnas&amp;sortBy=Earliest&amp;target=default" TargetMode="External"/><Relationship Id="rId670" Type="http://schemas.openxmlformats.org/officeDocument/2006/relationships/hyperlink" Target="https://doi.org/10.1073/pnas.2524299122" TargetMode="External"/><Relationship Id="rId671" Type="http://schemas.openxmlformats.org/officeDocument/2006/relationships/hyperlink" Target="https://www.pnas.org/doi/abs/10.1073/pnas.2525571122?mi=eymic2&amp;af=R&amp;access=on&amp;content=articlesChapters&amp;publication=pnas&amp;sortBy=Earliest&amp;target=default" TargetMode="External"/><Relationship Id="rId672" Type="http://schemas.openxmlformats.org/officeDocument/2006/relationships/hyperlink" Target="https://doi.org/10.1073/pnas.2525571122" TargetMode="External"/><Relationship Id="rId673" Type="http://schemas.openxmlformats.org/officeDocument/2006/relationships/hyperlink" Target="https://www.pnas.org/doi/abs/10.1073/pnas.2515449122?mi=eymic2&amp;af=R&amp;access=on&amp;content=articlesChapters&amp;publication=pnas&amp;sortBy=Earliest&amp;target=default" TargetMode="External"/><Relationship Id="rId674" Type="http://schemas.openxmlformats.org/officeDocument/2006/relationships/hyperlink" Target="https://doi.org/10.1073/pnas.2515449122" TargetMode="External"/><Relationship Id="rId675" Type="http://schemas.openxmlformats.org/officeDocument/2006/relationships/hyperlink" Target="https://www.pnas.org/doi/abs/10.1073/pnas.2520491122?mi=eymic2&amp;af=R&amp;access=on&amp;content=articlesChapters&amp;publication=pnas&amp;sortBy=Earliest&amp;target=default" TargetMode="External"/><Relationship Id="rId676" Type="http://schemas.openxmlformats.org/officeDocument/2006/relationships/hyperlink" Target="https://doi.org/10.1073/pnas.2520491122" TargetMode="External"/><Relationship Id="rId677" Type="http://schemas.openxmlformats.org/officeDocument/2006/relationships/hyperlink" Target="https://www.pnas.org/doi/abs/10.1073/pnas.2521979122?mi=eymic2&amp;af=R&amp;access=on&amp;content=articlesChapters&amp;publication=pnas&amp;sortBy=Earliest&amp;target=default" TargetMode="External"/><Relationship Id="rId678" Type="http://schemas.openxmlformats.org/officeDocument/2006/relationships/hyperlink" Target="https://doi.org/10.1073/pnas.2521979122" TargetMode="External"/><Relationship Id="rId679" Type="http://schemas.openxmlformats.org/officeDocument/2006/relationships/hyperlink" Target="https://advanced.onlinelibrary.wiley.com/doi/10.1002/aenm.202504315?af=R" TargetMode="External"/><Relationship Id="rId680" Type="http://schemas.openxmlformats.org/officeDocument/2006/relationships/hyperlink" Target="https://doi.org/10.1002/aenm.202504315" TargetMode="External"/><Relationship Id="rId681" Type="http://schemas.openxmlformats.org/officeDocument/2006/relationships/hyperlink" Target="https://advanced.onlinelibrary.wiley.com/doi/10.1002/adma.202518768?af=R" TargetMode="External"/><Relationship Id="rId682" Type="http://schemas.openxmlformats.org/officeDocument/2006/relationships/hyperlink" Target="https://doi.org/10.1002/adma.202518768" TargetMode="External"/><Relationship Id="rId683" Type="http://schemas.openxmlformats.org/officeDocument/2006/relationships/hyperlink" Target="https://advanced.onlinelibrary.wiley.com/doi/10.1002/adma.202518331?af=R" TargetMode="External"/><Relationship Id="rId684" Type="http://schemas.openxmlformats.org/officeDocument/2006/relationships/hyperlink" Target="https://doi.org/10.1002/adma.202518331" TargetMode="External"/><Relationship Id="rId685" Type="http://schemas.openxmlformats.org/officeDocument/2006/relationships/hyperlink" Target="https://advanced.onlinelibrary.wiley.com/doi/10.1002/adma.202519188?af=R" TargetMode="External"/><Relationship Id="rId686" Type="http://schemas.openxmlformats.org/officeDocument/2006/relationships/hyperlink" Target="https://doi.org/10.1002/adma.202519188" TargetMode="External"/><Relationship Id="rId687" Type="http://schemas.openxmlformats.org/officeDocument/2006/relationships/hyperlink" Target="https://onlinelibrary.wiley.com/doi/10.1002/anie.202517311?af=R" TargetMode="External"/><Relationship Id="rId688" Type="http://schemas.openxmlformats.org/officeDocument/2006/relationships/hyperlink" Target="https://doi.org/10.1002/anie.202517311" TargetMode="External"/><Relationship Id="rId689" Type="http://schemas.openxmlformats.org/officeDocument/2006/relationships/hyperlink" Target="http://dx.doi.org/10.1021/jacs.5c17549" TargetMode="External"/><Relationship Id="rId690" Type="http://schemas.openxmlformats.org/officeDocument/2006/relationships/hyperlink" Target="https://doi.org/10.1021/jacs.5c17549" TargetMode="External"/><Relationship Id="rId691" Type="http://schemas.openxmlformats.org/officeDocument/2006/relationships/hyperlink" Target="https://advanced.onlinelibrary.wiley.com/doi/10.1002/adma.202511804?af=R" TargetMode="External"/><Relationship Id="rId692" Type="http://schemas.openxmlformats.org/officeDocument/2006/relationships/hyperlink" Target="https://doi.org/10.1002/adma.202511804" TargetMode="External"/><Relationship Id="rId693" Type="http://schemas.openxmlformats.org/officeDocument/2006/relationships/hyperlink" Target="https://advanced.onlinelibrary.wiley.com/doi/10.1002/adma.202517616?af=R" TargetMode="External"/><Relationship Id="rId694" Type="http://schemas.openxmlformats.org/officeDocument/2006/relationships/hyperlink" Target="https://doi.org/10.1002/adma.202517616" TargetMode="External"/><Relationship Id="rId695" Type="http://schemas.openxmlformats.org/officeDocument/2006/relationships/hyperlink" Target="https://advanced.onlinelibrary.wiley.com/doi/10.1002/adma.202518819?af=R" TargetMode="External"/><Relationship Id="rId696" Type="http://schemas.openxmlformats.org/officeDocument/2006/relationships/hyperlink" Target="https://doi.org/10.1002/adma.202518819" TargetMode="External"/><Relationship Id="rId697" Type="http://schemas.openxmlformats.org/officeDocument/2006/relationships/hyperlink" Target="https://advanced.onlinelibrary.wiley.com/doi/10.1002/adma.202515150?af=R" TargetMode="External"/><Relationship Id="rId698" Type="http://schemas.openxmlformats.org/officeDocument/2006/relationships/hyperlink" Target="https://doi.org/10.1002/adma.202515150" TargetMode="External"/><Relationship Id="rId699" Type="http://schemas.openxmlformats.org/officeDocument/2006/relationships/hyperlink" Target="https://advanced.onlinelibrary.wiley.com/doi/10.1002/adma.202520823?af=R" TargetMode="External"/><Relationship Id="rId700" Type="http://schemas.openxmlformats.org/officeDocument/2006/relationships/hyperlink" Target="https://doi.org/10.1002/adma.202520823" TargetMode="External"/><Relationship Id="rId701" Type="http://schemas.openxmlformats.org/officeDocument/2006/relationships/hyperlink" Target="https://onlinelibrary.wiley.com/doi/10.1002/anie.202524098?af=R" TargetMode="External"/><Relationship Id="rId702" Type="http://schemas.openxmlformats.org/officeDocument/2006/relationships/hyperlink" Target="https://doi.org/10.1002/anie.202524098" TargetMode="External"/><Relationship Id="rId703" Type="http://schemas.openxmlformats.org/officeDocument/2006/relationships/hyperlink" Target="https://onlinelibrary.wiley.com/doi/10.1002/anie.202516208?af=R" TargetMode="External"/><Relationship Id="rId704" Type="http://schemas.openxmlformats.org/officeDocument/2006/relationships/hyperlink" Target="https://doi.org/10.1002/anie.202516208" TargetMode="External"/><Relationship Id="rId705" Type="http://schemas.openxmlformats.org/officeDocument/2006/relationships/hyperlink" Target="https://onlinelibrary.wiley.com/doi/10.1002/anie.202525287?af=R" TargetMode="External"/><Relationship Id="rId706" Type="http://schemas.openxmlformats.org/officeDocument/2006/relationships/hyperlink" Target="https://doi.org/10.1002/anie.202525287" TargetMode="External"/><Relationship Id="rId707" Type="http://schemas.openxmlformats.org/officeDocument/2006/relationships/hyperlink" Target="https://advanced.onlinelibrary.wiley.com/doi/10.1002/adma.202519327?af=R" TargetMode="External"/><Relationship Id="rId708" Type="http://schemas.openxmlformats.org/officeDocument/2006/relationships/hyperlink" Target="https://doi.org/10.1002/adma.202519327" TargetMode="External"/><Relationship Id="rId709" Type="http://schemas.openxmlformats.org/officeDocument/2006/relationships/hyperlink" Target="https://advanced.onlinelibrary.wiley.com/doi/10.1002/aenm.202505978?af=R" TargetMode="External"/><Relationship Id="rId710" Type="http://schemas.openxmlformats.org/officeDocument/2006/relationships/hyperlink" Target="https://doi.org/10.1002/aenm.202505978" TargetMode="External"/><Relationship Id="rId711" Type="http://schemas.openxmlformats.org/officeDocument/2006/relationships/hyperlink" Target="https://onlinelibrary.wiley.com/doi/10.1002/anie.202515289?af=R" TargetMode="External"/><Relationship Id="rId712" Type="http://schemas.openxmlformats.org/officeDocument/2006/relationships/hyperlink" Target="https://doi.org/10.1002/anie.202515289" TargetMode="External"/><Relationship Id="rId713" Type="http://schemas.openxmlformats.org/officeDocument/2006/relationships/hyperlink" Target="https://onlinelibrary.wiley.com/doi/10.1002/anie.202521247?af=R" TargetMode="External"/><Relationship Id="rId714" Type="http://schemas.openxmlformats.org/officeDocument/2006/relationships/hyperlink" Target="https://doi.org/10.1002/anie.202521247" TargetMode="External"/><Relationship Id="rId715" Type="http://schemas.openxmlformats.org/officeDocument/2006/relationships/hyperlink" Target="https://onlinelibrary.wiley.com/doi/10.1002/anie.202520838?af=R" TargetMode="External"/><Relationship Id="rId716" Type="http://schemas.openxmlformats.org/officeDocument/2006/relationships/hyperlink" Target="https://doi.org/10.1002/anie.202520838" TargetMode="External"/><Relationship Id="rId717" Type="http://schemas.openxmlformats.org/officeDocument/2006/relationships/hyperlink" Target="https://onlinelibrary.wiley.com/doi/10.1002/anie.202512939?af=R" TargetMode="External"/><Relationship Id="rId718" Type="http://schemas.openxmlformats.org/officeDocument/2006/relationships/hyperlink" Target="https://doi.org/10.1002/anie.202512939" TargetMode="External"/><Relationship Id="rId719" Type="http://schemas.openxmlformats.org/officeDocument/2006/relationships/hyperlink" Target="https://onlinelibrary.wiley.com/doi/10.1002/anie.202525952?af=R" TargetMode="External"/><Relationship Id="rId720" Type="http://schemas.openxmlformats.org/officeDocument/2006/relationships/hyperlink" Target="https://doi.org/10.1002/anie.202525952" TargetMode="External"/><Relationship Id="rId721" Type="http://schemas.openxmlformats.org/officeDocument/2006/relationships/hyperlink" Target="https://onlinelibrary.wiley.com/doi/10.1002/anie.202519602?af=R" TargetMode="External"/><Relationship Id="rId722" Type="http://schemas.openxmlformats.org/officeDocument/2006/relationships/hyperlink" Target="https://doi.org/10.1002/anie.202519602" TargetMode="External"/><Relationship Id="rId723" Type="http://schemas.openxmlformats.org/officeDocument/2006/relationships/hyperlink" Target="http://dx.doi.org/10.1021/jacs.5c18835" TargetMode="External"/><Relationship Id="rId724" Type="http://schemas.openxmlformats.org/officeDocument/2006/relationships/hyperlink" Target="https://doi.org/10.1021/jacs.5c18835" TargetMode="External"/><Relationship Id="rId725" Type="http://schemas.openxmlformats.org/officeDocument/2006/relationships/hyperlink" Target="https://onlinelibrary.wiley.com/doi/10.1002/anie.202520550?af=R" TargetMode="External"/><Relationship Id="rId726" Type="http://schemas.openxmlformats.org/officeDocument/2006/relationships/hyperlink" Target="https://doi.org/10.1002/anie.202520550" TargetMode="External"/><Relationship Id="rId727" Type="http://schemas.openxmlformats.org/officeDocument/2006/relationships/hyperlink" Target="https://onlinelibrary.wiley.com/doi/10.1002/anie.202524718?af=R" TargetMode="External"/><Relationship Id="rId728" Type="http://schemas.openxmlformats.org/officeDocument/2006/relationships/hyperlink" Target="https://doi.org/10.1002/anie.202524718" TargetMode="External"/><Relationship Id="rId729" Type="http://schemas.openxmlformats.org/officeDocument/2006/relationships/hyperlink" Target="https://onlinelibrary.wiley.com/doi/10.1002/anie.202524097?af=R" TargetMode="External"/><Relationship Id="rId730" Type="http://schemas.openxmlformats.org/officeDocument/2006/relationships/hyperlink" Target="https://doi.org/10.1002/anie.202524097" TargetMode="External"/><Relationship Id="rId731" Type="http://schemas.openxmlformats.org/officeDocument/2006/relationships/hyperlink" Target="https://advanced.onlinelibrary.wiley.com/doi/10.1002/adma.202520126?af=R" TargetMode="External"/><Relationship Id="rId732" Type="http://schemas.openxmlformats.org/officeDocument/2006/relationships/hyperlink" Target="https://doi.org/10.1002/adma.202520126" TargetMode="External"/><Relationship Id="rId733" Type="http://schemas.openxmlformats.org/officeDocument/2006/relationships/hyperlink" Target="https://advanced.onlinelibrary.wiley.com/doi/10.1002/adma.202514150?af=R" TargetMode="External"/><Relationship Id="rId734" Type="http://schemas.openxmlformats.org/officeDocument/2006/relationships/hyperlink" Target="https://doi.org/10.1002/adma.202514150" TargetMode="External"/><Relationship Id="rId735" Type="http://schemas.openxmlformats.org/officeDocument/2006/relationships/hyperlink" Target="https://advanced.onlinelibrary.wiley.com/doi/10.1002/adma.202517190?af=R" TargetMode="External"/><Relationship Id="rId736" Type="http://schemas.openxmlformats.org/officeDocument/2006/relationships/hyperlink" Target="https://doi.org/10.1002/adma.202517190" TargetMode="External"/><Relationship Id="rId737" Type="http://schemas.openxmlformats.org/officeDocument/2006/relationships/hyperlink" Target="https://advanced.onlinelibrary.wiley.com/doi/10.1002/adma.202518662?af=R" TargetMode="External"/><Relationship Id="rId738" Type="http://schemas.openxmlformats.org/officeDocument/2006/relationships/hyperlink" Target="https://doi.org/10.1002/adma.202518662" TargetMode="External"/><Relationship Id="rId739" Type="http://schemas.openxmlformats.org/officeDocument/2006/relationships/hyperlink" Target="https://advanced.onlinelibrary.wiley.com/doi/10.1002/adma.202521809?af=R" TargetMode="External"/><Relationship Id="rId740" Type="http://schemas.openxmlformats.org/officeDocument/2006/relationships/hyperlink" Target="https://doi.org/10.1002/adma.202521809" TargetMode="External"/><Relationship Id="rId741" Type="http://schemas.openxmlformats.org/officeDocument/2006/relationships/hyperlink" Target="http://dx.doi.org/10.1021/jacs.5c06325" TargetMode="External"/><Relationship Id="rId742" Type="http://schemas.openxmlformats.org/officeDocument/2006/relationships/hyperlink" Target="https://doi.org/10.1021/jacs.5c06325" TargetMode="External"/><Relationship Id="rId743" Type="http://schemas.openxmlformats.org/officeDocument/2006/relationships/hyperlink" Target="http://dx.doi.org/10.1021/jacs.5c13376" TargetMode="External"/><Relationship Id="rId744" Type="http://schemas.openxmlformats.org/officeDocument/2006/relationships/hyperlink" Target="https://doi.org/10.1021/jacs.5c13376" TargetMode="External"/><Relationship Id="rId745" Type="http://schemas.openxmlformats.org/officeDocument/2006/relationships/hyperlink" Target="http://dx.doi.org/10.1021/jacs.5c15881" TargetMode="External"/><Relationship Id="rId746" Type="http://schemas.openxmlformats.org/officeDocument/2006/relationships/hyperlink" Target="https://doi.org/10.1021/jacs.5c15881" TargetMode="External"/><Relationship Id="rId747" Type="http://schemas.openxmlformats.org/officeDocument/2006/relationships/hyperlink" Target="http://dx.doi.org/10.1021/acsenergylett.5c03054" TargetMode="External"/><Relationship Id="rId748" Type="http://schemas.openxmlformats.org/officeDocument/2006/relationships/hyperlink" Target="https://doi.org/10.1021/acsenergylett.5c03054" TargetMode="External"/><Relationship Id="rId749" Type="http://schemas.openxmlformats.org/officeDocument/2006/relationships/hyperlink" Target="https://advanced.onlinelibrary.wiley.com/doi/10.1002/adma.202521622?af=R" TargetMode="External"/><Relationship Id="rId750" Type="http://schemas.openxmlformats.org/officeDocument/2006/relationships/hyperlink" Target="https://doi.org/10.1002/adma.202521622" TargetMode="External"/><Relationship Id="rId751" Type="http://schemas.openxmlformats.org/officeDocument/2006/relationships/hyperlink" Target="https://advanced.onlinelibrary.wiley.com/doi/10.1002/adma.202519442?af=R" TargetMode="External"/><Relationship Id="rId752" Type="http://schemas.openxmlformats.org/officeDocument/2006/relationships/hyperlink" Target="https://doi.org/10.1002/adma.202519442" TargetMode="External"/><Relationship Id="rId753" Type="http://schemas.openxmlformats.org/officeDocument/2006/relationships/hyperlink" Target="https://advanced.onlinelibrary.wiley.com/doi/10.1002/adma.202521637?af=R" TargetMode="External"/><Relationship Id="rId754" Type="http://schemas.openxmlformats.org/officeDocument/2006/relationships/hyperlink" Target="https://doi.org/10.1002/adma.202521637" TargetMode="External"/><Relationship Id="rId755" Type="http://schemas.openxmlformats.org/officeDocument/2006/relationships/hyperlink" Target="https://advanced.onlinelibrary.wiley.com/doi/10.1002/aenm.202505598?af=R" TargetMode="External"/><Relationship Id="rId756" Type="http://schemas.openxmlformats.org/officeDocument/2006/relationships/hyperlink" Target="https://doi.org/10.1002/aenm.202505598" TargetMode="External"/><Relationship Id="rId757" Type="http://schemas.openxmlformats.org/officeDocument/2006/relationships/hyperlink" Target="https://advanced.onlinelibrary.wiley.com/doi/10.1002/adma.202503584?af=R" TargetMode="External"/><Relationship Id="rId758" Type="http://schemas.openxmlformats.org/officeDocument/2006/relationships/hyperlink" Target="https://doi.org/10.1002/adma.202503584" TargetMode="External"/><Relationship Id="rId759" Type="http://schemas.openxmlformats.org/officeDocument/2006/relationships/hyperlink" Target="https://advanced.onlinelibrary.wiley.com/doi/10.1002/adma.202520149?af=R" TargetMode="External"/><Relationship Id="rId760" Type="http://schemas.openxmlformats.org/officeDocument/2006/relationships/hyperlink" Target="https://doi.org/10.1002/adma.202520149" TargetMode="External"/><Relationship Id="rId761" Type="http://schemas.openxmlformats.org/officeDocument/2006/relationships/hyperlink" Target="https://onlinelibrary.wiley.com/doi/10.1002/anie.202525739?af=R" TargetMode="External"/><Relationship Id="rId762" Type="http://schemas.openxmlformats.org/officeDocument/2006/relationships/hyperlink" Target="https://doi.org/10.1002/anie.202525739" TargetMode="External"/><Relationship Id="rId763" Type="http://schemas.openxmlformats.org/officeDocument/2006/relationships/hyperlink" Target="https://advanced.onlinelibrary.wiley.com/doi/10.1002/adma.71974?af=R" TargetMode="External"/><Relationship Id="rId764" Type="http://schemas.openxmlformats.org/officeDocument/2006/relationships/hyperlink" Target="https://doi.org/10.1002/adma.71974" TargetMode="External"/><Relationship Id="rId765" Type="http://schemas.openxmlformats.org/officeDocument/2006/relationships/hyperlink" Target="https://advanced.onlinelibrary.wiley.com/doi/10.1002/adma.202514435?af=R" TargetMode="External"/><Relationship Id="rId766" Type="http://schemas.openxmlformats.org/officeDocument/2006/relationships/hyperlink" Target="https://doi.org/10.1002/adma.202514435" TargetMode="External"/><Relationship Id="rId767" Type="http://schemas.openxmlformats.org/officeDocument/2006/relationships/hyperlink" Target="https://advanced.onlinelibrary.wiley.com/doi/10.1002/adma.202520669?af=R" TargetMode="External"/><Relationship Id="rId768" Type="http://schemas.openxmlformats.org/officeDocument/2006/relationships/hyperlink" Target="https://doi.org/10.1002/adma.202520669" TargetMode="External"/><Relationship Id="rId769" Type="http://schemas.openxmlformats.org/officeDocument/2006/relationships/hyperlink" Target="https://advanced.onlinelibrary.wiley.com/doi/10.1002/aenm.202504343?af=R" TargetMode="External"/><Relationship Id="rId770" Type="http://schemas.openxmlformats.org/officeDocument/2006/relationships/hyperlink" Target="https://doi.org/10.1002/aenm.202504343" TargetMode="External"/><Relationship Id="rId771" Type="http://schemas.openxmlformats.org/officeDocument/2006/relationships/hyperlink" Target="https://onlinelibrary.wiley.com/doi/10.1002/anie.202514811?af=R" TargetMode="External"/><Relationship Id="rId772" Type="http://schemas.openxmlformats.org/officeDocument/2006/relationships/hyperlink" Target="https://doi.org/10.1002/anie.202514811" TargetMode="External"/><Relationship Id="rId773" Type="http://schemas.openxmlformats.org/officeDocument/2006/relationships/hyperlink" Target="https://advanced.onlinelibrary.wiley.com/doi/10.1002/adma.202522252?af=R" TargetMode="External"/><Relationship Id="rId774" Type="http://schemas.openxmlformats.org/officeDocument/2006/relationships/hyperlink" Target="https://doi.org/10.1002/adma.202522252" TargetMode="External"/><Relationship Id="rId775" Type="http://schemas.openxmlformats.org/officeDocument/2006/relationships/hyperlink" Target="https://advanced.onlinelibrary.wiley.com/doi/10.1002/adma.202520692?af=R" TargetMode="External"/><Relationship Id="rId776" Type="http://schemas.openxmlformats.org/officeDocument/2006/relationships/hyperlink" Target="https://doi.org/10.1002/adma.202520692" TargetMode="External"/><Relationship Id="rId777" Type="http://schemas.openxmlformats.org/officeDocument/2006/relationships/hyperlink" Target="https://advanced.onlinelibrary.wiley.com/doi/10.1002/adma.202521029?af=R" TargetMode="External"/><Relationship Id="rId778" Type="http://schemas.openxmlformats.org/officeDocument/2006/relationships/hyperlink" Target="https://doi.org/10.1002/adma.202521029" TargetMode="External"/><Relationship Id="rId779" Type="http://schemas.openxmlformats.org/officeDocument/2006/relationships/hyperlink" Target="https://onlinelibrary.wiley.com/doi/10.1002/anie.202521072?af=R" TargetMode="External"/><Relationship Id="rId780" Type="http://schemas.openxmlformats.org/officeDocument/2006/relationships/hyperlink" Target="https://doi.org/10.1002/anie.202521072" TargetMode="External"/><Relationship Id="rId781" Type="http://schemas.openxmlformats.org/officeDocument/2006/relationships/hyperlink" Target="https://advanced.onlinelibrary.wiley.com/doi/10.1002/adma.202519983?af=R" TargetMode="External"/><Relationship Id="rId782" Type="http://schemas.openxmlformats.org/officeDocument/2006/relationships/hyperlink" Target="https://doi.org/10.1002/adma.202519983" TargetMode="External"/><Relationship Id="rId783" Type="http://schemas.openxmlformats.org/officeDocument/2006/relationships/hyperlink" Target="https://onlinelibrary.wiley.com/doi/10.1002/anie.202519764?af=R" TargetMode="External"/><Relationship Id="rId784" Type="http://schemas.openxmlformats.org/officeDocument/2006/relationships/hyperlink" Target="https://doi.org/10.1002/anie.202519764" TargetMode="External"/><Relationship Id="rId785" Type="http://schemas.openxmlformats.org/officeDocument/2006/relationships/hyperlink" Target="https://advanced.onlinelibrary.wiley.com/doi/10.1002/adma.202517175?af=R" TargetMode="External"/><Relationship Id="rId786" Type="http://schemas.openxmlformats.org/officeDocument/2006/relationships/hyperlink" Target="https://doi.org/10.1002/adma.202517175" TargetMode="External"/><Relationship Id="rId787" Type="http://schemas.openxmlformats.org/officeDocument/2006/relationships/hyperlink" Target="https://advanced.onlinelibrary.wiley.com/doi/10.1002/adma.202521961?af=R" TargetMode="External"/><Relationship Id="rId788" Type="http://schemas.openxmlformats.org/officeDocument/2006/relationships/hyperlink" Target="https://doi.org/10.1002/adma.202521961" TargetMode="External"/><Relationship Id="rId789" Type="http://schemas.openxmlformats.org/officeDocument/2006/relationships/hyperlink" Target="https://onlinelibrary.wiley.com/doi/10.1002/anie.202525384?af=R" TargetMode="External"/><Relationship Id="rId790" Type="http://schemas.openxmlformats.org/officeDocument/2006/relationships/hyperlink" Target="https://doi.org/10.1002/anie.202525384" TargetMode="External"/><Relationship Id="rId791" Type="http://schemas.openxmlformats.org/officeDocument/2006/relationships/hyperlink" Target="https://onlinelibrary.wiley.com/doi/10.1002/anie.202524685?af=R" TargetMode="External"/><Relationship Id="rId792" Type="http://schemas.openxmlformats.org/officeDocument/2006/relationships/hyperlink" Target="https://doi.org/10.1002/anie.202524685" TargetMode="External"/><Relationship Id="rId793" Type="http://schemas.openxmlformats.org/officeDocument/2006/relationships/hyperlink" Target="https://advanced.onlinelibrary.wiley.com/doi/10.1002/aenm.202505540?af=R" TargetMode="External"/><Relationship Id="rId794" Type="http://schemas.openxmlformats.org/officeDocument/2006/relationships/hyperlink" Target="https://doi.org/10.1002/aenm.202505540" TargetMode="External"/><Relationship Id="rId795" Type="http://schemas.openxmlformats.org/officeDocument/2006/relationships/hyperlink" Target="https://advanced.onlinelibrary.wiley.com/doi/10.1002/adma.202520308?af=R" TargetMode="External"/><Relationship Id="rId796" Type="http://schemas.openxmlformats.org/officeDocument/2006/relationships/hyperlink" Target="https://doi.org/10.1002/adma.202520308" TargetMode="External"/><Relationship Id="rId797" Type="http://schemas.openxmlformats.org/officeDocument/2006/relationships/hyperlink" Target="https://advanced.onlinelibrary.wiley.com/doi/10.1002/adma.202512687?af=R" TargetMode="External"/><Relationship Id="rId798" Type="http://schemas.openxmlformats.org/officeDocument/2006/relationships/hyperlink" Target="https://doi.org/10.1002/adma.202512687" TargetMode="External"/><Relationship Id="rId799" Type="http://schemas.openxmlformats.org/officeDocument/2006/relationships/hyperlink" Target="https://onlinelibrary.wiley.com/doi/10.1002/anie.202519180?af=R" TargetMode="External"/><Relationship Id="rId800" Type="http://schemas.openxmlformats.org/officeDocument/2006/relationships/hyperlink" Target="https://doi.org/10.1002/anie.202519180" TargetMode="External"/><Relationship Id="rId801" Type="http://schemas.openxmlformats.org/officeDocument/2006/relationships/hyperlink" Target="https://advanced.onlinelibrary.wiley.com/doi/10.1002/aenm.202505453?af=R" TargetMode="External"/><Relationship Id="rId802" Type="http://schemas.openxmlformats.org/officeDocument/2006/relationships/hyperlink" Target="https://doi.org/10.1002/aenm.202505453" TargetMode="External"/><Relationship Id="rId803" Type="http://schemas.openxmlformats.org/officeDocument/2006/relationships/hyperlink" Target="https://advanced.onlinelibrary.wiley.com/doi/10.1002/aenm.202505181?af=R" TargetMode="External"/><Relationship Id="rId804" Type="http://schemas.openxmlformats.org/officeDocument/2006/relationships/hyperlink" Target="https://doi.org/10.1002/aenm.202505181" TargetMode="External"/><Relationship Id="rId805" Type="http://schemas.openxmlformats.org/officeDocument/2006/relationships/hyperlink" Target="https://onlinelibrary.wiley.com/doi/10.1002/anie.202522044?af=R" TargetMode="External"/><Relationship Id="rId806" Type="http://schemas.openxmlformats.org/officeDocument/2006/relationships/hyperlink" Target="https://doi.org/10.1002/anie.202522044" TargetMode="External"/><Relationship Id="rId807" Type="http://schemas.openxmlformats.org/officeDocument/2006/relationships/hyperlink" Target="http://dx.doi.org/10.1021/acsenergylett.5c03357" TargetMode="External"/><Relationship Id="rId808" Type="http://schemas.openxmlformats.org/officeDocument/2006/relationships/hyperlink" Target="https://doi.org/10.1021/acsenergylett.5c03357" TargetMode="External"/><Relationship Id="rId809" Type="http://schemas.openxmlformats.org/officeDocument/2006/relationships/hyperlink" Target="http://dx.doi.org/10.1021/jacs.5c12957" TargetMode="External"/><Relationship Id="rId810" Type="http://schemas.openxmlformats.org/officeDocument/2006/relationships/hyperlink" Target="https://doi.org/10.1021/jacs.5c12957" TargetMode="External"/><Relationship Id="rId811" Type="http://schemas.openxmlformats.org/officeDocument/2006/relationships/hyperlink" Target="http://dx.doi.org/10.1021/jacs.5c16083" TargetMode="External"/><Relationship Id="rId812" Type="http://schemas.openxmlformats.org/officeDocument/2006/relationships/hyperlink" Target="https://doi.org/10.1021/jacs.5c16083" TargetMode="External"/><Relationship Id="rId813" Type="http://schemas.openxmlformats.org/officeDocument/2006/relationships/hyperlink" Target="http://dx.doi.org/10.1021/acsenergylett.5c02590" TargetMode="External"/><Relationship Id="rId814" Type="http://schemas.openxmlformats.org/officeDocument/2006/relationships/hyperlink" Target="https://doi.org/10.1021/acsenergylett.5c02590" TargetMode="External"/><Relationship Id="rId815" Type="http://schemas.openxmlformats.org/officeDocument/2006/relationships/hyperlink" Target="http://dx.doi.org/10.1021/jacs.5c19117" TargetMode="External"/><Relationship Id="rId816" Type="http://schemas.openxmlformats.org/officeDocument/2006/relationships/hyperlink" Target="https://doi.org/10.1021/jacs.5c19117" TargetMode="External"/><Relationship Id="rId817" Type="http://schemas.openxmlformats.org/officeDocument/2006/relationships/hyperlink" Target="http://dx.doi.org/10.1021/jacs.5c17148" TargetMode="External"/><Relationship Id="rId818" Type="http://schemas.openxmlformats.org/officeDocument/2006/relationships/hyperlink" Target="https://doi.org/10.1021/jacs.5c17148" TargetMode="External"/><Relationship Id="rId819" Type="http://schemas.openxmlformats.org/officeDocument/2006/relationships/hyperlink" Target="http://dx.doi.org/10.1021/jacs.5c20543" TargetMode="External"/><Relationship Id="rId820" Type="http://schemas.openxmlformats.org/officeDocument/2006/relationships/hyperlink" Target="https://doi.org/10.1021/jacs.5c20543" TargetMode="External"/><Relationship Id="rId821" Type="http://schemas.openxmlformats.org/officeDocument/2006/relationships/hyperlink" Target="http://dx.doi.org/10.1021/acsenergylett.5c02954" TargetMode="External"/><Relationship Id="rId822" Type="http://schemas.openxmlformats.org/officeDocument/2006/relationships/hyperlink" Target="https://doi.org/10.1021/acsenergylett.5c02954" TargetMode="External"/><Relationship Id="rId823" Type="http://schemas.openxmlformats.org/officeDocument/2006/relationships/hyperlink" Target="http://dx.doi.org/10.1021/jacs.5c15180" TargetMode="External"/><Relationship Id="rId824" Type="http://schemas.openxmlformats.org/officeDocument/2006/relationships/hyperlink" Target="https://doi.org/10.1021/jacs.5c15180" TargetMode="External"/><Relationship Id="rId825" Type="http://schemas.openxmlformats.org/officeDocument/2006/relationships/hyperlink" Target="http://dx.doi.org/10.1021/jacs.5c15656" TargetMode="External"/><Relationship Id="rId826" Type="http://schemas.openxmlformats.org/officeDocument/2006/relationships/hyperlink" Target="https://doi.org/10.1021/jacs.5c15656" TargetMode="External"/><Relationship Id="rId827" Type="http://schemas.openxmlformats.org/officeDocument/2006/relationships/hyperlink" Target="https://www.sciencedirect.com/science/article/pii/S1369702125005413?dgcid=rss_sd_all" TargetMode="External"/><Relationship Id="rId828" Type="http://schemas.openxmlformats.org/officeDocument/2006/relationships/hyperlink" Target="https://www.sciencedirect.com/science/article/pii/S1369702125005383?dgcid=rss_sd_all" TargetMode="External"/><Relationship Id="rId829" Type="http://schemas.openxmlformats.org/officeDocument/2006/relationships/hyperlink" Target="https://www.sciencedirect.com/science/article/pii/S0306261925020483?dgcid=rss_sd_all" TargetMode="External"/><Relationship Id="rId830" Type="http://schemas.openxmlformats.org/officeDocument/2006/relationships/hyperlink" Target="https://www.sciencedirect.com/science/article/pii/S030626192502029X?dgcid=rss_sd_all" TargetMode="External"/><Relationship Id="rId831" Type="http://schemas.openxmlformats.org/officeDocument/2006/relationships/hyperlink" Target="https://www.sciencedirect.com/science/article/pii/S0306261925020239?dgcid=rss_sd_all" TargetMode="External"/><Relationship Id="rId832" Type="http://schemas.openxmlformats.org/officeDocument/2006/relationships/hyperlink" Target="https://www.sciencedirect.com/science/article/pii/S0306261925020148?dgcid=rss_sd_all" TargetMode="External"/><Relationship Id="rId833" Type="http://schemas.openxmlformats.org/officeDocument/2006/relationships/hyperlink" Target="https://academic.oup.com/nsr/advance-article/doi/10.1093/nsr/nwaf593/8405682?rss=1" TargetMode="External"/><Relationship Id="rId834" Type="http://schemas.openxmlformats.org/officeDocument/2006/relationships/hyperlink" Target="https://doi.org/10.1093/nsr/nwaf593/8405682" TargetMode="External"/><Relationship Id="rId835" Type="http://schemas.openxmlformats.org/officeDocument/2006/relationships/hyperlink" Target="https://academic.oup.com/nsr/advance-article/doi/10.1093/nsr/nwaf588/8405685?rss=1" TargetMode="External"/><Relationship Id="rId836" Type="http://schemas.openxmlformats.org/officeDocument/2006/relationships/hyperlink" Target="https://doi.org/10.1093/nsr/nwaf588/8405685" TargetMode="External"/><Relationship Id="rId837" Type="http://schemas.openxmlformats.org/officeDocument/2006/relationships/hyperlink" Target="https://www.sciencedirect.com/science/article/pii/S030626192502001X?dgcid=rss_sd_all" TargetMode="External"/><Relationship Id="rId838" Type="http://schemas.openxmlformats.org/officeDocument/2006/relationships/hyperlink" Target="https://www.nature.com/articles/s41467-025-67355-7" TargetMode="External"/><Relationship Id="rId839" Type="http://schemas.openxmlformats.org/officeDocument/2006/relationships/hyperlink" Target="https://www.nature.com/articles/s41467-025-67527-5" TargetMode="External"/><Relationship Id="rId840" Type="http://schemas.openxmlformats.org/officeDocument/2006/relationships/hyperlink" Target="https://academic.oup.com/nsr/advance-article/doi/10.1093/nsr/nwaf586/8405691?rss=1" TargetMode="External"/><Relationship Id="rId841" Type="http://schemas.openxmlformats.org/officeDocument/2006/relationships/hyperlink" Target="https://doi.org/10.1093/nsr/nwaf586/8405691" TargetMode="External"/><Relationship Id="rId842" Type="http://schemas.openxmlformats.org/officeDocument/2006/relationships/hyperlink" Target="https://www.sciencedirect.com/science/article/pii/S136970212500553X?dgcid=rss_sd_all" TargetMode="External"/><Relationship Id="rId843" Type="http://schemas.openxmlformats.org/officeDocument/2006/relationships/hyperlink" Target="https://www.sciencedirect.com/science/article/pii/S0301421525005555?dgcid=rss_sd_all" TargetMode="External"/><Relationship Id="rId844" Type="http://schemas.openxmlformats.org/officeDocument/2006/relationships/hyperlink" Target="https://www.nature.com/articles/s41467-025-68096-3" TargetMode="External"/><Relationship Id="rId845" Type="http://schemas.openxmlformats.org/officeDocument/2006/relationships/hyperlink" Target="https://www.nature.com/articles/s41467-025-67985-x" TargetMode="External"/><Relationship Id="rId846" Type="http://schemas.openxmlformats.org/officeDocument/2006/relationships/hyperlink" Target="https://www.nature.com/articles/s41467-025-67895-y" TargetMode="External"/><Relationship Id="rId847" Type="http://schemas.openxmlformats.org/officeDocument/2006/relationships/hyperlink" Target="https://www.nature.com/articles/s41467-025-67845-8" TargetMode="External"/><Relationship Id="rId848" Type="http://schemas.openxmlformats.org/officeDocument/2006/relationships/hyperlink" Target="https://www.nature.com/articles/s41467-025-67831-0" TargetMode="External"/><Relationship Id="rId849" Type="http://schemas.openxmlformats.org/officeDocument/2006/relationships/hyperlink" Target="https://www.nature.com/articles/s41467-025-67760-y" TargetMode="External"/><Relationship Id="rId850" Type="http://schemas.openxmlformats.org/officeDocument/2006/relationships/hyperlink" Target="https://advanced.onlinelibrary.wiley.com/doi/10.1002/aenm.202506643?af=R" TargetMode="External"/><Relationship Id="rId851" Type="http://schemas.openxmlformats.org/officeDocument/2006/relationships/hyperlink" Target="https://doi.org/10.1002/aenm.202506643" TargetMode="External"/><Relationship Id="rId852" Type="http://schemas.openxmlformats.org/officeDocument/2006/relationships/hyperlink" Target="https://onlinelibrary.wiley.com/doi/10.1002/anie.202525535?af=R" TargetMode="External"/><Relationship Id="rId853" Type="http://schemas.openxmlformats.org/officeDocument/2006/relationships/hyperlink" Target="https://doi.org/10.1002/anie.202525535" TargetMode="External"/><Relationship Id="rId854" Type="http://schemas.openxmlformats.org/officeDocument/2006/relationships/hyperlink" Target="https://onlinelibrary.wiley.com/doi/10.1002/anie.202516206?af=R" TargetMode="External"/><Relationship Id="rId855" Type="http://schemas.openxmlformats.org/officeDocument/2006/relationships/hyperlink" Target="https://doi.org/10.1002/anie.202516206" TargetMode="External"/><Relationship Id="rId856" Type="http://schemas.openxmlformats.org/officeDocument/2006/relationships/hyperlink" Target="https://advanced.onlinelibrary.wiley.com/doi/10.1002/adma.202520626?af=R" TargetMode="External"/><Relationship Id="rId857" Type="http://schemas.openxmlformats.org/officeDocument/2006/relationships/hyperlink" Target="https://doi.org/10.1002/adma.202520626" TargetMode="External"/><Relationship Id="rId858" Type="http://schemas.openxmlformats.org/officeDocument/2006/relationships/hyperlink" Target="https://onlinelibrary.wiley.com/doi/10.1002/anie.202522762?af=R" TargetMode="External"/><Relationship Id="rId859" Type="http://schemas.openxmlformats.org/officeDocument/2006/relationships/hyperlink" Target="https://doi.org/10.1002/anie.202522762" TargetMode="External"/><Relationship Id="rId860" Type="http://schemas.openxmlformats.org/officeDocument/2006/relationships/hyperlink" Target="https://advanced.onlinelibrary.wiley.com/doi/10.1002/adma.202514145?af=R" TargetMode="External"/><Relationship Id="rId861" Type="http://schemas.openxmlformats.org/officeDocument/2006/relationships/hyperlink" Target="https://doi.org/10.1002/adma.202514145" TargetMode="External"/><Relationship Id="rId862" Type="http://schemas.openxmlformats.org/officeDocument/2006/relationships/hyperlink" Target="https://advanced.onlinelibrary.wiley.com/doi/10.1002/adma.202520278?af=R" TargetMode="External"/><Relationship Id="rId863" Type="http://schemas.openxmlformats.org/officeDocument/2006/relationships/hyperlink" Target="https://doi.org/10.1002/adma.202520278" TargetMode="External"/><Relationship Id="rId864" Type="http://schemas.openxmlformats.org/officeDocument/2006/relationships/hyperlink" Target="https://advanced.onlinelibrary.wiley.com/doi/10.1002/adma.202516019?af=R" TargetMode="External"/><Relationship Id="rId865" Type="http://schemas.openxmlformats.org/officeDocument/2006/relationships/hyperlink" Target="https://doi.org/10.1002/adma.202516019" TargetMode="External"/><Relationship Id="rId866" Type="http://schemas.openxmlformats.org/officeDocument/2006/relationships/hyperlink" Target="https://onlinelibrary.wiley.com/doi/10.1002/anie.202524557?af=R" TargetMode="External"/><Relationship Id="rId867" Type="http://schemas.openxmlformats.org/officeDocument/2006/relationships/hyperlink" Target="https://doi.org/10.1002/anie.202524557" TargetMode="External"/><Relationship Id="rId868" Type="http://schemas.openxmlformats.org/officeDocument/2006/relationships/hyperlink" Target="https://advanced.onlinelibrary.wiley.com/doi/10.1002/aenm.202505762?af=R" TargetMode="External"/><Relationship Id="rId869" Type="http://schemas.openxmlformats.org/officeDocument/2006/relationships/hyperlink" Target="https://doi.org/10.1002/aenm.202505762" TargetMode="External"/><Relationship Id="rId870" Type="http://schemas.openxmlformats.org/officeDocument/2006/relationships/hyperlink" Target="https://onlinelibrary.wiley.com/doi/10.1002/anie.202525861?af=R" TargetMode="External"/><Relationship Id="rId871" Type="http://schemas.openxmlformats.org/officeDocument/2006/relationships/hyperlink" Target="https://doi.org/10.1002/anie.202525861" TargetMode="External"/><Relationship Id="rId872" Type="http://schemas.openxmlformats.org/officeDocument/2006/relationships/hyperlink" Target="https://advanced.onlinelibrary.wiley.com/doi/10.1002/aenm.202505731?af=R" TargetMode="External"/><Relationship Id="rId873" Type="http://schemas.openxmlformats.org/officeDocument/2006/relationships/hyperlink" Target="https://doi.org/10.1002/aenm.202505731" TargetMode="External"/><Relationship Id="rId874" Type="http://schemas.openxmlformats.org/officeDocument/2006/relationships/hyperlink" Target="https://onlinelibrary.wiley.com/doi/10.1002/anie.202524692?af=R" TargetMode="External"/><Relationship Id="rId875" Type="http://schemas.openxmlformats.org/officeDocument/2006/relationships/hyperlink" Target="https://doi.org/10.1002/anie.202524692" TargetMode="External"/><Relationship Id="rId876" Type="http://schemas.openxmlformats.org/officeDocument/2006/relationships/hyperlink" Target="https://onlinelibrary.wiley.com/doi/10.1002/anie.202524267?af=R" TargetMode="External"/><Relationship Id="rId877" Type="http://schemas.openxmlformats.org/officeDocument/2006/relationships/hyperlink" Target="https://doi.org/10.1002/anie.202524267" TargetMode="External"/><Relationship Id="rId878" Type="http://schemas.openxmlformats.org/officeDocument/2006/relationships/hyperlink" Target="https://advanced.onlinelibrary.wiley.com/doi/10.1002/adma.202519865?af=R" TargetMode="External"/><Relationship Id="rId879" Type="http://schemas.openxmlformats.org/officeDocument/2006/relationships/hyperlink" Target="https://doi.org/10.1002/adma.202519865" TargetMode="External"/><Relationship Id="rId880" Type="http://schemas.openxmlformats.org/officeDocument/2006/relationships/hyperlink" Target="https://onlinelibrary.wiley.com/doi/10.1002/anie.202523608?af=R" TargetMode="External"/><Relationship Id="rId881" Type="http://schemas.openxmlformats.org/officeDocument/2006/relationships/hyperlink" Target="https://doi.org/10.1002/anie.202523608" TargetMode="External"/><Relationship Id="rId882" Type="http://schemas.openxmlformats.org/officeDocument/2006/relationships/hyperlink" Target="https://advanced.onlinelibrary.wiley.com/doi/10.1002/adma.202517934?af=R" TargetMode="External"/><Relationship Id="rId883" Type="http://schemas.openxmlformats.org/officeDocument/2006/relationships/hyperlink" Target="https://doi.org/10.1002/adma.202517934" TargetMode="External"/><Relationship Id="rId884" Type="http://schemas.openxmlformats.org/officeDocument/2006/relationships/hyperlink" Target="https://advanced.onlinelibrary.wiley.com/doi/10.1002/adma.202512943?af=R" TargetMode="External"/><Relationship Id="rId885" Type="http://schemas.openxmlformats.org/officeDocument/2006/relationships/hyperlink" Target="https://doi.org/10.1002/adma.202512943" TargetMode="External"/><Relationship Id="rId886" Type="http://schemas.openxmlformats.org/officeDocument/2006/relationships/hyperlink" Target="https://onlinelibrary.wiley.com/doi/10.1002/anie.202525678?af=R" TargetMode="External"/><Relationship Id="rId887" Type="http://schemas.openxmlformats.org/officeDocument/2006/relationships/hyperlink" Target="https://doi.org/10.1002/anie.202525678" TargetMode="External"/><Relationship Id="rId888" Type="http://schemas.openxmlformats.org/officeDocument/2006/relationships/hyperlink" Target="https://advanced.onlinelibrary.wiley.com/doi/10.1002/adma.202520521?af=R" TargetMode="External"/><Relationship Id="rId889" Type="http://schemas.openxmlformats.org/officeDocument/2006/relationships/hyperlink" Target="https://doi.org/10.1002/adma.202520521" TargetMode="External"/><Relationship Id="rId890" Type="http://schemas.openxmlformats.org/officeDocument/2006/relationships/hyperlink" Target="https://advanced.onlinelibrary.wiley.com/doi/10.1002/adma.202517671?af=R" TargetMode="External"/><Relationship Id="rId891" Type="http://schemas.openxmlformats.org/officeDocument/2006/relationships/hyperlink" Target="https://doi.org/10.1002/adma.202517671" TargetMode="External"/><Relationship Id="rId892" Type="http://schemas.openxmlformats.org/officeDocument/2006/relationships/hyperlink" Target="https://advanced.onlinelibrary.wiley.com/doi/10.1002/adma.202519228?af=R" TargetMode="External"/><Relationship Id="rId893" Type="http://schemas.openxmlformats.org/officeDocument/2006/relationships/hyperlink" Target="https://doi.org/10.1002/adma.202519228" TargetMode="External"/><Relationship Id="rId894" Type="http://schemas.openxmlformats.org/officeDocument/2006/relationships/hyperlink" Target="https://onlinelibrary.wiley.com/doi/10.1002/anie.202520330?af=R" TargetMode="External"/><Relationship Id="rId895" Type="http://schemas.openxmlformats.org/officeDocument/2006/relationships/hyperlink" Target="https://doi.org/10.1002/anie.202520330" TargetMode="External"/><Relationship Id="rId896" Type="http://schemas.openxmlformats.org/officeDocument/2006/relationships/hyperlink" Target="https://advanced.onlinelibrary.wiley.com/doi/10.1002/adma.202519840?af=R" TargetMode="External"/><Relationship Id="rId897" Type="http://schemas.openxmlformats.org/officeDocument/2006/relationships/hyperlink" Target="https://doi.org/10.1002/adma.202519840" TargetMode="External"/><Relationship Id="rId898" Type="http://schemas.openxmlformats.org/officeDocument/2006/relationships/hyperlink" Target="https://advanced.onlinelibrary.wiley.com/doi/10.1002/adma.202518736?af=R" TargetMode="External"/><Relationship Id="rId899" Type="http://schemas.openxmlformats.org/officeDocument/2006/relationships/hyperlink" Target="https://doi.org/10.1002/adma.202518736" TargetMode="External"/><Relationship Id="rId900" Type="http://schemas.openxmlformats.org/officeDocument/2006/relationships/hyperlink" Target="https://onlinelibrary.wiley.com/doi/10.1002/anie.202525344?af=R" TargetMode="External"/><Relationship Id="rId901" Type="http://schemas.openxmlformats.org/officeDocument/2006/relationships/hyperlink" Target="https://doi.org/10.1002/anie.202525344" TargetMode="External"/><Relationship Id="rId902" Type="http://schemas.openxmlformats.org/officeDocument/2006/relationships/hyperlink" Target="https://advanced.onlinelibrary.wiley.com/doi/10.1002/adma.202515464?af=R" TargetMode="External"/><Relationship Id="rId903" Type="http://schemas.openxmlformats.org/officeDocument/2006/relationships/hyperlink" Target="https://doi.org/10.1002/adma.202515464" TargetMode="External"/><Relationship Id="rId904" Type="http://schemas.openxmlformats.org/officeDocument/2006/relationships/hyperlink" Target="https://onlinelibrary.wiley.com/doi/10.1002/anie.202525258?af=R" TargetMode="External"/><Relationship Id="rId905" Type="http://schemas.openxmlformats.org/officeDocument/2006/relationships/hyperlink" Target="https://doi.org/10.1002/anie.202525258" TargetMode="External"/><Relationship Id="rId906" Type="http://schemas.openxmlformats.org/officeDocument/2006/relationships/hyperlink" Target="https://onlinelibrary.wiley.com/doi/10.1002/anie.202524485?af=R" TargetMode="External"/><Relationship Id="rId907" Type="http://schemas.openxmlformats.org/officeDocument/2006/relationships/hyperlink" Target="https://doi.org/10.1002/anie.202524485" TargetMode="External"/><Relationship Id="rId908" Type="http://schemas.openxmlformats.org/officeDocument/2006/relationships/hyperlink" Target="https://advanced.onlinelibrary.wiley.com/doi/10.1002/adma.202519563?af=R" TargetMode="External"/><Relationship Id="rId909" Type="http://schemas.openxmlformats.org/officeDocument/2006/relationships/hyperlink" Target="https://doi.org/10.1002/adma.202519563" TargetMode="External"/><Relationship Id="rId910" Type="http://schemas.openxmlformats.org/officeDocument/2006/relationships/hyperlink" Target="https://advanced.onlinelibrary.wiley.com/doi/10.1002/adma.202518057?af=R" TargetMode="External"/><Relationship Id="rId911" Type="http://schemas.openxmlformats.org/officeDocument/2006/relationships/hyperlink" Target="https://doi.org/10.1002/adma.202518057" TargetMode="External"/><Relationship Id="rId912" Type="http://schemas.openxmlformats.org/officeDocument/2006/relationships/hyperlink" Target="https://onlinelibrary.wiley.com/doi/10.1002/anie.202510623?af=R" TargetMode="External"/><Relationship Id="rId913" Type="http://schemas.openxmlformats.org/officeDocument/2006/relationships/hyperlink" Target="https://doi.org/10.1002/anie.202510623" TargetMode="External"/><Relationship Id="rId914" Type="http://schemas.openxmlformats.org/officeDocument/2006/relationships/hyperlink" Target="http://dx.doi.org/10.1021/jacs.5c17796" TargetMode="External"/><Relationship Id="rId915" Type="http://schemas.openxmlformats.org/officeDocument/2006/relationships/hyperlink" Target="https://doi.org/10.1021/jacs.5c17796" TargetMode="External"/><Relationship Id="rId916" Type="http://schemas.openxmlformats.org/officeDocument/2006/relationships/hyperlink" Target="http://dx.doi.org/10.1021/jacs.5c17872" TargetMode="External"/><Relationship Id="rId917" Type="http://schemas.openxmlformats.org/officeDocument/2006/relationships/hyperlink" Target="https://doi.org/10.1021/jacs.5c17872" TargetMode="External"/><Relationship Id="rId918" Type="http://schemas.openxmlformats.org/officeDocument/2006/relationships/hyperlink" Target="http://dx.doi.org/10.1021/jacs.5c18420" TargetMode="External"/><Relationship Id="rId919" Type="http://schemas.openxmlformats.org/officeDocument/2006/relationships/hyperlink" Target="https://doi.org/10.1021/jacs.5c18420" TargetMode="External"/><Relationship Id="rId920" Type="http://schemas.openxmlformats.org/officeDocument/2006/relationships/hyperlink" Target="http://dx.doi.org/10.1021/jacs.5c18664" TargetMode="External"/><Relationship Id="rId921" Type="http://schemas.openxmlformats.org/officeDocument/2006/relationships/hyperlink" Target="https://doi.org/10.1021/jacs.5c18664" TargetMode="External"/><Relationship Id="rId922" Type="http://schemas.openxmlformats.org/officeDocument/2006/relationships/hyperlink" Target="http://dx.doi.org/10.1021/acsenergylett.5c03605" TargetMode="External"/><Relationship Id="rId923" Type="http://schemas.openxmlformats.org/officeDocument/2006/relationships/hyperlink" Target="https://doi.org/10.1021/acsenergylett.5c03605" TargetMode="External"/><Relationship Id="rId924" Type="http://schemas.openxmlformats.org/officeDocument/2006/relationships/hyperlink" Target="http://dx.doi.org/10.1021/jacs.5c18502" TargetMode="External"/><Relationship Id="rId925" Type="http://schemas.openxmlformats.org/officeDocument/2006/relationships/hyperlink" Target="https://doi.org/10.1021/jacs.5c18502" TargetMode="External"/><Relationship Id="rId926" Type="http://schemas.openxmlformats.org/officeDocument/2006/relationships/hyperlink" Target="http://dx.doi.org/10.1021/acsenergylett.5c03527" TargetMode="External"/><Relationship Id="rId927" Type="http://schemas.openxmlformats.org/officeDocument/2006/relationships/hyperlink" Target="https://doi.org/10.1021/acsenergylett.5c03527" TargetMode="External"/><Relationship Id="rId928" Type="http://schemas.openxmlformats.org/officeDocument/2006/relationships/hyperlink" Target="http://dx.doi.org/10.1021/jacs.5c18552" TargetMode="External"/><Relationship Id="rId929" Type="http://schemas.openxmlformats.org/officeDocument/2006/relationships/hyperlink" Target="https://doi.org/10.1021/jacs.5c18552" TargetMode="External"/><Relationship Id="rId930" Type="http://schemas.openxmlformats.org/officeDocument/2006/relationships/hyperlink" Target="http://dx.doi.org/10.1021/jacs.5c18681" TargetMode="External"/><Relationship Id="rId931" Type="http://schemas.openxmlformats.org/officeDocument/2006/relationships/hyperlink" Target="https://doi.org/10.1021/jacs.5c18681" TargetMode="External"/><Relationship Id="rId932" Type="http://schemas.openxmlformats.org/officeDocument/2006/relationships/hyperlink" Target="https://www.sciencedirect.com/science/article/pii/S0306261925020367?dgcid=rss_sd_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