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2026-05-15</w:t>
      </w:r>
    </w:p>
    <w:p>
      <w:pPr>
        <w:spacing w:before="160" w:after="120"/>
      </w:pPr>
      <w:r>
        <w:rPr>
          <w:b/>
          <w:sz w:val="28"/>
        </w:rPr>
        <w:t>【光伏】</w:t>
      </w:r>
    </w:p>
    <w:p>
      <w:pPr>
        <w:spacing w:before="160" w:after="40" w:line="240" w:lineRule="auto"/>
      </w:pPr>
      <w:r>
        <w:rPr>
          <w:b/>
        </w:rPr>
        <w:t xml:space="preserve">[1] </w:t>
      </w:r>
      <w:hyperlink r:id="rId9">
        <w:r>
          <w:rPr>
            <w:color w:val="1155CC"/>
            <w:u w:val="single"/>
          </w:rPr>
          <w:t>中国农村太阳能转型中的制度逻辑及其对弱势群体能源正义的影响</w:t>
        </w:r>
      </w:hyperlink>
    </w:p>
    <w:p>
      <w:pPr>
        <w:spacing w:before="0" w:after="80"/>
      </w:pPr>
      <w:r>
        <w:rPr>
          <w:i/>
          <w:sz w:val="20"/>
        </w:rPr>
        <w:t>EN: Institutional logics in China's rural solar transition and their impacts on energy justice for vulnerable communities</w:t>
      </w:r>
    </w:p>
    <w:p>
      <w:pPr>
        <w:spacing w:before="0" w:after="120"/>
      </w:pPr>
      <w:r>
        <w:rPr>
          <w:b/>
        </w:rPr>
        <w:t xml:space="preserve">Source: </w:t>
      </w:r>
      <w:r>
        <w:t>ScienceDirect Publication: Energy Policy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闭环自动化实验室提升钙钛矿性能</w:t>
        </w:r>
      </w:hyperlink>
    </w:p>
    <w:p>
      <w:pPr>
        <w:spacing w:before="0" w:after="80"/>
      </w:pPr>
      <w:r>
        <w:rPr>
          <w:i/>
          <w:sz w:val="20"/>
        </w:rPr>
        <w:t>EN: A closed-loop automated lab boosts perovskite performance</w:t>
      </w:r>
    </w:p>
    <w:p>
      <w:pPr>
        <w:spacing w:before="0" w:after="120"/>
      </w:pPr>
      <w:r>
        <w:rPr>
          <w:b/>
        </w:rPr>
        <w:t xml:space="preserve">Source: </w:t>
      </w:r>
      <w:r>
        <w:t>Nature Reviews Materials</w:t>
      </w:r>
      <w:r>
        <w:t xml:space="preserve">    </w:t>
      </w:r>
      <w:r>
        <w:rPr>
          <w:b/>
        </w:rPr>
        <w:t xml:space="preserve">Pub date: </w:t>
      </w:r>
      <w:r>
        <w:t>2026-05-11 00:00:00+00:00</w:t>
      </w:r>
      <w:r>
        <w:t xml:space="preserve">    </w:t>
      </w:r>
      <w:r>
        <w:rPr>
          <w:b/>
        </w:rPr>
        <w:t xml:space="preserve">DOI: </w:t>
      </w:r>
      <w:hyperlink r:id="rId11">
        <w:r>
          <w:rPr>
            <w:color w:val="1155CC"/>
            <w:u w:val="single"/>
          </w:rPr>
          <w:t>10.1038/s41578-026-00928-0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2">
        <w:r>
          <w:rPr>
            <w:color w:val="1155CC"/>
            <w:u w:val="single"/>
          </w:rPr>
          <w:t>无定形π-共轭钝化剂促进宽化工艺窗口以实现可靠的钙钛矿太阳能模块</w:t>
        </w:r>
      </w:hyperlink>
    </w:p>
    <w:p>
      <w:pPr>
        <w:spacing w:before="0" w:after="80"/>
      </w:pPr>
      <w:r>
        <w:rPr>
          <w:i/>
          <w:sz w:val="20"/>
        </w:rPr>
        <w:t>EN: Amorphous π‐Conjugated Passivator Facilitates Widening Process Window for Reliable Perovskite Solar Modules</w:t>
      </w:r>
    </w:p>
    <w:p>
      <w:pPr>
        <w:spacing w:before="0" w:after="120"/>
      </w:pPr>
      <w:r>
        <w:rPr>
          <w:b/>
        </w:rPr>
        <w:t xml:space="preserve">Source: </w:t>
      </w:r>
      <w:r>
        <w:t>Wiley: Advanced Energy Materials: Table of Contents</w:t>
      </w:r>
      <w:r>
        <w:t xml:space="preserve">    </w:t>
      </w:r>
      <w:r>
        <w:rPr>
          <w:b/>
        </w:rPr>
        <w:t xml:space="preserve">Pub date: </w:t>
      </w:r>
      <w:r>
        <w:t>2026-05-11 07:35:30+00:00</w:t>
      </w:r>
      <w:r>
        <w:t xml:space="preserve">    </w:t>
      </w:r>
      <w:r>
        <w:rPr>
          <w:b/>
        </w:rPr>
        <w:t xml:space="preserve">DOI: </w:t>
      </w:r>
      <w:hyperlink r:id="rId13">
        <w:r>
          <w:rPr>
            <w:color w:val="1155CC"/>
            <w:u w:val="single"/>
          </w:rPr>
          <w:t>10.1002/aenm.202506809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卤化物钙钛矿太阳能电池已实现接近其理论极限的显著效率，但对外部因素的耐久性和可重复的加工仍然是商业化的主要障碍。传统的基于铵卤化物的表面钝化策略通过2D/3D异质结构的形成实现有效的缺陷钝化和电荷选择性，但其亚稳态和对加工条件的强烈敏感性限制了长期稳定性和工艺窗口。在这项工作中，我们报告了一种无定形π-共轭钝化剂，(4-(3-碘-9H-咔唑-9-基)丁基)膦酸（I–4PACz）。不对称的碘取代基增强了分子偶极矩，同时改变了分子间相互作用，从而抑制了有序分子堆积并实现了均匀界面层的形成。I-4PACz的特性导致了高效的电荷提取以及工艺窗口的扩大。应用I-4PACz作为钝化剂的钙钛矿太阳能模块在钙钛矿和空穴传输层之间显示出21.2%的功率转换效率，24.5 cm²的开口尺寸，并在65°C和40%相对湿度下保持初始效率的85%长达884小时，在连续光照下保持初始效率的98.7%长达525小时。此外，对刮涂速度的最小依赖性也加强了这种界面控制策略对在线和大面积制造的适用性。</w:t>
      </w:r>
    </w:p>
    <w:p>
      <w:pPr>
        <w:spacing w:before="0" w:after="200" w:lineRule="auto" w:line="276"/>
      </w:pPr>
      <w:r>
        <w:rPr>
          <w:b/>
        </w:rPr>
        <w:t xml:space="preserve">Abstract (EN): </w:t>
      </w:r>
      <w:r>
        <w:t>Although halide perovskite solar cells have achieved remarkable efficiencies close to their theoretical limits, durability against external factors and reproducible processing remain major barriers to commercialization. Conventional ammonium halide‐based surface passivation strategies enable effective defect passivation and charge selectivity via 2D/3D heterostructure formation, but their metastability and strong sensitivity to processing conditions limit long‐term stability and process window. In this work, we report an amorphous π‐conjugated passivator, (4‐(3‐iodo‐9H‐carbazol‐9‐yl)butyl)phosphonic acid (I–4PACz). The asymmetric iodine substituent enhances the molecular dipole moment while simultaneously altering intermolecular interactions, thereby suppressing ordered molecular packing and enabling the formation of a uniform interfacial layer. The characteristics of I‐4PACz result in efficient charge extraction as well as widening process window. Perovskite solar modules applied to I‐4PACz as passivator between the perovskite and hole transport‐layer show a power conversion efficiency of 21.2% with 24.5 cm</w:t>
      </w:r>
      <w:r>
        <w:rPr>
          <w:vertAlign w:val="subscript"/>
        </w:rPr>
        <w:t>2</w:t>
      </w:r>
      <w:r>
        <w:t>aperture size, and excellent long‐term stability retaining 85% of the initial efficiency for 884 h under 65°C and 40% relative humidity, and 98.7% of the initial efficiency for 525 h under continous illumination, respectively. Moreover, the minial dependence on blade‐coating speed also reinforces the suitability of this interfacial control strategy for inline and large‐area manufacturing.</w:t>
      </w:r>
    </w:p>
    <w:p>
      <w:pPr>
        <w:spacing w:before="120" w:after="120"/>
      </w:pPr>
      <w:r>
        <w:rPr>
          <w:sz w:val="18"/>
        </w:rPr>
        <w:t>——————————————————————————————————————————————————————————————————————</w:t>
      </w:r>
    </w:p>
    <w:p>
      <w:pPr>
        <w:spacing w:before="160" w:after="40" w:line="240" w:lineRule="auto"/>
      </w:pPr>
      <w:r>
        <w:rPr>
          <w:b/>
        </w:rPr>
        <w:t xml:space="preserve">[4] </w:t>
      </w:r>
      <w:hyperlink r:id="rId14">
        <w:r>
          <w:rPr>
            <w:color w:val="1155CC"/>
            <w:u w:val="single"/>
          </w:rPr>
          <w:t>协同调节结晶动力学和界面能级对齐以提高钙钛矿/硅串联太阳能电池的效率</w:t>
        </w:r>
      </w:hyperlink>
    </w:p>
    <w:p>
      <w:pPr>
        <w:spacing w:before="0" w:after="80"/>
      </w:pPr>
      <w:r>
        <w:rPr>
          <w:i/>
          <w:sz w:val="20"/>
        </w:rPr>
        <w:t>EN: Synergistic Modulation of Crystallization Kinetics and Interface Energy‐Level Alignment for Efficient Perovskite/Silicon Tandem Solar Cells</w:t>
      </w:r>
    </w:p>
    <w:p>
      <w:pPr>
        <w:spacing w:before="0" w:after="120"/>
      </w:pPr>
      <w:r>
        <w:rPr>
          <w:b/>
        </w:rPr>
        <w:t xml:space="preserve">Source: </w:t>
      </w:r>
      <w:r>
        <w:t>Wiley: Advanced Materials: Table of Contents</w:t>
      </w:r>
      <w:r>
        <w:t xml:space="preserve">    </w:t>
      </w:r>
      <w:r>
        <w:rPr>
          <w:b/>
        </w:rPr>
        <w:t xml:space="preserve">Pub date: </w:t>
      </w:r>
      <w:r>
        <w:t>2026-05-11 11:51:18+00:00</w:t>
      </w:r>
      <w:r>
        <w:t xml:space="preserve">    </w:t>
      </w:r>
      <w:r>
        <w:rPr>
          <w:b/>
        </w:rPr>
        <w:t xml:space="preserve">DOI: </w:t>
      </w:r>
      <w:hyperlink r:id="rId15">
        <w:r>
          <w:rPr>
            <w:color w:val="1155CC"/>
            <w:u w:val="single"/>
          </w:rPr>
          <w:t>10.1002/adma.73361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增加溴含量是拓宽钙钛矿材料带隙的常见策略。然而，这通常会加速结晶，从而降低薄膜质量和能级对齐。为了解决这个问题，我们将多功能分子2-氨基-4-氰基苯甲酸（2A4CBA）引入1.68 eV钙钛矿前驱体中，以同时调节结晶和能级。2A4CBA通过其氨基、氰基和羧基与钙钛矿前驱体通过配位和氢键相互作用。这些相互作用显著延迟了结晶，拓宽了加工窗口，并促进了铅卤化物和盐之间的完全反应，从而减少了残留未反应的碘化铅，最终产生了具有更大晶粒和较低缺陷态密度的高质量钙钛矿薄膜。此外，2A4CBA差异性地调节了顶表面和埋藏界面的功函数，建立了分级能级对齐，促进了电子和空穴的分离提取。结果，单结倒置宽带隙（WBG）钙钛矿太阳能电池（PSC）实现了23.44%的功率转换效率（PCE），并显著提高了储存和操作稳定性。此外，集成了这种优化的WBG钙钛矿的1 cm²钙钛矿/硅串联太阳能电池（TSC）达到了33.20%的PCE（认证为32.88%），并表现出优异的操作稳定性。</w:t>
      </w:r>
    </w:p>
    <w:p>
      <w:pPr>
        <w:spacing w:before="0" w:after="200" w:lineRule="auto" w:line="276"/>
      </w:pPr>
      <w:r>
        <w:rPr>
          <w:b/>
        </w:rPr>
        <w:t xml:space="preserve">Abstract (EN): </w:t>
      </w:r>
      <w:r>
        <w:t>Increasing bromine content is a common strategy for widening the bandgap of perovskite materials. However, this often accelerates crystallization, thereby degrading film quality and energy‐level alignment. To address this, we introduce the multifunctional molecule 2‐amino‐4‐cyanobenzoic acid (2A4CBA) into a 1.68 eV perovskite precursor to simultaneously modulate crystallization and energy‐level. The 2A4CBA interacts with perovskite precursors via coordination and hydrogen bonding through its amino, cyano, and carboxyl groups. These interactions significantly delay crystallization, broaden the processing window, and promote complete reaction between lead halide and salt, thereby reduced residual unreacted lead iodide and ultimately yielded high‐quality perovskite films with larger grains and lower defect state density. Moreover, 2A4CBA differentially modulates the work functions of top surface and buried interface, establishing a graded energy‐level alignment that facilitates separate extraction of electrons and holes. As a result, the single‐junction inverted wide‐bandgap (WBG) perovskite solar cell (PSC) achieved a power conversion efficiency (PCE) of 23.44% along with markedly improved storage and operational stability. Furthermore, a 1 cm</w:t>
      </w:r>
      <w:r>
        <w:rPr>
          <w:vertAlign w:val="subscript"/>
        </w:rPr>
        <w:t>2</w:t>
      </w:r>
      <w:r>
        <w:t>perovskite/silicon tandem solar cell (TSC) integrating this optimized WBG perovskite reached a PCE of 33.20% (certified 32.88%) and exhibited excellent operational stability.</w:t>
      </w:r>
    </w:p>
    <w:p>
      <w:pPr>
        <w:spacing w:before="120" w:after="120"/>
      </w:pPr>
      <w:r>
        <w:rPr>
          <w:sz w:val="18"/>
        </w:rPr>
        <w:t>——————————————————————————————————————————————————————————————————————</w:t>
      </w:r>
    </w:p>
    <w:p>
      <w:pPr>
        <w:spacing w:before="160" w:after="40" w:line="240" w:lineRule="auto"/>
      </w:pPr>
      <w:r>
        <w:rPr>
          <w:b/>
        </w:rPr>
        <w:t xml:space="preserve">[5] </w:t>
      </w:r>
      <w:hyperlink r:id="rId16">
        <w:r>
          <w:rPr>
            <w:color w:val="1155CC"/>
            <w:u w:val="single"/>
          </w:rPr>
          <w:t>[ASAP] 通过直接观察界面反应实现金属卤化物钙钛矿/NiO异质结构的埋藏界面工程</w:t>
        </w:r>
      </w:hyperlink>
    </w:p>
    <w:p>
      <w:pPr>
        <w:spacing w:before="0" w:after="80"/>
      </w:pPr>
      <w:r>
        <w:rPr>
          <w:i/>
          <w:sz w:val="20"/>
        </w:rPr>
        <w:t>EN: [ASAP] Buried Interface Engineering in Metal-Halide Perovskite/NiO Heterostructures through Direct Observation of Interfacial Reactions</w:t>
      </w:r>
    </w:p>
    <w:p>
      <w:pPr>
        <w:spacing w:before="0" w:after="120"/>
      </w:pPr>
      <w:r>
        <w:rPr>
          <w:b/>
        </w:rPr>
        <w:t xml:space="preserve">Source: </w:t>
      </w:r>
      <w:r>
        <w:t>ACS Energy Letters: Latest Articles (ACS Publications)</w:t>
      </w:r>
      <w:r>
        <w:t xml:space="preserve">    </w:t>
      </w:r>
      <w:r>
        <w:rPr>
          <w:b/>
        </w:rPr>
        <w:t xml:space="preserve">Pub date: </w:t>
      </w:r>
      <w:r>
        <w:t>2026-05-11 12:21:40+00:00</w:t>
      </w:r>
      <w:r>
        <w:t xml:space="preserve">    </w:t>
      </w:r>
      <w:r>
        <w:rPr>
          <w:b/>
        </w:rPr>
        <w:t xml:space="preserve">DOI: </w:t>
      </w:r>
      <w:hyperlink r:id="rId17">
        <w:r>
          <w:rPr>
            <w:color w:val="1155CC"/>
            <w:u w:val="single"/>
          </w:rPr>
          <w:t>10.1021/acsenergylett.6c00785</w:t>
        </w:r>
      </w:hyperlink>
    </w:p>
    <w:p>
      <w:pPr>
        <w:spacing w:before="0" w:after="120"/>
      </w:pPr>
      <w:r>
        <w:rPr>
          <w:b/>
        </w:rPr>
        <w:t xml:space="preserve">Notes: </w:t>
      </w:r>
      <w:r>
        <w:t>abstract_source=openalex</w:t>
      </w:r>
    </w:p>
    <w:p>
      <w:pPr>
        <w:spacing w:before="0" w:after="80" w:lineRule="auto" w:line="276"/>
      </w:pPr>
      <w:r>
        <w:rPr>
          <w:b/>
        </w:rPr>
        <w:t xml:space="preserve">摘要（ZH）: </w:t>
      </w:r>
      <w:r>
        <w:t>采用NiO作为空穴传输层（HTL）的倒置钙钛矿太阳能电池（i-PSCs）因其p型特性、宽带隙和低成本而受到广泛关注。然而，NiO表面的Ni3+物种可以去质子化有机阳离子并氧化卤化物阴离子，促进形成富含PbI2的界面层，阻碍空穴提取并增强非辐射复合。在此，我们通过多种表征技术直接揭示了在埋藏的钙钛矿/NiO界面处PbI2和Pb–O物种的形成。基于这些见解，在NiO上引入了桥接分子中间层。采用Me-4PACz和3PATAT-C3的器件相比于使用裸NiO的器件表现出增强的VOC和FF，分别实现了11.5%和19.9%的冠军PCE提升。这些发现提供了钙钛矿/ALD-NiO界面处埋藏界面反应的直接微观证据，并展示了一种有效的策略来减轻界面降解，为设计稳定和高效的i-PSCs提供了重要指导。</w:t>
      </w:r>
    </w:p>
    <w:p>
      <w:pPr>
        <w:spacing w:before="0" w:after="200" w:lineRule="auto" w:line="276"/>
      </w:pPr>
      <w:r>
        <w:rPr>
          <w:b/>
        </w:rPr>
        <w:t xml:space="preserve">Abstract (EN): </w:t>
      </w:r>
      <w:r>
        <w:t>Inverted perovskite solar cells (i-PSCs) employing NiO as a hole transport layer (HTL) have attracted considerable attention owing to their p-type nature, wide bandgap, and low cost. However, Ni3+ species at the NiO surface can deprotonate organic cations and oxidize halide anions, promoting the formation of PbI2-rich interfacial layers that hinder hole extraction and enhance nonradiative recombination. Here, we directly reveal the formation of PbI2 and Pb–O species at the buried perovskite/NiO interface using multiple characterization techniques. Based on these insights, bridging molecular interlayers are introduced on NiO. Devices incorporating Me-4PACz and 3PATAT-C3 exhibit enhanced VOC and FF compared with those employing bare NiO, resulting in champion PCE improvements of 11.5% and 19.9%, respectively. These findings provide direct microscopic evidence of buried interfacial reactions at perovskite/ALD-NiO interfaces and demonstrate an effective strategy to mitigate interfacial degradation, offering important guidelines for the design of stable and high-efficiency i-PSCs.</w:t>
      </w:r>
    </w:p>
    <w:p>
      <w:pPr>
        <w:spacing w:before="120" w:after="120"/>
      </w:pPr>
      <w:r>
        <w:rPr>
          <w:sz w:val="18"/>
        </w:rPr>
        <w:t>——————————————————————————————————————————————————————————————————————</w:t>
      </w:r>
    </w:p>
    <w:p>
      <w:pPr>
        <w:spacing w:before="160" w:after="40" w:line="240" w:lineRule="auto"/>
      </w:pPr>
      <w:r>
        <w:rPr>
          <w:b/>
        </w:rPr>
        <w:t xml:space="preserve">[6] </w:t>
      </w:r>
      <w:hyperlink r:id="rId18">
        <w:r>
          <w:rPr>
            <w:color w:val="1155CC"/>
            <w:u w:val="single"/>
          </w:rPr>
          <w:t>[ASAP] 通过NMR光谱学原位观察杂化钙钛矿的光诱导降解</w:t>
        </w:r>
      </w:hyperlink>
    </w:p>
    <w:p>
      <w:pPr>
        <w:spacing w:before="0" w:after="80"/>
      </w:pPr>
      <w:r>
        <w:rPr>
          <w:i/>
          <w:sz w:val="20"/>
        </w:rPr>
        <w:t>EN: [ASAP] In Situ Light-Induced Degradation of Hybrid Perovskites by NMR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2026-05-11 15:52:54+00:00</w:t>
      </w:r>
      <w:r>
        <w:t xml:space="preserve">    </w:t>
      </w:r>
      <w:r>
        <w:rPr>
          <w:b/>
        </w:rPr>
        <w:t xml:space="preserve">DOI: </w:t>
      </w:r>
      <w:hyperlink r:id="rId19">
        <w:r>
          <w:rPr>
            <w:color w:val="1155CC"/>
            <w:u w:val="single"/>
          </w:rPr>
          <w:t>10.1021/jacs.6c04176</w:t>
        </w:r>
      </w:hyperlink>
    </w:p>
    <w:p>
      <w:pPr>
        <w:spacing w:before="0" w:after="120"/>
      </w:pPr>
      <w:r>
        <w:rPr>
          <w:b/>
        </w:rPr>
        <w:t xml:space="preserve">Notes: </w:t>
      </w:r>
      <w:r>
        <w:t>abstract_source=pubmed</w:t>
      </w:r>
    </w:p>
    <w:p>
      <w:pPr>
        <w:spacing w:before="0" w:after="80" w:lineRule="auto" w:line="276"/>
      </w:pPr>
      <w:r>
        <w:rPr>
          <w:b/>
        </w:rPr>
        <w:t xml:space="preserve">摘要（ZH）: </w:t>
      </w:r>
      <w:r>
        <w:t>钙钛矿太阳能电池的不稳定性是其工业化的主要瓶颈之一，了解钙钛矿吸收层在原子水平上的确切降解机制是提高长期稳定性的关键步骤。在环境因素中，光诱导降解显然在太阳能电池中起着特别重要的作用。在此，我们使用原位光照结合魔角旋转固态NMR光谱实时确定刮取的甲基铵铅碘（MAPbI3）和甲脒甲基铵铅碘（FA0.95MA0.05PbI3）组成的薄膜样品的降解产物和动力学。我们的研究结果表明，在130小时的强光照后，MAPbI3吸收材料完全降解为PbI2，速率为64 nmol/h。此外，没有观察到Pb(0)的形成。另一方面，在类似的时间框架内，FA0.95MA0.05PbI3钙钛矿仅降解约50%，速率为30 nmol/h，明确证实含甲脒的钙钛矿比纯MAPbI3更稳定。这里介绍的原位方法促进了对不同钙钛矿组成稳定性的直接观察和比较。</w:t>
      </w:r>
    </w:p>
    <w:p>
      <w:pPr>
        <w:spacing w:before="0" w:after="200" w:lineRule="auto" w:line="276"/>
      </w:pPr>
      <w:r>
        <w:rPr>
          <w:b/>
        </w:rPr>
        <w:t xml:space="preserve">Abstract (EN): </w:t>
      </w:r>
      <w:r>
        <w:t>The instability of perovskite solar cells is one of the major bottlenecks to their industrialization and understanding exact degradation mechanisms at the atomic level in perovskite absorber layers is a crucial step in improving long-term stability. Among environmental factors, light-induced degradation obviously plays a particularly important role in solar cells. Here, we determine the degradation products and kinetics of scraped thin-film samples of methylammonium lead iodide (MAPbI3) and formamidinium methylammonium lead iodide (FA0.95MA0.05PbI3) compositions in real time using in situ light irradiation combined with magic-angle-spinning solid-state NMR spectroscopy. Our findings show that after 130 h of intense illumination, the MAPbI3 absorber material completely degrades into PbI2 at a rate of 64 nmol/h. Furthermore, no formation of Pb(0) was observed. On the other hand, in a similar time frame, the FA0.95MA0.05PbI3 perovskite degraded by only approximately 50%, at a rate of 30 nmol/h, clearly confirming that the formamidinium-containing perovskite is more stable than the pure MAPbI3. The in situ approach introduced here facilitates the direct observation and comparison of the stabilities of different perovskite compositions over short periods of time.</w:t>
      </w:r>
    </w:p>
    <w:p>
      <w:pPr>
        <w:spacing w:before="120" w:after="120"/>
      </w:pPr>
      <w:r>
        <w:rPr>
          <w:sz w:val="18"/>
        </w:rPr>
        <w:t>——————————————————————————————————————————————————————————————————————</w:t>
      </w:r>
    </w:p>
    <w:p>
      <w:pPr>
        <w:spacing w:before="160" w:after="40" w:line="240" w:lineRule="auto"/>
      </w:pPr>
      <w:r>
        <w:rPr>
          <w:b/>
        </w:rPr>
        <w:t xml:space="preserve">[7] </w:t>
      </w:r>
      <w:hyperlink r:id="rId20">
        <w:r>
          <w:rPr>
            <w:color w:val="1155CC"/>
            <w:u w:val="single"/>
          </w:rPr>
          <w:t>重新定义晶体硅：解锁透明和柔性光伏的新视野</w:t>
        </w:r>
      </w:hyperlink>
    </w:p>
    <w:p>
      <w:pPr>
        <w:spacing w:before="0" w:after="80"/>
      </w:pPr>
      <w:r>
        <w:rPr>
          <w:i/>
          <w:sz w:val="20"/>
        </w:rPr>
        <w:t>EN: Redefining Crystalline Silicon: Unlocking New Horizons in Transparent and Flexible Photovoltaics</w:t>
      </w:r>
    </w:p>
    <w:p>
      <w:pPr>
        <w:spacing w:before="0" w:after="120"/>
      </w:pPr>
      <w:r>
        <w:rPr>
          <w:b/>
        </w:rPr>
        <w:t xml:space="preserve">Source: </w:t>
      </w:r>
      <w:r>
        <w:t>Wiley: Advanced Energy Materials: Table of Contents</w:t>
      </w:r>
      <w:r>
        <w:t xml:space="preserve">    </w:t>
      </w:r>
      <w:r>
        <w:rPr>
          <w:b/>
        </w:rPr>
        <w:t xml:space="preserve">Pub date: </w:t>
      </w:r>
      <w:r>
        <w:t>2026-05-12 07:43:13+00:00</w:t>
      </w:r>
      <w:r>
        <w:t xml:space="preserve">    </w:t>
      </w:r>
      <w:r>
        <w:rPr>
          <w:b/>
        </w:rPr>
        <w:t xml:space="preserve">DOI: </w:t>
      </w:r>
      <w:hyperlink r:id="rId21">
        <w:r>
          <w:rPr>
            <w:color w:val="1155CC"/>
            <w:u w:val="single"/>
          </w:rPr>
          <w:t>10.1002/aenm.71067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晶体硅（c-Si）因其高效率、材料丰富性和经过验证的现场可靠性而成为全球光伏产业的支柱。然而，这种成熟性强化了硅与刚性、不透明模块格式密不可分的观点。本文回顾了这一假设，并调查了光学和机械设计的进步如何将c-Si转变为透明且机械顺应的光伏平台。首先，阐明了选择性光传输架构的设计原则，其中几何定义的微孔和模块级光学管理将可见透明度与光伏吸收分离，使其具有适合建筑集成的中性色外观。随后，研究了应力重分布策略，包括超薄晶圆工程、中性轴和分层结构以及微结构互连，这些策略解决了硅晶格的固有脆性，并在保持高电子质量的同时允许显著的灵活性。除了结构概念外，还讨论了单线态裂变光谱转换和串联集成等新兴途径，这些途径至少在理论层面上提供了超越透明或柔性硅基设备中传统单结效率极限的途径。总之，这些发展将c-Si从一个成熟但s</w:t>
      </w:r>
    </w:p>
    <w:p>
      <w:pPr>
        <w:spacing w:before="0" w:after="200" w:lineRule="auto" w:line="276"/>
      </w:pPr>
      <w:r>
        <w:rPr>
          <w:b/>
        </w:rPr>
        <w:t xml:space="preserve">Abstract (EN): </w:t>
      </w:r>
      <w:r>
        <w:t>Crystalline silicon (</w:t>
      </w:r>
      <w:r>
        <w:t xml:space="preserve"> </w:t>
      </w:r>
      <w:r>
        <w:t>c</w:t>
      </w:r>
      <w:r>
        <w:t xml:space="preserve"> </w:t>
      </w:r>
      <w:r>
        <w:t>‐Si) underpins the global photovoltaic industry owing to its high efficiency, material abundance, and proven field reliability. This maturity, however, reinforces the view that silicon is intrinsically tied to rigid, opaque module formats. This review revisits that assumption and surveys how advances in optical and mechanical design transform</w:t>
      </w:r>
      <w:r>
        <w:t xml:space="preserve"> </w:t>
      </w:r>
      <w:r>
        <w:t>c</w:t>
      </w:r>
      <w:r>
        <w:t xml:space="preserve"> </w:t>
      </w:r>
      <w:r>
        <w:t>‐Si into a transparent and mechanically compliant photovoltaic platform. First, the design principles of selective light‐transmission architectures are elucidated, in which geometrically defined micro‐apertures and module‐level optical management decouple visible transparency from photovoltaic absorption, enabling neutral‐color appearances suitable for architectural integration. Subsequently, stress‐redistribution strategies—including ultrathin wafer engineering, neutral‐axis and hierarchical structuring, and microstructured interconnects—are examined, which address the intrinsic brittleness of the silicon lattice and permit substantial flexibility while maintaining high electronic quality. Beyond structural concepts, emerging routes such as singlet‐fission–based spectral conversion and tandem integration are discussed, which, at least at the theoretical level, offer pathways to surpass the conventional single‐junction efficiency limit in transparent or flexible silicon‐based devices. Together, these developments recast</w:t>
      </w:r>
      <w:r>
        <w:t xml:space="preserve"> </w:t>
      </w:r>
      <w:r>
        <w:t>c</w:t>
      </w:r>
      <w:r>
        <w:t xml:space="preserve"> </w:t>
      </w:r>
      <w:r>
        <w:t>‐Si from a mature but static technology into an evolving, versatile semiconductor platform for transparent and flexible photovoltaics, with the potential to integrate power generation directly into the built environment and other form‐factor‐constrained systems.</w:t>
      </w:r>
    </w:p>
    <w:p>
      <w:pPr>
        <w:spacing w:before="120" w:after="120"/>
      </w:pPr>
      <w:r>
        <w:rPr>
          <w:sz w:val="18"/>
        </w:rPr>
        <w:t>——————————————————————————————————————————————————————————————————————</w:t>
      </w:r>
    </w:p>
    <w:p>
      <w:pPr>
        <w:spacing w:before="160" w:after="40" w:line="240" w:lineRule="auto"/>
      </w:pPr>
      <w:r>
        <w:rPr>
          <w:b/>
        </w:rPr>
        <w:t xml:space="preserve">[8] </w:t>
      </w:r>
      <w:hyperlink r:id="rId22">
        <w:r>
          <w:rPr>
            <w:color w:val="1155CC"/>
            <w:u w:val="single"/>
          </w:rPr>
          <w:t>[ASAP] 朝着全球理解卤化物钙钛矿中复合现象的旅程以用于光伏应用</w:t>
        </w:r>
      </w:hyperlink>
    </w:p>
    <w:p>
      <w:pPr>
        <w:spacing w:before="0" w:after="80"/>
      </w:pPr>
      <w:r>
        <w:rPr>
          <w:i/>
          <w:sz w:val="20"/>
        </w:rPr>
        <w:t>EN: [ASAP] Journey toward a Global Understanding of Recombination in Halide Perovskites for Photovoltaic Applications</w:t>
      </w:r>
    </w:p>
    <w:p>
      <w:pPr>
        <w:spacing w:before="0" w:after="120"/>
      </w:pPr>
      <w:r>
        <w:rPr>
          <w:b/>
        </w:rPr>
        <w:t xml:space="preserve">Source: </w:t>
      </w:r>
      <w:r>
        <w:t>ACS Energy Letters: Latest Articles (ACS Publications)</w:t>
      </w:r>
      <w:r>
        <w:t xml:space="preserve">    </w:t>
      </w:r>
      <w:r>
        <w:rPr>
          <w:b/>
        </w:rPr>
        <w:t xml:space="preserve">Pub date: </w:t>
      </w:r>
      <w:r>
        <w:t>2026-05-12 10:23:39+00:00</w:t>
      </w:r>
      <w:r>
        <w:t xml:space="preserve">    </w:t>
      </w:r>
      <w:r>
        <w:rPr>
          <w:b/>
        </w:rPr>
        <w:t xml:space="preserve">DOI: </w:t>
      </w:r>
      <w:hyperlink r:id="rId23">
        <w:r>
          <w:rPr>
            <w:color w:val="1155CC"/>
            <w:u w:val="single"/>
          </w:rPr>
          <w:t>10.1021/acsenergylett.6c00457</w:t>
        </w:r>
      </w:hyperlink>
    </w:p>
    <w:p>
      <w:pPr>
        <w:spacing w:before="0" w:after="120"/>
      </w:pPr>
      <w:r>
        <w:rPr>
          <w:b/>
        </w:rPr>
        <w:t xml:space="preserve">Notes: </w:t>
      </w:r>
      <w:r>
        <w:t>abstract_source=openalex</w:t>
      </w:r>
    </w:p>
    <w:p>
      <w:pPr>
        <w:spacing w:before="0" w:after="80" w:lineRule="auto" w:line="276"/>
      </w:pPr>
      <w:r>
        <w:rPr>
          <w:b/>
        </w:rPr>
        <w:t xml:space="preserve">摘要（ZH）: </w:t>
      </w:r>
      <w:r>
        <w:t>尽管卤化物钙钛矿太阳能电池取得了快速进展，但对复合过程的全面理解以及关于解释复合和解释实验数据的最合适模型的共识仍然缺乏，这对于进一步提高性能和稳定性至关重要。在此，我们分析了卤化物钙钛矿中复合模型的演变，强调了许多研究人员在染料敏化和有机光伏领域的背景如何引发了对激子的早期重视，随后是简化数学描述的阶段，直到实验和理论显然彼此不一致。近年来，回归经典半导体原始模型的趋势愈发明显。这些方法更频繁地与复杂的数据分析拟合和量化置信度的方法结合使用，越来越多地利用机器学习算法。我们概述了全球复合模型的需求以及实现这一目标的挑战和机遇。</w:t>
      </w:r>
    </w:p>
    <w:p>
      <w:pPr>
        <w:spacing w:before="0" w:after="200" w:lineRule="auto" w:line="276"/>
      </w:pPr>
      <w:r>
        <w:rPr>
          <w:b/>
        </w:rPr>
        <w:t xml:space="preserve">Abstract (EN): </w:t>
      </w:r>
      <w:r>
        <w:t>Despite rapid progress in halide perovskite solar cells, a comprehensive understanding of recombination processes and agreement about the most appropriate models to explain recombination and interpret experimental data are still lacking yet will be critical to further performance and stability improvements. Here, we analyze the evolution of recombination models in halide perovskites, highlighting how the background of many researchers in dye-sensitized and organic photovoltaics triggered an early emphasis on the inclusion of excitons followed by a phase of simplifying the mathematical description until experiment and theory were clearly becoming inconsistent with each other. Recent years have seen the trend of going back to the original models for classical semiconductors. These approaches are more frequently combined with sophisticated approaches for fitting and quantifying confidence in data analysis that make increasing use of machine learning algorithms. We outline the need for global recombination models and the challenges and opportunities in attaining this.</w:t>
      </w:r>
    </w:p>
    <w:p>
      <w:pPr>
        <w:spacing w:before="120" w:after="120"/>
      </w:pPr>
      <w:r>
        <w:rPr>
          <w:sz w:val="18"/>
        </w:rPr>
        <w:t>——————————————————————————————————————————————————————————————————————</w:t>
      </w:r>
    </w:p>
    <w:p>
      <w:pPr>
        <w:spacing w:before="160" w:after="40" w:line="240" w:lineRule="auto"/>
      </w:pPr>
      <w:r>
        <w:rPr>
          <w:b/>
        </w:rPr>
        <w:t xml:space="preserve">[9] </w:t>
      </w:r>
      <w:hyperlink r:id="rId24">
        <w:r>
          <w:rPr>
            <w:color w:val="1155CC"/>
            <w:u w:val="single"/>
          </w:rPr>
          <w:t>[ASAP] 裂解融合环共轭结构并引入聚集诱导发光效应实现超过20%效率的有机太阳能电池</w:t>
        </w:r>
      </w:hyperlink>
    </w:p>
    <w:p>
      <w:pPr>
        <w:spacing w:before="0" w:after="80"/>
      </w:pPr>
      <w:r>
        <w:rPr>
          <w:i/>
          <w:sz w:val="20"/>
        </w:rPr>
        <w:t>EN: [ASAP] Cleaving Fused-Ring Conjugated Structure and Introducing Aggregation-Induced Emission Effect Enable over 20% Efficiency Organic Solar Cells</w:t>
      </w:r>
    </w:p>
    <w:p>
      <w:pPr>
        <w:spacing w:before="0" w:after="120"/>
      </w:pPr>
      <w:r>
        <w:rPr>
          <w:b/>
        </w:rPr>
        <w:t xml:space="preserve">Source: </w:t>
      </w:r>
      <w:r>
        <w:t>Journal of the American Chemical Society: Latest Articles (ACS Publications)</w:t>
      </w:r>
      <w:r>
        <w:t xml:space="preserve">    </w:t>
      </w:r>
      <w:r>
        <w:rPr>
          <w:b/>
        </w:rPr>
        <w:t xml:space="preserve">Pub date: </w:t>
      </w:r>
      <w:r>
        <w:t>2026-05-12 15:31:32+00:00</w:t>
      </w:r>
      <w:r>
        <w:t xml:space="preserve">    </w:t>
      </w:r>
      <w:r>
        <w:rPr>
          <w:b/>
        </w:rPr>
        <w:t xml:space="preserve">DOI: </w:t>
      </w:r>
      <w:hyperlink r:id="rId25">
        <w:r>
          <w:rPr>
            <w:color w:val="1155CC"/>
            <w:u w:val="single"/>
          </w:rPr>
          <w:t>10.1021/jacs.5c22943</w:t>
        </w:r>
      </w:hyperlink>
    </w:p>
    <w:p>
      <w:pPr>
        <w:spacing w:before="0" w:after="120"/>
      </w:pPr>
      <w:r>
        <w:rPr>
          <w:b/>
        </w:rPr>
        <w:t xml:space="preserve">Notes: </w:t>
      </w:r>
      <w:r>
        <w:t>abstract_source=pubmed</w:t>
      </w:r>
    </w:p>
    <w:p>
      <w:pPr>
        <w:spacing w:before="0" w:after="80" w:lineRule="auto" w:line="276"/>
      </w:pPr>
      <w:r>
        <w:rPr>
          <w:b/>
        </w:rPr>
        <w:t xml:space="preserve">摘要（ZH）: </w:t>
      </w:r>
      <w:r>
        <w:t>如何通过提高光致发光量子产率（PLQY）来减少能量损失，目前是进一步提高有机太阳能电池（OSCs）开路电压（VOC）和功率转换效率（PCE）的一个大瓶颈。利用聚集诱导发光（AIE）效应应该能有效提高PLQY。然而，目前没有可靠的分子设计策略能够在实现AIE的同时保持材料的适当聚集行为。在本研究中，通过裂解三叶草形分子AQ-fNI的共轭结构，开发了一种具有AIE效应的非富勒烯受体（NFA）AQ-NI。AQ-NI表现出比AQ-fNI（6.16%）更高的PLQY（14.6%），实现了极低的能量损失0.494 eV，从而获得了高VOC 0.960 V。此外，AQ-NI的堆积特性有助于调节活性层中的聚集行为，形成有利的相分离形态并增强电荷载流子传输。因此，基于D18/AQ-NI的逐层（LBL）制备的二元OSCs实现了19.14%的高PCE。此外，AQ-NI可以作为客体分子在体异质结结构中使用，基于D18:L8-BO:AQ-NI的三元OSCs相比于D18:L8-BO的二元器件（PCE = 19.39%）实现了20.22%的PCE提升。我们的研究结果为设计具有AIE效应的高性能NFA提供了一种简单而有前景的策略，并建立了AIE特性与OSC性能之间的基本关联。</w:t>
      </w:r>
    </w:p>
    <w:p>
      <w:pPr>
        <w:spacing w:before="0" w:after="200" w:lineRule="auto" w:line="276"/>
      </w:pPr>
      <w:r>
        <w:rPr>
          <w:b/>
        </w:rPr>
        <w:t xml:space="preserve">Abstract (EN): </w:t>
      </w:r>
      <w:r>
        <w:t>How to reduce energy loss by enhancing the photoluminescence quantum yield (PLQY) is currently one big bottleneck to further increase the open-circuit voltage (VOC) and power conversion efficiency (PCE) of organic solar cells (OSCs). Utilizing the aggregation-induced emission (AIE) effect should be effective to enhance the PLQY. However, there is no reliable molecular design strategy to realize AIE while maintaining the appropriate aggregation behavior of materials. In this study, through cleavage of the conjugated structure of the shamrock-shaped molecule of AQ-fNI, a nonfullerene acceptor (NFA), AQ-NI, with AIE effect was developed. AQ-NI exhibits a higher PLQY (14.6%) than that of AQ-fNI (6.16%), enabling an exceptionally low energy loss of 0.494 eV and consequently a high VOC of 0.960 V. Moreover, the becoming stacking characteristics of AQ-NI facilitate the modulation of aggregation behavior in the active layer, resulting in a favorable phase-separated morphology and enhanced charge carrier transport. As a result, the layer-by-layer (LBL)-fabricated binary OSCs based on D18/AQ-NI achieved a high PCE of 19.14%. In addition, AQ-NI could serve as a guest molecule in a bulk-heterojunction structure, and D18:L8-BO:AQ-NI-based ternary OSCs realized an improved PCE of 20.22% in comparison with the D18:L8-BO-based binary device (PCE = 19.39%). Our findings provide a simple and promising strategy for designing high-performance NFAs with AIE effect and establish a fundamental correlation between AIE properties and OSC performance.</w:t>
      </w:r>
    </w:p>
    <w:p>
      <w:pPr>
        <w:spacing w:before="120" w:after="120"/>
      </w:pPr>
      <w:r>
        <w:rPr>
          <w:sz w:val="18"/>
        </w:rPr>
        <w:t>——————————————————————————————————————————————————————————————————————</w:t>
      </w:r>
    </w:p>
    <w:p>
      <w:pPr>
        <w:spacing w:before="160" w:after="40" w:line="240" w:lineRule="auto"/>
      </w:pPr>
      <w:r>
        <w:rPr>
          <w:b/>
        </w:rPr>
        <w:t xml:space="preserve">[10] </w:t>
      </w:r>
      <w:hyperlink r:id="rId26">
        <w:r>
          <w:rPr>
            <w:color w:val="1155CC"/>
            <w:u w:val="single"/>
          </w:rPr>
          <w:t>可持续气体淬火策略实现高效稳定的柔性钙钛矿太阳能电池</w:t>
        </w:r>
      </w:hyperlink>
    </w:p>
    <w:p>
      <w:pPr>
        <w:spacing w:before="0" w:after="80"/>
      </w:pPr>
      <w:r>
        <w:rPr>
          <w:i/>
          <w:sz w:val="20"/>
        </w:rPr>
        <w:t>EN: Sustainable gas-quenching strategy enables high-efficiency and stable, flexible perovskite solar cells</w:t>
      </w:r>
    </w:p>
    <w:p>
      <w:pPr>
        <w:spacing w:before="0" w:after="120"/>
      </w:pPr>
      <w:r>
        <w:rPr>
          <w:b/>
        </w:rPr>
        <w:t xml:space="preserve">Source: </w:t>
      </w:r>
      <w:r>
        <w:t>Matter</w:t>
      </w:r>
      <w:r>
        <w:t xml:space="preserve">    </w:t>
      </w:r>
      <w:r>
        <w:rPr>
          <w:b/>
        </w:rPr>
        <w:t xml:space="preserve">Pub date: </w:t>
      </w:r>
      <w:r>
        <w:t>2026-05-13 00:00:00+00:00</w:t>
      </w:r>
      <w:r>
        <w:t xml:space="preserve">    </w:t>
      </w:r>
      <w:r>
        <w:rPr>
          <w:b/>
        </w:rPr>
        <w:t xml:space="preserve">DOI: </w:t>
      </w:r>
      <w:hyperlink r:id="rId27">
        <w:r>
          <w:rPr>
            <w:color w:val="1155CC"/>
            <w:u w:val="single"/>
          </w:rPr>
          <w:t>10.1016/j.matt.2026.102823</w:t>
        </w:r>
      </w:hyperlink>
    </w:p>
    <w:p>
      <w:pPr>
        <w:spacing w:before="0" w:after="120"/>
      </w:pPr>
      <w:r>
        <w:rPr>
          <w:b/>
        </w:rPr>
        <w:t xml:space="preserve">Notes: </w:t>
      </w:r>
      <w:r>
        <w:t>abstract_source=rss_cell</w:t>
      </w:r>
    </w:p>
    <w:p>
      <w:pPr>
        <w:spacing w:before="0" w:after="80" w:lineRule="auto" w:line="276"/>
      </w:pPr>
      <w:r>
        <w:rPr>
          <w:b/>
        </w:rPr>
        <w:t xml:space="preserve">摘要（ZH）: </w:t>
      </w:r>
      <w:r>
        <w:t>这项工作报告了一种改进的气体淬火策略，将固有不稳定的溶剂去除过程转变为一个均匀、良好调控的蒸发环境，从而增强成核同步性并减轻柔性基板的内在不稳定性。由此产生的器件实现了24.72%的冠军效率，并在1-sun光照下操作1,500小时后保持了91.5%的效率。此外，器件在经过10,000次弯曲循环后保持了91.2%的初始PCE。</w:t>
      </w:r>
    </w:p>
    <w:p>
      <w:pPr>
        <w:spacing w:before="0" w:after="200" w:lineRule="auto" w:line="276"/>
      </w:pPr>
      <w:r>
        <w:rPr>
          <w:b/>
        </w:rPr>
        <w:t xml:space="preserve">Abstract (EN): </w:t>
      </w:r>
      <w:r>
        <w:t>This work reports an improved gas-quenching strategy, which converts the inherently unstable solvent removal process into a uniform, well-regulated evaporation environment that enhances nucleation synchrony and mitigates the intrinsic instabilities of flexible substrates. The resulting devices achieve a champion efficiency of 24.72% and retain 91.5% of their efficiency after being operated for 1,500 h under 1-sun illumination. Besides, the device retained 91.2% of their initial PCE after 10,000 bending cycles.</w:t>
      </w:r>
    </w:p>
    <w:p>
      <w:pPr>
        <w:spacing w:before="120" w:after="120"/>
      </w:pPr>
      <w:r>
        <w:rPr>
          <w:sz w:val="18"/>
        </w:rPr>
        <w:t>——————————————————————————————————————————————————————————————————————</w:t>
      </w:r>
    </w:p>
    <w:p>
      <w:pPr>
        <w:spacing w:before="160" w:after="40" w:line="240" w:lineRule="auto"/>
      </w:pPr>
      <w:r>
        <w:rPr>
          <w:b/>
        </w:rPr>
        <w:t xml:space="preserve">[11] </w:t>
      </w:r>
      <w:hyperlink r:id="rId28">
        <w:r>
          <w:rPr>
            <w:color w:val="1155CC"/>
            <w:u w:val="single"/>
          </w:rPr>
          <w:t>稳定全钙钛矿叠层光伏的互连层</w:t>
        </w:r>
      </w:hyperlink>
    </w:p>
    <w:p>
      <w:pPr>
        <w:spacing w:before="0" w:after="80"/>
      </w:pPr>
      <w:r>
        <w:rPr>
          <w:i/>
          <w:sz w:val="20"/>
        </w:rPr>
        <w:t>EN: Stabilizing interconnecting layers for all-perovskite tandem photovoltaics</w:t>
      </w:r>
    </w:p>
    <w:p>
      <w:pPr>
        <w:spacing w:before="0" w:after="120"/>
      </w:pPr>
      <w:r>
        <w:rPr>
          <w:b/>
        </w:rPr>
        <w:t xml:space="preserve">Source: </w:t>
      </w:r>
      <w:r>
        <w:t>Joule</w:t>
      </w:r>
      <w:r>
        <w:t xml:space="preserve">    </w:t>
      </w:r>
      <w:r>
        <w:rPr>
          <w:b/>
        </w:rPr>
        <w:t xml:space="preserve">Pub date: </w:t>
      </w:r>
      <w:r>
        <w:t>2026-05-13 00:00:00+00:00</w:t>
      </w:r>
      <w:r>
        <w:t xml:space="preserve">    </w:t>
      </w:r>
      <w:r>
        <w:rPr>
          <w:b/>
        </w:rPr>
        <w:t xml:space="preserve">DOI: </w:t>
      </w:r>
      <w:hyperlink r:id="rId29">
        <w:r>
          <w:rPr>
            <w:color w:val="1155CC"/>
            <w:u w:val="single"/>
          </w:rPr>
          <w:t>10.1016/j.joule.2026.102483</w:t>
        </w:r>
      </w:hyperlink>
    </w:p>
    <w:p>
      <w:pPr>
        <w:spacing w:before="0" w:after="120"/>
      </w:pPr>
      <w:r>
        <w:rPr>
          <w:b/>
        </w:rPr>
        <w:t xml:space="preserve">Notes: </w:t>
      </w:r>
      <w:r>
        <w:t>abstract_source=rss_cell</w:t>
      </w:r>
    </w:p>
    <w:p>
      <w:pPr>
        <w:spacing w:before="0" w:after="80" w:lineRule="auto" w:line="276"/>
      </w:pPr>
      <w:r>
        <w:rPr>
          <w:b/>
        </w:rPr>
        <w:t xml:space="preserve">摘要（ZH）: </w:t>
      </w:r>
      <w:r>
        <w:t>这项工作报告了一种稳健的全钙钛矿串联太阳能电池互连层设计，该设计增强了锡铅钙钛矿子电池的空穴提取，抑制了界面降解和金属扩散，并减少了光学损失。这种架构使双结串联电池的认证效率达到30.19%，并提高了操作稳定性。</w:t>
      </w:r>
    </w:p>
    <w:p>
      <w:pPr>
        <w:spacing w:before="0" w:after="200" w:lineRule="auto" w:line="276"/>
      </w:pPr>
      <w:r>
        <w:rPr>
          <w:b/>
        </w:rPr>
        <w:t xml:space="preserve">Abstract (EN): </w:t>
      </w:r>
      <w:r>
        <w:t>This work reports a robust interconnecting layer design for all-perovskite tandem solar cells that enhances hole extraction in tin-lead perovskite subcells, suppresses interfacial degradation and metal diffusion, and reduces optical losses. This architecture enables a certified efficiency of 30.19% for double-junction tandems with improved operational stability.</w:t>
      </w:r>
    </w:p>
    <w:p>
      <w:pPr>
        <w:spacing w:before="120" w:after="120"/>
      </w:pPr>
      <w:r>
        <w:rPr>
          <w:sz w:val="18"/>
        </w:rPr>
        <w:t>——————————————————————————————————————————————————————————————————————</w:t>
      </w:r>
    </w:p>
    <w:p>
      <w:pPr>
        <w:spacing w:before="160" w:after="40" w:line="240" w:lineRule="auto"/>
      </w:pPr>
      <w:r>
        <w:rPr>
          <w:b/>
        </w:rPr>
        <w:t xml:space="preserve">[12] </w:t>
      </w:r>
      <w:hyperlink r:id="rId30">
        <w:r>
          <w:rPr>
            <w:color w:val="1155CC"/>
            <w:u w:val="single"/>
          </w:rPr>
          <w:t>通过立体电子操控配体用于钙钛矿太阳能电池</w:t>
        </w:r>
      </w:hyperlink>
    </w:p>
    <w:p>
      <w:pPr>
        <w:spacing w:before="0" w:after="80"/>
      </w:pPr>
      <w:r>
        <w:rPr>
          <w:i/>
          <w:sz w:val="20"/>
        </w:rPr>
        <w:t>EN: Stereoelectronic manipulation of ligands for perovskite solar cells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31">
        <w:r>
          <w:rPr>
            <w:color w:val="1155CC"/>
            <w:u w:val="single"/>
          </w:rPr>
          <w:t>10.1038/s41586-026-10626-0</w:t>
        </w:r>
      </w:hyperlink>
    </w:p>
    <w:p>
      <w:pPr>
        <w:spacing w:before="0" w:after="120"/>
      </w:pPr>
      <w:r>
        <w:rPr>
          <w:b/>
        </w:rPr>
        <w:t xml:space="preserve">Notes: </w:t>
      </w:r>
      <w:r>
        <w:t>abstract_source=nature_html</w:t>
      </w:r>
    </w:p>
    <w:p>
      <w:pPr>
        <w:spacing w:before="0" w:after="80" w:lineRule="auto" w:line="276"/>
      </w:pPr>
      <w:r>
        <w:rPr>
          <w:b/>
        </w:rPr>
        <w:t xml:space="preserve">摘要（ZH）: </w:t>
      </w:r>
      <w:r>
        <w:t>钙钛矿/电荷传输层异质结的界面损失仍然是实现高性能钙钛矿太阳能电池的关键障碍1-5。虽然分子配体可以钝化界面空位缺陷，但其垂直锚定几何形状通过增加界面传输路径而妨碍电荷传输。在此，我们展示了通过立体电子操控配体吸附拓扑来推进界面最小能量损失，以实现高效且稳定的钙钛矿太阳能电池。通过战略性地用氮原子替换苯环碳原子以创建吡啶或嘧啶环，我们设计了同时通过Pb-N配位键和Pb-I-π相互作用锚定到钙钛矿的配体，使单个分子具有双重、协同的结合模式。这种相互增强的立体电子相互作用驱动配体的热力学有利平面排列，实现了原子尺度的缺陷缓解，同时保持了亚纳米尺度的界面电荷转移。优化的界面结构实现了26.85%的稳定功率输出，认证的反向扫描和正向扫描效率分别为27.41%和26.35%。此外，太阳能模块表现出卓越的操作稳定性，在258天的户外实时现场测试后保持了初始模块效率的85.8%。</w:t>
      </w:r>
    </w:p>
    <w:p>
      <w:pPr>
        <w:spacing w:before="0" w:after="200" w:lineRule="auto" w:line="276"/>
      </w:pPr>
      <w:r>
        <w:rPr>
          <w:b/>
        </w:rPr>
        <w:t xml:space="preserve">Abstract (EN): </w:t>
      </w:r>
      <w:r>
        <w:t>Interfacial losses at perovskite/charge transport layer heterojunctions persist as a critical barrier to achieving high-performance perovskite solar cells.1-5 While molecular ligands can passivate interfacial vacancy defects, their vertical anchoring geometry compromises charge transport by increasing interfacial transport pathway. Here, we demonstrate that stereoelectronic manipulation of ligand adsorption topology advances interfacial minimum energy loss for efficient and stable perovskite solar cells. By strategically replacing benzene carbons with nitrogen atoms to create pyridine or pyrimidine rings, we design ligands that concurrently anchor to the perovskite through Pb-N coordination bonds and Pb-I-π interactions, endowing a single molecule with dual, synergistic binding modes. This mutually reinforcing stereoelectronic interplay drives thermodynamically favorable planar alignment of ligands, enabling atomic-scale defect mitigation while maintaining sub-nanometer-scale charge transfer across the interface. The optimized interfacial architecture achieves a stabilized power output of 26.85%, with certificated reverse-scan and forward-scan efficiencies of 27.41% and 26.35%, respectively. Furthermore, the solar modules exhibit exceptional operational stability, retaining 85.8% of initial module efficiency after 258 days of outdoor real‐time field testing.</w:t>
      </w:r>
    </w:p>
    <w:p>
      <w:pPr>
        <w:spacing w:before="120" w:after="120"/>
      </w:pPr>
      <w:r>
        <w:rPr>
          <w:sz w:val="18"/>
        </w:rPr>
        <w:t>——————————————————————————————————————————————————————————————————————</w:t>
      </w:r>
    </w:p>
    <w:p>
      <w:pPr>
        <w:spacing w:before="160" w:after="40" w:line="240" w:lineRule="auto"/>
      </w:pPr>
      <w:r>
        <w:rPr>
          <w:b/>
        </w:rPr>
        <w:t xml:space="preserve">[13] </w:t>
      </w:r>
      <w:hyperlink r:id="rId32">
        <w:r>
          <w:rPr>
            <w:color w:val="1155CC"/>
            <w:u w:val="single"/>
          </w:rPr>
          <w:t>已知和未知的太阳能光伏对生物多样性的影响：生命周期阶段和缓解机会的综述</w:t>
        </w:r>
      </w:hyperlink>
    </w:p>
    <w:p>
      <w:pPr>
        <w:spacing w:before="0" w:after="80"/>
      </w:pPr>
      <w:r>
        <w:rPr>
          <w:i/>
          <w:sz w:val="20"/>
        </w:rPr>
        <w:t>EN: Known and unknown biodiversity impacts of solar PV: A review of life cycle stages and mitigation opportunities</w:t>
      </w:r>
    </w:p>
    <w:p>
      <w:pPr>
        <w:spacing w:before="0" w:after="120"/>
      </w:pPr>
      <w:r>
        <w:rPr>
          <w:b/>
        </w:rPr>
        <w:t xml:space="preserve">Source: </w:t>
      </w:r>
      <w:r>
        <w:t>ScienceDirect Publication: Applied Energy</w:t>
      </w:r>
      <w:r>
        <w:t xml:space="preserve">    </w:t>
      </w:r>
      <w:r>
        <w:rPr>
          <w:b/>
        </w:rPr>
        <w:t xml:space="preserve">Pub date: </w:t>
      </w:r>
      <w:r>
        <w:t>2026-05-14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3">
        <w:r>
          <w:rPr>
            <w:color w:val="1155CC"/>
            <w:u w:val="single"/>
          </w:rPr>
          <w:t>一种熵调节分子锁稳定了甲脒铅卤化物钙钛矿</w:t>
        </w:r>
      </w:hyperlink>
    </w:p>
    <w:p>
      <w:pPr>
        <w:spacing w:before="0" w:after="80"/>
      </w:pPr>
      <w:r>
        <w:rPr>
          <w:i/>
          <w:sz w:val="20"/>
        </w:rPr>
        <w:t>EN: An entropy-regulating molecular lock stabilizes formamidinium lead halide perovskite</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34">
        <w:r>
          <w:rPr>
            <w:color w:val="1155CC"/>
            <w:u w:val="single"/>
          </w:rPr>
          <w:t>10.1126/science.aeb9953</w:t>
        </w:r>
      </w:hyperlink>
    </w:p>
    <w:p>
      <w:pPr>
        <w:spacing w:before="0" w:after="120"/>
      </w:pPr>
      <w:r>
        <w:rPr>
          <w:b/>
        </w:rPr>
        <w:t xml:space="preserve">Notes: </w:t>
      </w:r>
      <w:r>
        <w:t>abstract_source=crossref</w:t>
      </w:r>
    </w:p>
    <w:p>
      <w:pPr>
        <w:spacing w:before="0" w:after="80" w:lineRule="auto" w:line="276"/>
      </w:pPr>
      <w:r>
        <w:rPr>
          <w:b/>
        </w:rPr>
        <w:t xml:space="preserve">摘要（ZH）: </w:t>
      </w:r>
      <w:r>
        <w:t>甲脒铅碘（FAPbI</w:t>
      </w:r>
      <w:r>
        <w:rPr>
          <w:vertAlign w:val="subscript"/>
        </w:rPr>
        <w:t>3</w:t>
      </w:r>
      <w:r>
        <w:t>）钙钛矿太阳能电池（PSCs）的一个关键限制在于其离子-共价Pb-I八面体晶格的内在不稳定性，相对于在操作条件下不利的六方δ相。我们报告了一种使用1-吡啶-3-基甲基哌嗪盐酸盐（3-PMPCl）的熵调节分子锁策略。钙钛矿晶格表面与3-PMPCl之间的强相互作用调节了有机阳离子的旋转自由度，并抑制了与[PbI</w:t>
      </w:r>
      <w:r>
        <w:rPr>
          <w:vertAlign w:val="subscript"/>
        </w:rPr>
        <w:t>6</w:t>
      </w:r>
      <w:r>
        <w:t>]</w:t>
      </w:r>
      <w:r>
        <w:t xml:space="preserve"> </w:t>
      </w:r>
      <w:r>
        <w:t>4−</w:t>
      </w:r>
      <w:r>
        <w:t>八面体无序或膨胀相关的不利熵增加。这种熵有利的环境本质上增加了相变能垒。3-PMPCl的均匀分布和强吸附在高温和湿度条件下稳定了α相。我们在FAPbI</w:t>
      </w:r>
      <w:r>
        <w:rPr>
          <w:vertAlign w:val="subscript"/>
        </w:rPr>
        <w:t>3</w:t>
      </w:r>
      <w:r>
        <w:t>基PSCs中实现了27.6%的认证功率转换效率（PCE）。然而，这种冠军设备的操作稳定性仍低于最先进水平。采用稳定的铋电极解决了这一问题，效率略有下降，产生的设备在85°C下1太阳光照下1011小时后保留其初始PCE（26.8%）的93.0%。</w:t>
      </w:r>
    </w:p>
    <w:p>
      <w:pPr>
        <w:spacing w:before="0" w:after="200" w:lineRule="auto" w:line="276"/>
      </w:pPr>
      <w:r>
        <w:rPr>
          <w:b/>
        </w:rPr>
        <w:t xml:space="preserve">Abstract (EN): </w:t>
      </w:r>
      <w:r>
        <w:t>A critical limitation of formamidinium lead iodide (FAPbI</w:t>
      </w:r>
      <w:r>
        <w:rPr>
          <w:vertAlign w:val="subscript"/>
        </w:rPr>
        <w:t>3</w:t>
      </w:r>
      <w:r>
        <w:t>) perovskite solar cells (PSCs) lies in the intrinsic instability of the ionic–covalent Pb–I octahedral lattice, relative to the unfavorable hexagonal δ-phase under operating conditions. We report an entropy-regulating molecular-lock strategy using 1-pyridin-3-ylmethyl-piperazine hydrochloride (3-PMPCl). Strong interactions between the perovskite lattice surface and 3-PMPCl modulate the rotational freedom of organic cations and suppress the detrimental entropy increase associated with [PbI</w:t>
      </w:r>
      <w:r>
        <w:rPr>
          <w:vertAlign w:val="subscript"/>
        </w:rPr>
        <w:t>6</w:t>
      </w:r>
      <w:r>
        <w:t>]</w:t>
      </w:r>
      <w:r>
        <w:t xml:space="preserve"> </w:t>
      </w:r>
      <w:r>
        <w:t>4−</w:t>
      </w:r>
      <w:r>
        <w:t>octahedra disorder or expansion. This entropy-favored environment intrinsically increases the phase transition energy barrier. The uniform distribution and strong adsorption of 3-PMPCl stabilize the α-phase under elevated temperature and humidity conditions. We achieved a certified power conversion efficiency (PCE) of 27.6% in FAPbI</w:t>
      </w:r>
      <w:r>
        <w:rPr>
          <w:vertAlign w:val="subscript"/>
        </w:rPr>
        <w:t>3</w:t>
      </w:r>
      <w:r>
        <w:t>-based PSCs. However, the operational stability of such champion devices remains below the state of the art. Adopting a stable bismuth electrode addresses this issue with a slight reduction in efficiency, yielding a device that retains 93.0% of its initial PCE (26.8%) after 1011 hours at 85°C under 1-sun illumination.</w:t>
      </w:r>
    </w:p>
    <w:p>
      <w:pPr>
        <w:spacing w:before="120" w:after="120"/>
      </w:pPr>
      <w:r>
        <w:rPr>
          <w:sz w:val="18"/>
        </w:rPr>
        <w:t>——————————————————————————————————————————————————————————————————————</w:t>
      </w:r>
    </w:p>
    <w:p>
      <w:pPr>
        <w:spacing w:before="160" w:after="40" w:line="240" w:lineRule="auto"/>
      </w:pPr>
      <w:r>
        <w:rPr>
          <w:b/>
        </w:rPr>
        <w:t xml:space="preserve">[15] </w:t>
      </w:r>
      <w:hyperlink r:id="rId35">
        <w:r>
          <w:rPr>
            <w:color w:val="1155CC"/>
            <w:u w:val="single"/>
          </w:rPr>
          <w:t>[ASAP] 空间经济作为一个功率、质量和资格问题：新兴光伏的角色</w:t>
        </w:r>
      </w:hyperlink>
    </w:p>
    <w:p>
      <w:pPr>
        <w:spacing w:before="0" w:after="80"/>
      </w:pPr>
      <w:r>
        <w:rPr>
          <w:i/>
          <w:sz w:val="20"/>
        </w:rPr>
        <w:t>EN: [ASAP] Space Economy as a Power, Mass, and Qualification Problem: Role for Emerging Photovoltaics</w:t>
      </w:r>
    </w:p>
    <w:p>
      <w:pPr>
        <w:spacing w:before="0" w:after="120"/>
      </w:pPr>
      <w:r>
        <w:rPr>
          <w:b/>
        </w:rPr>
        <w:t xml:space="preserve">Source: </w:t>
      </w:r>
      <w:r>
        <w:t>ACS Energy Letters: Latest Articles (ACS Publications)</w:t>
      </w:r>
      <w:r>
        <w:t xml:space="preserve">    </w:t>
      </w:r>
      <w:r>
        <w:rPr>
          <w:b/>
        </w:rPr>
        <w:t xml:space="preserve">Pub date: </w:t>
      </w:r>
      <w:r>
        <w:t>2026-05-14 08:36:46+00:00</w:t>
      </w:r>
      <w:r>
        <w:t xml:space="preserve">    </w:t>
      </w:r>
      <w:r>
        <w:rPr>
          <w:b/>
        </w:rPr>
        <w:t xml:space="preserve">DOI: </w:t>
      </w:r>
      <w:hyperlink r:id="rId36">
        <w:r>
          <w:rPr>
            <w:color w:val="1155CC"/>
            <w:u w:val="single"/>
          </w:rPr>
          <w:t>10.1021/acsenergylett.6c00715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37">
        <w:r>
          <w:rPr>
            <w:color w:val="1155CC"/>
            <w:u w:val="single"/>
          </w:rPr>
          <w:t>离子补充中间层和定制电解质共同激活四电子锌-碘电池</w:t>
        </w:r>
      </w:hyperlink>
    </w:p>
    <w:p>
      <w:pPr>
        <w:spacing w:before="0" w:after="80"/>
      </w:pPr>
      <w:r>
        <w:rPr>
          <w:i/>
          <w:sz w:val="20"/>
        </w:rPr>
        <w:t>EN: Ion‐Replenishing Interlayer and Tailored Electrolyte Jointly Activate Four‐Electron Zinc–Iodine Batteries</w:t>
      </w:r>
    </w:p>
    <w:p>
      <w:pPr>
        <w:spacing w:before="0" w:after="120"/>
      </w:pPr>
      <w:r>
        <w:rPr>
          <w:b/>
        </w:rPr>
        <w:t xml:space="preserve">Source: </w:t>
      </w:r>
      <w:r>
        <w:t>Wiley: Advanced Materials: Table of Contents</w:t>
      </w:r>
      <w:r>
        <w:t xml:space="preserve">    </w:t>
      </w:r>
      <w:r>
        <w:rPr>
          <w:b/>
        </w:rPr>
        <w:t xml:space="preserve">Pub date: </w:t>
      </w:r>
      <w:r>
        <w:t>2026-05-09 13:59:51+00:00</w:t>
      </w:r>
      <w:r>
        <w:t xml:space="preserve">    </w:t>
      </w:r>
      <w:r>
        <w:rPr>
          <w:b/>
        </w:rPr>
        <w:t xml:space="preserve">DOI: </w:t>
      </w:r>
      <w:hyperlink r:id="rId38">
        <w:r>
          <w:rPr>
            <w:color w:val="1155CC"/>
            <w:u w:val="single"/>
          </w:rPr>
          <w:t>10.1002/adma.73355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激活锌-碘（Zn–I</w:t>
      </w:r>
      <w:r>
        <w:rPr>
          <w:vertAlign w:val="subscript"/>
        </w:rPr>
        <w:t>2</w:t>
      </w:r>
      <w:r>
        <w:t>）电池中的四电子碘化学承诺更高的能量密度，但仍面临多碘化物穿梭和高价I</w:t>
      </w:r>
      <w:r>
        <w:t xml:space="preserve"> </w:t>
      </w:r>
      <w:r>
        <w:t>+</w:t>
      </w:r>
      <w:r>
        <w:t xml:space="preserve"> </w:t>
      </w:r>
      <w:r>
        <w:t>物种不稳定的挑战。在此，我们展示了一种定制的NH</w:t>
      </w:r>
      <w:r>
        <w:rPr>
          <w:vertAlign w:val="subscript"/>
        </w:rPr>
        <w:t>4</w:t>
      </w:r>
      <w:r>
        <w:t>Cl基水电解质，结合离子补充的Cl功能化共价有机框架（COF–Cl）中间层，使得四电子Zn–I</w:t>
      </w:r>
      <w:r>
        <w:rPr>
          <w:vertAlign w:val="subscript"/>
        </w:rPr>
        <w:t>2</w:t>
      </w:r>
      <w:r>
        <w:t>电池寿命长。优化的电解质促进了I</w:t>
      </w:r>
      <w:r>
        <w:t xml:space="preserve"> </w:t>
      </w:r>
      <w:r>
        <w:t>+</w:t>
      </w:r>
      <w:r>
        <w:t xml:space="preserve"> </w:t>
      </w:r>
      <w:r>
        <w:t>–Cl</w:t>
      </w:r>
      <w:r>
        <w:t xml:space="preserve"> </w:t>
      </w:r>
      <w:r>
        <w:t>−</w:t>
      </w:r>
      <w:r>
        <w:t>络合，而COF–Cl中间层固定多碘化物并持续释放Cl</w:t>
      </w:r>
      <w:r>
        <w:t xml:space="preserve"> </w:t>
      </w:r>
      <w:r>
        <w:t>−</w:t>
      </w:r>
      <w:r>
        <w:t>以稳定I</w:t>
      </w:r>
      <w:r>
        <w:t xml:space="preserve"> </w:t>
      </w:r>
      <w:r>
        <w:t>+</w:t>
      </w:r>
      <w:r>
        <w:t xml:space="preserve"> </w:t>
      </w:r>
      <w:r>
        <w:t>防止水解，共同确保可逆的I</w:t>
      </w:r>
      <w:r>
        <w:t xml:space="preserve"> </w:t>
      </w:r>
      <w:r>
        <w:t>−</w:t>
      </w:r>
      <w:r>
        <w:t>/I</w:t>
      </w:r>
      <w:r>
        <w:rPr>
          <w:vertAlign w:val="subscript"/>
        </w:rPr>
        <w:t>0</w:t>
      </w:r>
      <w:r>
        <w:t>/I</w:t>
      </w:r>
      <w:r>
        <w:t xml:space="preserve"> </w:t>
      </w:r>
      <w:r>
        <w:t>+</w:t>
      </w:r>
      <w:r>
        <w:t xml:space="preserve"> </w:t>
      </w:r>
      <w:r>
        <w:t>氧化还原转换。原位光谱和理论分析揭示了加速的高价氧化还原动力学和强I</w:t>
      </w:r>
      <w:r>
        <w:t xml:space="preserve"> </w:t>
      </w:r>
      <w:r>
        <w:t>+</w:t>
      </w:r>
      <w:r>
        <w:t xml:space="preserve"> </w:t>
      </w:r>
      <w:r>
        <w:t>/多碘化物相互作用。因此，优化的电池提供了高能量密度（278 Wh kg</w:t>
      </w:r>
      <w:r>
        <w:t xml:space="preserve"> </w:t>
      </w:r>
      <w:r>
        <w:t>−</w:t>
      </w:r>
      <w:r>
        <w:rPr>
          <w:vertAlign w:val="subscript"/>
        </w:rPr>
        <w:t>1</w:t>
      </w:r>
      <w:r>
        <w:t>），快速动力学（128 mAh g</w:t>
      </w:r>
      <w:r>
        <w:t xml:space="preserve"> </w:t>
      </w:r>
      <w:r>
        <w:t>−</w:t>
      </w:r>
      <w:r>
        <w:rPr>
          <w:vertAlign w:val="subscript"/>
        </w:rPr>
        <w:t>1</w:t>
      </w:r>
      <w:r>
        <w:t>在10 A g</w:t>
      </w:r>
      <w:r>
        <w:t xml:space="preserve"> </w:t>
      </w:r>
      <w:r>
        <w:t>−</w:t>
      </w:r>
    </w:p>
    <w:p>
      <w:pPr>
        <w:spacing w:before="0" w:after="200" w:lineRule="auto" w:line="276"/>
      </w:pPr>
      <w:r>
        <w:rPr>
          <w:b/>
        </w:rPr>
        <w:t xml:space="preserve">Abstract (EN): </w:t>
      </w:r>
      <w:r>
        <w:t>Activating four‐electron iodine chemistry in zinc–iodine (Zn–I</w:t>
      </w:r>
      <w:r>
        <w:rPr>
          <w:vertAlign w:val="subscript"/>
        </w:rPr>
        <w:t>2</w:t>
      </w:r>
      <w:r>
        <w:t>) batteries promises higher energy density, yet remains challenged by polyiodide shuttling and the instability of high‐valence I</w:t>
      </w:r>
      <w:r>
        <w:t xml:space="preserve"> </w:t>
      </w:r>
      <w:r>
        <w:t>+</w:t>
      </w:r>
      <w:r>
        <w:t xml:space="preserve"> </w:t>
      </w:r>
      <w:r>
        <w:t>species. Here, we demonstrate that a customized NH</w:t>
      </w:r>
      <w:r>
        <w:rPr>
          <w:vertAlign w:val="subscript"/>
        </w:rPr>
        <w:t>4</w:t>
      </w:r>
      <w:r>
        <w:t>Cl‐based aqueous electrolyte, coupled with an ion‐replenishing Cl‐functionalized covalent organic framework (COF–Cl) interlayer, enables long‐lived four‐electron Zn–I</w:t>
      </w:r>
      <w:r>
        <w:rPr>
          <w:vertAlign w:val="subscript"/>
        </w:rPr>
        <w:t>2</w:t>
      </w:r>
      <w:r>
        <w:t>batteries. The optimized electrolyte promotes I</w:t>
      </w:r>
      <w:r>
        <w:t xml:space="preserve"> </w:t>
      </w:r>
      <w:r>
        <w:t>+</w:t>
      </w:r>
      <w:r>
        <w:t xml:space="preserve"> </w:t>
      </w:r>
      <w:r>
        <w:t>–Cl</w:t>
      </w:r>
      <w:r>
        <w:t xml:space="preserve"> </w:t>
      </w:r>
      <w:r>
        <w:t>−</w:t>
      </w:r>
      <w:r>
        <w:t>complexation, while the COF–Cl interlayer immobilizes polyiodides and continuously releases Cl</w:t>
      </w:r>
      <w:r>
        <w:t xml:space="preserve"> </w:t>
      </w:r>
      <w:r>
        <w:t>−</w:t>
      </w:r>
      <w:r>
        <w:t>to stabilize I</w:t>
      </w:r>
      <w:r>
        <w:t xml:space="preserve"> </w:t>
      </w:r>
      <w:r>
        <w:t>+</w:t>
      </w:r>
      <w:r>
        <w:t xml:space="preserve"> </w:t>
      </w:r>
      <w:r>
        <w:t>against hydrolysis, collectively ensuring reversible I</w:t>
      </w:r>
      <w:r>
        <w:t xml:space="preserve"> </w:t>
      </w:r>
      <w:r>
        <w:t>−</w:t>
      </w:r>
      <w:r>
        <w:t>/I</w:t>
      </w:r>
      <w:r>
        <w:rPr>
          <w:vertAlign w:val="subscript"/>
        </w:rPr>
        <w:t>0</w:t>
      </w:r>
      <w:r>
        <w:t>/I</w:t>
      </w:r>
      <w:r>
        <w:t xml:space="preserve"> </w:t>
      </w:r>
      <w:r>
        <w:t>+</w:t>
      </w:r>
      <w:r>
        <w:t xml:space="preserve"> </w:t>
      </w:r>
      <w:r>
        <w:t>redox conversion. In situ spectroscopic and theoretical analyses reveal accelerated high‐valence redox kinetics and strong I</w:t>
      </w:r>
      <w:r>
        <w:t xml:space="preserve"> </w:t>
      </w:r>
      <w:r>
        <w:t>+</w:t>
      </w:r>
      <w:r>
        <w:t xml:space="preserve"> </w:t>
      </w:r>
      <w:r>
        <w:t>/polyiodide interactions. As a result, the optimized cell delivers high energy density (278 Wh kg</w:t>
      </w:r>
      <w:r>
        <w:t xml:space="preserve"> </w:t>
      </w:r>
      <w:r>
        <w:t>−</w:t>
      </w:r>
      <w:r>
        <w:rPr>
          <w:vertAlign w:val="subscript"/>
        </w:rPr>
        <w:t>1</w:t>
      </w:r>
      <w:r>
        <w:t>), fast kinetics (128 mAh g</w:t>
      </w:r>
      <w:r>
        <w:t xml:space="preserve"> </w:t>
      </w:r>
      <w:r>
        <w:t>−</w:t>
      </w:r>
      <w:r>
        <w:rPr>
          <w:vertAlign w:val="subscript"/>
        </w:rPr>
        <w:t>1</w:t>
      </w:r>
      <w:r>
        <w:t>at 10 A g</w:t>
      </w:r>
      <w:r>
        <w:t xml:space="preserve"> </w:t>
      </w:r>
      <w:r>
        <w:t>−</w:t>
      </w:r>
      <w:r>
        <w:rPr>
          <w:vertAlign w:val="subscript"/>
        </w:rPr>
        <w:t>1</w:t>
      </w:r>
      <w:r>
        <w:t>), and remarkable cycling durability over 45000 cycles at –5°C with an ultralow decay rate of 0.00039% per cycle, with the strategy further validated in pouch cells under low‐temperature conditions. This work establishes an effective ion‐replenishing interlayer–electrolyte strategy for robust, high‐energy aqueous Zn–I</w:t>
      </w:r>
      <w:r>
        <w:rPr>
          <w:vertAlign w:val="subscript"/>
        </w:rPr>
        <w:t>2</w:t>
      </w:r>
      <w:r>
        <w:t>batteries.</w:t>
      </w:r>
    </w:p>
    <w:p>
      <w:pPr>
        <w:spacing w:before="120" w:after="120"/>
      </w:pPr>
      <w:r>
        <w:rPr>
          <w:sz w:val="18"/>
        </w:rPr>
        <w:t>——————————————————————————————————————————————————————————————————————</w:t>
      </w:r>
    </w:p>
    <w:p>
      <w:pPr>
        <w:spacing w:before="160" w:after="40" w:line="240" w:lineRule="auto"/>
      </w:pPr>
      <w:r>
        <w:rPr>
          <w:b/>
        </w:rPr>
        <w:t xml:space="preserve">[2] </w:t>
      </w:r>
      <w:hyperlink r:id="rId39">
        <w:r>
          <w:rPr>
            <w:color w:val="1155CC"/>
            <w:u w:val="single"/>
          </w:rPr>
          <w:t>Mn2+从锰氧化物正极材料在水系锌电池中的溶解的双重特性：活性材料损失与双倍容量贡献之间的权衡</w:t>
        </w:r>
      </w:hyperlink>
    </w:p>
    <w:p>
      <w:pPr>
        <w:spacing w:before="0" w:after="80"/>
      </w:pPr>
      <w:r>
        <w:rPr>
          <w:i/>
          <w:sz w:val="20"/>
        </w:rPr>
        <w:t>EN: Dual characteristics of Mn2+ dissolution from manganese oxide cathode materials in aqueous zinc batteries: trade-offs between active material loss and double capacity contribution</w:t>
      </w:r>
    </w:p>
    <w:p>
      <w:pPr>
        <w:spacing w:before="0" w:after="120"/>
      </w:pPr>
      <w:r>
        <w:rPr>
          <w:b/>
        </w:rPr>
        <w:t xml:space="preserve">Source: </w:t>
      </w:r>
      <w:r>
        <w:t>RSC - Energy Environ. Sci. latest articles</w:t>
      </w:r>
      <w:r>
        <w:t xml:space="preserve">    </w:t>
      </w:r>
      <w:r>
        <w:rPr>
          <w:b/>
        </w:rPr>
        <w:t xml:space="preserve">Pub date: </w:t>
      </w:r>
      <w:r>
        <w:t>2026-05-10 23:00:00+00:00</w:t>
      </w:r>
    </w:p>
    <w:p>
      <w:pPr>
        <w:spacing w:before="0" w:after="120"/>
      </w:pPr>
      <w:r>
        <w:rPr>
          <w:b/>
        </w:rPr>
        <w:t xml:space="preserve">Notes: </w:t>
      </w:r>
      <w:r>
        <w:t>abstract_source=rsc_html</w:t>
      </w:r>
    </w:p>
    <w:p>
      <w:pPr>
        <w:spacing w:before="0" w:after="80" w:lineRule="auto" w:line="276"/>
      </w:pPr>
      <w:r>
        <w:rPr>
          <w:b/>
        </w:rPr>
        <w:t xml:space="preserve">摘要（ZH）: </w:t>
      </w:r>
      <w:r>
        <w:t>可充电水系Zn–MnO2电池在大规模储能系统中具有前景。在这种弱酸性系统中，阴极处揭示了复杂的反应过程，Mn2+溶解作为不同机制中的普遍现象。然而，过去十年中对Mn2+溶解作用的理解有所演变。基于Mn(IV)/Mn(III)氧化还原对的Zn2+/H+去/插入机制，Mn2+溶解导致活性材料损失，应予以抑制。另一方面，基于Mn(IV)/Mn(II)氧化还原对的溶解/沉积反应中，Mn2+是放电产物，溶解应被促进。目前，理解和调节Mn2+溶解过程的基础评估标准对于特定储能机制仍不明确，这阻碍了水系Zn–MnO2电池的进一步开发。在此，我们不是简单地汇编最近的进展，而是对Mn2+溶解的作用进行辩证讨论。因此，我们提出性能指标以定量识别MnO2阴极中储能和容量损失的主导机制。它们作为Mn2+溶解指示器，理解其活性材料损失与双重容量贡献的权衡。这些分析建立了一个协议，允许适当利用Mn2+溶解以实现所需机制，并优化不同容量衰减行为的相应解决方案。最后，未来策略是</w:t>
      </w:r>
    </w:p>
    <w:p>
      <w:pPr>
        <w:spacing w:before="0" w:after="200" w:lineRule="auto" w:line="276"/>
      </w:pPr>
      <w:r>
        <w:rPr>
          <w:b/>
        </w:rPr>
        <w:t xml:space="preserve">Abstract (EN): </w:t>
      </w:r>
      <w:r>
        <w:t>Rechargeable aqueous Zn–MnO2 batteries are promising for large-scale energy storage systems. Complicated reaction processes have been revealed at the cathode in this mildly acidic system, with Mn2+ dissolution occurring as a universal phenomenon across different mechanisms. However, the understanding of the roles of Mn2+ dissolution has evolved over the past decade. With the Zn2+/H+ de/intercalation mechanism based on the Mn(IV)/Mn(III) redox couple, Mn2+ dissolution results in active material loss and should be inhibited. With the dissolution/deposition reaction with the Mn(IV)/Mn(II) redox couple, on the other hand, Mn2+ is the discharged product and the dissolution should be promoted. Currently, the underlying evaluation criterion to understand and regulate the Mn2+ dissolution process for specific energy storage mechanisms remains unclear, which hinders the further exploitation of aqueous Zn–MnO2 batteries. Herein, rather than simply compiling recent progress, we present a dialectical discussion on the roles of Mn2+ dissolution. Accordingly, we propose performance metrics to quantitatively identify dominant mechanisms of energy storage and capacity loss in MnO2 cathodes. They function as the Mn2+ dissolution indicator to understand the trade-offs between its dual characteristics of active material loss vs. double capacity contribution. These analyses establish a protocol which would allow the suitable utilization of Mn2+ dissolution for desired mechanisms and optimize corresponding solutions for the different capacity fading behaviors. Finally, future strategies are proposed to boost the two-electron Mn dissolution/deposition process and revive this high capacity reaction path of the MnO2 cathode family, which would open up an effective avenue towards high-performance aqueous energy storage systems.</w:t>
      </w:r>
    </w:p>
    <w:p>
      <w:pPr>
        <w:spacing w:before="120" w:after="120"/>
      </w:pPr>
      <w:r>
        <w:rPr>
          <w:sz w:val="18"/>
        </w:rPr>
        <w:t>——————————————————————————————————————————————————————————————————————</w:t>
      </w:r>
    </w:p>
    <w:p>
      <w:pPr>
        <w:spacing w:before="160" w:after="40" w:line="240" w:lineRule="auto"/>
      </w:pPr>
      <w:r>
        <w:rPr>
          <w:b/>
        </w:rPr>
        <w:t xml:space="preserve">[3] </w:t>
      </w:r>
      <w:hyperlink r:id="rId40">
        <w:r>
          <w:rPr>
            <w:color w:val="1155CC"/>
            <w:u w:val="single"/>
          </w:rPr>
          <w:t>LiMn0.5Fe0.5PO4：锂离子电池的正极材料：全面综述</w:t>
        </w:r>
      </w:hyperlink>
    </w:p>
    <w:p>
      <w:pPr>
        <w:spacing w:before="0" w:after="80"/>
      </w:pPr>
      <w:r>
        <w:rPr>
          <w:i/>
          <w:sz w:val="20"/>
        </w:rPr>
        <w:t>EN: LiMn0.5Fe0.5PO4: A Cathode Material for Lithium‐Ion Batteries: A Comprehensive Review</w:t>
      </w:r>
    </w:p>
    <w:p>
      <w:pPr>
        <w:spacing w:before="0" w:after="120"/>
      </w:pPr>
      <w:r>
        <w:rPr>
          <w:b/>
        </w:rPr>
        <w:t xml:space="preserve">Source: </w:t>
      </w:r>
      <w:r>
        <w:t>Wiley: Advanced Energy Materials: Table of Contents</w:t>
      </w:r>
      <w:r>
        <w:t xml:space="preserve">    </w:t>
      </w:r>
      <w:r>
        <w:rPr>
          <w:b/>
        </w:rPr>
        <w:t xml:space="preserve">Pub date: </w:t>
      </w:r>
      <w:r>
        <w:t>2026-05-11 07:23:04+00:00</w:t>
      </w:r>
      <w:r>
        <w:t xml:space="preserve">    </w:t>
      </w:r>
      <w:r>
        <w:rPr>
          <w:b/>
        </w:rPr>
        <w:t xml:space="preserve">DOI: </w:t>
      </w:r>
      <w:hyperlink r:id="rId41">
        <w:r>
          <w:rPr>
            <w:color w:val="1155CC"/>
            <w:u w:val="single"/>
          </w:rPr>
          <w:t>10.1002/aenm.71014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清洁和可持续能源技术的日益增长的需求使锂离子电池（LIBs）成为当前能量存储系统的中心。在不同的正极材料中，橄榄石型磷酸盐化合物因其固有的结构稳定性、高安全性和可调节的氧化还原特性而获得了一致的关注。在这一组中，混合金属磷酸盐如LiMnxFe1−xPO4（LMFP）成为了显著的候选者。它们结合了基于锰系统的高工作电压和基于铁系统的良好动力学和稳定性。具体而言，LiMn0.5Fe0.5PO4在能量密度、工作电压和安全性之间取得了强大的平衡，使其对下一代LIBs具有吸引力。尽管进行了彻底的实验和理论研究，LiMn0.5Fe0.5PO4的电化学性能仍面临固有问题。本综述通过仔细审查LiMn0.5Fe0.5PO4的最新进展来解决这一差距。它强调了结构、特性和性能之间的关系以及基本的研究。</w:t>
      </w:r>
    </w:p>
    <w:p>
      <w:pPr>
        <w:spacing w:before="0" w:after="200" w:lineRule="auto" w:line="276"/>
      </w:pPr>
      <w:r>
        <w:rPr>
          <w:b/>
        </w:rPr>
        <w:t xml:space="preserve">Abstract (EN): </w:t>
      </w:r>
      <w:r>
        <w:t>The growing need for clean and sustainable energy technologies has put lithium‐ion batteries (LIBs) at the center of current energy storage systems. Among different cathode materials, olivine‐type phosphate compounds have gained consistent interest because of their inherent structural stability, high safety, and adjustable redox properties. In this group, mixed‐metal phosphates such as LiMn</w:t>
      </w:r>
      <w:r>
        <w:t xml:space="preserve"> </w:t>
      </w:r>
      <w:r>
        <w:t>x</w:t>
      </w:r>
      <w:r>
        <w:t xml:space="preserve"> </w:t>
      </w:r>
      <w:r>
        <w:t>Fe</w:t>
      </w:r>
      <w:r>
        <w:t xml:space="preserve"> </w:t>
      </w:r>
      <w:r>
        <w:t>1−x</w:t>
      </w:r>
      <w:r>
        <w:t xml:space="preserve"> </w:t>
      </w:r>
      <w:r>
        <w:t>PO</w:t>
      </w:r>
      <w:r>
        <w:rPr>
          <w:vertAlign w:val="subscript"/>
        </w:rPr>
        <w:t>4</w:t>
      </w:r>
      <w:r>
        <w:t>(LMFP) have become notable candidates. They combined the high operating voltage of Mn‐based systems with the good kinetics and stability of Fe‐based systems. Specifically, LiMn</w:t>
      </w:r>
      <w:r>
        <w:t xml:space="preserve"> </w:t>
      </w:r>
      <w:r>
        <w:t>0.5</w:t>
      </w:r>
      <w:r>
        <w:t xml:space="preserve"> </w:t>
      </w:r>
      <w:r>
        <w:t>Fe</w:t>
      </w:r>
      <w:r>
        <w:t xml:space="preserve"> </w:t>
      </w:r>
      <w:r>
        <w:t>0.5</w:t>
      </w:r>
      <w:r>
        <w:t xml:space="preserve"> </w:t>
      </w:r>
      <w:r>
        <w:t>PO</w:t>
      </w:r>
      <w:r>
        <w:rPr>
          <w:vertAlign w:val="subscript"/>
        </w:rPr>
        <w:t>4</w:t>
      </w:r>
      <w:r>
        <w:t>strikes a strong balance between energy density, operating voltage, and safety, making it appealing for the next generation of LIBs. Despite thorough experiments and theoretical studies, the electrochemical performance of LiMn</w:t>
      </w:r>
      <w:r>
        <w:t xml:space="preserve"> </w:t>
      </w:r>
      <w:r>
        <w:t>0.5</w:t>
      </w:r>
      <w:r>
        <w:t xml:space="preserve"> </w:t>
      </w:r>
      <w:r>
        <w:t>Fe</w:t>
      </w:r>
      <w:r>
        <w:t xml:space="preserve"> </w:t>
      </w:r>
      <w:r>
        <w:t>0.5</w:t>
      </w:r>
      <w:r>
        <w:t xml:space="preserve"> </w:t>
      </w:r>
      <w:r>
        <w:t>PO</w:t>
      </w:r>
      <w:r>
        <w:rPr>
          <w:vertAlign w:val="subscript"/>
        </w:rPr>
        <w:t>4</w:t>
      </w:r>
      <w:r>
        <w:t>still faces intrinsic issues. This review addresses that gap by closely examining recent advancements in LiMn</w:t>
      </w:r>
      <w:r>
        <w:t xml:space="preserve"> </w:t>
      </w:r>
      <w:r>
        <w:t>0.5</w:t>
      </w:r>
      <w:r>
        <w:t xml:space="preserve"> </w:t>
      </w:r>
      <w:r>
        <w:t>Fe</w:t>
      </w:r>
      <w:r>
        <w:t xml:space="preserve"> </w:t>
      </w:r>
      <w:r>
        <w:t>0.5</w:t>
      </w:r>
      <w:r>
        <w:t xml:space="preserve"> </w:t>
      </w:r>
      <w:r>
        <w:t>PO</w:t>
      </w:r>
      <w:r>
        <w:rPr>
          <w:vertAlign w:val="subscript"/>
        </w:rPr>
        <w:t>4</w:t>
      </w:r>
      <w:r>
        <w:t>. It emphasizes the relationships among structure, properties, and performance and the fundamental reasons behind its electrochemical behavior. Key topics include phase transitions during cycling, inherent performance limitations, and the impacts of reducing particle size, engineering morphology, modifying surfaces, adding elements, and designing composite electrodes. Finally, the review points out ongoing challenges and suggests future research directions to enhance both the basic understanding and practical use of LiMn</w:t>
      </w:r>
      <w:r>
        <w:t xml:space="preserve"> </w:t>
      </w:r>
      <w:r>
        <w:t>0.5</w:t>
      </w:r>
      <w:r>
        <w:t xml:space="preserve"> </w:t>
      </w:r>
      <w:r>
        <w:t>Fe</w:t>
      </w:r>
      <w:r>
        <w:t xml:space="preserve"> </w:t>
      </w:r>
      <w:r>
        <w:t>0.5</w:t>
      </w:r>
      <w:r>
        <w:t xml:space="preserve"> </w:t>
      </w:r>
      <w:r>
        <w:t>PO</w:t>
      </w:r>
      <w:r>
        <w:rPr>
          <w:vertAlign w:val="subscript"/>
        </w:rPr>
        <w:t>4</w:t>
      </w:r>
      <w:r>
        <w:t>cathode materials in high‐energy LIBs.</w:t>
      </w:r>
    </w:p>
    <w:p>
      <w:pPr>
        <w:spacing w:before="120" w:after="120"/>
      </w:pPr>
      <w:r>
        <w:rPr>
          <w:sz w:val="18"/>
        </w:rPr>
        <w:t>——————————————————————————————————————————————————————————————————————</w:t>
      </w:r>
    </w:p>
    <w:p>
      <w:pPr>
        <w:spacing w:before="160" w:after="40" w:line="240" w:lineRule="auto"/>
      </w:pPr>
      <w:r>
        <w:rPr>
          <w:b/>
        </w:rPr>
        <w:t xml:space="preserve">[4] </w:t>
      </w:r>
      <w:hyperlink r:id="rId42">
        <w:r>
          <w:rPr>
            <w:color w:val="1155CC"/>
            <w:u w:val="single"/>
          </w:rPr>
          <w:t>Mn介导的还原耦合机制稳定阴离子氧化还原化学以实现高性能P2型钠层状氧化物正极</w:t>
        </w:r>
      </w:hyperlink>
    </w:p>
    <w:p>
      <w:pPr>
        <w:spacing w:before="0" w:after="80"/>
      </w:pPr>
      <w:r>
        <w:rPr>
          <w:i/>
          <w:sz w:val="20"/>
        </w:rPr>
        <w:t>EN: Mn‐Mediated Reduction Coupling Mechanism Stabilizes Anion Redox Chemistry Toward High‐Performance P2‐Type Na‐Layered Oxide Cathodes</w:t>
      </w:r>
    </w:p>
    <w:p>
      <w:pPr>
        <w:spacing w:before="0" w:after="120"/>
      </w:pPr>
      <w:r>
        <w:rPr>
          <w:b/>
        </w:rPr>
        <w:t xml:space="preserve">Source: </w:t>
      </w:r>
      <w:r>
        <w:t>Wiley: Advanced Energy Materials: Table of Contents</w:t>
      </w:r>
      <w:r>
        <w:t xml:space="preserve">    </w:t>
      </w:r>
      <w:r>
        <w:rPr>
          <w:b/>
        </w:rPr>
        <w:t xml:space="preserve">Pub date: </w:t>
      </w:r>
      <w:r>
        <w:t>2026-05-11 07:23:05+00:00</w:t>
      </w:r>
      <w:r>
        <w:t xml:space="preserve">    </w:t>
      </w:r>
      <w:r>
        <w:rPr>
          <w:b/>
        </w:rPr>
        <w:t xml:space="preserve">DOI: </w:t>
      </w:r>
      <w:hyperlink r:id="rId43">
        <w:r>
          <w:rPr>
            <w:color w:val="1155CC"/>
            <w:u w:val="single"/>
          </w:rPr>
          <w:t>10.1002/aenm.71062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解锁阴离子氧化还原反应代表了一条提高钠离子电池（SIBs）正极材料能量密度的有前途的途径。然而，过度的氧参与常常导致不可逆的晶格氧损失和结构重构，导致电化学性能下降和反应动力学迟缓。在此，我们提出了一种由Ca掺杂激活的Mn介导还原偶联机制（Mn-RCM）在P2-Na0.64Ca0.03Ni0.33Mn0.67O2正极中。该机制涉及一种罕见的电子从氧转移到锰离子的过程，增强了阴离子氧化还原的可逆性和动力学。基于同步辐射的X射线吸收光谱捕捉到了这种电子转移行为，而理论计算表明Ca的掺入降低了Mn3d轨道的晶体场分裂，并促进了从O2p到Mn eg轨道的电荷转移在高电压下。此外，Na层中的Ca2+离子作为刚性支柱，抑制P–O相变以确保单一P2固溶反应并最小化晶格应变。因此，P2-Na</w:t>
      </w:r>
    </w:p>
    <w:p>
      <w:pPr>
        <w:spacing w:before="0" w:after="200" w:lineRule="auto" w:line="276"/>
      </w:pPr>
      <w:r>
        <w:rPr>
          <w:b/>
        </w:rPr>
        <w:t xml:space="preserve">Abstract (EN): </w:t>
      </w:r>
      <w:r>
        <w:t>Unlocking anionic redox reactions represents a promising route to boost the energy density of cathode materials for sodium‐ion batteries (SIBs). However, excessive oxygen participation often induces irreversible lattice oxygen loss and structural reconstruction, leading to degraded electrochemical performance and sluggish reaction kinetics. Herein, we present a Mn‐mediated reductive coupling mechanism (Mn‐RCM) activated by Ca doping in the P2‐Na</w:t>
      </w:r>
      <w:r>
        <w:t xml:space="preserve"> </w:t>
      </w:r>
      <w:r>
        <w:t>0.64</w:t>
      </w:r>
      <w:r>
        <w:t xml:space="preserve"> </w:t>
      </w:r>
      <w:r>
        <w:t>Ca</w:t>
      </w:r>
      <w:r>
        <w:t xml:space="preserve"> </w:t>
      </w:r>
      <w:r>
        <w:t>0.03</w:t>
      </w:r>
      <w:r>
        <w:t xml:space="preserve"> </w:t>
      </w:r>
      <w:r>
        <w:t>Ni</w:t>
      </w:r>
      <w:r>
        <w:t xml:space="preserve"> </w:t>
      </w:r>
      <w:r>
        <w:t>0.33</w:t>
      </w:r>
      <w:r>
        <w:t xml:space="preserve"> </w:t>
      </w:r>
      <w:r>
        <w:t>Mn</w:t>
      </w:r>
      <w:r>
        <w:t xml:space="preserve"> </w:t>
      </w:r>
      <w:r>
        <w:t>0.67</w:t>
      </w:r>
      <w:r>
        <w:t xml:space="preserve"> </w:t>
      </w:r>
      <w:r>
        <w:t>O</w:t>
      </w:r>
      <w:r>
        <w:rPr>
          <w:vertAlign w:val="subscript"/>
        </w:rPr>
        <w:t>2</w:t>
      </w:r>
      <w:r>
        <w:t>cathode. The mechanism involves an uncommon electron transfer from oxygen to manganese ions, which enhances the reversibility and kinetics of anionic redox. Synchrotron‐based X‐ray absorption spectroscopy captures this electron transfer behavior, while theoretical calculations suggest that Ca incorporation lowers the crystal field splitting of Mn</w:t>
      </w:r>
      <w:r>
        <w:t xml:space="preserve"> </w:t>
      </w:r>
      <w:r>
        <w:t>3d</w:t>
      </w:r>
      <w:r>
        <w:t xml:space="preserve"> </w:t>
      </w:r>
      <w:r>
        <w:t>orbitals and facilitates charge transfer from O</w:t>
      </w:r>
      <w:r>
        <w:t xml:space="preserve"> </w:t>
      </w:r>
      <w:r>
        <w:t>2p</w:t>
      </w:r>
      <w:r>
        <w:t xml:space="preserve"> </w:t>
      </w:r>
      <w:r>
        <w:t>to Mn</w:t>
      </w:r>
      <w:r>
        <w:t xml:space="preserve"> </w:t>
      </w:r>
      <w:r>
        <w:t>e</w:t>
      </w:r>
      <w:r>
        <w:t xml:space="preserve"> </w:t>
      </w:r>
      <w:r>
        <w:t>g</w:t>
      </w:r>
      <w:r>
        <w:t xml:space="preserve"> </w:t>
      </w:r>
      <w:r>
        <w:t>orbitals at high voltage. Additionally, Ca</w:t>
      </w:r>
      <w:r>
        <w:t xml:space="preserve"> </w:t>
      </w:r>
      <w:r>
        <w:t>2+</w:t>
      </w:r>
      <w:r>
        <w:t xml:space="preserve"> </w:t>
      </w:r>
      <w:r>
        <w:t>ions in the Na layers act as rigid pillars, inhibiting P–O phase transitions to ensure a single P2 solid‐solution reaction and minimize lattice strain. Consequently, the P2‐Na</w:t>
      </w:r>
      <w:r>
        <w:t xml:space="preserve"> </w:t>
      </w:r>
      <w:r>
        <w:t>0.64</w:t>
      </w:r>
      <w:r>
        <w:t xml:space="preserve"> </w:t>
      </w:r>
      <w:r>
        <w:t>Ca</w:t>
      </w:r>
      <w:r>
        <w:t xml:space="preserve"> </w:t>
      </w:r>
      <w:r>
        <w:t>0.03</w:t>
      </w:r>
      <w:r>
        <w:t xml:space="preserve"> </w:t>
      </w:r>
      <w:r>
        <w:t>Ni</w:t>
      </w:r>
      <w:r>
        <w:t xml:space="preserve"> </w:t>
      </w:r>
      <w:r>
        <w:t>0.33</w:t>
      </w:r>
      <w:r>
        <w:t xml:space="preserve"> </w:t>
      </w:r>
      <w:r>
        <w:t>Mn</w:t>
      </w:r>
      <w:r>
        <w:t xml:space="preserve"> </w:t>
      </w:r>
      <w:r>
        <w:t>0.67</w:t>
      </w:r>
      <w:r>
        <w:t xml:space="preserve"> </w:t>
      </w:r>
      <w:r>
        <w:t>O</w:t>
      </w:r>
      <w:r>
        <w:rPr>
          <w:vertAlign w:val="subscript"/>
        </w:rPr>
        <w:t>2</w:t>
      </w:r>
      <w:r>
        <w:t>cathode demonstrates improved structural stability and long‐cycling performance, with 80% capacity retention after 800 cycles within a high cutoff voltage of 4.3 V at 1.0 C. This work provides new insights into enhancing the reversibility and kinetics of anionic redox chemistry, facilitating the development of stable high‐voltage cathodes for SIBs.</w:t>
      </w:r>
    </w:p>
    <w:p>
      <w:pPr>
        <w:spacing w:before="120" w:after="120"/>
      </w:pPr>
      <w:r>
        <w:rPr>
          <w:sz w:val="18"/>
        </w:rPr>
        <w:t>——————————————————————————————————————————————————————————————————————</w:t>
      </w:r>
    </w:p>
    <w:p>
      <w:pPr>
        <w:spacing w:before="160" w:after="40" w:line="240" w:lineRule="auto"/>
      </w:pPr>
      <w:r>
        <w:rPr>
          <w:b/>
        </w:rPr>
        <w:t xml:space="preserve">[5] </w:t>
      </w:r>
      <w:hyperlink r:id="rId44">
        <w:r>
          <w:rPr>
            <w:color w:val="1155CC"/>
            <w:u w:val="single"/>
          </w:rPr>
          <w:t>不对称极化使普鲁士蓝类似物阴极的稳健框架能够在超过50,000个循环中实现超稳定的钠化寿命</w:t>
        </w:r>
      </w:hyperlink>
    </w:p>
    <w:p>
      <w:pPr>
        <w:spacing w:before="0" w:after="80"/>
      </w:pPr>
      <w:r>
        <w:rPr>
          <w:i/>
          <w:sz w:val="20"/>
        </w:rPr>
        <w:t>EN: Asymmetric Polarization Enabled Robust Framework of Prussian Blue Analog Cathode for Ultrastable Sodiation Lifespan Over 50 000 Cycles</w:t>
      </w:r>
    </w:p>
    <w:p>
      <w:pPr>
        <w:spacing w:before="0" w:after="120"/>
      </w:pPr>
      <w:r>
        <w:rPr>
          <w:b/>
        </w:rPr>
        <w:t xml:space="preserve">Source: </w:t>
      </w:r>
      <w:r>
        <w:t>Wiley: Advanced Energy Materials: Table of Contents</w:t>
      </w:r>
      <w:r>
        <w:t xml:space="preserve">    </w:t>
      </w:r>
      <w:r>
        <w:rPr>
          <w:b/>
        </w:rPr>
        <w:t xml:space="preserve">Pub date: </w:t>
      </w:r>
      <w:r>
        <w:t>2026-05-11 07:36:35+00:00</w:t>
      </w:r>
      <w:r>
        <w:t xml:space="preserve">    </w:t>
      </w:r>
      <w:r>
        <w:rPr>
          <w:b/>
        </w:rPr>
        <w:t xml:space="preserve">DOI: </w:t>
      </w:r>
      <w:hyperlink r:id="rId45">
        <w:r>
          <w:rPr>
            <w:color w:val="1155CC"/>
            <w:u w:val="single"/>
          </w:rPr>
          <w:t>10.1002/aenm.71063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普鲁士蓝类似物因其高理论容量、低成本和简单合成而成为钠离子电池正极材料的有前途的类别。然而，由于配位键断裂引起的长期框架降解加剧了循环寿命，这已成为一个巨大的挑战。在此，展示了一种不对称极化策略，以增强普鲁士蓝类似物的框架，实现超稳定的钠存储。低电负性的Mg</w:t>
      </w:r>
      <w:r>
        <w:t xml:space="preserve"> </w:t>
      </w:r>
      <w:r>
        <w:t>2+</w:t>
      </w:r>
      <w:r>
        <w:t xml:space="preserve"> </w:t>
      </w:r>
      <w:r>
        <w:t>被精心植入，通过氰桥驱动电子迁移和Fe</w:t>
      </w:r>
      <w:r>
        <w:t xml:space="preserve"> </w:t>
      </w:r>
      <w:r>
        <w:t>2+</w:t>
      </w:r>
      <w:r>
        <w:t xml:space="preserve"> </w:t>
      </w:r>
      <w:r>
        <w:t>位点周围的局部积累。这种不对称的电子重新分布通过加强Fe─C键连接实现了稳固的晶格框架，从而保证了增强的电极反应性和可逆性。因此，设计的镁铁氰化物正极在单电子钠化的基础上实现了91 mAh g</w:t>
      </w:r>
      <w:r>
        <w:t xml:space="preserve"> </w:t>
      </w:r>
      <w:r>
        <w:t>−1</w:t>
      </w:r>
      <w:r>
        <w:t xml:space="preserve"> </w:t>
      </w:r>
      <w:r>
        <w:t>的显著容量，并且工作寿命超过50,000个循环。全面阐明了循环能力和反应动力学提升的潜在机制，这将为钠离子电池高性能正极材料的合理设计和开发提供新的电子介导见解。</w:t>
      </w:r>
    </w:p>
    <w:p>
      <w:pPr>
        <w:spacing w:before="0" w:after="200" w:lineRule="auto" w:line="276"/>
      </w:pPr>
      <w:r>
        <w:rPr>
          <w:b/>
        </w:rPr>
        <w:t xml:space="preserve">Abstract (EN): </w:t>
      </w:r>
      <w:r>
        <w:t>Prussian blue Analogs stand out as a promising category of cathode materials for sodium‐ion batteries owing to their virtues of high theoretical capacity, low cost, and simple synthesis. However, the longstanding framework degradation caused by coordination bond breakage exacerbates the cycling lifetime, which has become a tremendous challenge. Herein, an asymmetric polarization strategy is demonstrated to reinforce the framework of Prussian blue Analogs for ultrastable sodium storage. Low‐electronegative Mg</w:t>
      </w:r>
      <w:r>
        <w:t xml:space="preserve"> </w:t>
      </w:r>
      <w:r>
        <w:t>2+</w:t>
      </w:r>
      <w:r>
        <w:t xml:space="preserve"> </w:t>
      </w:r>
      <w:r>
        <w:t>is meticulously implanted to drive electron migration and local accumulation surrounding Fe</w:t>
      </w:r>
      <w:r>
        <w:t xml:space="preserve"> </w:t>
      </w:r>
      <w:r>
        <w:t>2+</w:t>
      </w:r>
      <w:r>
        <w:t xml:space="preserve"> </w:t>
      </w:r>
      <w:r>
        <w:t>sites via cyanide bridges. Such asymmetric electron redistribution enables a robust lattice framework by strengthening the Fe─C bonding linkages, thus guaranteeing enhanced electrode reactivity and reversibility. Consequently, the as‐designed magnesium ferrocyanide cathode achieves a remarkable capacity of 91 mAh g</w:t>
      </w:r>
      <w:r>
        <w:t xml:space="preserve"> </w:t>
      </w:r>
      <w:r>
        <w:t>−1</w:t>
      </w:r>
      <w:r>
        <w:t xml:space="preserve"> </w:t>
      </w:r>
      <w:r>
        <w:t>based on single‐electron sodiation and an unprecedented working lifespan exceeding 50 000 cycles. The underlying mechanisms for the boosted cyclability and reaction kinetics are comprehensively elucidated, which will afford a fresh electron‐mediated insight for rational design and development of high‐performance cathode materials for sodium‐ion batteries.</w:t>
      </w:r>
    </w:p>
    <w:p>
      <w:pPr>
        <w:spacing w:before="120" w:after="120"/>
      </w:pPr>
      <w:r>
        <w:rPr>
          <w:sz w:val="18"/>
        </w:rPr>
        <w:t>——————————————————————————————————————————————————————————————————————</w:t>
      </w:r>
    </w:p>
    <w:p>
      <w:pPr>
        <w:spacing w:before="160" w:after="40" w:line="240" w:lineRule="auto"/>
      </w:pPr>
      <w:r>
        <w:rPr>
          <w:b/>
        </w:rPr>
        <w:t xml:space="preserve">[6] </w:t>
      </w:r>
      <w:hyperlink r:id="rId46">
        <w:r>
          <w:rPr>
            <w:color w:val="1155CC"/>
            <w:u w:val="single"/>
          </w:rPr>
          <w:t>大孔介孔共价有机框架通过动力学介导的胶束组装用于水系电池的快速离子筛</w:t>
        </w:r>
      </w:hyperlink>
    </w:p>
    <w:p>
      <w:pPr>
        <w:spacing w:before="0" w:after="80"/>
      </w:pPr>
      <w:r>
        <w:rPr>
          <w:i/>
          <w:sz w:val="20"/>
        </w:rPr>
        <w:t>EN: Large-Pore Mesoporous Covalent Organic Frameworks Fast Ion Sieves by Kinetics-Mediated Micelle Assembly for Aqueous Batteries</w:t>
      </w:r>
    </w:p>
    <w:p>
      <w:pPr>
        <w:spacing w:before="0" w:after="120"/>
      </w:pPr>
      <w:r>
        <w:rPr>
          <w:b/>
        </w:rPr>
        <w:t xml:space="preserve">Source: </w:t>
      </w:r>
      <w:r>
        <w:t>RSC - Energy Environ. Sci. latest articles</w:t>
      </w:r>
      <w:r>
        <w:t xml:space="preserve">    </w:t>
      </w:r>
      <w:r>
        <w:rPr>
          <w:b/>
        </w:rPr>
        <w:t xml:space="preserve">Pub date: </w:t>
      </w:r>
      <w:r>
        <w:t>2026-05-11 23:00:00+00:00</w:t>
      </w:r>
    </w:p>
    <w:p>
      <w:pPr>
        <w:spacing w:before="0" w:after="120"/>
      </w:pPr>
      <w:r>
        <w:rPr>
          <w:b/>
        </w:rPr>
        <w:t xml:space="preserve">Notes: </w:t>
      </w:r>
      <w:r>
        <w:t>abstract_source=rsc_html</w:t>
      </w:r>
    </w:p>
    <w:p>
      <w:pPr>
        <w:spacing w:before="0" w:after="80" w:lineRule="auto" w:line="276"/>
      </w:pPr>
      <w:r>
        <w:rPr>
          <w:b/>
        </w:rPr>
        <w:t xml:space="preserve">摘要（ZH）: </w:t>
      </w:r>
      <w:r>
        <w:t>开发具有促进均匀Zn2+沉积和排斥多碘化物的功能基团的离子选择性界面对于稳定的Zn–I2电池是有前景的。共价有机框架（COFs）由于其可编程的骨架和可调节的功能基团而在这种设计中具有吸引力，但其主要的微孔性锁定了活性位点，阻碍了应用。在此，我们建立了一种动力学介导的胶束组装策略，用于可控合成MesoCOF纳米球，并构建了第一个具有多样成分（5种类型）、介相（球形、树枝状、核桃状）、孔径（15.8–21.6 nm）和粒径（60–390 nm）的MesoCOFs库。该方法将反应动力学调整到非经典生长机制，抑制COF前体的自生长，并实现与胶束的协同组装，这已通过动力学分析得到证实。这种多功能合成方法实现了一种基于乙烯连接的MesoCOF快速离子筛。原位分析和理论计算表明，大的介孔解锁了三嗪位点，加速了Zn2+脱溶剂化，均匀化离子通量，并阻止多碘化物穿梭。因此，MesoCOF涂层的Zn阳极在5 mA cm‒2下实现了超过2700小时的稳定Zn镀/剥离，Zn–I2全电池在0.1 A g‒1下经过550次循环后保持95%的容量。这项工作开创了MesoCOF设计的新范式，释放了其在无枝晶和无穿梭能量存储中的潜力。</w:t>
      </w:r>
    </w:p>
    <w:p>
      <w:pPr>
        <w:spacing w:before="0" w:after="200" w:lineRule="auto" w:line="276"/>
      </w:pPr>
      <w:r>
        <w:rPr>
          <w:b/>
        </w:rPr>
        <w:t xml:space="preserve">Abstract (EN): </w:t>
      </w:r>
      <w:r>
        <w:t>Developing ion-selective interphases with functional groups that promote uniform Zn2+ deposition and repel polyiodides is promising for stable Zn–I2 batteries. Covalent organic frameworks (COFs) are compelling for such design owing to their programmable skeletons and tunable functional moieties, but their predominant microporosity locks active sites, impeding application. Herein, we establish a kinetics-mediated micelle assembly strategy for the controllable synthesis of MesoCOF nanospheres and construct the first MesoCOFs library with diverse components (5 types), mesophases (spherical, dendritic, walnut-like), pore sizes (15.8–21.6 nm), and particle diameters (60–390 nm). This approach adjusts reaction kinetics into the non-classical growth regime, suppressing self-growth of COF precursors and enabling cooperative assembly with micelles, as confirmed by kinetics analysis. This versatile synthesis enables an ethylene-linked MesoCOF-based fast ion-sieve. In-situ analyses and theoretical calculations reveal that the large mesopores unlock triazine sites, accelerating Zn2+ desolvation, homogenizing ionic flux, and blocking polyiodide shuttling. Consequently, the MesoCOF-coated Zn anode enables stable Zn plating/stripping for over 2700 h at 5 mA cm‒2, and Zn–I2 full cells deliver outstanding cycling stability with 95% capacity retention over 550 cycles at 0.1 A g‒1. This work heralds a new paradigm for MesoCOF design, unlocking their potential for dendrite- and shuttle-free energy storage.</w:t>
      </w:r>
    </w:p>
    <w:p>
      <w:pPr>
        <w:spacing w:before="120" w:after="120"/>
      </w:pPr>
      <w:r>
        <w:rPr>
          <w:sz w:val="18"/>
        </w:rPr>
        <w:t>——————————————————————————————————————————————————————————————————————</w:t>
      </w:r>
    </w:p>
    <w:p>
      <w:pPr>
        <w:spacing w:before="160" w:after="40" w:line="240" w:lineRule="auto"/>
      </w:pPr>
      <w:r>
        <w:rPr>
          <w:b/>
        </w:rPr>
        <w:t xml:space="preserve">[7] </w:t>
      </w:r>
      <w:hyperlink r:id="rId47">
        <w:r>
          <w:rPr>
            <w:color w:val="1155CC"/>
            <w:u w:val="single"/>
          </w:rPr>
          <w:t>高镍/低钴单晶NCM正极中的浓度-结构双梯度架构</w:t>
        </w:r>
      </w:hyperlink>
    </w:p>
    <w:p>
      <w:pPr>
        <w:spacing w:before="0" w:after="80"/>
      </w:pPr>
      <w:r>
        <w:rPr>
          <w:i/>
          <w:sz w:val="20"/>
        </w:rPr>
        <w:t>EN: Concentration–structure dual-gradient architecture in high-Ni/low-Co single-crystal NCM cathodes</w:t>
      </w:r>
    </w:p>
    <w:p>
      <w:pPr>
        <w:spacing w:before="0" w:after="120"/>
      </w:pPr>
      <w:r>
        <w:rPr>
          <w:b/>
        </w:rPr>
        <w:t xml:space="preserve">Source: </w:t>
      </w:r>
      <w:r>
        <w:t>RSC - Energy Environ. Sci. latest articles</w:t>
      </w:r>
      <w:r>
        <w:t xml:space="preserve">    </w:t>
      </w:r>
      <w:r>
        <w:rPr>
          <w:b/>
        </w:rPr>
        <w:t xml:space="preserve">Pub date: </w:t>
      </w:r>
      <w:r>
        <w:t>2026-05-11 23:00:00+00:00</w:t>
      </w:r>
    </w:p>
    <w:p>
      <w:pPr>
        <w:spacing w:before="0" w:after="120"/>
      </w:pPr>
      <w:r>
        <w:rPr>
          <w:b/>
        </w:rPr>
        <w:t xml:space="preserve">Notes: </w:t>
      </w:r>
      <w:r>
        <w:t>abstract_source=rsc_html</w:t>
      </w:r>
    </w:p>
    <w:p>
      <w:pPr>
        <w:spacing w:before="0" w:after="80" w:lineRule="auto" w:line="276"/>
      </w:pPr>
      <w:r>
        <w:rPr>
          <w:b/>
        </w:rPr>
        <w:t xml:space="preserve">摘要（ZH）: </w:t>
      </w:r>
      <w:r>
        <w:t>高镍/低钴单晶NCM正极因其高能量密度和机械稳健性被视为下一代锂离子电池的有前景候选者。然而，其实际应用仍受限于电子导电性差，主要源于表面残留锂化合物（RLCs）的电阻性和钴含量的减少。在此，我们揭示了一种干涂单分散Co3O4纳米颗粒并随后进行控制热退火的方法，在高镍/低钴单晶NCM正极中引入了浓度–结构双梯度结构。这一过程同时去除了RLCs并形成了一个超薄（~30 nm）的表面富钴涂层，伴随着镍–钴阳离子互扩散，生成了一个亚表面无序岩盐（DRX）状层（~15 nm），具有降低的镍氧化态。富钴涂层显著增强了电子导电性并降低了界面电阻，从而提高了倍率性能，而底层的DRX状层在高度脱锂状态下作为结构支柱，抑制了锂层崩溃。梯度结构减轻了电解质氧化、结构退化、过渡金属溶解和微裂纹形成，导致循环稳定性提高。这项工作揭示了受控阳离子互扩散在稳定高镍/低钴层状氧化物中的一个先前未被充分认识的结构作用，为结合高电子导电性和结构稳健性与最小钴含量的正极提供了一般设计原则。</w:t>
      </w:r>
    </w:p>
    <w:p>
      <w:pPr>
        <w:spacing w:before="0" w:after="200" w:lineRule="auto" w:line="276"/>
      </w:pPr>
      <w:r>
        <w:rPr>
          <w:b/>
        </w:rPr>
        <w:t xml:space="preserve">Abstract (EN): </w:t>
      </w:r>
      <w:r>
        <w:t>High-Ni/low-Co single-crystal NCM cathodes are regarded as promising candidates for next-generation lithium-ion batteries owing to their high energy density and mechanical robustness. However, their practical implementation remains limited by poor electronic conductivity, primarily originating from resistive surface residual lithium compounds (RLCs) and the reduced Co content. Here, we reveal that a dry coating of monodisperse Co3O4 nanoparticles followed by controlled thermal annealing induces a concentration–structure dual-gradient architecture in high-Ni/low-Co single-crystal NCM cathodes. This process simultaneously removes RLCs and forms an ultrathin (~30 nm) surface Co-rich coating layer, accompanied by Ni–Co cation interdiffusion that generates a subsurface disordered rock salt (DRX)-like layer (~15 nm) with a reduced Ni oxidation state. The Co-rich coating layer significantly enhances electronic conductivity and lowers interfacial resistance, thereby improving rate capability, while the underlying DRX-like layer functions as a structural pillar under highly delithiated states, suppressing Li-layer collapse. The gradient architecture mitigates electrolyte oxidation, structural degradation, transition-metal dissolution, and microcrack formation, leading to improved cycling stability. This work uncovers a previously underappreciated structural role of controlled cation interdiffusion in stabilizing high-Ni/low-Co layered oxides, providing a general design principle for cathodes combining high electronic conductivity and structural robustness with minimal Co content.</w:t>
      </w:r>
    </w:p>
    <w:p>
      <w:pPr>
        <w:spacing w:before="120" w:after="120"/>
      </w:pPr>
      <w:r>
        <w:rPr>
          <w:sz w:val="18"/>
        </w:rPr>
        <w:t>——————————————————————————————————————————————————————————————————————</w:t>
      </w:r>
    </w:p>
    <w:p>
      <w:pPr>
        <w:spacing w:before="160" w:after="40" w:line="240" w:lineRule="auto"/>
      </w:pPr>
      <w:r>
        <w:rPr>
          <w:b/>
        </w:rPr>
        <w:t xml:space="preserve">[8] </w:t>
      </w:r>
      <w:hyperlink r:id="rId48">
        <w:r>
          <w:rPr>
            <w:color w:val="1155CC"/>
            <w:u w:val="single"/>
          </w:rPr>
          <w:t>高能磷酸盐正极材料的钠协调工程协调化</w:t>
        </w:r>
      </w:hyperlink>
    </w:p>
    <w:p>
      <w:pPr>
        <w:spacing w:before="0" w:after="80"/>
      </w:pPr>
      <w:r>
        <w:rPr>
          <w:i/>
          <w:sz w:val="20"/>
        </w:rPr>
        <w:t>EN: Harmonized sodium coordination engineering for high-energy phosphate cathodes</w:t>
      </w:r>
    </w:p>
    <w:p>
      <w:pPr>
        <w:spacing w:before="0" w:after="120"/>
      </w:pPr>
      <w:r>
        <w:rPr>
          <w:b/>
        </w:rPr>
        <w:t xml:space="preserve">Source: </w:t>
      </w:r>
      <w:r>
        <w:t>Nature Energy</w:t>
      </w:r>
      <w:r>
        <w:t xml:space="preserve">    </w:t>
      </w:r>
      <w:r>
        <w:rPr>
          <w:b/>
        </w:rPr>
        <w:t xml:space="preserve">Pub date: </w:t>
      </w:r>
      <w:r>
        <w:t>2026-05-12 00:00:00+00:00</w:t>
      </w:r>
      <w:r>
        <w:t xml:space="preserve">    </w:t>
      </w:r>
      <w:r>
        <w:rPr>
          <w:b/>
        </w:rPr>
        <w:t xml:space="preserve">DOI: </w:t>
      </w:r>
      <w:hyperlink r:id="rId49">
        <w:r>
          <w:rPr>
            <w:color w:val="1155CC"/>
            <w:u w:val="single"/>
          </w:rPr>
          <w:t>10.1038/s41560-026-02059-w</w:t>
        </w:r>
      </w:hyperlink>
    </w:p>
    <w:p>
      <w:pPr>
        <w:spacing w:before="0" w:after="120"/>
      </w:pPr>
      <w:r>
        <w:rPr>
          <w:b/>
        </w:rPr>
        <w:t xml:space="preserve">Notes: </w:t>
      </w:r>
      <w:r>
        <w:t>abstract_source=nature_html</w:t>
      </w:r>
    </w:p>
    <w:p>
      <w:pPr>
        <w:spacing w:before="0" w:after="80" w:lineRule="auto" w:line="276"/>
      </w:pPr>
      <w:r>
        <w:rPr>
          <w:b/>
        </w:rPr>
        <w:t xml:space="preserve">摘要（ZH）: </w:t>
      </w:r>
      <w:r>
        <w:t>基于铁的多阴离子正极由于其稳定性、安全性和元素丰富性而在大规模钠离子电池中具有前景，然而其容量仍受限于电化学惰性钠位点和不可逆钠损失。在此，我们确定Na+配位环境对Na位点的可达性和Na4Fe3(PO4)2P2O7型正极中的氧化还原活性具有关键影响。结合实验和理论分析表明，精确的V3+在Fe2位点的替代协调了Na+配位几何并软化了多阴离子框架，从而激活了先前惰性的Na位点并稳定了高于4 V的高压氧化还原反应。优化的Na3.4Fe2.4V0.6(PO4)2P2O7实现了完全的Na+利用（3.4 Na+，150.7 mAh g−1）和52%的能量密度增加（487 Wh kg−1），接近锂离子磷酸盐正极的实际极限。它还在2.1-4.5 V范围内表现出超过10,000次循环的卓越耐久性和稳定的软包电池性能。这些发现提供了一种基于配位的策略，以克服磷酸盐正极的内在容量限制，实现高能量、耐用的钠离子电池。</w:t>
      </w:r>
    </w:p>
    <w:p>
      <w:pPr>
        <w:spacing w:before="0" w:after="200" w:lineRule="auto" w:line="276"/>
      </w:pPr>
      <w:r>
        <w:rPr>
          <w:b/>
        </w:rPr>
        <w:t xml:space="preserve">Abstract (EN): </w:t>
      </w:r>
      <w:r>
        <w:t>Fe-based polyanionic cathodes are promising for large-scale Na-ion batteries owing to their stability, safety and elemental abundance, however their capacity remains limited by electrochemically inactive Na sites and irreversible Na loss. Here we identify that the Na+ coordination environment critically influences the Na-site accessibility and redox activity in Na4Fe3(PO4)2P2O7-type cathodes. Combined experimental and theoretical analyses reveal that precise V3+ substitution at the Fe2 site harmonizes Na+ coordination geometry and softens the polyanionic framework, thereby activating previously inert Na sites and stabilizing high-voltage redox reactions above 4 V. The optimized Na3.4Fe2.4V0.6(PO4)2P2O7 achieves full Na+ utilization (3.4 Na+, 150.7 mAh g−1) and a 52% increase in energy density (487 Wh kg−1), approaching the practical limit of Li-ion phosphate cathodes. It also demonstrates exceptional durability over 10,000 cycles in the 2.1-4.5 V range and stable pouch-cell performance. These findings provide a coordination-based strategy to overcome intrinsic capacity limitations in phosphate cathodes, enabling high-energy, durable Na-ion batteries.</w:t>
      </w:r>
    </w:p>
    <w:p>
      <w:pPr>
        <w:spacing w:before="120" w:after="120"/>
      </w:pPr>
      <w:r>
        <w:rPr>
          <w:sz w:val="18"/>
        </w:rPr>
        <w:t>——————————————————————————————————————————————————————————————————————</w:t>
      </w:r>
    </w:p>
    <w:p>
      <w:pPr>
        <w:spacing w:before="160" w:after="40" w:line="240" w:lineRule="auto"/>
      </w:pPr>
      <w:r>
        <w:rPr>
          <w:b/>
        </w:rPr>
        <w:t xml:space="preserve">[9] </w:t>
      </w:r>
      <w:hyperlink r:id="rId50">
        <w:r>
          <w:rPr>
            <w:color w:val="1155CC"/>
            <w:u w:val="single"/>
          </w:rPr>
          <w:t>用于锌-碘电池中高负载碘阴极的稳健生物聚合物网络粘结剂</w:t>
        </w:r>
      </w:hyperlink>
    </w:p>
    <w:p>
      <w:pPr>
        <w:spacing w:before="0" w:after="80"/>
      </w:pPr>
      <w:r>
        <w:rPr>
          <w:i/>
          <w:sz w:val="20"/>
        </w:rPr>
        <w:t>EN: A Robust Biopolymer Network Binder for High‐Loading Iodine Cathodes in Zinc‐Iodine Batteries</w:t>
      </w:r>
    </w:p>
    <w:p>
      <w:pPr>
        <w:spacing w:before="0" w:after="120"/>
      </w:pPr>
      <w:r>
        <w:rPr>
          <w:b/>
        </w:rPr>
        <w:t xml:space="preserve">Source: </w:t>
      </w:r>
      <w:r>
        <w:t>Wiley: Advanced Materials: Table of Contents</w:t>
      </w:r>
      <w:r>
        <w:t xml:space="preserve">    </w:t>
      </w:r>
      <w:r>
        <w:rPr>
          <w:b/>
        </w:rPr>
        <w:t xml:space="preserve">Pub date: </w:t>
      </w:r>
      <w:r>
        <w:t>2026-05-12 06:44:39+00:00</w:t>
      </w:r>
      <w:r>
        <w:t xml:space="preserve">    </w:t>
      </w:r>
      <w:r>
        <w:rPr>
          <w:b/>
        </w:rPr>
        <w:t xml:space="preserve">DOI: </w:t>
      </w:r>
      <w:hyperlink r:id="rId51">
        <w:r>
          <w:rPr>
            <w:color w:val="1155CC"/>
            <w:u w:val="single"/>
          </w:rPr>
          <w:t>10.1002/adma.73339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能量密度和长循环寿命对于实际水系锌-碘电池（AZIBs）至关重要。然而，高质量负载碘阴极的发展面临瓶颈，如结构不稳定、严重的多碘化物穿梭和缓慢的电荷转移动力学。在此，开发了一种具有3D网络结构和密集氢键的强大生物聚合物网络（XGP）粘合剂，为高质量负载活性碳（AC）@I</w:t>
      </w:r>
      <w:r>
        <w:rPr>
          <w:vertAlign w:val="subscript"/>
        </w:rPr>
        <w:t>2</w:t>
      </w:r>
      <w:r>
        <w:t>阴极提供了强附着力和良好的机械强度。使用可扩展的浆料绘制方法，获得的厚AC@I</w:t>
      </w:r>
      <w:r>
        <w:rPr>
          <w:vertAlign w:val="subscript"/>
        </w:rPr>
        <w:t>2</w:t>
      </w:r>
      <w:r>
        <w:t>电极表现出高孔隙率（47.6%）的多孔结构，促进了快速的Zn</w:t>
      </w:r>
      <w:r>
        <w:t xml:space="preserve"> </w:t>
      </w:r>
      <w:r>
        <w:t>2+</w:t>
      </w:r>
      <w:r>
        <w:t xml:space="preserve"> </w:t>
      </w:r>
      <w:r>
        <w:t>扩散（高达10</w:t>
      </w:r>
      <w:r>
        <w:t xml:space="preserve"> </w:t>
      </w:r>
      <w:r>
        <w:t>−9</w:t>
      </w:r>
      <w:r>
        <w:t xml:space="preserve"> </w:t>
      </w:r>
      <w:r>
        <w:t>cm</w:t>
      </w:r>
      <w:r>
        <w:rPr>
          <w:vertAlign w:val="subscript"/>
        </w:rPr>
        <w:t>2</w:t>
      </w:r>
      <w:r>
        <w:t>s</w:t>
      </w:r>
      <w:r>
        <w:t xml:space="preserve"> </w:t>
      </w:r>
      <w:r>
        <w:t>−1</w:t>
      </w:r>
      <w:r>
        <w:t xml:space="preserve"> </w:t>
      </w:r>
      <w:r>
        <w:t>）和快速的电化学动力学。此外，XGP粘合剂中的多种氧官能团提供了强大的化学锚定位点，有效抑制了多碘化物穿梭。因此，具有超高碘负载（82 mg cm</w:t>
      </w:r>
      <w:r>
        <w:t xml:space="preserve"> </w:t>
      </w:r>
      <w:r>
        <w:t>−2</w:t>
      </w:r>
      <w:r>
        <w:t xml:space="preserve"> </w:t>
      </w:r>
      <w:r>
        <w:t>，约960 µm）的XGP基阴极实现了15.3 mAh cm</w:t>
      </w:r>
      <w:r>
        <w:t xml:space="preserve"> </w:t>
      </w:r>
      <w:r>
        <w:t>−2</w:t>
      </w:r>
      <w:r>
        <w:t xml:space="preserve"> </w:t>
      </w:r>
      <w:r>
        <w:t>的面积容量。Zn-I</w:t>
      </w:r>
      <w:r>
        <w:rPr>
          <w:vertAlign w:val="subscript"/>
        </w:rPr>
        <w:t>2</w:t>
      </w:r>
      <w:r>
        <w:t>袋式电池在600个循环中提供了1744 mAh的容量，产生了55.0 Wh L的显著能量密度。</w:t>
      </w:r>
    </w:p>
    <w:p>
      <w:pPr>
        <w:spacing w:before="0" w:after="200" w:lineRule="auto" w:line="276"/>
      </w:pPr>
      <w:r>
        <w:rPr>
          <w:b/>
        </w:rPr>
        <w:t xml:space="preserve">Abstract (EN): </w:t>
      </w:r>
      <w:r>
        <w:t>High energy density and long cycle life are critical for practical aqueous zinc‐iodine batteries (AZIBs). However, the development of high‐mass‐loading iodine cathodes faces bottlenecks, such as structural instability, severe polyiodide shuttling, and sluggish charge transfer kinetics. Herein, a robust biopolymer network (XGP) binder is developed, featuring a 3D network structure with dense hydrogen bonding that provides strong adhesion and good mechanical strength for high‐mass‐loading active carbon (AC)@I</w:t>
      </w:r>
      <w:r>
        <w:rPr>
          <w:vertAlign w:val="subscript"/>
        </w:rPr>
        <w:t>2</w:t>
      </w:r>
      <w:r>
        <w:t>cathodes. Using a scalable slurry‐drawing method, the obtained thick AC@I</w:t>
      </w:r>
      <w:r>
        <w:rPr>
          <w:vertAlign w:val="subscript"/>
        </w:rPr>
        <w:t>2</w:t>
      </w:r>
      <w:r>
        <w:t>electrodes exhibit a porous architecture with high porosity (47.6%), facilitating rapid Zn</w:t>
      </w:r>
      <w:r>
        <w:rPr>
          <w:vertAlign w:val="subscript"/>
        </w:rPr>
        <w:t>2</w:t>
      </w:r>
      <w:r>
        <w:t>+</w:t>
      </w:r>
      <w:r>
        <w:t xml:space="preserve"> </w:t>
      </w:r>
      <w:r>
        <w:t>diffusion (up to 10</w:t>
      </w:r>
      <w:r>
        <w:t xml:space="preserve"> </w:t>
      </w:r>
      <w:r>
        <w:t>−9</w:t>
      </w:r>
      <w:r>
        <w:t xml:space="preserve"> </w:t>
      </w:r>
      <w:r>
        <w:t>cm</w:t>
      </w:r>
      <w:r>
        <w:rPr>
          <w:vertAlign w:val="subscript"/>
        </w:rPr>
        <w:t>2</w:t>
      </w:r>
      <w:r>
        <w:t>s</w:t>
      </w:r>
      <w:r>
        <w:t xml:space="preserve"> </w:t>
      </w:r>
      <w:r>
        <w:t>−1</w:t>
      </w:r>
      <w:r>
        <w:t xml:space="preserve"> </w:t>
      </w:r>
      <w:r>
        <w:t>) and fast electrochemical kinetics. Furthermore, diverse oxygen functional groups in the XGP binder provide strong chemical anchoring sites, effectively suppressing polyiodide shuttling. Consequently, XGP‐based cathodes with an ultrahigh iodine loading (82 mg cm</w:t>
      </w:r>
      <w:r>
        <w:t xml:space="preserve"> </w:t>
      </w:r>
      <w:r>
        <w:t>−2</w:t>
      </w:r>
      <w:r>
        <w:t xml:space="preserve"> </w:t>
      </w:r>
      <w:r>
        <w:t>, ∼960 µm) achieve an areal capacity of 15.3 mAh cm</w:t>
      </w:r>
      <w:r>
        <w:t xml:space="preserve"> </w:t>
      </w:r>
      <w:r>
        <w:t>−2</w:t>
      </w:r>
      <w:r>
        <w:t xml:space="preserve"> </w:t>
      </w:r>
      <w:r>
        <w:t>. Zn‐I</w:t>
      </w:r>
      <w:r>
        <w:rPr>
          <w:vertAlign w:val="subscript"/>
        </w:rPr>
        <w:t>2</w:t>
      </w:r>
      <w:r>
        <w:t>pouch cells deliver a capacity of 1744 mAh over 600 cycles, yielding a remarkable energy density of 55.0 Wh L</w:t>
      </w:r>
      <w:r>
        <w:t xml:space="preserve"> </w:t>
      </w:r>
      <w:r>
        <w:t>−1</w:t>
      </w:r>
      <w:r>
        <w:t xml:space="preserve"> </w:t>
      </w:r>
      <w:r>
        <w:t>at the cell level. This work solves key challenges in thick iodine electrodes through integrated design of the biopolymer binder and electrode engineering, paving the way for practical AZIBs.</w:t>
      </w:r>
    </w:p>
    <w:p>
      <w:pPr>
        <w:spacing w:before="120" w:after="120"/>
      </w:pPr>
      <w:r>
        <w:rPr>
          <w:sz w:val="18"/>
        </w:rPr>
        <w:t>——————————————————————————————————————————————————————————————————————</w:t>
      </w:r>
    </w:p>
    <w:p>
      <w:pPr>
        <w:spacing w:before="160" w:after="40" w:line="240" w:lineRule="auto"/>
      </w:pPr>
      <w:r>
        <w:rPr>
          <w:b/>
        </w:rPr>
        <w:t xml:space="preserve">[10] </w:t>
      </w:r>
      <w:hyperlink r:id="rId52">
        <w:r>
          <w:rPr>
            <w:color w:val="1155CC"/>
            <w:u w:val="single"/>
          </w:rPr>
          <w:t>前驱体驱动的Jahn–Teller畸变是Mn稳定的富镍正极表面不稳定的隐藏原因</w:t>
        </w:r>
      </w:hyperlink>
    </w:p>
    <w:p>
      <w:pPr>
        <w:spacing w:before="0" w:after="80"/>
      </w:pPr>
      <w:r>
        <w:rPr>
          <w:i/>
          <w:sz w:val="20"/>
        </w:rPr>
        <w:t>EN: Precursor-driven Jahn–Teller distortion as a hidden origin of surface instability in Mn-stabilized Ni-rich cathodes</w:t>
      </w:r>
    </w:p>
    <w:p>
      <w:pPr>
        <w:spacing w:before="0" w:after="120"/>
      </w:pPr>
      <w:r>
        <w:rPr>
          <w:b/>
        </w:rPr>
        <w:t xml:space="preserve">Source: </w:t>
      </w:r>
      <w:r>
        <w:t>RSC - Energy Environ. Sci. latest articles</w:t>
      </w:r>
      <w:r>
        <w:t xml:space="preserve">    </w:t>
      </w:r>
      <w:r>
        <w:rPr>
          <w:b/>
        </w:rPr>
        <w:t xml:space="preserve">Pub date: </w:t>
      </w:r>
      <w:r>
        <w:t>2026-05-12 23:00:00+00:00</w:t>
      </w:r>
    </w:p>
    <w:p>
      <w:pPr>
        <w:spacing w:before="0" w:after="120"/>
      </w:pPr>
      <w:r>
        <w:rPr>
          <w:b/>
        </w:rPr>
        <w:t xml:space="preserve">Notes: </w:t>
      </w:r>
      <w:r>
        <w:t>abstract_source=rsc_html</w:t>
      </w:r>
    </w:p>
    <w:p>
      <w:pPr>
        <w:spacing w:before="0" w:after="80" w:lineRule="auto" w:line="276"/>
      </w:pPr>
      <w:r>
        <w:rPr>
          <w:b/>
        </w:rPr>
        <w:t xml:space="preserve">摘要（ZH）: </w:t>
      </w:r>
      <w:r>
        <w:t>富锰表面广泛用于增强高镍层状正极的结构和热稳定性。然而，本研究识别出一种关键的、先前未被认识到的Co-free Ni-rich core/Mn-rich shell架构中的脆弱性，源于前驱体加工。我们证明，将氢氧化物前驱体暴露于富氧环境中会诱导自发的表面锰氧化，推动在固态合成过程中形成缺陷的尖晶石相。这种异常相富含Jahn–Teller畸变的Mn4−x物种和氧空位，破坏了预期的保护壳。我们阐明，这种改变的电子结构创造了一个高度活性的界面。在此界面上，富电子的氧作为强路易斯碱。因此，它们通过直接亲核攻击和间接水解途径催化电解质的剧烈分解。为了清晰地隔离这一基本退化机制，我们使用了一个镍含量异常高的模型系统（&gt;95%）。在这个高度敏感的系统中，活性界面触发了与石墨负极的有害串扰，加速了容量衰减，在1000个循环中加倍。至关重要的是，我们展示了这种有害相变可以通过调节合成化学计量比来缓解。具体而言，三倍增加的过量锂有效抑制了缺陷尖晶石的形成并恢复了Mn–O共价性。这一基本结构恢复显著增强了电化学稳定性，实现了超过</w:t>
      </w:r>
    </w:p>
    <w:p>
      <w:pPr>
        <w:spacing w:before="0" w:after="200" w:lineRule="auto" w:line="276"/>
      </w:pPr>
      <w:r>
        <w:rPr>
          <w:b/>
        </w:rPr>
        <w:t xml:space="preserve">Abstract (EN): </w:t>
      </w:r>
      <w:r>
        <w:t>Mn-enriched surfaces are widely employed to enhance the structural and thermal stability of high-Ni layered cathodes. However, this study identifies a critical, previously unrecognized vulnerability in Co-free Ni-rich core/Mn-rich shell architectures stemming from precursor processing. We demonstrate that exposing hydroxide precursors to an oxygen-rich atmosphere induces spontaneous surface Mn oxidation, driving the formation of a defective spinel-like phase during solid-state synthesis. This anomalous phase, enriched with Jahn–Teller distorted Mn4−x species and oxygen vacancies, disrupts the intended protective shell. We elucidate that this altered electronic structure creates a highly reactive interface. At this interface, electron-rich oxygens act as strong Lewis bases. Consequently, they catalyze aggressive electrolyte decomposition via both direct nucleophilic attack and indirect hydrolysis pathways. To clearly isolate this fundamental degradation mechanism, we utilized a model system with an exceptionally high Ni content (&gt;95%). In this highly sensitive system, the reactive interface triggers detrimental crosstalk with the graphite anode, accelerating capacity fading two-fold over 1000 cycles. Crucially, we show that this deleterious phase transition can be mitigated by modulating the synthesis stoichiometry. Specifically, a threefold increase in excess lithium effectively suppresses the defective spinel formation and restores Mn–O covalency. This fundamental structural restoration significantly enhances electrochemical stability, achieving a capacity retention of over 90%. These findings highlight the extreme sensitivity of surface Mn chemistry and offer a vital strategy for engineering robust high-energy cathodes.</w:t>
      </w:r>
    </w:p>
    <w:p>
      <w:pPr>
        <w:spacing w:before="120" w:after="120"/>
      </w:pPr>
      <w:r>
        <w:rPr>
          <w:sz w:val="18"/>
        </w:rPr>
        <w:t>——————————————————————————————————————————————————————————————————————</w:t>
      </w:r>
    </w:p>
    <w:p>
      <w:pPr>
        <w:spacing w:before="160" w:after="40" w:line="240" w:lineRule="auto"/>
      </w:pPr>
      <w:r>
        <w:rPr>
          <w:b/>
        </w:rPr>
        <w:t xml:space="preserve">[11] </w:t>
      </w:r>
      <w:hyperlink r:id="rId53">
        <w:r>
          <w:rPr>
            <w:color w:val="1155CC"/>
            <w:u w:val="single"/>
          </w:rPr>
          <w:t>调节过渡金属层中的锂提取以实现具有互生结构的高性能锂过量层状氧化物正极</w:t>
        </w:r>
      </w:hyperlink>
    </w:p>
    <w:p>
      <w:pPr>
        <w:spacing w:before="0" w:after="80"/>
      </w:pPr>
      <w:r>
        <w:rPr>
          <w:i/>
          <w:sz w:val="20"/>
        </w:rPr>
        <w:t>EN: Regulating Li Extraction in Transition Metal Layer for High‐Performance Li‐Excess Layered Oxide Cathode with Intergrowth Structure</w:t>
      </w:r>
    </w:p>
    <w:p>
      <w:pPr>
        <w:spacing w:before="0" w:after="120"/>
      </w:pPr>
      <w:r>
        <w:rPr>
          <w:b/>
        </w:rPr>
        <w:t xml:space="preserve">Source: </w:t>
      </w:r>
      <w:r>
        <w:t>Wiley: Advanced Materials: Table of Contents</w:t>
      </w:r>
      <w:r>
        <w:t xml:space="preserve">    </w:t>
      </w:r>
      <w:r>
        <w:rPr>
          <w:b/>
        </w:rPr>
        <w:t xml:space="preserve">Pub date: </w:t>
      </w:r>
      <w:r>
        <w:t>2026-05-13 08:07:11+00:00</w:t>
      </w:r>
      <w:r>
        <w:t xml:space="preserve">    </w:t>
      </w:r>
      <w:r>
        <w:rPr>
          <w:b/>
        </w:rPr>
        <w:t xml:space="preserve">DOI: </w:t>
      </w:r>
      <w:hyperlink r:id="rId54">
        <w:r>
          <w:rPr>
            <w:color w:val="1155CC"/>
            <w:u w:val="single"/>
          </w:rPr>
          <w:t>10.1002/adma.202520981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锂过量层状氧化物阴极中，过渡金属（TM）层中的额外锂（即Li[TM]）可以触发阴离子氧化还原以提供额外的容量。然而，大量提取Li[TM]可能导致不可逆/有害的局部结构重排。LiO6和TMO6八面体之间的传统边缘共享连接配置促进了Li[TM]的层间迁移。相反，面共享配置有可能限制Li[TM]的移动性，但这种亚稳态配置无法通过传统煅烧获得。在此，在P2相Na0.66[Li0.22TM0.78]O2前体的Na到Li离子交换过程中，我们观察到TMO2层的随机滑动产生Li0.66[Li0.22TM0.78]O2与O2/O6互生结构。尽管存在随机滑动，功能性面共享配置成功获得，并被证明有效限制层间迁移。</w:t>
      </w:r>
    </w:p>
    <w:p>
      <w:pPr>
        <w:spacing w:before="0" w:after="200" w:lineRule="auto" w:line="276"/>
      </w:pPr>
      <w:r>
        <w:rPr>
          <w:b/>
        </w:rPr>
        <w:t xml:space="preserve">Abstract (EN): </w:t>
      </w:r>
      <w:r>
        <w:t>In lithium‐excess layered oxide cathodes, the extra lithium within transition metal (TM) layers (i.e., Li</w:t>
      </w:r>
      <w:r>
        <w:t xml:space="preserve"> </w:t>
      </w:r>
      <w:r>
        <w:t>[TM]</w:t>
      </w:r>
      <w:r>
        <w:t xml:space="preserve"> </w:t>
      </w:r>
      <w:r>
        <w:t>) can trigger anionic redox to provide additional capacity. However, substantial extraction of Li</w:t>
      </w:r>
      <w:r>
        <w:t xml:space="preserve"> </w:t>
      </w:r>
      <w:r>
        <w:t>[TM]</w:t>
      </w:r>
      <w:r>
        <w:t xml:space="preserve"> </w:t>
      </w:r>
      <w:r>
        <w:t>may induce irreversible/detrimental local structural rearrangements. The conventional edge‐shared connecting configuration between LiO</w:t>
      </w:r>
      <w:r>
        <w:rPr>
          <w:vertAlign w:val="subscript"/>
        </w:rPr>
        <w:t>6</w:t>
      </w:r>
      <w:r>
        <w:t>and TMO</w:t>
      </w:r>
      <w:r>
        <w:rPr>
          <w:vertAlign w:val="subscript"/>
        </w:rPr>
        <w:t>6</w:t>
      </w:r>
      <w:r>
        <w:t>octahedra facilitates interlayer migration of Li</w:t>
      </w:r>
      <w:r>
        <w:t xml:space="preserve"> </w:t>
      </w:r>
      <w:r>
        <w:t>[TM]</w:t>
      </w:r>
      <w:r>
        <w:t xml:space="preserve"> </w:t>
      </w:r>
      <w:r>
        <w:t>. In contrast, the face‐shared configuration has the potential to limit the mobility of Li</w:t>
      </w:r>
      <w:r>
        <w:t xml:space="preserve"> </w:t>
      </w:r>
      <w:r>
        <w:t>[TM]</w:t>
      </w:r>
      <w:r>
        <w:t xml:space="preserve"> </w:t>
      </w:r>
      <w:r>
        <w:t>, but this metastable configuration cannot be harvested via traditional calcination. Herein, during Na‐to‐Li ion exchange in P2 phase Na</w:t>
      </w:r>
      <w:r>
        <w:t xml:space="preserve"> </w:t>
      </w:r>
      <w:r>
        <w:t>0.66</w:t>
      </w:r>
      <w:r>
        <w:t xml:space="preserve"> </w:t>
      </w:r>
      <w:r>
        <w:t>[Li</w:t>
      </w:r>
      <w:r>
        <w:t xml:space="preserve"> </w:t>
      </w:r>
      <w:r>
        <w:t>0.22</w:t>
      </w:r>
      <w:r>
        <w:t xml:space="preserve"> </w:t>
      </w:r>
      <w:r>
        <w:t>TM</w:t>
      </w:r>
      <w:r>
        <w:t xml:space="preserve"> </w:t>
      </w:r>
      <w:r>
        <w:t>0.78</w:t>
      </w:r>
      <w:r>
        <w:t xml:space="preserve"> </w:t>
      </w:r>
      <w:r>
        <w:t>]O</w:t>
      </w:r>
      <w:r>
        <w:rPr>
          <w:vertAlign w:val="subscript"/>
        </w:rPr>
        <w:t>2</w:t>
      </w:r>
      <w:r>
        <w:t>precursor, we observe that the random gliding of TMO</w:t>
      </w:r>
      <w:r>
        <w:rPr>
          <w:vertAlign w:val="subscript"/>
        </w:rPr>
        <w:t>2</w:t>
      </w:r>
      <w:r>
        <w:t>layers yielding Li</w:t>
      </w:r>
      <w:r>
        <w:t xml:space="preserve"> </w:t>
      </w:r>
      <w:r>
        <w:t>0.66</w:t>
      </w:r>
      <w:r>
        <w:t xml:space="preserve"> </w:t>
      </w:r>
      <w:r>
        <w:t>[Li</w:t>
      </w:r>
      <w:r>
        <w:t xml:space="preserve"> </w:t>
      </w:r>
      <w:r>
        <w:t>0.22</w:t>
      </w:r>
      <w:r>
        <w:t xml:space="preserve"> </w:t>
      </w:r>
      <w:r>
        <w:t>TM</w:t>
      </w:r>
      <w:r>
        <w:t xml:space="preserve"> </w:t>
      </w:r>
      <w:r>
        <w:t>0.78</w:t>
      </w:r>
      <w:r>
        <w:t xml:space="preserve"> </w:t>
      </w:r>
      <w:r>
        <w:t>]O</w:t>
      </w:r>
      <w:r>
        <w:rPr>
          <w:vertAlign w:val="subscript"/>
        </w:rPr>
        <w:t>2</w:t>
      </w:r>
      <w:r>
        <w:t>with O2/O6 intergrowth structure. Despite the random gliding, the functional face‐shared configuration is successfully obtained and proven to effectively restrict interlayer migration of Li</w:t>
      </w:r>
      <w:r>
        <w:t xml:space="preserve"> </w:t>
      </w:r>
      <w:r>
        <w:t>[TM]</w:t>
      </w:r>
      <w:r>
        <w:t xml:space="preserve"> </w:t>
      </w:r>
      <w:r>
        <w:t>during charging. Consequently, we observe the suppressed formation of aggregated vacancies and O–O dimers within the TM layers. Ultimately, our synthesized O2/O6 Li‐excess demonstrates enhanced structural reversibility and improved capacity/voltage retention. This oxygen‐stacking engineering provides a compelling strategy for developing cathodes with enhanced local structural reversibility.</w:t>
      </w:r>
    </w:p>
    <w:p>
      <w:pPr>
        <w:spacing w:before="120" w:after="120"/>
      </w:pPr>
      <w:r>
        <w:rPr>
          <w:sz w:val="18"/>
        </w:rPr>
        <w:t>——————————————————————————————————————————————————————————————————————</w:t>
      </w:r>
    </w:p>
    <w:p>
      <w:pPr>
        <w:spacing w:before="160" w:after="40" w:line="240" w:lineRule="auto"/>
      </w:pPr>
      <w:r>
        <w:rPr>
          <w:b/>
        </w:rPr>
        <w:t xml:space="preserve">[12] </w:t>
      </w:r>
      <w:hyperlink r:id="rId55">
        <w:r>
          <w:rPr>
            <w:color w:val="1155CC"/>
            <w:u w:val="single"/>
          </w:rPr>
          <w:t>通过自抑制机制打破锌钒氧化物电池的级联溶解循环</w:t>
        </w:r>
      </w:hyperlink>
    </w:p>
    <w:p>
      <w:pPr>
        <w:spacing w:before="0" w:after="80"/>
      </w:pPr>
      <w:r>
        <w:rPr>
          <w:i/>
          <w:sz w:val="20"/>
        </w:rPr>
        <w:t>EN: Breaking the Cascade Dissolution Loop through Self-inhibition Mechanism for Zinc Vanadium Oxide Battery</w:t>
      </w:r>
    </w:p>
    <w:p>
      <w:pPr>
        <w:spacing w:before="0" w:after="120"/>
      </w:pPr>
      <w:r>
        <w:rPr>
          <w:b/>
        </w:rPr>
        <w:t xml:space="preserve">Source: </w:t>
      </w:r>
      <w:r>
        <w:t>RSC - Energy Environ. Sci. latest articles</w:t>
      </w:r>
      <w:r>
        <w:t xml:space="preserve">    </w:t>
      </w:r>
      <w:r>
        <w:rPr>
          <w:b/>
        </w:rPr>
        <w:t xml:space="preserve">Pub date: </w:t>
      </w:r>
      <w:r>
        <w:t>2026-05-13 23:00:00+00:00</w:t>
      </w:r>
    </w:p>
    <w:p>
      <w:pPr>
        <w:spacing w:before="0" w:after="120"/>
      </w:pPr>
      <w:r>
        <w:rPr>
          <w:b/>
        </w:rPr>
        <w:t xml:space="preserve">Notes: </w:t>
      </w:r>
      <w:r>
        <w:t>abstract_source=rsc_html</w:t>
      </w:r>
    </w:p>
    <w:p>
      <w:pPr>
        <w:spacing w:before="0" w:after="80" w:lineRule="auto" w:line="276"/>
      </w:pPr>
      <w:r>
        <w:rPr>
          <w:b/>
        </w:rPr>
        <w:t xml:space="preserve">摘要（ZH）: </w:t>
      </w:r>
      <w:r>
        <w:t>由于增强V-O键的支柱效应，外来物种预嵌入锌钒氧化物电池阴极已被成功证明。在此，我们挑战这一说法，并提出通过Ca2+预嵌入来打破钒酸盐阴极溶解级联循环的锌钒氧化物电池中阴极溶解的自抑制机制。借助最先进的3D电子显微重建技术，在纳米尺度上识别出电极表面不溶性钙钒酸盐（CaV2O6·2H2O）物种的微小但关键的中间相。在Ca-VO2的初始溶解中，会释放Ca2+和钒离子，而Ca2+作为溶液抑制剂与钒离子共沉淀形成保护层，以防止钒氧化物阴极的进一步溶解。结果表明，在0.1 A g-1下超过140个循环和在30 A g-1下16500个循环时表现出超高的循环稳定性。特别是在20 mg cm-2的高质量负载下，Ca-VO2阴极在0.1 A g-1下产生8.11 mAh cm-2的高面积容量。作为实际应用的示范，Ah级袋式电池在0.5 A g-1下200个循环中提供平均容量1.15 Ah。这项工作为预嵌入Ca2+在缓解钒溶解中的作用提供了新的见解，为开发超稳定的AZIBs阴极铺平了道路。</w:t>
      </w:r>
    </w:p>
    <w:p>
      <w:pPr>
        <w:spacing w:before="0" w:after="200" w:lineRule="auto" w:line="276"/>
      </w:pPr>
      <w:r>
        <w:rPr>
          <w:b/>
        </w:rPr>
        <w:t xml:space="preserve">Abstract (EN): </w:t>
      </w:r>
      <w:r>
        <w:t>The pre-intercalation of foreign species into zinc-vanadium oxides battery cathode has been successfully demonstrated due to the pillar effect to enhance the V-O bond. Here, we challenge this claim and propose the self-inhibition mechanism of cathode dissolution in zinc-vanadium oxides battery through pre-intercalation of Ca2+ to break the cascade dissolution loop of vanadate cathode. With the help of the state-of-the-art 3D electron microscopic reconstruction technique, the minor while key intermediate phase of insoluble calcium vanadate (CaV2O6·2H2O) species is identified on the surface of the electrode at nanometer scale. In the initial dissolution of Ca-VO2 would release both Ca2+ and vanadium ions, while Ca2+ act as solution inhibitor to co-precipitate vanadium ions as protective layer to prevent further dissolution of vanadium oxide cathode. As a result, it exhibits ultrahigh cycling stabilities for over 140 cycles at 0.1 A g-1 and 16500 cycles at 30 A g-1. Particularly in high mass loading of 20 mg cm-2, the Ca-VO2 cathode yields a high areal capacity of 8.11 mAh cm-2 at 0.1 A g-1. As a demonstration of the practical applications, an Ah-level pouch cell delivers an average capacity of 1.15 Ah over 200 cycles at 0.5 A g-1. This work provides new insights into the role of pre-intercalated Ca2+ in mitigating vanadium dissolution, paving the way for the development of ultra stable cathodes in AZIBs.</w:t>
      </w:r>
    </w:p>
    <w:p>
      <w:pPr>
        <w:spacing w:before="120" w:after="120"/>
      </w:pPr>
      <w:r>
        <w:rPr>
          <w:sz w:val="18"/>
        </w:rPr>
        <w:t>——————————————————————————————————————————————————————————————————————</w:t>
      </w:r>
    </w:p>
    <w:p>
      <w:pPr>
        <w:spacing w:before="160" w:after="40" w:line="240" w:lineRule="auto"/>
      </w:pPr>
      <w:r>
        <w:rPr>
          <w:b/>
        </w:rPr>
        <w:t xml:space="preserve">[13] </w:t>
      </w:r>
      <w:hyperlink r:id="rId56">
        <w:r>
          <w:rPr>
            <w:color w:val="1155CC"/>
            <w:u w:val="single"/>
          </w:rPr>
          <w:t>生成同构中间体克服合成障碍以实现LiFePO4电池阴极的可扩展直接升级回收</w:t>
        </w:r>
      </w:hyperlink>
    </w:p>
    <w:p>
      <w:pPr>
        <w:spacing w:before="0" w:after="80"/>
      </w:pPr>
      <w:r>
        <w:rPr>
          <w:i/>
          <w:sz w:val="20"/>
        </w:rPr>
        <w:t>EN: Generating isomorphous intermediates overcomes synthesis barriers for scalable direct upcycling of LiFePO4 battery cathodes</w:t>
      </w:r>
    </w:p>
    <w:p>
      <w:pPr>
        <w:spacing w:before="0" w:after="120"/>
      </w:pPr>
      <w:r>
        <w:rPr>
          <w:b/>
        </w:rPr>
        <w:t xml:space="preserve">Source: </w:t>
      </w:r>
      <w:r>
        <w:t>Joule</w:t>
      </w:r>
      <w:r>
        <w:t xml:space="preserve">    </w:t>
      </w:r>
      <w:r>
        <w:rPr>
          <w:b/>
        </w:rPr>
        <w:t xml:space="preserve">Pub date: </w:t>
      </w:r>
      <w:r>
        <w:t>2026-05-14 00:00:00+00:00</w:t>
      </w:r>
      <w:r>
        <w:t xml:space="preserve">    </w:t>
      </w:r>
      <w:r>
        <w:rPr>
          <w:b/>
        </w:rPr>
        <w:t xml:space="preserve">DOI: </w:t>
      </w:r>
      <w:hyperlink r:id="rId57">
        <w:r>
          <w:rPr>
            <w:color w:val="1155CC"/>
            <w:u w:val="single"/>
          </w:rPr>
          <w:t>10.1016/j.joule.2026.102474</w:t>
        </w:r>
      </w:hyperlink>
    </w:p>
    <w:p>
      <w:pPr>
        <w:spacing w:before="0" w:after="120"/>
      </w:pPr>
      <w:r>
        <w:rPr>
          <w:b/>
        </w:rPr>
        <w:t xml:space="preserve">Notes: </w:t>
      </w:r>
      <w:r>
        <w:t>abstract_source=rss_cell</w:t>
      </w:r>
    </w:p>
    <w:p>
      <w:pPr>
        <w:spacing w:before="0" w:after="80" w:lineRule="auto" w:line="276"/>
      </w:pPr>
      <w:r>
        <w:rPr>
          <w:b/>
        </w:rPr>
        <w:t xml:space="preserve">摘要（ZH）: </w:t>
      </w:r>
      <w:r>
        <w:t>我们提出了一种直接的固态升级策略，将废弃的LiFePO4转化为高能量的LiMnxFe1−xPO4正极。采用同构中间体克服固有的动力学和相分离障碍，实现原子级均匀性，并提高工作电压和循环稳定性。在千克级验证中，这种溶剂最小化的工艺大幅减少了废水产生和成本，提供了一种工业兼容的闭环路径，为升级废弃正极材料建立了通用框架。</w:t>
      </w:r>
    </w:p>
    <w:p>
      <w:pPr>
        <w:spacing w:before="0" w:after="200" w:lineRule="auto" w:line="276"/>
      </w:pPr>
      <w:r>
        <w:rPr>
          <w:b/>
        </w:rPr>
        <w:t xml:space="preserve">Abstract (EN): </w:t>
      </w:r>
      <w:r>
        <w:t>We present a direct solid-state upcycling strategy that converts spent LiFePO4 into high-energy LiMnxFe1−xPO4 cathodes. An isomorphous intermediate is employed to overcome intrinsic kinetic and phase-segregation barriers, enabling atomic-scale homogeneity with enhanced operating voltage and cycling stability. Validated at the kilogram scale, this solvent-minimal process drastically reduces wastewater generation and costs, offering an industrially compatible closed-loop pathway that establishes a general framework for upgrading spent cathode materials.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58">
        <w:r>
          <w:rPr>
            <w:color w:val="1155CC"/>
            <w:u w:val="single"/>
          </w:rPr>
          <w:t>钠离子电池材料的可靠评估：消除钠金属失真</w:t>
        </w:r>
      </w:hyperlink>
    </w:p>
    <w:p>
      <w:pPr>
        <w:spacing w:before="0" w:after="80"/>
      </w:pPr>
      <w:r>
        <w:rPr>
          <w:i/>
          <w:sz w:val="20"/>
        </w:rPr>
        <w:t>EN: Reliable Evaluation of Na‐Ion Battery Materials: Eliminating Na‐Metal Distortions</w:t>
      </w:r>
    </w:p>
    <w:p>
      <w:pPr>
        <w:spacing w:before="0" w:after="120"/>
      </w:pPr>
      <w:r>
        <w:rPr>
          <w:b/>
        </w:rPr>
        <w:t xml:space="preserve">Source: </w:t>
      </w:r>
      <w:r>
        <w:t>Wiley: Advanced Energy Materials: Table of Contents</w:t>
      </w:r>
      <w:r>
        <w:t xml:space="preserve">    </w:t>
      </w:r>
      <w:r>
        <w:rPr>
          <w:b/>
        </w:rPr>
        <w:t xml:space="preserve">Pub date: </w:t>
      </w:r>
      <w:r>
        <w:t>2026-05-11 07:24:59+00:00</w:t>
      </w:r>
      <w:r>
        <w:t xml:space="preserve">    </w:t>
      </w:r>
      <w:r>
        <w:rPr>
          <w:b/>
        </w:rPr>
        <w:t xml:space="preserve">DOI: </w:t>
      </w:r>
      <w:hyperlink r:id="rId59">
        <w:r>
          <w:rPr>
            <w:color w:val="1155CC"/>
            <w:u w:val="single"/>
          </w:rPr>
          <w:t>10.1002/aenm.71044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a离子电池作为一种具有成本效益、可扩展性和可持续性的能源存储解决方案，正在获得动力，以整合可再生能源并促进广泛的电气化。为了加速其发展，已经使用半电池配置和Na金属对电极进行了广泛的电极和电解质材料研究，这种做法继承自锂离子电池研究。然而，这种常规评估必须被批判性地重新考虑，因为Na金属的高反应性导致与电解质的持续寄生反应，破坏了可重复性并扭曲了关键的电化学指标，如容量、库仑效率、循环稳定性和界面电阻，从而最终误导了材料和电池设计。为了解决这一严重问题，通过采用NASICON（Na超离子导体）型对电极建立了一种简单可靠的评估协议，有效消除了Na金属引起的伪影。这项工作为标准化测试提供了基础，使得精确的材料筛选、定量基准测试和Na离子电池技术的知情进步成为可能。</w:t>
      </w:r>
    </w:p>
    <w:p>
      <w:pPr>
        <w:spacing w:before="0" w:after="200" w:lineRule="auto" w:line="276"/>
      </w:pPr>
      <w:r>
        <w:rPr>
          <w:b/>
        </w:rPr>
        <w:t xml:space="preserve">Abstract (EN): </w:t>
      </w:r>
      <w:r>
        <w:t>Na‐ion batteries are gaining momentum as a cost‐effective, scalable, and sustainable energy storage solution for integrating renewable energy and promoting widespread electrification. To accelerate their development, extensive research on electrode and electrolyte materials has been conducted using half‐cell configurations with a Na metal counter electrode, following a practice inherited from Li‐ion battery studies. However, this routine evaluation must be critically reconsidered, because the high reactivity of Na metal drives continuous parasitic reactions with electrolytes, undermining reproducibility and distorting key electrochemical indicators such as capacity, Coulombic efficiency, cycling stability, and interphase resistance, thereby ultimately misguiding material and cell design. To overcome this severe issue, a simple and reliable evaluation protocol is established by employing NASICON (Na Super Ionic Conductor)‐type counter electrodes, which effectively eliminates Na metal‐induced artifacts. This work provides a foundation for standardized testing, enabling precise material screening, quantitative benchmarking, and informed advancement of Na‐ion battery technologies.</w:t>
      </w:r>
    </w:p>
    <w:p>
      <w:pPr>
        <w:spacing w:before="120" w:after="120"/>
      </w:pPr>
      <w:r>
        <w:rPr>
          <w:sz w:val="18"/>
        </w:rPr>
        <w:t>——————————————————————————————————————————————————————————————————————</w:t>
      </w:r>
    </w:p>
    <w:p>
      <w:pPr>
        <w:spacing w:before="160" w:after="40" w:line="240" w:lineRule="auto"/>
      </w:pPr>
      <w:r>
        <w:rPr>
          <w:b/>
        </w:rPr>
        <w:t xml:space="preserve">[2] </w:t>
      </w:r>
      <w:hyperlink r:id="rId60">
        <w:r>
          <w:rPr>
            <w:color w:val="1155CC"/>
            <w:u w:val="single"/>
          </w:rPr>
          <w:t>通过耦合电化学-热激活解锁二氧化钛的表面钠化阈值</w:t>
        </w:r>
      </w:hyperlink>
    </w:p>
    <w:p>
      <w:pPr>
        <w:spacing w:before="0" w:after="80"/>
      </w:pPr>
      <w:r>
        <w:rPr>
          <w:i/>
          <w:sz w:val="20"/>
        </w:rPr>
        <w:t>EN: Unlocking Surface Sodiation Threshold of Titanium Dioxide via Coupled Electrochemical‐Thermal Activation</w:t>
      </w:r>
    </w:p>
    <w:p>
      <w:pPr>
        <w:spacing w:before="0" w:after="120"/>
      </w:pPr>
      <w:r>
        <w:rPr>
          <w:b/>
        </w:rPr>
        <w:t xml:space="preserve">Source: </w:t>
      </w:r>
      <w:r>
        <w:t>Wiley: Angewandte Chemie International Edition: Table of Contents</w:t>
      </w:r>
      <w:r>
        <w:t xml:space="preserve">    </w:t>
      </w:r>
      <w:r>
        <w:rPr>
          <w:b/>
        </w:rPr>
        <w:t xml:space="preserve">Pub date: </w:t>
      </w:r>
      <w:r>
        <w:t>2026-05-11 07:47:24+00:00</w:t>
      </w:r>
      <w:r>
        <w:t xml:space="preserve">    </w:t>
      </w:r>
      <w:r>
        <w:rPr>
          <w:b/>
        </w:rPr>
        <w:t xml:space="preserve">DOI: </w:t>
      </w:r>
      <w:hyperlink r:id="rId61">
        <w:r>
          <w:rPr>
            <w:color w:val="1155CC"/>
            <w:u w:val="single"/>
          </w:rPr>
          <w:t>10.1002/anie.4368463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钛酸钛阳极用于钠离子电池，在薄表面层中经历从晶体到活性无定形相的电化学诱导相变，导致表面依赖的容量。这种有限活性层的起源尚不清楚。在此，我们揭示了在初始钠化过程中无定形|晶体边界的缓慢移动决定了表面活性层的厚度。为了解锁表面钠化阈值，我们提出了一种耦合电化学-热激活协议，以促进在初始循环期间无定形|晶体边界的连续移动，从而永久增加可逆钠化容量。经过电化学-热激活后，锐钛矿TiO</w:t>
      </w:r>
      <w:r>
        <w:rPr>
          <w:vertAlign w:val="subscript"/>
        </w:rPr>
        <w:t>2</w:t>
      </w:r>
      <w:r>
        <w:t>-35 nm阳极的容量从116增加到190 mAh g</w:t>
      </w:r>
      <w:r>
        <w:t xml:space="preserve"> </w:t>
      </w:r>
      <w:r>
        <w:t>−1</w:t>
      </w:r>
      <w:r>
        <w:t xml:space="preserve"> </w:t>
      </w:r>
      <w:r>
        <w:t>在0.1 A g</w:t>
      </w:r>
      <w:r>
        <w:t xml:space="preserve"> </w:t>
      </w:r>
      <w:r>
        <w:t>−1</w:t>
      </w:r>
      <w:r>
        <w:t xml:space="preserve"> </w:t>
      </w:r>
      <w:r>
        <w:t>，伴随着其高倍率能力和长期循环性。电化学-热激活对于提高金红石TiO</w:t>
      </w:r>
      <w:r>
        <w:rPr>
          <w:vertAlign w:val="subscript"/>
        </w:rPr>
        <w:t>2</w:t>
      </w:r>
      <w:r>
        <w:t>阳极的Li</w:t>
      </w:r>
      <w:r>
        <w:t xml:space="preserve"> </w:t>
      </w:r>
      <w:r>
        <w:t>+</w:t>
      </w:r>
      <w:r>
        <w:t xml:space="preserve"> </w:t>
      </w:r>
      <w:r>
        <w:t>/Na</w:t>
      </w:r>
      <w:r>
        <w:t xml:space="preserve"> </w:t>
      </w:r>
      <w:r>
        <w:t>+</w:t>
      </w:r>
      <w:r>
        <w:t xml:space="preserve"> </w:t>
      </w:r>
      <w:r>
        <w:t>存储容量也有效。这项工作为增强电化学诱导的不可逆相变提供了一条途径，具有增强的电荷存储性能。</w:t>
      </w:r>
    </w:p>
    <w:p>
      <w:pPr>
        <w:spacing w:before="0" w:after="200" w:lineRule="auto" w:line="276"/>
      </w:pPr>
      <w:r>
        <w:rPr>
          <w:b/>
        </w:rPr>
        <w:t xml:space="preserve">Abstract (EN): </w:t>
      </w:r>
      <w:r>
        <w:t>Titanium dioxide anodes for sodium‐ion batteries undergo an electrochemically‐induced phase transformation from crystalline to active amorphous phase in a thin surface layer, resulting in surface‐dependent capacities. The origins of this limited active layer remain unclear. Herein, we reveal that the sluggish movement of the amorphous|crystalline boundary during initial sodiation determines the thickness of the surface‐active layer. To unlock surface sodiation threshold, we propose a coupled electrochemical‐thermal activation protocol to promote the continuous movement of the amorphous|crystalline boundary during the initial cycle, thereby permanently increasing the reversible sodiation capacity. The anatase TiO</w:t>
      </w:r>
      <w:r>
        <w:rPr>
          <w:vertAlign w:val="subscript"/>
        </w:rPr>
        <w:t>2</w:t>
      </w:r>
      <w:r>
        <w:t>‐35 nm anode delivers an enhanced capacity from 116 to 190 mAh g</w:t>
      </w:r>
      <w:r>
        <w:t xml:space="preserve"> </w:t>
      </w:r>
      <w:r>
        <w:t>−1</w:t>
      </w:r>
      <w:r>
        <w:t xml:space="preserve"> </w:t>
      </w:r>
      <w:r>
        <w:t>at 0.1 A g</w:t>
      </w:r>
      <w:r>
        <w:t xml:space="preserve"> </w:t>
      </w:r>
      <w:r>
        <w:t>−1</w:t>
      </w:r>
      <w:r>
        <w:t xml:space="preserve"> </w:t>
      </w:r>
      <w:r>
        <w:t>after electrochemical‐thermal activation, accompanied by its high‐rate capability and long‐term cyclability. The electrochemical‐thermal activation is also efficient for enhancing the Li</w:t>
      </w:r>
      <w:r>
        <w:t xml:space="preserve"> </w:t>
      </w:r>
      <w:r>
        <w:t>+</w:t>
      </w:r>
      <w:r>
        <w:t xml:space="preserve"> </w:t>
      </w:r>
      <w:r>
        <w:t>/Na</w:t>
      </w:r>
      <w:r>
        <w:t xml:space="preserve"> </w:t>
      </w:r>
      <w:r>
        <w:t>+</w:t>
      </w:r>
      <w:r>
        <w:t xml:space="preserve"> </w:t>
      </w:r>
      <w:r>
        <w:t>storage capacities of rutile TiO</w:t>
      </w:r>
      <w:r>
        <w:rPr>
          <w:vertAlign w:val="subscript"/>
        </w:rPr>
        <w:t>2</w:t>
      </w:r>
      <w:r>
        <w:t>anodes. This work opens a pathway for enhancing electrochemically‐induced irreversible phase transformations with enhanced charge storage performance.</w:t>
      </w:r>
    </w:p>
    <w:p>
      <w:pPr>
        <w:spacing w:before="120" w:after="120"/>
      </w:pPr>
      <w:r>
        <w:rPr>
          <w:sz w:val="18"/>
        </w:rPr>
        <w:t>——————————————————————————————————————————————————————————————————————</w:t>
      </w:r>
    </w:p>
    <w:p>
      <w:pPr>
        <w:spacing w:before="160" w:after="40" w:line="240" w:lineRule="auto"/>
      </w:pPr>
      <w:r>
        <w:rPr>
          <w:b/>
        </w:rPr>
        <w:t xml:space="preserve">[3] </w:t>
      </w:r>
      <w:hyperlink r:id="rId46">
        <w:r>
          <w:rPr>
            <w:color w:val="1155CC"/>
            <w:u w:val="single"/>
          </w:rPr>
          <w:t>大孔介孔共价有机框架通过动力学介导的胶束组装用于水系电池的快速离子筛</w:t>
        </w:r>
      </w:hyperlink>
    </w:p>
    <w:p>
      <w:pPr>
        <w:spacing w:before="0" w:after="80"/>
      </w:pPr>
      <w:r>
        <w:rPr>
          <w:i/>
          <w:sz w:val="20"/>
        </w:rPr>
        <w:t>EN: Large-Pore Mesoporous Covalent Organic Frameworks Fast Ion Sieves by Kinetics-Mediated Micelle Assembly for Aqueous Batteries</w:t>
      </w:r>
    </w:p>
    <w:p>
      <w:pPr>
        <w:spacing w:before="0" w:after="120"/>
      </w:pPr>
      <w:r>
        <w:rPr>
          <w:b/>
        </w:rPr>
        <w:t xml:space="preserve">Source: </w:t>
      </w:r>
      <w:r>
        <w:t>RSC - Energy Environ. Sci. latest articles</w:t>
      </w:r>
      <w:r>
        <w:t xml:space="preserve">    </w:t>
      </w:r>
      <w:r>
        <w:rPr>
          <w:b/>
        </w:rPr>
        <w:t xml:space="preserve">Pub date: </w:t>
      </w:r>
      <w:r>
        <w:t>2026-05-11 23:00:00+00:00</w:t>
      </w:r>
    </w:p>
    <w:p>
      <w:pPr>
        <w:spacing w:before="0" w:after="120"/>
      </w:pPr>
      <w:r>
        <w:rPr>
          <w:b/>
        </w:rPr>
        <w:t xml:space="preserve">Notes: </w:t>
      </w:r>
      <w:r>
        <w:t>abstract_source=rsc_html</w:t>
      </w:r>
    </w:p>
    <w:p>
      <w:pPr>
        <w:spacing w:before="0" w:after="80" w:lineRule="auto" w:line="276"/>
      </w:pPr>
      <w:r>
        <w:rPr>
          <w:b/>
        </w:rPr>
        <w:t xml:space="preserve">摘要（ZH）: </w:t>
      </w:r>
      <w:r>
        <w:t>开发具有促进均匀Zn2+沉积和排斥多碘化物的功能基团的离子选择性界面对于稳定的Zn–I2电池是有前景的。共价有机框架（COFs）由于其可编程的骨架和可调节的功能基团而在这种设计中具有吸引力，但其主要的微孔性锁定了活性位点，阻碍了应用。在此，我们建立了一种动力学介导的胶束组装策略，用于可控合成MesoCOF纳米球，并构建了第一个具有多样成分（5种类型）、介相（球形、树枝状、核桃状）、孔径（15.8–21.6 nm）和粒径（60–390 nm）的MesoCOFs库。该方法将反应动力学调整到非经典生长机制，抑制COF前体的自生长，并实现与胶束的协同组装，这已通过动力学分析得到证实。这种多功能合成方法实现了一种基于乙烯连接的MesoCOF快速离子筛。原位分析和理论计算表明，大的介孔解锁了三嗪位点，加速了Zn2+脱溶剂化，均匀化离子通量，并阻止多碘化物穿梭。因此，MesoCOF涂层的Zn阳极在5 mA cm‒2下实现了超过2700小时的稳定Zn镀/剥离，Zn–I2全电池在0.1 A g‒1下经过550次循环后保持95%的容量。这项工作开创了MesoCOF设计的新范式，释放了其在无枝晶和无穿梭能量存储中的潜力。</w:t>
      </w:r>
    </w:p>
    <w:p>
      <w:pPr>
        <w:spacing w:before="0" w:after="200" w:lineRule="auto" w:line="276"/>
      </w:pPr>
      <w:r>
        <w:rPr>
          <w:b/>
        </w:rPr>
        <w:t xml:space="preserve">Abstract (EN): </w:t>
      </w:r>
      <w:r>
        <w:t>Developing ion-selective interphases with functional groups that promote uniform Zn2+ deposition and repel polyiodides is promising for stable Zn–I2 batteries. Covalent organic frameworks (COFs) are compelling for such design owing to their programmable skeletons and tunable functional moieties, but their predominant microporosity locks active sites, impeding application. Herein, we establish a kinetics-mediated micelle assembly strategy for the controllable synthesis of MesoCOF nanospheres and construct the first MesoCOFs library with diverse components (5 types), mesophases (spherical, dendritic, walnut-like), pore sizes (15.8–21.6 nm), and particle diameters (60–390 nm). This approach adjusts reaction kinetics into the non-classical growth regime, suppressing self-growth of COF precursors and enabling cooperative assembly with micelles, as confirmed by kinetics analysis. This versatile synthesis enables an ethylene-linked MesoCOF-based fast ion-sieve. In-situ analyses and theoretical calculations reveal that the large mesopores unlock triazine sites, accelerating Zn2+ desolvation, homogenizing ionic flux, and blocking polyiodide shuttling. Consequently, the MesoCOF-coated Zn anode enables stable Zn plating/stripping for over 2700 h at 5 mA cm‒2, and Zn–I2 full cells deliver outstanding cycling stability with 95% capacity retention over 550 cycles at 0.1 A g‒1. This work heralds a new paradigm for MesoCOF design, unlocking their potential for dendrite- and shuttle-free energy storage.</w:t>
      </w:r>
    </w:p>
    <w:p>
      <w:pPr>
        <w:spacing w:before="120" w:after="120"/>
      </w:pPr>
      <w:r>
        <w:rPr>
          <w:sz w:val="18"/>
        </w:rPr>
        <w:t>——————————————————————————————————————————————————————————————————————</w:t>
      </w:r>
    </w:p>
    <w:p>
      <w:pPr>
        <w:spacing w:before="160" w:after="40" w:line="240" w:lineRule="auto"/>
      </w:pPr>
      <w:r>
        <w:rPr>
          <w:b/>
        </w:rPr>
        <w:t xml:space="preserve">[4] </w:t>
      </w:r>
      <w:hyperlink r:id="rId62">
        <w:r>
          <w:rPr>
            <w:color w:val="1155CC"/>
            <w:u w:val="single"/>
          </w:rPr>
          <w:t>理解亲锌性与氢演化之间的权衡：迈向超稳定水系锌金属电池</w:t>
        </w:r>
      </w:hyperlink>
    </w:p>
    <w:p>
      <w:pPr>
        <w:spacing w:before="0" w:after="80"/>
      </w:pPr>
      <w:r>
        <w:rPr>
          <w:i/>
          <w:sz w:val="20"/>
        </w:rPr>
        <w:t>EN: Understanding Trade‐Off Between Zincophilicity and Hydrogen‐Evolution: Toward Ultra‐Stable Aqueous Zinc Metal Batteries</w:t>
      </w:r>
    </w:p>
    <w:p>
      <w:pPr>
        <w:spacing w:before="0" w:after="120"/>
      </w:pPr>
      <w:r>
        <w:rPr>
          <w:b/>
        </w:rPr>
        <w:t xml:space="preserve">Source: </w:t>
      </w:r>
      <w:r>
        <w:t>Wiley: Advanced Energy Materials: Table of Contents</w:t>
      </w:r>
      <w:r>
        <w:t xml:space="preserve">    </w:t>
      </w:r>
      <w:r>
        <w:rPr>
          <w:b/>
        </w:rPr>
        <w:t xml:space="preserve">Pub date: </w:t>
      </w:r>
      <w:r>
        <w:t>2026-05-12 07:38:43+00:00</w:t>
      </w:r>
      <w:r>
        <w:t xml:space="preserve">    </w:t>
      </w:r>
      <w:r>
        <w:rPr>
          <w:b/>
        </w:rPr>
        <w:t xml:space="preserve">DOI: </w:t>
      </w:r>
      <w:hyperlink r:id="rId63">
        <w:r>
          <w:rPr>
            <w:color w:val="1155CC"/>
            <w:u w:val="single"/>
          </w:rPr>
          <w:t>10.1002/aenm.71056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稳健的锌阳极的发展通常受到锌亲和性与抑制析氢反应（HER）之间热力学权衡的限制。在此，本文提出了一种简便的一步热解策略，利用金属离子吸附的金属有机框架（MOF）前体构建一系列包裹在氮掺杂碳泡沫中的锌金属合金（ZnM@NCF）。理论模拟和实验验证表明，ZnBi@NCF层独特地优化了源自电荷转移线性标度关系的权衡，实现了强锌相互作用以实现均匀沉积和最小化氢相互作用以抑制HER的最佳平衡。此外，导电的N掺杂框架和刚性疏水结构提供了协同的电化学调控和物理保护。因此，优化的ZnBi@NCF阳极表现出优越的稳定性，在超高电流密度80 mA cm−2下持续超过3600个循环，库仑效率为99.9%。对称电池表现出填充型锌沉积行为，并能承受85.7%的深度放电。该工作阐明了表面吸附的内在竞争，并为设计高稳定性水系电池金属阳极提供了新途径。</w:t>
      </w:r>
    </w:p>
    <w:p>
      <w:pPr>
        <w:spacing w:before="0" w:after="200" w:lineRule="auto" w:line="276"/>
      </w:pPr>
      <w:r>
        <w:rPr>
          <w:b/>
        </w:rPr>
        <w:t xml:space="preserve">Abstract (EN): </w:t>
      </w:r>
      <w:r>
        <w:t>The development of robust Zn anodes is often constrained by the thermodynamic trade‐off between zincophilicity and hydrogen evolution reaction (HER) suppression. Herein, this work proposes a facile one‐step pyrolysis strategy utilizing metal‐ion‐adsorbed metal organic framework (MOF) precursors to construct a series of Zn metal alloys encapsulated in nitrogen‐doped carbon foams (ZnM@NCF). Theoretical simulations and experimental verifications demonstrate that the ZnBi@NCF layer uniquely optimizes the trade‐off derived from the linear scaling relationship of charge transfer, achieving an optimal balance between strong Zn interactions for uniform deposition and minimized H interactions for HER suppression. Furthermore, the conductive N‐doped framework and rigid hydrophobic structure provide synergistic electrochemical regulation and physical protection. Consequently, the optimized ZnBi@NCF anode exhibits superior stability, sustaining over 3600 cycles at an ultrahigh current density of 80 mA cm</w:t>
      </w:r>
      <w:r>
        <w:t xml:space="preserve"> </w:t>
      </w:r>
      <w:r>
        <w:t>−2</w:t>
      </w:r>
      <w:r>
        <w:t xml:space="preserve"> </w:t>
      </w:r>
      <w:r>
        <w:t>with a Coulombic efficiency of 99.9%. Symmetric cells exhibit filling‐type Zn deposition behavior and can withstand a deep discharge of 85.7%. This work elucidates the intrinsic competition in surface adsorption and provides a new avenue for the design of highly stable metal anodes in aqueous batteries.</w:t>
      </w:r>
    </w:p>
    <w:p>
      <w:pPr>
        <w:spacing w:before="120" w:after="120"/>
      </w:pPr>
      <w:r>
        <w:rPr>
          <w:sz w:val="18"/>
        </w:rPr>
        <w:t>——————————————————————————————————————————————————————————————————————</w:t>
      </w:r>
    </w:p>
    <w:p>
      <w:pPr>
        <w:spacing w:before="160" w:after="40" w:line="240" w:lineRule="auto"/>
      </w:pPr>
      <w:r>
        <w:rPr>
          <w:b/>
        </w:rPr>
        <w:t xml:space="preserve">[5] </w:t>
      </w:r>
      <w:hyperlink r:id="rId64">
        <w:r>
          <w:rPr>
            <w:color w:val="1155CC"/>
            <w:u w:val="single"/>
          </w:rPr>
          <w:t>硫化物固态电池的硅基负极：失效机制和多尺度设计策略</w:t>
        </w:r>
      </w:hyperlink>
    </w:p>
    <w:p>
      <w:pPr>
        <w:spacing w:before="0" w:after="80"/>
      </w:pPr>
      <w:r>
        <w:rPr>
          <w:i/>
          <w:sz w:val="20"/>
        </w:rPr>
        <w:t>EN: Silicon‐Based Anodes for Sulfide Solid‐State Batteries: Failure Mechanisms and Multiscale Design Strategies</w:t>
      </w:r>
    </w:p>
    <w:p>
      <w:pPr>
        <w:spacing w:before="0" w:after="120"/>
      </w:pPr>
      <w:r>
        <w:rPr>
          <w:b/>
        </w:rPr>
        <w:t xml:space="preserve">Source: </w:t>
      </w:r>
      <w:r>
        <w:t>Wiley: Advanced Energy Materials: Table of Contents</w:t>
      </w:r>
      <w:r>
        <w:t xml:space="preserve">    </w:t>
      </w:r>
      <w:r>
        <w:rPr>
          <w:b/>
        </w:rPr>
        <w:t xml:space="preserve">Pub date: </w:t>
      </w:r>
      <w:r>
        <w:t>2026-05-12 07:39:39+00:00</w:t>
      </w:r>
      <w:r>
        <w:t xml:space="preserve">    </w:t>
      </w:r>
      <w:r>
        <w:rPr>
          <w:b/>
        </w:rPr>
        <w:t xml:space="preserve">DOI: </w:t>
      </w:r>
      <w:hyperlink r:id="rId65">
        <w:r>
          <w:rPr>
            <w:color w:val="1155CC"/>
            <w:u w:val="single"/>
          </w:rPr>
          <w:t>10.1002/aenm.71065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基于硅（Si）的固态电池（SSBs）研究迅速增长，引起了科学界的广泛关注。特别是，与硫化物固体电解质配对的硅阳极处于高能量密度的前沿，提供了提高安全性和循环寿命的途径。不幸的是，硅阳极由于大体积膨胀而导致的电化学降解和机械失效、界面不稳定性和结构粉碎化等问题。本文综述了Si基阳极的最新进展，并提出了通过材料、电极和电池级工程克服这些障碍的策略。此外，我们还简要讨论了硫化物固体电解质的类型、内在限制、提高其离子电导率的策略以及大规模生产和低成本的可扩展方法。本文还探讨了与硫化物电解质的阴极配对、内在材料和界面限制，并强调了与Si阳极兼容的高电压、高质量负载阴极的发展。最后，强调了原位和操作表征技术在阐明失效机制和指导合理电极和界面设计中的关键作用。所强调的研究重点作为路线图，提供了支持在这一动态领域中持续探索和进步的见解。</w:t>
      </w:r>
    </w:p>
    <w:p>
      <w:pPr>
        <w:spacing w:before="0" w:after="200" w:lineRule="auto" w:line="276"/>
      </w:pPr>
      <w:r>
        <w:rPr>
          <w:b/>
        </w:rPr>
        <w:t xml:space="preserve">Abstract (EN): </w:t>
      </w:r>
      <w:r>
        <w:t>Research on silicon (Si)‐based solid‐state batteries (SSBs) has grown rapidly in recent years, drawing considerable attention from the scientific community. Especially, Si‐anodes paired with sulfide solid electrolytes are at the forefront of high‐energy density, offering pathways to enhanced safety and cycle life. Unfortunately, silicon anodes suffer from intrinsically coupled electrochemical degradation and mechanical failure, interfacial instability, and structural pulverization driven by massive volumetric expansion. In this review, we comprehensively examine recent advances in Si‐based anode and propose strategies via material‐, electrode‐, and cell‐level engineering to overcome these obstacles. Furthermore, we also briefly discuss sulfide solid‐electrolyte types, intrinsic limitations, strategies to improve their ionic conductivity, and scalable methods for mass production and low cost. This review also explores cathode pairing, intrinsic material, and interfacial limitations with sulfide electrolytes, and highlights the development of high‐voltage, high‐mass‐loading cathodes compatible with Si anodes. Finally, in situ and operando characterization techniques are highlighted for their critical role in elucidating failure mechanisms and guiding rational electrode and interface design. The highlighted research priorities serve as a roadmap, offering insights to support continued exploration and advancement in this dynamic area.</w:t>
      </w:r>
    </w:p>
    <w:p>
      <w:pPr>
        <w:spacing w:before="120" w:after="120"/>
      </w:pPr>
      <w:r>
        <w:rPr>
          <w:sz w:val="18"/>
        </w:rPr>
        <w:t>——————————————————————————————————————————————————————————————————————</w:t>
      </w:r>
    </w:p>
    <w:p>
      <w:pPr>
        <w:spacing w:before="160" w:after="40" w:line="240" w:lineRule="auto"/>
      </w:pPr>
      <w:r>
        <w:rPr>
          <w:b/>
        </w:rPr>
        <w:t xml:space="preserve">[6] </w:t>
      </w:r>
      <w:hyperlink r:id="rId66">
        <w:r>
          <w:rPr>
            <w:color w:val="1155CC"/>
            <w:u w:val="single"/>
          </w:rPr>
          <w:t>不饱和酰胺化学实现超长循环锌阳极</w:t>
        </w:r>
      </w:hyperlink>
    </w:p>
    <w:p>
      <w:pPr>
        <w:spacing w:before="0" w:after="80"/>
      </w:pPr>
      <w:r>
        <w:rPr>
          <w:i/>
          <w:sz w:val="20"/>
        </w:rPr>
        <w:t>EN: Unsaturated Amide Chemistry Enables Ultralong‐Cycling Zn Anode</w:t>
      </w:r>
    </w:p>
    <w:p>
      <w:pPr>
        <w:spacing w:before="0" w:after="120"/>
      </w:pPr>
      <w:r>
        <w:rPr>
          <w:b/>
        </w:rPr>
        <w:t xml:space="preserve">Source: </w:t>
      </w:r>
      <w:r>
        <w:t>Wiley: Angewandte Chemie International Edition: Table of Contents</w:t>
      </w:r>
      <w:r>
        <w:t xml:space="preserve">    </w:t>
      </w:r>
      <w:r>
        <w:rPr>
          <w:b/>
        </w:rPr>
        <w:t xml:space="preserve">Pub date: </w:t>
      </w:r>
      <w:r>
        <w:t>2026-05-12 09:17:00+00:00</w:t>
      </w:r>
      <w:r>
        <w:t xml:space="preserve">    </w:t>
      </w:r>
      <w:r>
        <w:rPr>
          <w:b/>
        </w:rPr>
        <w:t xml:space="preserve">DOI: </w:t>
      </w:r>
      <w:hyperlink r:id="rId67">
        <w:r>
          <w:rPr>
            <w:color w:val="1155CC"/>
            <w:u w:val="single"/>
          </w:rPr>
          <w:t>10.1002/anie.5367305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剧烈的副反应和不受控制的锌沉积破坏了锌阳极的界面稳定性，严重阻碍了可充电水系锌金属电池（RAZMBs）的实施。开发简便高效的策略来缓解这些问题并实现超长循环锌阳极仍然具有挑战性。在此，通过不饱和酰胺化学实现了超长循环锌阳极。具体而言，具有极性基团（例如，─NH</w:t>
      </w:r>
      <w:r>
        <w:rPr>
          <w:vertAlign w:val="subscript"/>
        </w:rPr>
        <w:t>2</w:t>
      </w:r>
      <w:r>
        <w:t>）和不饱和键（例如，C═C）的酰胺基表面活性剂作为电解质添加剂，特异性吸附在锌阳极上，重构内亥姆霍兹平面（IHP）结构，并在锌沉积过程中通过电聚合原位形成动态聚合物膜（DPF）。定制的IHP和原位形成的DPF协同实现了无机刚性和有机柔性相结合的混合界面，不仅有效抑制寄生反应，调节锌</w:t>
      </w:r>
      <w:r>
        <w:t xml:space="preserve"> </w:t>
      </w:r>
      <w:r>
        <w:t>2+</w:t>
      </w:r>
      <w:r>
        <w:t xml:space="preserve"> </w:t>
      </w:r>
      <w:r>
        <w:t>扩散，均匀化锌沉积，还能适应镀/剥体积变化。值得注意的是，以丙烯酰胺（AAM）作为ZnSO</w:t>
      </w:r>
      <w:r>
        <w:rPr>
          <w:vertAlign w:val="subscript"/>
        </w:rPr>
        <w:t>4</w:t>
      </w:r>
      <w:r>
        <w:t>‐H</w:t>
      </w:r>
      <w:r>
        <w:rPr>
          <w:vertAlign w:val="subscript"/>
        </w:rPr>
        <w:t>2</w:t>
      </w:r>
      <w:r>
        <w:t>O电解质中的代表性添加剂，Zn||Zn对称电池在1.0 mA cm</w:t>
      </w:r>
      <w:r>
        <w:t xml:space="preserve"> </w:t>
      </w:r>
      <w:r>
        <w:t>−2</w:t>
      </w:r>
      <w:r>
        <w:t xml:space="preserve"> </w:t>
      </w:r>
      <w:r>
        <w:t>和1.0 mAh cm</w:t>
      </w:r>
      <w:r>
        <w:t xml:space="preserve"> </w:t>
      </w:r>
      <w:r>
        <w:t>−2</w:t>
      </w:r>
      <w:r>
        <w:t xml:space="preserve"> </w:t>
      </w:r>
      <w:r>
        <w:t>下提供了5500小时的超长循环寿命，优于大多数报道。这些结果表明，sy</w:t>
      </w:r>
    </w:p>
    <w:p>
      <w:pPr>
        <w:spacing w:before="0" w:after="200" w:lineRule="auto" w:line="276"/>
      </w:pPr>
      <w:r>
        <w:rPr>
          <w:b/>
        </w:rPr>
        <w:t xml:space="preserve">Abstract (EN): </w:t>
      </w:r>
      <w:r>
        <w:t>Vigorous side reactions and uncontrolled Zn deposition compromise the interfacial stability of Zn anodes, severely impeding the implementation of rechargeable aqueous Zn metal batteries (RAZMBs). Developing facile and efficient strategies to mitigate these issues and achieve ultralong‐cycling Zn anodes remains challenging. Herein, an ultralong‐cycling Zn anode is realized via unsaturated amide chemistry. Specifically, amide‐based surfactants with polar groups (e.g., ─NH</w:t>
      </w:r>
      <w:r>
        <w:rPr>
          <w:vertAlign w:val="subscript"/>
        </w:rPr>
        <w:t>2</w:t>
      </w:r>
      <w:r>
        <w:t>) and unsaturated bonds (e.g., C═C) served as electrolyte additives that specifically adsorb onto Zn anodes, reconstruct the inner Helmholtz plane (IHP) structure, and in situ form a dynamic polymer film (DPF) through electropolymerization during Zn deposition. The tailored IHP and in situ formed DPF synergistically enable a hybrid interphase integrating inorganic rigidity and organic flexibility, which not only effectively suppresses parasitic reactions, regulates Zn</w:t>
      </w:r>
      <w:r>
        <w:t xml:space="preserve"> </w:t>
      </w:r>
      <w:r>
        <w:t>2+</w:t>
      </w:r>
      <w:r>
        <w:t xml:space="preserve"> </w:t>
      </w:r>
      <w:r>
        <w:t>diffusion, and homogenizes Zn deposition, but also accommodates plating/stripping volume variations. Notably, with acrylamide (AAM) as a representative additive in ZnSO</w:t>
      </w:r>
      <w:r>
        <w:rPr>
          <w:vertAlign w:val="subscript"/>
        </w:rPr>
        <w:t>4</w:t>
      </w:r>
      <w:r>
        <w:t>‐H</w:t>
      </w:r>
      <w:r>
        <w:rPr>
          <w:vertAlign w:val="subscript"/>
        </w:rPr>
        <w:t>2</w:t>
      </w:r>
      <w:r>
        <w:t>O electrolyte, the Zn||Zn symmetric cell delivers an ultralong cycle life of 5500 h (at 1.0 mA cm</w:t>
      </w:r>
      <w:r>
        <w:t xml:space="preserve"> </w:t>
      </w:r>
      <w:r>
        <w:t>−2</w:t>
      </w:r>
      <w:r>
        <w:t xml:space="preserve"> </w:t>
      </w:r>
      <w:r>
        <w:t>and 1.0 mAh cm</w:t>
      </w:r>
      <w:r>
        <w:t xml:space="preserve"> </w:t>
      </w:r>
      <w:r>
        <w:t>−2</w:t>
      </w:r>
      <w:r>
        <w:t xml:space="preserve"> </w:t>
      </w:r>
      <w:r>
        <w:t>), outperforming most reports. These results suggest that the synergistically tailored IHP and in situ formed DPF driven by unsaturated amide chemistry can facilely and efficiently stabilize Zn anodes, providing a promising strategy for the practical application of RAZMBs.</w:t>
      </w:r>
    </w:p>
    <w:p>
      <w:pPr>
        <w:spacing w:before="120" w:after="120"/>
      </w:pPr>
      <w:r>
        <w:rPr>
          <w:sz w:val="18"/>
        </w:rPr>
        <w:t>——————————————————————————————————————————————————————————————————————</w:t>
      </w:r>
    </w:p>
    <w:p>
      <w:pPr>
        <w:spacing w:before="160" w:after="40" w:line="240" w:lineRule="auto"/>
      </w:pPr>
      <w:r>
        <w:rPr>
          <w:b/>
        </w:rPr>
        <w:t xml:space="preserve">[7] </w:t>
      </w:r>
      <w:hyperlink r:id="rId68">
        <w:r>
          <w:rPr>
            <w:color w:val="1155CC"/>
            <w:u w:val="single"/>
          </w:rPr>
          <w:t>通过反应性隔膜工程自我进化界面动力学高速公路用于耐用钾金属电池</w:t>
        </w:r>
      </w:hyperlink>
    </w:p>
    <w:p>
      <w:pPr>
        <w:spacing w:before="0" w:after="80"/>
      </w:pPr>
      <w:r>
        <w:rPr>
          <w:i/>
          <w:sz w:val="20"/>
        </w:rPr>
        <w:t>EN: Self‐Evolving Interfacial Kinetic Highways via Reactive Separator Engineering for Durable Potassium Metal Batteries</w:t>
      </w:r>
    </w:p>
    <w:p>
      <w:pPr>
        <w:spacing w:before="0" w:after="120"/>
      </w:pPr>
      <w:r>
        <w:rPr>
          <w:b/>
        </w:rPr>
        <w:t xml:space="preserve">Source: </w:t>
      </w:r>
      <w:r>
        <w:t>Wiley: Advanced Materials: Table of Contents</w:t>
      </w:r>
      <w:r>
        <w:t xml:space="preserve">    </w:t>
      </w:r>
      <w:r>
        <w:rPr>
          <w:b/>
        </w:rPr>
        <w:t xml:space="preserve">Pub date: </w:t>
      </w:r>
      <w:r>
        <w:t>2026-05-12 13:02:13+00:00</w:t>
      </w:r>
      <w:r>
        <w:t xml:space="preserve">    </w:t>
      </w:r>
      <w:r>
        <w:rPr>
          <w:b/>
        </w:rPr>
        <w:t xml:space="preserve">DOI: </w:t>
      </w:r>
      <w:hyperlink r:id="rId69">
        <w:r>
          <w:rPr>
            <w:color w:val="1155CC"/>
            <w:u w:val="single"/>
          </w:rPr>
          <w:t>10.1002/adma.73343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钾金属电池（KMBs）的实际应用受到不稳定界面化学的阻碍。目前，大多数关于KMBs的研究使用厚而惰性的玻璃纤维隔膜，这会降低能量密度并缺乏对动态界面的充分调节。在此，我们报告了一种反应性隔膜工程策略，将惰性隔膜转变为活性调节器，以构建稳固的自演变阳极界面。受机制筛选启发，插层化合物作为隔膜调节器优于转化型化合物，插层WO3被用作原型来改性聚丙烯隔膜，并主动触发原位形成自演变的KxWO3界面。基于密度泛函理论计算，该相具有0.12 eV的最小K+迁移势垒，作为钾亲和储库构建动力学高速公路。演变的W物种构建了化学稳定的骨架，模板化空间梯度界面的生长，创建刚柔耦合结构以缓冲体积波动。因此，K||Cu半电池在0.2 mA cm−2下实现了17 mV的低成核过电位，而K||K对称电池在0.05 mA cm−2下提供了6000小时的超长寿命。</w:t>
      </w:r>
    </w:p>
    <w:p>
      <w:pPr>
        <w:spacing w:before="0" w:after="200" w:lineRule="auto" w:line="276"/>
      </w:pPr>
      <w:r>
        <w:rPr>
          <w:b/>
        </w:rPr>
        <w:t xml:space="preserve">Abstract (EN): </w:t>
      </w:r>
      <w:r>
        <w:t>The practical deployment of potassium metal batteries (KMBs) is impeded by unstable interfacial chemistry. Currently, most research on KMBs uses the thick, inert glass fiber separator, which compromises energy density and lacks sufficient regulation of dynamic interfaces. Here, we report a reactive separator engineering strategy that transforms the inert separator into an active regulator to construct a robust, self‐evolving anodic interphase. Inspired by mechanistic screening that intercalation compounds are superior to conversion counterparts as separator modulators, intercalative WO</w:t>
      </w:r>
      <w:r>
        <w:rPr>
          <w:vertAlign w:val="subscript"/>
        </w:rPr>
        <w:t>3</w:t>
      </w:r>
      <w:r>
        <w:t>is utilized as a prototype to modify polypropylene separator and actively trigger in‐situ formation of the self‐evolving K</w:t>
      </w:r>
      <w:r>
        <w:t xml:space="preserve"> </w:t>
      </w:r>
      <w:r>
        <w:t>x</w:t>
      </w:r>
      <w:r>
        <w:t xml:space="preserve"> </w:t>
      </w:r>
      <w:r>
        <w:t>WO</w:t>
      </w:r>
      <w:r>
        <w:rPr>
          <w:vertAlign w:val="subscript"/>
        </w:rPr>
        <w:t>3</w:t>
      </w:r>
      <w:r>
        <w:t>interphase. Based on density functional theory calculations, this phase features a minimal K</w:t>
      </w:r>
      <w:r>
        <w:t xml:space="preserve"> </w:t>
      </w:r>
      <w:r>
        <w:t>+</w:t>
      </w:r>
      <w:r>
        <w:t xml:space="preserve"> </w:t>
      </w:r>
      <w:r>
        <w:t>migration barrier of 0.12 eV, acting as a potassiophilic reservoir to build a kinetic highway. The evolving W species construct a chemically stable skeleton that templates the growth of a spatially graded interphase, creating a rigid‐flexible coupling architecture to buffer volume fluctuations. Consequently, the K||Cu half cell achieves a low nucleation overpotential of 17 mV at 0.2 mA cm</w:t>
      </w:r>
      <w:r>
        <w:t xml:space="preserve"> </w:t>
      </w:r>
      <w:r>
        <w:t>−2</w:t>
      </w:r>
      <w:r>
        <w:t xml:space="preserve"> </w:t>
      </w:r>
      <w:r>
        <w:t>, while the K||K symmetric cell delivers an ultralong lifespan of 6000 h at 0.05 mA cm</w:t>
      </w:r>
      <w:r>
        <w:t xml:space="preserve"> </w:t>
      </w:r>
      <w:r>
        <w:t>−2</w:t>
      </w:r>
      <w:r>
        <w:t xml:space="preserve"> </w:t>
      </w:r>
      <w:r>
        <w:t>. Impressively, exceptional stability exceeding 2500 h with cumulative capacities of 57 095 mAh g</w:t>
      </w:r>
      <w:r>
        <w:t xml:space="preserve"> </w:t>
      </w:r>
      <w:r>
        <w:t>−1</w:t>
      </w:r>
      <w:r>
        <w:t xml:space="preserve"> </w:t>
      </w:r>
      <w:r>
        <w:t>at 50 mA g</w:t>
      </w:r>
      <w:r>
        <w:t xml:space="preserve"> </w:t>
      </w:r>
      <w:r>
        <w:t>−1</w:t>
      </w:r>
      <w:r>
        <w:t xml:space="preserve"> </w:t>
      </w:r>
      <w:r>
        <w:t>is realized for KMBs.</w:t>
      </w:r>
    </w:p>
    <w:p>
      <w:pPr>
        <w:spacing w:before="120" w:after="120"/>
      </w:pPr>
      <w:r>
        <w:rPr>
          <w:sz w:val="18"/>
        </w:rPr>
        <w:t>——————————————————————————————————————————————————————————————————————</w:t>
      </w:r>
    </w:p>
    <w:p>
      <w:pPr>
        <w:spacing w:before="160" w:after="40" w:line="240" w:lineRule="auto"/>
      </w:pPr>
      <w:r>
        <w:rPr>
          <w:b/>
        </w:rPr>
        <w:t xml:space="preserve">[8] </w:t>
      </w:r>
      <w:hyperlink r:id="rId70">
        <w:r>
          <w:rPr>
            <w:color w:val="1155CC"/>
            <w:u w:val="single"/>
          </w:rPr>
          <w:t>一种协同双添加剂策略，用于构建梯度疏水界面，以实现超稳定的水性锌金属阳极</w:t>
        </w:r>
      </w:hyperlink>
    </w:p>
    <w:p>
      <w:pPr>
        <w:spacing w:before="0" w:after="80"/>
      </w:pPr>
      <w:r>
        <w:rPr>
          <w:i/>
          <w:sz w:val="20"/>
        </w:rPr>
        <w:t>EN: A synergistic dual additive strategy for constructing gradient hydrophobic interfaces toward ultrastable aqueous zinc metal anodes</w:t>
      </w:r>
    </w:p>
    <w:p>
      <w:pPr>
        <w:spacing w:before="0" w:after="120"/>
      </w:pPr>
      <w:r>
        <w:rPr>
          <w:b/>
        </w:rPr>
        <w:t xml:space="preserve">Source: </w:t>
      </w:r>
      <w:r>
        <w:t>RSC - Energy Environ. Sci. latest articles</w:t>
      </w:r>
      <w:r>
        <w:t xml:space="preserve">    </w:t>
      </w:r>
      <w:r>
        <w:rPr>
          <w:b/>
        </w:rPr>
        <w:t xml:space="preserve">Pub date: </w:t>
      </w:r>
      <w:r>
        <w:t>2026-05-12 23:00:00+00:00</w:t>
      </w:r>
    </w:p>
    <w:p>
      <w:pPr>
        <w:spacing w:before="0" w:after="120"/>
      </w:pPr>
      <w:r>
        <w:rPr>
          <w:b/>
        </w:rPr>
        <w:t xml:space="preserve">Notes: </w:t>
      </w:r>
      <w:r>
        <w:t>abstract_source=rsc_html</w:t>
      </w:r>
    </w:p>
    <w:p>
      <w:pPr>
        <w:spacing w:before="0" w:after="80" w:lineRule="auto" w:line="276"/>
      </w:pPr>
      <w:r>
        <w:rPr>
          <w:b/>
        </w:rPr>
        <w:t xml:space="preserve">摘要（ZH）: </w:t>
      </w:r>
      <w:r>
        <w:t>水系锌离子电池（AZIBs）有效解决了能量存储的关键问题，如易燃性风险、成本和离子电导率。然而，其实际应用受到水引起的寄生反应和不均匀锌沉积的严重阻碍。因此，限制电极界面处水的含量和活性至关重要。在此，我们提出了一种新颖的协同疏水吸附和竞争配位（H-C）策略，以原位构建锌阳极上的功能梯度疏水界面，通过分子动力学模拟和和频生成振动光谱明确揭示。这是通过在2 M ZnSO4电解液中引入微量苯甲叉丙酮（BZA）作为疏水吸附单元（H）和乙醇作为竞争配位单元（C）来实现的。H单元（BZA）优先吸附在锌阳极表面，形成致密的防水内层，抑制氢气析出和腐蚀反应。同时，C单元（乙醇）调节Zn2+的外溶剂化鞘并破坏界面氢键网络，从而促进Zn2+的去溶剂化和传输。因此，工程化的界面使得Zn‖Zn对称电池在1 mA cm−2和1 mAh cm−2下实现长达3000小时的循环寿命，在Zn‖Cu半电池中实现99.2%的高平均库仑效率，以及卓越的深度充放电能力（85.4% DOD）。此外，当与δ-MnO2配置时，全电池保持84%的容量</w:t>
      </w:r>
    </w:p>
    <w:p>
      <w:pPr>
        <w:spacing w:before="0" w:after="200" w:lineRule="auto" w:line="276"/>
      </w:pPr>
      <w:r>
        <w:rPr>
          <w:b/>
        </w:rPr>
        <w:t xml:space="preserve">Abstract (EN): </w:t>
      </w:r>
      <w:r>
        <w:t>Aqueous zinc-ion batteries (AZIBs) effectively address critical concerns of energy storage such as flammability risks, cost, and ionic conductivity. However, their practical deployment is severely hampered by water-induced parasitic reactions and inhomogeneous zinc deposition. Therefore, restricting the content and activity of water at the electrode interface is of paramount importance. Herein, we propose a novel synergistic hydrophobic-adsorption and competitive-coordination (H-C) strategy to in situ construct a functional gradient hydrophobic interface on the zinc anode, convincingly revealed by molecular dynamics simulations and sum-frequency generation vibrational spectroscopy. This is achieved by introducing trace amounts of benzylideneacetone (BZA) as the hydrophobic-adsorption unit (H) and ethanol as the competitive-coordination unit (C) into a 2 M ZnSO4 electrolyte. The H-unit (BZA) preferentially adsorbs onto the zinc anode surface, forming a dense, waterproof inner layer that suppresses hydrogen evolution and corrosion reactions. Concurrently, the C unit (ethanol) modulates the outer solvation sheath of Zn2+ and disrupts the interfacial hydrogen-bond network, thereby facilitating Zn2+ desolvation and transport. Consequently, the engineered interphase enables a Zn‖Zn symmetric cell to achieve an extended cycling lifespan of up to 3000 hours at 1 mA cm−2 and 1 mAh cm−2, a high average Coulombic efficiency of 99.2% in Zn‖Cu half cells, and exceptional deep charge−discharge capability (85.4% DOD). Furthermore, when configured with δ-MnO2, the full cell retains 84% capacity after 2000 cycles at 5C and exhibits remarkably suppressed self-discharge. This work demonstrates a rational design principle of synergistic functional additives for constructing advanced electrode–electrolyte interphases.</w:t>
      </w:r>
    </w:p>
    <w:p>
      <w:pPr>
        <w:spacing w:before="120" w:after="120"/>
      </w:pPr>
      <w:r>
        <w:rPr>
          <w:sz w:val="18"/>
        </w:rPr>
        <w:t>——————————————————————————————————————————————————————————————————————</w:t>
      </w:r>
    </w:p>
    <w:p>
      <w:pPr>
        <w:spacing w:before="160" w:after="40" w:line="240" w:lineRule="auto"/>
      </w:pPr>
      <w:r>
        <w:rPr>
          <w:b/>
        </w:rPr>
        <w:t xml:space="preserve">[9] </w:t>
      </w:r>
      <w:hyperlink r:id="rId71">
        <w:r>
          <w:rPr>
            <w:color w:val="1155CC"/>
            <w:u w:val="single"/>
          </w:rPr>
          <w:t>单原子铁催化的磷气相聚合使碳框架中均匀纳米限域成为可能，用于耐用的锂离子电池</w:t>
        </w:r>
      </w:hyperlink>
    </w:p>
    <w:p>
      <w:pPr>
        <w:spacing w:before="0" w:after="80"/>
      </w:pPr>
      <w:r>
        <w:rPr>
          <w:i/>
          <w:sz w:val="20"/>
        </w:rPr>
        <w:t>EN: Single‐Atom Iron‐Catalyzed Vapor‐Phase Polymerization of Phosphorus Enables Uniform Nanoconfinement in Carbon Frameworks for Durable Li‐Ion Batteries</w:t>
      </w:r>
    </w:p>
    <w:p>
      <w:pPr>
        <w:spacing w:before="0" w:after="120"/>
      </w:pPr>
      <w:r>
        <w:rPr>
          <w:b/>
        </w:rPr>
        <w:t xml:space="preserve">Source: </w:t>
      </w:r>
      <w:r>
        <w:t>Wiley: Advanced Energy Materials: Table of Contents</w:t>
      </w:r>
      <w:r>
        <w:t xml:space="preserve">    </w:t>
      </w:r>
      <w:r>
        <w:rPr>
          <w:b/>
        </w:rPr>
        <w:t xml:space="preserve">Pub date: </w:t>
      </w:r>
      <w:r>
        <w:t>2026-05-13 11:56:24+00:00</w:t>
      </w:r>
      <w:r>
        <w:t xml:space="preserve">    </w:t>
      </w:r>
      <w:r>
        <w:rPr>
          <w:b/>
        </w:rPr>
        <w:t xml:space="preserve">DOI: </w:t>
      </w:r>
      <w:hyperlink r:id="rId72">
        <w:r>
          <w:rPr>
            <w:color w:val="1155CC"/>
            <w:u w:val="single"/>
          </w:rPr>
          <w:t>10.1002/aenm.71064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红磷（RP）阳极由于其高锂离子导电性、高比容量（2596 mAh g−1）和合适的锂化电位（∼0.7 V vs. Li+/Li），被认为是快速充电、高能量锂离子电池的有前途的候选者。然而，其固有的低电导率和严重的体积膨胀限制了其实际应用。为了解决这些问题，蒸发-冷凝策略被广泛认为是将磷引入导电碳框架的有效方法。通常，这种沉积过程通常导致形成尺寸分布不均的RP颗粒。因此，暴露在载体外表面的RP大块或颗粒在剧烈的体积变化过程中极易破裂和失活。在此，我们证明了氮掺杂铁单原子催化位点通过形成Fe─P键为P4分子提供了强吸附。这种相互作用加速了P4气态分子的吸附及其聚合，从而在RP负载中实现了卓越的均匀性和位点选择性。得益于均匀分布的小尺寸RP纳米颗粒，阳极表现出优异的电化学性能，在0电流密度下经过300、600和500个循环后，剩余容量保持率分别为91.63%、96.14%和83.75%。</w:t>
      </w:r>
    </w:p>
    <w:p>
      <w:pPr>
        <w:spacing w:before="0" w:after="200" w:lineRule="auto" w:line="276"/>
      </w:pPr>
      <w:r>
        <w:rPr>
          <w:b/>
        </w:rPr>
        <w:t xml:space="preserve">Abstract (EN): </w:t>
      </w:r>
      <w:r>
        <w:t>Red phosphorus (RP) anodes are promising candidates for fast‐charging, high‐energy lithium‐ion batteries due to their high Li‐ion conductivity, high specific capacity (2596 mAh g</w:t>
      </w:r>
      <w:r>
        <w:t xml:space="preserve"> </w:t>
      </w:r>
      <w:r>
        <w:t>−1</w:t>
      </w:r>
      <w:r>
        <w:t xml:space="preserve"> </w:t>
      </w:r>
      <w:r>
        <w:t>), and suitable lithiation potential (∼0.7 V vs. Li</w:t>
      </w:r>
      <w:r>
        <w:t xml:space="preserve"> </w:t>
      </w:r>
      <w:r>
        <w:t>+</w:t>
      </w:r>
      <w:r>
        <w:t xml:space="preserve"> </w:t>
      </w:r>
      <w:r>
        <w:t>/Li). However, its inherently low electrical conductivity and severe volume expansion limit its practical application. To solve these issues, the vaporization‐condensation strategy is widely considered an effective approach to incorporate phosphorus into a conductive carbon framework. Generally, this deposition process typically leads to the formation of RP particles with uneven size distributions. Consequently, the large bulk RP or particles exposed on the exterior surface of carriers are highly susceptible to fracture and deactivation during drastic volume changes. Herein, we demonstrate that nitrogen‐doped iron single‐atom catalytic sites provide strong adsorption for P</w:t>
      </w:r>
      <w:r>
        <w:rPr>
          <w:vertAlign w:val="subscript"/>
        </w:rPr>
        <w:t>4</w:t>
      </w:r>
      <w:r>
        <w:t>molecules via the formation of Fe─P bonds. This interaction accelerates the adsorption of P</w:t>
      </w:r>
      <w:r>
        <w:rPr>
          <w:vertAlign w:val="subscript"/>
        </w:rPr>
        <w:t>4</w:t>
      </w:r>
      <w:r>
        <w:t>gaseous molecules and their polymerization, thereby achieving exceptional uniformity and site‐selectivity in RP loading. Benefiting from the uniformly distributed small‐sized RP nanoparticles, the anode exhibits excellent electrochemical performance, with remaining capacity retention rates of 91.63%, 96.14%, and 83.75% after 300, 600, and 500 cycles at current densities of 0.26, 1.0, and 2.6 A g</w:t>
      </w:r>
      <w:r>
        <w:t xml:space="preserve"> </w:t>
      </w:r>
      <w:r>
        <w:t>−1</w:t>
      </w:r>
      <w:r>
        <w:t xml:space="preserve"> </w:t>
      </w:r>
      <w:r>
        <w:t>, respectively.</w:t>
      </w:r>
    </w:p>
    <w:p>
      <w:pPr>
        <w:spacing w:before="120" w:after="120"/>
      </w:pPr>
      <w:r>
        <w:rPr>
          <w:sz w:val="18"/>
        </w:rPr>
        <w:t>——————————————————————————————————————————————————————————————————————</w:t>
      </w:r>
    </w:p>
    <w:p>
      <w:pPr>
        <w:spacing w:before="160" w:after="40" w:line="240" w:lineRule="auto"/>
      </w:pPr>
      <w:r>
        <w:rPr>
          <w:b/>
        </w:rPr>
        <w:t xml:space="preserve">[10] </w:t>
      </w:r>
      <w:hyperlink r:id="rId73">
        <w:r>
          <w:rPr>
            <w:color w:val="1155CC"/>
            <w:u w:val="single"/>
          </w:rPr>
          <w:t>动力学-热力学协同作用增强{110}织构以稳定锂金属负极</w:t>
        </w:r>
      </w:hyperlink>
    </w:p>
    <w:p>
      <w:pPr>
        <w:spacing w:before="0" w:after="80"/>
      </w:pPr>
      <w:r>
        <w:rPr>
          <w:i/>
          <w:sz w:val="20"/>
        </w:rPr>
        <w:t>EN: A Kinetic‐Thermodynamic Synergy to Enhance {110} Texture for Stable Lithium Metal Anodes</w:t>
      </w:r>
    </w:p>
    <w:p>
      <w:pPr>
        <w:spacing w:before="0" w:after="120"/>
      </w:pPr>
      <w:r>
        <w:rPr>
          <w:b/>
        </w:rPr>
        <w:t xml:space="preserve">Source: </w:t>
      </w:r>
      <w:r>
        <w:t>Wiley: Advanced Materials: Table of Contents</w:t>
      </w:r>
      <w:r>
        <w:t xml:space="preserve">    </w:t>
      </w:r>
      <w:r>
        <w:rPr>
          <w:b/>
        </w:rPr>
        <w:t xml:space="preserve">Pub date: </w:t>
      </w:r>
      <w:r>
        <w:t>2026-05-13 13:54:56+00:00</w:t>
      </w:r>
      <w:r>
        <w:t xml:space="preserve">    </w:t>
      </w:r>
      <w:r>
        <w:rPr>
          <w:b/>
        </w:rPr>
        <w:t xml:space="preserve">DOI: </w:t>
      </w:r>
      <w:hyperlink r:id="rId74">
        <w:r>
          <w:rPr>
            <w:color w:val="1155CC"/>
            <w:u w:val="single"/>
          </w:rPr>
          <w:t>10.1002/adma.202522328</w:t>
        </w:r>
      </w:hyperlink>
    </w:p>
    <w:p>
      <w:pPr>
        <w:spacing w:before="0" w:after="120"/>
      </w:pPr>
      <w:r>
        <w:rPr>
          <w:b/>
        </w:rPr>
        <w:t xml:space="preserve">Notes: </w:t>
      </w:r>
      <w:r>
        <w:t>abstract_source=crossref</w:t>
      </w:r>
    </w:p>
    <w:p>
      <w:pPr>
        <w:spacing w:before="0" w:after="80" w:lineRule="auto" w:line="276"/>
      </w:pPr>
      <w:r>
        <w:rPr>
          <w:b/>
        </w:rPr>
        <w:t xml:space="preserve">摘要（ZH）: </w:t>
      </w:r>
      <w:r>
        <w:t>锂金属负极（LMAs）对于开发下一代高能量密度电池至关重要，而不受控制的枝晶生长和低库仑效率阻碍了其实际应用。在锂（Li）沉积过程中工程化晶体学纹理以偏向{110}取向是抑制枝晶形成和提高性能的有前景策略。在此，我们提出了一种结合沉积热力学和动力学的协同方法，以实现主导的{110}纹理。通过在亲锂锡（Sn）改性铜基底上以高电流密度沉积Li，Li和Sn之间的合金化反应产生了由Sn和Li─Sn金属间化合物组成的沉积中间层，调节了初始沉积过程中的Li扩散性和吸附性。实现了二维Li成核和较大晶粒尺寸的平面生长，从而最小化总表面能并促进{110}纹理的形成。这一效应与快速生长的{110}平面的动力学选择相结合，使所需{110}纹理的体积分数增加了三倍，同时抑制了竞争的{111}纹理。当与LiFePO4正极配对时，所得全电池在低负极-正极比和精简电解质负载的实际条件下表现出稳定的循环。这种沉积热力学和动力学的共同调控提供了一种新颖且有效的策略，用于制造高性能、无枝晶的LMAs。</w:t>
      </w:r>
    </w:p>
    <w:p>
      <w:pPr>
        <w:spacing w:before="0" w:after="200" w:lineRule="auto" w:line="276"/>
      </w:pPr>
      <w:r>
        <w:rPr>
          <w:b/>
        </w:rPr>
        <w:t xml:space="preserve">Abstract (EN): </w:t>
      </w:r>
      <w:r>
        <w:t>Lithium metal anodes (LMAs) are critical for developing next‐generation high‐energy‐density batteries, while uncontrolled dendrite growth and low Coulombic efficiency hinder their practical application. Engineering the crystallographic texture during lithium (Li) deposition to favor the {110} orientation is a promising strategy to suppress dendrite formation and improve performance. Here, we present a synergistic approach that combines deposition thermodynamics and kinetics to achieve a dominant {110} texture. By depositing Li on a lithiophilic tin (Sn)‐modified copper substrate at a high current density, the alloying reaction between Li and Sn yields a deposition interlayer composed of Sn and Li─Sn intermetallics that regulates both Li diffusivity and adsorption during initial deposition. Two‐dimensional Li nucleation and planar growth in larger grain sizes are achieved, thereby minimizing the total surface energy and promoting {110} texture formation. This effect, coupled with the kinetic selection of fast‐growing {110} planes, triples the volume fraction of the desired {110} texture while suppressing the competing {111} counterpart. When paired with a LiFePO</w:t>
      </w:r>
      <w:r>
        <w:rPr>
          <w:vertAlign w:val="subscript"/>
        </w:rPr>
        <w:t>4</w:t>
      </w:r>
      <w:r>
        <w:t>cathode, the resulting full cell exhibits stable cycling under practical conditions of a low negative‐to‐positive ratio and a lean electrolyte loading. This co‐regulation of deposition thermodynamics and kinetics offers a novel and effective strategy for fabricating high‐performance, dendrite‐free LMAs.</w:t>
      </w:r>
    </w:p>
    <w:p>
      <w:pPr>
        <w:spacing w:before="120" w:after="120"/>
      </w:pPr>
      <w:r>
        <w:rPr>
          <w:sz w:val="18"/>
        </w:rPr>
        <w:t>——————————————————————————————————————————————————————————————————————</w:t>
      </w:r>
    </w:p>
    <w:p>
      <w:pPr>
        <w:spacing w:before="160" w:after="40" w:line="240" w:lineRule="auto"/>
      </w:pPr>
      <w:r>
        <w:rPr>
          <w:b/>
        </w:rPr>
        <w:t xml:space="preserve">[11] </w:t>
      </w:r>
      <w:hyperlink r:id="rId75">
        <w:r>
          <w:rPr>
            <w:color w:val="1155CC"/>
            <w:u w:val="single"/>
          </w:rPr>
          <w:t>[ASAP] 通过成分和结构工程实现无枝晶LiAl负极的超高倍率全固态电池</w:t>
        </w:r>
      </w:hyperlink>
    </w:p>
    <w:p>
      <w:pPr>
        <w:spacing w:before="0" w:after="80"/>
      </w:pPr>
      <w:r>
        <w:rPr>
          <w:i/>
          <w:sz w:val="20"/>
        </w:rPr>
        <w:t>EN: [ASAP] Ultrahigh-Rate All-Solid-State Batteries with a Dendrite-Free LiAl Anode via Compositional and Structural Engineering</w:t>
      </w:r>
    </w:p>
    <w:p>
      <w:pPr>
        <w:spacing w:before="0" w:after="120"/>
      </w:pPr>
      <w:r>
        <w:rPr>
          <w:b/>
        </w:rPr>
        <w:t xml:space="preserve">Source: </w:t>
      </w:r>
      <w:r>
        <w:t>ACS Energy Letters: Latest Articles (ACS Publications)</w:t>
      </w:r>
      <w:r>
        <w:t xml:space="preserve">    </w:t>
      </w:r>
      <w:r>
        <w:rPr>
          <w:b/>
        </w:rPr>
        <w:t xml:space="preserve">Pub date: </w:t>
      </w:r>
      <w:r>
        <w:t>2026-05-13 13:59:18+00:00</w:t>
      </w:r>
      <w:r>
        <w:t xml:space="preserve">    </w:t>
      </w:r>
      <w:r>
        <w:rPr>
          <w:b/>
        </w:rPr>
        <w:t xml:space="preserve">DOI: </w:t>
      </w:r>
      <w:hyperlink r:id="rId76">
        <w:r>
          <w:rPr>
            <w:color w:val="1155CC"/>
            <w:u w:val="single"/>
          </w:rPr>
          <w:t>10.1021/acsenergylett.6c00968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77">
        <w:r>
          <w:rPr>
            <w:color w:val="1155CC"/>
            <w:u w:val="single"/>
          </w:rPr>
          <w:t>空间偶极协同调制的界面分子桥用于抗日历老化的水系锌离子电池</w:t>
        </w:r>
      </w:hyperlink>
    </w:p>
    <w:p>
      <w:pPr>
        <w:spacing w:before="0" w:after="80"/>
      </w:pPr>
      <w:r>
        <w:rPr>
          <w:i/>
          <w:sz w:val="20"/>
        </w:rPr>
        <w:t>EN: Spatio-dipolar synergy modulated interfacial molecular bridge for calendar aging resistant aqueous zinc-ion batteries</w:t>
      </w:r>
    </w:p>
    <w:p>
      <w:pPr>
        <w:spacing w:before="0" w:after="120"/>
      </w:pPr>
      <w:r>
        <w:rPr>
          <w:b/>
        </w:rPr>
        <w:t xml:space="preserve">Source: </w:t>
      </w:r>
      <w:r>
        <w:t>National Science Review Advance Access</w:t>
      </w:r>
      <w:r>
        <w:t xml:space="preserve">    </w:t>
      </w:r>
      <w:r>
        <w:rPr>
          <w:b/>
        </w:rPr>
        <w:t xml:space="preserve">Pub date: </w:t>
      </w:r>
      <w:r>
        <w:t>2026-05-09 00:00:00+00:00</w:t>
      </w:r>
      <w:r>
        <w:t xml:space="preserve">    </w:t>
      </w:r>
      <w:r>
        <w:rPr>
          <w:b/>
        </w:rPr>
        <w:t xml:space="preserve">DOI: </w:t>
      </w:r>
      <w:hyperlink r:id="rId78">
        <w:r>
          <w:rPr>
            <w:color w:val="1155CC"/>
            <w:u w:val="single"/>
          </w:rPr>
          <w:t>10.1093/nsr/nwag268</w:t>
        </w:r>
      </w:hyperlink>
    </w:p>
    <w:p>
      <w:pPr>
        <w:spacing w:before="0" w:after="120"/>
      </w:pPr>
      <w:r>
        <w:rPr>
          <w:b/>
        </w:rPr>
        <w:t xml:space="preserve">Notes: </w:t>
      </w:r>
      <w:r>
        <w:t>abstract_source=rss_oup</w:t>
      </w:r>
    </w:p>
    <w:p>
      <w:pPr>
        <w:spacing w:before="0" w:after="80" w:lineRule="auto" w:line="276"/>
      </w:pPr>
      <w:r>
        <w:rPr>
          <w:b/>
        </w:rPr>
        <w:t xml:space="preserve">摘要（ZH）: </w:t>
      </w:r>
      <w:r>
        <w:t>短期日历老化寿命和界面降解阻碍了水系锌离子电池的应用。在此，引入了具有高拓扑极性表面积（TPSA）的三吗啉氧化膦（TPO）作为电解质添加剂，通过空间-偶极协同作用调节界面离子。具体而言，TPO的拓扑极性促进了Zn2+的配位和强表面吸附，在溶剂化-界面网络中创造了迁移通道。此外，TPO的空间位阻破坏了Zn2+的溶剂化鞘，形成了排斥H3O+的层。因此，含TPO的电池实现了99.91%的卓越平均库仑效率（CE），并在超高电流密度（280 mA cm−2）下稳定运行。在-20°C时，含TPO的电池在6000个循环后保持177 mAh g⁻1，而无添加剂的电池在1400个循环后失效（84 mAh g⁻1）。最重要的是，含TPO的电池在间歇性日历老化下超过2500小时保持超过95%的高CE，远超无添加剂电池的72小时。这项工作提供了关于TPSA诱导的空间-偶极协同作用的分子级见解，为超稳定电池提供了可能。</w:t>
      </w:r>
    </w:p>
    <w:p>
      <w:pPr>
        <w:spacing w:before="0" w:after="200" w:lineRule="auto" w:line="276"/>
      </w:pPr>
      <w:r>
        <w:rPr>
          <w:b/>
        </w:rPr>
        <w:t xml:space="preserve">Abstract (EN): </w:t>
      </w:r>
      <w:r>
        <w:t>Short calendar-aging life and interfacial degradation hinder the applications of aqueous Zn-ion batteries. Herein, trimorpholinophosphine-oxide (TPO), featuring high Topological Polar Surface Area (TPSA), is introduced as an electrolyte additive that modulates interfacial ions via steric-dipolar synergism. Specifically, the topological polarity of TPO facilitates Zn2+ coordination and strong surface adsorption, creating migration channels within solvation-interfacial networks. Moreover, the steric hindrance of TPO disrupts the solvation sheath of Zn2+, forming H3O+-repelled layers. Consequently, TPO-containing cells achieve an exceptional average Coulombic efficiency (CE) of 99.91% and operate steadily at ultrahigh current densities (280 mA cm−2). At -20°C, TPO-containing cells retain 177 mAh g⁻1 after 6000 cycles, yet additive-free cells fail after 1400 cycles (84 mAh g⁻1). Most importantly, TPO-containing cells maintain high CE exceeding 95% over a superior 2500 h under intermittent calendar-aging, far exceeding the 72 h of additive-free cells. This work offers molecular-level insights into TPSA-induced steric-dipole synergism for ultra-stable batteries.</w:t>
      </w:r>
    </w:p>
    <w:p>
      <w:pPr>
        <w:spacing w:before="120" w:after="120"/>
      </w:pPr>
      <w:r>
        <w:rPr>
          <w:sz w:val="18"/>
        </w:rPr>
        <w:t>——————————————————————————————————————————————————————————————————————</w:t>
      </w:r>
    </w:p>
    <w:p>
      <w:pPr>
        <w:spacing w:before="160" w:after="40" w:line="240" w:lineRule="auto"/>
      </w:pPr>
      <w:r>
        <w:rPr>
          <w:b/>
        </w:rPr>
        <w:t xml:space="preserve">[2] </w:t>
      </w:r>
      <w:hyperlink r:id="rId37">
        <w:r>
          <w:rPr>
            <w:color w:val="1155CC"/>
            <w:u w:val="single"/>
          </w:rPr>
          <w:t>离子补充中间层和定制电解质共同激活四电子锌-碘电池</w:t>
        </w:r>
      </w:hyperlink>
    </w:p>
    <w:p>
      <w:pPr>
        <w:spacing w:before="0" w:after="80"/>
      </w:pPr>
      <w:r>
        <w:rPr>
          <w:i/>
          <w:sz w:val="20"/>
        </w:rPr>
        <w:t>EN: Ion‐Replenishing Interlayer and Tailored Electrolyte Jointly Activate Four‐Electron Zinc–Iodine Batteries</w:t>
      </w:r>
    </w:p>
    <w:p>
      <w:pPr>
        <w:spacing w:before="0" w:after="120"/>
      </w:pPr>
      <w:r>
        <w:rPr>
          <w:b/>
        </w:rPr>
        <w:t xml:space="preserve">Source: </w:t>
      </w:r>
      <w:r>
        <w:t>Wiley: Advanced Materials: Table of Contents</w:t>
      </w:r>
      <w:r>
        <w:t xml:space="preserve">    </w:t>
      </w:r>
      <w:r>
        <w:rPr>
          <w:b/>
        </w:rPr>
        <w:t xml:space="preserve">Pub date: </w:t>
      </w:r>
      <w:r>
        <w:t>2026-05-09 13:59:51+00:00</w:t>
      </w:r>
      <w:r>
        <w:t xml:space="preserve">    </w:t>
      </w:r>
      <w:r>
        <w:rPr>
          <w:b/>
        </w:rPr>
        <w:t xml:space="preserve">DOI: </w:t>
      </w:r>
      <w:hyperlink r:id="rId38">
        <w:r>
          <w:rPr>
            <w:color w:val="1155CC"/>
            <w:u w:val="single"/>
          </w:rPr>
          <w:t>10.1002/adma.73355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激活锌-碘（Zn–I</w:t>
      </w:r>
      <w:r>
        <w:rPr>
          <w:vertAlign w:val="subscript"/>
        </w:rPr>
        <w:t>2</w:t>
      </w:r>
      <w:r>
        <w:t>）电池中的四电子碘化学承诺更高的能量密度，但仍面临多碘化物穿梭和高价I</w:t>
      </w:r>
      <w:r>
        <w:t xml:space="preserve"> </w:t>
      </w:r>
      <w:r>
        <w:t>+</w:t>
      </w:r>
      <w:r>
        <w:t xml:space="preserve"> </w:t>
      </w:r>
      <w:r>
        <w:t>物种不稳定的挑战。在此，我们展示了一种定制的NH</w:t>
      </w:r>
      <w:r>
        <w:rPr>
          <w:vertAlign w:val="subscript"/>
        </w:rPr>
        <w:t>4</w:t>
      </w:r>
      <w:r>
        <w:t>Cl基水电解质，结合离子补充的Cl功能化共价有机框架（COF–Cl）中间层，使得四电子Zn–I</w:t>
      </w:r>
      <w:r>
        <w:rPr>
          <w:vertAlign w:val="subscript"/>
        </w:rPr>
        <w:t>2</w:t>
      </w:r>
      <w:r>
        <w:t>电池寿命长。优化的电解质促进了I</w:t>
      </w:r>
      <w:r>
        <w:t xml:space="preserve"> </w:t>
      </w:r>
      <w:r>
        <w:t>+</w:t>
      </w:r>
      <w:r>
        <w:t xml:space="preserve"> </w:t>
      </w:r>
      <w:r>
        <w:t>–Cl</w:t>
      </w:r>
      <w:r>
        <w:t xml:space="preserve"> </w:t>
      </w:r>
      <w:r>
        <w:t>−</w:t>
      </w:r>
      <w:r>
        <w:t>络合，而COF–Cl中间层固定多碘化物并持续释放Cl</w:t>
      </w:r>
      <w:r>
        <w:t xml:space="preserve"> </w:t>
      </w:r>
      <w:r>
        <w:t>−</w:t>
      </w:r>
      <w:r>
        <w:t>以稳定I</w:t>
      </w:r>
      <w:r>
        <w:t xml:space="preserve"> </w:t>
      </w:r>
      <w:r>
        <w:t>+</w:t>
      </w:r>
      <w:r>
        <w:t xml:space="preserve"> </w:t>
      </w:r>
      <w:r>
        <w:t>防止水解，共同确保可逆的I</w:t>
      </w:r>
      <w:r>
        <w:t xml:space="preserve"> </w:t>
      </w:r>
      <w:r>
        <w:t>−</w:t>
      </w:r>
      <w:r>
        <w:t>/I</w:t>
      </w:r>
      <w:r>
        <w:rPr>
          <w:vertAlign w:val="subscript"/>
        </w:rPr>
        <w:t>0</w:t>
      </w:r>
      <w:r>
        <w:t>/I</w:t>
      </w:r>
      <w:r>
        <w:t xml:space="preserve"> </w:t>
      </w:r>
      <w:r>
        <w:t>+</w:t>
      </w:r>
      <w:r>
        <w:t xml:space="preserve"> </w:t>
      </w:r>
      <w:r>
        <w:t>氧化还原转换。原位光谱和理论分析揭示了加速的高价氧化还原动力学和强I</w:t>
      </w:r>
      <w:r>
        <w:t xml:space="preserve"> </w:t>
      </w:r>
      <w:r>
        <w:t>+</w:t>
      </w:r>
      <w:r>
        <w:t xml:space="preserve"> </w:t>
      </w:r>
      <w:r>
        <w:t>/多碘化物相互作用。因此，优化的电池提供了高能量密度（278 Wh kg</w:t>
      </w:r>
      <w:r>
        <w:t xml:space="preserve"> </w:t>
      </w:r>
      <w:r>
        <w:t>−</w:t>
      </w:r>
      <w:r>
        <w:rPr>
          <w:vertAlign w:val="subscript"/>
        </w:rPr>
        <w:t>1</w:t>
      </w:r>
      <w:r>
        <w:t>），快速动力学（128 mAh g</w:t>
      </w:r>
      <w:r>
        <w:t xml:space="preserve"> </w:t>
      </w:r>
      <w:r>
        <w:t>−</w:t>
      </w:r>
      <w:r>
        <w:rPr>
          <w:vertAlign w:val="subscript"/>
        </w:rPr>
        <w:t>1</w:t>
      </w:r>
      <w:r>
        <w:t>在10 A g</w:t>
      </w:r>
      <w:r>
        <w:t xml:space="preserve"> </w:t>
      </w:r>
      <w:r>
        <w:t>−</w:t>
      </w:r>
    </w:p>
    <w:p>
      <w:pPr>
        <w:spacing w:before="0" w:after="200" w:lineRule="auto" w:line="276"/>
      </w:pPr>
      <w:r>
        <w:rPr>
          <w:b/>
        </w:rPr>
        <w:t xml:space="preserve">Abstract (EN): </w:t>
      </w:r>
      <w:r>
        <w:t>Activating four‐electron iodine chemistry in zinc–iodine (Zn–I</w:t>
      </w:r>
      <w:r>
        <w:rPr>
          <w:vertAlign w:val="subscript"/>
        </w:rPr>
        <w:t>2</w:t>
      </w:r>
      <w:r>
        <w:t>) batteries promises higher energy density, yet remains challenged by polyiodide shuttling and the instability of high‐valence I</w:t>
      </w:r>
      <w:r>
        <w:t xml:space="preserve"> </w:t>
      </w:r>
      <w:r>
        <w:t>+</w:t>
      </w:r>
      <w:r>
        <w:t xml:space="preserve"> </w:t>
      </w:r>
      <w:r>
        <w:t>species. Here, we demonstrate that a customized NH</w:t>
      </w:r>
      <w:r>
        <w:rPr>
          <w:vertAlign w:val="subscript"/>
        </w:rPr>
        <w:t>4</w:t>
      </w:r>
      <w:r>
        <w:t>Cl‐based aqueous electrolyte, coupled with an ion‐replenishing Cl‐functionalized covalent organic framework (COF–Cl) interlayer, enables long‐lived four‐electron Zn–I</w:t>
      </w:r>
      <w:r>
        <w:rPr>
          <w:vertAlign w:val="subscript"/>
        </w:rPr>
        <w:t>2</w:t>
      </w:r>
      <w:r>
        <w:t>batteries. The optimized electrolyte promotes I</w:t>
      </w:r>
      <w:r>
        <w:t xml:space="preserve"> </w:t>
      </w:r>
      <w:r>
        <w:t>+</w:t>
      </w:r>
      <w:r>
        <w:t xml:space="preserve"> </w:t>
      </w:r>
      <w:r>
        <w:t>–Cl</w:t>
      </w:r>
      <w:r>
        <w:t xml:space="preserve"> </w:t>
      </w:r>
      <w:r>
        <w:t>−</w:t>
      </w:r>
      <w:r>
        <w:t>complexation, while the COF–Cl interlayer immobilizes polyiodides and continuously releases Cl</w:t>
      </w:r>
      <w:r>
        <w:t xml:space="preserve"> </w:t>
      </w:r>
      <w:r>
        <w:t>−</w:t>
      </w:r>
      <w:r>
        <w:t>to stabilize I</w:t>
      </w:r>
      <w:r>
        <w:t xml:space="preserve"> </w:t>
      </w:r>
      <w:r>
        <w:t>+</w:t>
      </w:r>
      <w:r>
        <w:t xml:space="preserve"> </w:t>
      </w:r>
      <w:r>
        <w:t>against hydrolysis, collectively ensuring reversible I</w:t>
      </w:r>
      <w:r>
        <w:t xml:space="preserve"> </w:t>
      </w:r>
      <w:r>
        <w:t>−</w:t>
      </w:r>
      <w:r>
        <w:t>/I</w:t>
      </w:r>
      <w:r>
        <w:rPr>
          <w:vertAlign w:val="subscript"/>
        </w:rPr>
        <w:t>0</w:t>
      </w:r>
      <w:r>
        <w:t>/I</w:t>
      </w:r>
      <w:r>
        <w:t xml:space="preserve"> </w:t>
      </w:r>
      <w:r>
        <w:t>+</w:t>
      </w:r>
      <w:r>
        <w:t xml:space="preserve"> </w:t>
      </w:r>
      <w:r>
        <w:t>redox conversion. In situ spectroscopic and theoretical analyses reveal accelerated high‐valence redox kinetics and strong I</w:t>
      </w:r>
      <w:r>
        <w:t xml:space="preserve"> </w:t>
      </w:r>
      <w:r>
        <w:t>+</w:t>
      </w:r>
      <w:r>
        <w:t xml:space="preserve"> </w:t>
      </w:r>
      <w:r>
        <w:t>/polyiodide interactions. As a result, the optimized cell delivers high energy density (278 Wh kg</w:t>
      </w:r>
      <w:r>
        <w:t xml:space="preserve"> </w:t>
      </w:r>
      <w:r>
        <w:t>−</w:t>
      </w:r>
      <w:r>
        <w:rPr>
          <w:vertAlign w:val="subscript"/>
        </w:rPr>
        <w:t>1</w:t>
      </w:r>
      <w:r>
        <w:t>), fast kinetics (128 mAh g</w:t>
      </w:r>
      <w:r>
        <w:t xml:space="preserve"> </w:t>
      </w:r>
      <w:r>
        <w:t>−</w:t>
      </w:r>
      <w:r>
        <w:rPr>
          <w:vertAlign w:val="subscript"/>
        </w:rPr>
        <w:t>1</w:t>
      </w:r>
      <w:r>
        <w:t>at 10 A g</w:t>
      </w:r>
      <w:r>
        <w:t xml:space="preserve"> </w:t>
      </w:r>
      <w:r>
        <w:t>−</w:t>
      </w:r>
      <w:r>
        <w:rPr>
          <w:vertAlign w:val="subscript"/>
        </w:rPr>
        <w:t>1</w:t>
      </w:r>
      <w:r>
        <w:t>), and remarkable cycling durability over 45000 cycles at –5°C with an ultralow decay rate of 0.00039% per cycle, with the strategy further validated in pouch cells under low‐temperature conditions. This work establishes an effective ion‐replenishing interlayer–electrolyte strategy for robust, high‐energy aqueous Zn–I</w:t>
      </w:r>
      <w:r>
        <w:rPr>
          <w:vertAlign w:val="subscript"/>
        </w:rPr>
        <w:t>2</w:t>
      </w:r>
      <w:r>
        <w:t>batteries.</w:t>
      </w:r>
    </w:p>
    <w:p>
      <w:pPr>
        <w:spacing w:before="120" w:after="120"/>
      </w:pPr>
      <w:r>
        <w:rPr>
          <w:sz w:val="18"/>
        </w:rPr>
        <w:t>——————————————————————————————————————————————————————————————————————</w:t>
      </w:r>
    </w:p>
    <w:p>
      <w:pPr>
        <w:spacing w:before="160" w:after="40" w:line="240" w:lineRule="auto"/>
      </w:pPr>
      <w:r>
        <w:rPr>
          <w:b/>
        </w:rPr>
        <w:t xml:space="preserve">[3] </w:t>
      </w:r>
      <w:hyperlink r:id="rId79">
        <w:r>
          <w:rPr>
            <w:color w:val="1155CC"/>
            <w:u w:val="single"/>
          </w:rPr>
          <w:t>[ASAP] 锂介导的重构将碳添加剂激活为全固态电池的离子-电子渗透介质</w:t>
        </w:r>
      </w:hyperlink>
    </w:p>
    <w:p>
      <w:pPr>
        <w:spacing w:before="0" w:after="80"/>
      </w:pPr>
      <w:r>
        <w:rPr>
          <w:i/>
          <w:sz w:val="20"/>
        </w:rPr>
        <w:t>EN: [ASAP] Lithium-Mediated Reconstruction Activates Carbon Additives into Ion-Electron Percolative Media for All-Solid-State Batteries</w:t>
      </w:r>
    </w:p>
    <w:p>
      <w:pPr>
        <w:spacing w:before="0" w:after="120"/>
      </w:pPr>
      <w:r>
        <w:rPr>
          <w:b/>
        </w:rPr>
        <w:t xml:space="preserve">Source: </w:t>
      </w:r>
      <w:r>
        <w:t>ACS Energy Letters: Latest Articles (ACS Publications)</w:t>
      </w:r>
      <w:r>
        <w:t xml:space="preserve">    </w:t>
      </w:r>
      <w:r>
        <w:rPr>
          <w:b/>
        </w:rPr>
        <w:t xml:space="preserve">Pub date: </w:t>
      </w:r>
      <w:r>
        <w:t>2026-05-10 19:48:43+00:00</w:t>
      </w:r>
      <w:r>
        <w:t xml:space="preserve">    </w:t>
      </w:r>
      <w:r>
        <w:rPr>
          <w:b/>
        </w:rPr>
        <w:t xml:space="preserve">DOI: </w:t>
      </w:r>
      <w:hyperlink r:id="rId80">
        <w:r>
          <w:rPr>
            <w:color w:val="1155CC"/>
            <w:u w:val="single"/>
          </w:rPr>
          <w:t>10.1021/acsenergylett.6c00911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81">
        <w:r>
          <w:rPr>
            <w:color w:val="1155CC"/>
            <w:u w:val="single"/>
          </w:rPr>
          <w:t>通过化学驱动的PVDF基聚合物电解质构象重排提高长循环锂金属电池的离子电导率</w:t>
        </w:r>
      </w:hyperlink>
    </w:p>
    <w:p>
      <w:pPr>
        <w:spacing w:before="0" w:after="80"/>
      </w:pPr>
      <w:r>
        <w:rPr>
          <w:i/>
          <w:sz w:val="20"/>
        </w:rPr>
        <w:t>EN: Chemically Driven Conformational Rearrangement of PVDF-Based Polymer Electrolyte to improve ionic conductivity for Long-cycling Lithium Metal Batteries</w:t>
      </w:r>
    </w:p>
    <w:p>
      <w:pPr>
        <w:spacing w:before="0" w:after="120"/>
      </w:pPr>
      <w:r>
        <w:rPr>
          <w:b/>
        </w:rPr>
        <w:t xml:space="preserve">Source: </w:t>
      </w:r>
      <w:r>
        <w:t>RSC - Energy Environ. Sci. latest articles</w:t>
      </w:r>
      <w:r>
        <w:t xml:space="preserve">    </w:t>
      </w:r>
      <w:r>
        <w:rPr>
          <w:b/>
        </w:rPr>
        <w:t xml:space="preserve">Pub date: </w:t>
      </w:r>
      <w:r>
        <w:t>2026-05-10 23:00:00+00:00</w:t>
      </w:r>
    </w:p>
    <w:p>
      <w:pPr>
        <w:spacing w:before="0" w:after="120"/>
      </w:pPr>
      <w:r>
        <w:rPr>
          <w:b/>
        </w:rPr>
        <w:t xml:space="preserve">Notes: </w:t>
      </w:r>
      <w:r>
        <w:t>abstract_source=rsc_html</w:t>
      </w:r>
    </w:p>
    <w:p>
      <w:pPr>
        <w:spacing w:before="0" w:after="80" w:lineRule="auto" w:line="276"/>
      </w:pPr>
      <w:r>
        <w:rPr>
          <w:b/>
        </w:rPr>
        <w:t xml:space="preserve">摘要（ZH）: </w:t>
      </w:r>
      <w:r>
        <w:t>基于聚偏氟乙烯（PVDF）的固体聚合物电解质（SPEs）因其优异的热稳定性和成膜能力而受到广泛关注。然而，低离子电导率和界面副反应限制了其实际应用。在此，我们提出了一种化学驱动的方法来诱导PVDF分子链构象重排，具有更高极性的β相以促进锂盐解离。通过强配位的Li+···-SO3–（在Nafion中）和弱偶极-C-F···Li+相互作用的协同作用，设计了一个低能量障碍的链间Li+传输路径，从而将离子电导率提高到1.81 mS cm–1。通过6Li和二维1H谱追踪传输过程，表明通过设计的低能量障碍路径的Li+传输比例从44%增加到79%。强配位的Li+···-SO3–还促进了均匀的Li+扩散和表面无机富集界面的形成。Li||Li对称电池在0.1 mA cm–2下实现了7800小时的稳定循环。LFP||Li电池在1和5 C下分别经历了超过2000和1400次循环，NCM811||Li电池在500次循环中保持了152 mAh g–1的放电容量。此外，1.3 Ah软包电池通过了高安全性的钉穿测试，为设计SPEs提供了一种新策略。</w:t>
      </w:r>
    </w:p>
    <w:p>
      <w:pPr>
        <w:spacing w:before="0" w:after="200" w:lineRule="auto" w:line="276"/>
      </w:pPr>
      <w:r>
        <w:rPr>
          <w:b/>
        </w:rPr>
        <w:t xml:space="preserve">Abstract (EN): </w:t>
      </w:r>
      <w:r>
        <w:t>Poly(vinylidene fluoride) (PVDF)-based solid polymer electrolytes (SPEs) have garnered widespread attention owing to the excellent thermal stability and film-forming ability. However, low ionic conductivity and interfacial side reactions limit their practical applications. Herein, we propose a chemically driven approach to induce molecular chain conformational rearrangement of PVDF, which possesses more highly polar β-phase to promote Li salt dissociation. And an interchain Li+ transportation pathway with low-energy-barrier is designed through synergy of strong coordinated Li+···-SO3– (in Nafion) and weak dipole -C-F···Li+ interaction. Thereby the ionic conductivity is enhanced to 1.81 mS cm–1. The transportation process is traced by 6Li and two-dimensional 1H spectrum, demonstrating that the proportion of Li+ transportation through the designed low-energy-barrier pathway increases from 44% to 79%. The strong coordinated Li+···-SO3– also promotes uniform Li+ diffusion and surface inorganic-rich interphases formation. The Li||Li symmetric cell achieves stable cycling for 7800 h at 0.1 mA cm–2. LFP||Li batteries undergo more than 2000 and 1400 cycles at 1 and 5 C, and NCM811||Li battery maintains a discharge capacity of 152 mAh g–1 at 500 cycles, respectively. Additionally, 1.3 Ah pouch cell passes the nail penetration test with high safety, which provides a novel strategy for designing SPEs.</w:t>
      </w:r>
    </w:p>
    <w:p>
      <w:pPr>
        <w:spacing w:before="120" w:after="120"/>
      </w:pPr>
      <w:r>
        <w:rPr>
          <w:sz w:val="18"/>
        </w:rPr>
        <w:t>——————————————————————————————————————————————————————————————————————</w:t>
      </w:r>
    </w:p>
    <w:p>
      <w:pPr>
        <w:spacing w:before="160" w:after="40" w:line="240" w:lineRule="auto"/>
      </w:pPr>
      <w:r>
        <w:rPr>
          <w:b/>
        </w:rPr>
        <w:t xml:space="preserve">[5] </w:t>
      </w:r>
      <w:hyperlink r:id="rId82">
        <w:r>
          <w:rPr>
            <w:color w:val="1155CC"/>
            <w:u w:val="single"/>
          </w:rPr>
          <w:t>富含Zn2+的微凝胶-液体双相电解质用于缓解先进水系锌电池的界面浓度极化</w:t>
        </w:r>
      </w:hyperlink>
    </w:p>
    <w:p>
      <w:pPr>
        <w:spacing w:before="0" w:after="80"/>
      </w:pPr>
      <w:r>
        <w:rPr>
          <w:i/>
          <w:sz w:val="20"/>
        </w:rPr>
        <w:t>EN: Zn2+‐Rich Microgel‐Liquid Biphase Electrolyte to Alleviate Interface Concentration Polarization for Advanced Aqueous Zinc Batteries</w:t>
      </w:r>
    </w:p>
    <w:p>
      <w:pPr>
        <w:spacing w:before="0" w:after="120"/>
      </w:pPr>
      <w:r>
        <w:rPr>
          <w:b/>
        </w:rPr>
        <w:t xml:space="preserve">Source: </w:t>
      </w:r>
      <w:r>
        <w:t>Wiley: Advanced Energy Materials: Table of Contents</w:t>
      </w:r>
      <w:r>
        <w:t xml:space="preserve">    </w:t>
      </w:r>
      <w:r>
        <w:rPr>
          <w:b/>
        </w:rPr>
        <w:t xml:space="preserve">Pub date: </w:t>
      </w:r>
      <w:r>
        <w:t>2026-05-11 07:19:56+00:00</w:t>
      </w:r>
      <w:r>
        <w:t xml:space="preserve">    </w:t>
      </w:r>
      <w:r>
        <w:rPr>
          <w:b/>
        </w:rPr>
        <w:t xml:space="preserve">DOI: </w:t>
      </w:r>
      <w:hyperlink r:id="rId83">
        <w:r>
          <w:rPr>
            <w:color w:val="1155CC"/>
            <w:u w:val="single"/>
          </w:rPr>
          <w:t>10.1002/aenm.71061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基电池的部署受到锌阳极界面Zn2+浓度极化的阻碍，这会引发枝晶和副反应。现有的电解质策略很少解决这一动力学瓶颈。在此，我们报告了一种双相电解质，其中微量瓜尔胶（GG）与Zn2+进行原位自组装，形成“瓜尔胶-Zn2+-SO42−”（ZSO-GG微凝胶）。这种微凝胶作为异质动态Zn2+储库，通过络合-解离平衡持续释放Zn2+到界面，从而减轻浓度极化。同时，该系统重新配置氢键网络以降低H2O活性，释放吸附在锌阳极上的GG以调节电双层结构。当与碘阴极配对时，带正电的微凝胶网络固定多碘化物并抑制穿梭效应。因此，Zn||Zn对称电池在1 mA cm−2/1 mAh cm−2下实现了超过5360小时的循环寿命。Zn||I2全电池在10 C下稳定运行超过16500个循环，库仑效率</w:t>
      </w:r>
    </w:p>
    <w:p>
      <w:pPr>
        <w:spacing w:before="0" w:after="200" w:lineRule="auto" w:line="276"/>
      </w:pPr>
      <w:r>
        <w:rPr>
          <w:b/>
        </w:rPr>
        <w:t xml:space="preserve">Abstract (EN): </w:t>
      </w:r>
      <w:r>
        <w:t>The deployment of aqueous zinc‐based batteries is hindered by Zn</w:t>
      </w:r>
      <w:r>
        <w:t xml:space="preserve"> </w:t>
      </w:r>
      <w:r>
        <w:t>2+</w:t>
      </w:r>
      <w:r>
        <w:t xml:space="preserve"> </w:t>
      </w:r>
      <w:r>
        <w:t>concentration polarization at the zinc anode interface, which triggers dendrites and side reactions. Existing electrolyte strategies seldom address this kinetic bottleneck. Herein, we report a biphasic electrolyte in which trace amounts of guar gum (GG) undergo in situ self‐assembly with Zn</w:t>
      </w:r>
      <w:r>
        <w:t xml:space="preserve"> </w:t>
      </w:r>
      <w:r>
        <w:t>2+</w:t>
      </w:r>
      <w:r>
        <w:t xml:space="preserve"> </w:t>
      </w:r>
      <w:r>
        <w:t>to form a “guar gum‐Zn</w:t>
      </w:r>
      <w:r>
        <w:t xml:space="preserve"> </w:t>
      </w:r>
      <w:r>
        <w:t>2+</w:t>
      </w:r>
      <w:r>
        <w:t xml:space="preserve"> </w:t>
      </w:r>
      <w:r>
        <w:t>‐SO</w:t>
      </w:r>
      <w:r>
        <w:rPr>
          <w:vertAlign w:val="subscript"/>
        </w:rPr>
        <w:t>4</w:t>
      </w:r>
      <w:r>
        <w:t>2−</w:t>
      </w:r>
      <w:r>
        <w:t>” (ZSO‐GG microgel). This microgel functions as a heterogeneous dynamic Zn</w:t>
      </w:r>
      <w:r>
        <w:t xml:space="preserve"> </w:t>
      </w:r>
      <w:r>
        <w:t>2+</w:t>
      </w:r>
      <w:r>
        <w:t xml:space="preserve"> </w:t>
      </w:r>
      <w:r>
        <w:t>reservoir, continuously releasing Zn</w:t>
      </w:r>
      <w:r>
        <w:t xml:space="preserve"> </w:t>
      </w:r>
      <w:r>
        <w:t>2+</w:t>
      </w:r>
      <w:r>
        <w:t xml:space="preserve"> </w:t>
      </w:r>
      <w:r>
        <w:t>to the interface via a complexation‐dissociation equilibrium, thereby mitigating concentration polarization. Concurrently, the system reconfigures the hydrogen‐bond network to reduce H</w:t>
      </w:r>
      <w:r>
        <w:rPr>
          <w:vertAlign w:val="subscript"/>
        </w:rPr>
        <w:t>2</w:t>
      </w:r>
      <w:r>
        <w:t>O activity, releasing GG adsorbed on the Zn anode to regulate the electric double layer structure. When paired with iodine cathodes, the positively charged microgel network immobilizes polyiodides and suppresses the shuttle effect. Consequently, the Zn||Zn symmetric cell achieves a cycle life exceeding 5360 h at 1 mA cm</w:t>
      </w:r>
      <w:r>
        <w:t xml:space="preserve"> </w:t>
      </w:r>
      <w:r>
        <w:t>−2</w:t>
      </w:r>
      <w:r>
        <w:t xml:space="preserve"> </w:t>
      </w:r>
      <w:r>
        <w:t>/1 mAh cm</w:t>
      </w:r>
      <w:r>
        <w:t xml:space="preserve"> </w:t>
      </w:r>
      <w:r>
        <w:t>−2</w:t>
      </w:r>
      <w:r>
        <w:t xml:space="preserve"> </w:t>
      </w:r>
      <w:r>
        <w:t>. The Zn||I</w:t>
      </w:r>
      <w:r>
        <w:rPr>
          <w:vertAlign w:val="subscript"/>
        </w:rPr>
        <w:t>2</w:t>
      </w:r>
      <w:r>
        <w:t>full cell operates stably over 16 500 cycles at 10 C with coulombic efficiency consistently above 99.5%. Furthermore, the full cell paired with an oxygen‐deficient NH</w:t>
      </w:r>
      <w:r>
        <w:rPr>
          <w:vertAlign w:val="subscript"/>
        </w:rPr>
        <w:t>4</w:t>
      </w:r>
      <w:r>
        <w:t>V</w:t>
      </w:r>
      <w:r>
        <w:rPr>
          <w:vertAlign w:val="subscript"/>
        </w:rPr>
        <w:t>4</w:t>
      </w:r>
      <w:r>
        <w:t>O</w:t>
      </w:r>
      <w:r>
        <w:rPr>
          <w:vertAlign w:val="subscript"/>
        </w:rPr>
        <w:t>10</w:t>
      </w:r>
      <w:r>
        <w:t>cathode also delivers outstanding performance. This work presents a novel electrolyte structural design to address interfacial failure in aqueous batteries.</w:t>
      </w:r>
    </w:p>
    <w:p>
      <w:pPr>
        <w:spacing w:before="120" w:after="120"/>
      </w:pPr>
      <w:r>
        <w:rPr>
          <w:sz w:val="18"/>
        </w:rPr>
        <w:t>——————————————————————————————————————————————————————————————————————</w:t>
      </w:r>
    </w:p>
    <w:p>
      <w:pPr>
        <w:spacing w:before="160" w:after="40" w:line="240" w:lineRule="auto"/>
      </w:pPr>
      <w:r>
        <w:rPr>
          <w:b/>
        </w:rPr>
        <w:t xml:space="preserve">[6] </w:t>
      </w:r>
      <w:hyperlink r:id="rId84">
        <w:r>
          <w:rPr>
            <w:color w:val="1155CC"/>
            <w:u w:val="single"/>
          </w:rPr>
          <w:t>天然阴离子界面重构抑制点蚀腐蚀，实现耐用的海水锌离子电池</w:t>
        </w:r>
      </w:hyperlink>
    </w:p>
    <w:p>
      <w:pPr>
        <w:spacing w:before="0" w:after="80"/>
      </w:pPr>
      <w:r>
        <w:rPr>
          <w:i/>
          <w:sz w:val="20"/>
        </w:rPr>
        <w:t>EN: Natural Anionic Interfacial Reconstruction for Suppressing Pitting Corrosion Enables Durable Seawater Zinc‐Ion Batteries</w:t>
      </w:r>
    </w:p>
    <w:p>
      <w:pPr>
        <w:spacing w:before="0" w:after="120"/>
      </w:pPr>
      <w:r>
        <w:rPr>
          <w:b/>
        </w:rPr>
        <w:t xml:space="preserve">Source: </w:t>
      </w:r>
      <w:r>
        <w:t>Wiley: Advanced Energy Materials: Table of Contents</w:t>
      </w:r>
      <w:r>
        <w:t xml:space="preserve">    </w:t>
      </w:r>
      <w:r>
        <w:rPr>
          <w:b/>
        </w:rPr>
        <w:t xml:space="preserve">Pub date: </w:t>
      </w:r>
      <w:r>
        <w:t>2026-05-11 07:27:22+00:00</w:t>
      </w:r>
      <w:r>
        <w:t xml:space="preserve">    </w:t>
      </w:r>
      <w:r>
        <w:rPr>
          <w:b/>
        </w:rPr>
        <w:t xml:space="preserve">DOI: </w:t>
      </w:r>
      <w:hyperlink r:id="rId85">
        <w:r>
          <w:rPr>
            <w:color w:val="1155CC"/>
            <w:u w:val="single"/>
          </w:rPr>
          <w:t>10.1002/aenm.71053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是一种几乎取之不尽、用之不竭、低成本且环境友好的水系电池电解质资源，具有可持续的大规模储能潜力。然而，富含氯化物的环境对锌金属阳极的长期稳定性构成挑战。在此，我们报告了一种原位电化学诱导的分子筛/海藻酸钠（MS_SA）复合界面层，使锌金属在海水衍生电解质中实现持久高效的运行。MS_SA层自适应地平滑阳极表面，均匀化界面电场，并有效调节离子传输，同时可逆的Zn2+‐海藻酸盐配位促进均匀的锌成核和致密沉积。结果表明，Zn||Zn对称电池在海水基电解质中表现出超过2000小时的稳定循环，并在40.6%的放电深度下保持超过800小时的长期耐久性。同时，碘基全电池在5 A g−1下经过4000多次循环后，提供290 mAh g−1的高可逆容量，具有优异的容量保持率。值得注意的是，袋式电池在N/P比为2.3的情况下，经过400多次循环后，保持约280 mAh的稳定容量，几乎没有退化。该工作展示了一种实现低成本和可持续的海水基锌离子电池的可行策略。</w:t>
      </w:r>
    </w:p>
    <w:p>
      <w:pPr>
        <w:spacing w:before="0" w:after="200" w:lineRule="auto" w:line="276"/>
      </w:pPr>
      <w:r>
        <w:rPr>
          <w:b/>
        </w:rPr>
        <w:t xml:space="preserve">Abstract (EN): </w:t>
      </w:r>
      <w:r>
        <w:t>Seawater represents a virtually inexhaustible, low‐cost, and environmentally benign electrolyte resource for aqueous batteries, offering great potential for sustainable large‐scale energy storage. However, the chloride‐rich environment poses challenges for the long‐term stability of Zn metal anodes. Herein, we report an in situ electrochemically induced molecular sieve/sodium alginate (MS_SA) composite interfacial layer that enables durable and efficient Zn metal operation in seawater‐derived electrolytes. The MS_SA layer adaptively smooths the anode surface, homogenizes the interfacial electric field, and effectively regulates ion transport, while reversible Zn</w:t>
      </w:r>
      <w:r>
        <w:t xml:space="preserve"> </w:t>
      </w:r>
      <w:r>
        <w:t>2+</w:t>
      </w:r>
      <w:r>
        <w:t xml:space="preserve"> </w:t>
      </w:r>
      <w:r>
        <w:t>‐alginate coordination facilitates uniform Zn nucleation and dense deposition. As a result, Zn||Zn symmetric cells exhibit stable cycling for over 2000 h and maintain long‐term durability beyond 800 h at 40.6% depth of discharge in seawater‐based electrolytes. Meanwhile, iodine‐based full cells deliver a high reversible capacity of 290 mAh g</w:t>
      </w:r>
      <w:r>
        <w:t xml:space="preserve"> </w:t>
      </w:r>
      <w:r>
        <w:t>−1</w:t>
      </w:r>
      <w:r>
        <w:t xml:space="preserve"> </w:t>
      </w:r>
      <w:r>
        <w:t>after more than 4000 cycles at 5 A g</w:t>
      </w:r>
      <w:r>
        <w:t xml:space="preserve"> </w:t>
      </w:r>
      <w:r>
        <w:t>−1</w:t>
      </w:r>
      <w:r>
        <w:t xml:space="preserve"> </w:t>
      </w:r>
      <w:r>
        <w:t>with excellent capacity retention. Notably, the pouch cell sustains a stable capacity of ∼ 280 mAh for over 400 cycles at an N/P ratio of 2.3 with negligible degradation. This work demonstrates a viable strategy for realizing low‐cost and sustainable seawater‐based Zn‐ion batteries.</w:t>
      </w:r>
    </w:p>
    <w:p>
      <w:pPr>
        <w:spacing w:before="120" w:after="120"/>
      </w:pPr>
      <w:r>
        <w:rPr>
          <w:sz w:val="18"/>
        </w:rPr>
        <w:t>——————————————————————————————————————————————————————————————————————</w:t>
      </w:r>
    </w:p>
    <w:p>
      <w:pPr>
        <w:spacing w:before="160" w:after="40" w:line="240" w:lineRule="auto"/>
      </w:pPr>
      <w:r>
        <w:rPr>
          <w:b/>
        </w:rPr>
        <w:t xml:space="preserve">[7] </w:t>
      </w:r>
      <w:hyperlink r:id="rId86">
        <w:r>
          <w:rPr>
            <w:color w:val="1155CC"/>
            <w:u w:val="single"/>
          </w:rPr>
          <w:t>关于低堆压全固态锂电池的材料设计和界面工程的展望</w:t>
        </w:r>
      </w:hyperlink>
    </w:p>
    <w:p>
      <w:pPr>
        <w:spacing w:before="0" w:after="80"/>
      </w:pPr>
      <w:r>
        <w:rPr>
          <w:i/>
          <w:sz w:val="20"/>
        </w:rPr>
        <w:t>EN: Perspective on Material Design and Interface Engineering toward Low‐Stack‐Pressure All‐Solid‐State Lithium Batteries</w:t>
      </w:r>
    </w:p>
    <w:p>
      <w:pPr>
        <w:spacing w:before="0" w:after="120"/>
      </w:pPr>
      <w:r>
        <w:rPr>
          <w:b/>
        </w:rPr>
        <w:t xml:space="preserve">Source: </w:t>
      </w:r>
      <w:r>
        <w:t>Wiley: Advanced Materials: Table of Contents</w:t>
      </w:r>
      <w:r>
        <w:t xml:space="preserve">    </w:t>
      </w:r>
      <w:r>
        <w:rPr>
          <w:b/>
        </w:rPr>
        <w:t xml:space="preserve">Pub date: </w:t>
      </w:r>
      <w:r>
        <w:t>2026-05-11 11:51:09+00:00</w:t>
      </w:r>
      <w:r>
        <w:t xml:space="preserve">    </w:t>
      </w:r>
      <w:r>
        <w:rPr>
          <w:b/>
        </w:rPr>
        <w:t xml:space="preserve">DOI: </w:t>
      </w:r>
      <w:hyperlink r:id="rId87">
        <w:r>
          <w:rPr>
            <w:color w:val="1155CC"/>
            <w:u w:val="single"/>
          </w:rPr>
          <w:t>10.1002/adma.73342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锂电池（ASSLBs）因其高能量密度和增强的安全性而受到全球关注，作为下一代有前景的储能技术。然而，其长循环性对于实际应用仍不令人满意，主要是由于固-固界面接触不良。在操作过程中通常需要高堆压，阻碍了其商业化。本文从ASSLBs中堆压的作用提供了基本理解，并分析了在低堆压条件下实现最佳电池性能的内在挑战。从固体电解质/活性电极材料设计和界面工程的角度总结了降低高堆压需求的最新进展。最后，本文展望了实现低堆压ASSLBs的关键挑战和未来突破的前景。希望本文中强调的以材料为中心的解决方案能激发未来先进电池系统的有意义进展。</w:t>
      </w:r>
    </w:p>
    <w:p>
      <w:pPr>
        <w:spacing w:before="0" w:after="200" w:lineRule="auto" w:line="276"/>
      </w:pPr>
      <w:r>
        <w:rPr>
          <w:b/>
        </w:rPr>
        <w:t xml:space="preserve">Abstract (EN): </w:t>
      </w:r>
      <w:r>
        <w:t>All‐solid‐state lithium batteries (ASSLBs) have garnered worldwide attention as promising next‐generation energy storage technologies owing to their high energy densities and enhanced safety. However, their long cyclability remains unsatisfactory for practical application, primarily due to poor solid‐solid interfacial contact. A high stack pressure is often required during operation, hampering their commercialization. This perspective presents a fundamental understanding of the roles of stack pressure in ASSLBs and analyzes the intrinsic challenges to achieve optimal battery performance under low‐stack‐pressure conditions. Recent advances for reducing high‐stack‐pressure demands are summarized from the point of views of solid electrolyte/ active electrode material design and interface engineering. Finally, the perspective layouts the key challenges and prospects for future breakthroughs to achieve low‐stack‐pressure ASSLBs. It is hoped that the material‐centered solutions highlighted in this perspective will inspire meaningful progress in future advanced battery systems.</w:t>
      </w:r>
    </w:p>
    <w:p>
      <w:pPr>
        <w:spacing w:before="120" w:after="120"/>
      </w:pPr>
      <w:r>
        <w:rPr>
          <w:sz w:val="18"/>
        </w:rPr>
        <w:t>——————————————————————————————————————————————————————————————————————</w:t>
      </w:r>
    </w:p>
    <w:p>
      <w:pPr>
        <w:spacing w:before="160" w:after="40" w:line="240" w:lineRule="auto"/>
      </w:pPr>
      <w:r>
        <w:rPr>
          <w:b/>
        </w:rPr>
        <w:t xml:space="preserve">[8] </w:t>
      </w:r>
      <w:hyperlink r:id="rId88">
        <w:r>
          <w:rPr>
            <w:color w:val="1155CC"/>
            <w:u w:val="single"/>
          </w:rPr>
          <w:t>兼容动态润湿电解质-电极界面设计用于固态锂-硫电池</w:t>
        </w:r>
      </w:hyperlink>
    </w:p>
    <w:p>
      <w:pPr>
        <w:spacing w:before="0" w:after="80"/>
      </w:pPr>
      <w:r>
        <w:rPr>
          <w:i/>
          <w:sz w:val="20"/>
        </w:rPr>
        <w:t>EN: Compatible Dynamically Wetting Electrolyte–Electrode Interface Design for Solid‐State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2026-05-12 05:34:44+00:00</w:t>
      </w:r>
      <w:r>
        <w:t xml:space="preserve">    </w:t>
      </w:r>
      <w:r>
        <w:rPr>
          <w:b/>
        </w:rPr>
        <w:t xml:space="preserve">DOI: </w:t>
      </w:r>
      <w:hyperlink r:id="rId89">
        <w:r>
          <w:rPr>
            <w:color w:val="1155CC"/>
            <w:u w:val="single"/>
          </w:rPr>
          <w:t>10.1002/anie.1261984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锂硫电池具有高能量密度和稳定性，但其实际应用受到电极/固态电解质界面处离子传输有限和锂枝晶引发的安全问题的限制。本研究提出了一种固态聚合物电解质（SPSLL），由超薄阻燃磺化共聚物（邻苯二甲嗪联苯醚砜）骨架构成，其中掺入了聚（偏氟乙烯-六氟丙烯）、琥珀腈和双（三氟甲磺酰）亚胺锂的混合相，以及液态金属界面润湿相。该设计实现了一种动态润湿机制，促进了兼容的电解质-电极界面的形成。通过其磺化聚合物骨架，SPSLL促进锂盐解离并增强热稳定性。同时，LM作为动态活性位点，既加强了界面物理接触，又促进了合金化固态电解质界面的形成。因此，基于SPSLL的固态锂-硫化聚丙烯腈（Li||SPAN）电池表现出优异的循环稳定性，在500次循环后保持92.2%的容量保持率和99.9%的库仑效率。此外，SPSLL单层袋式电池的初始比容量为948 mAh g</w:t>
      </w:r>
      <w:r>
        <w:t xml:space="preserve"> </w:t>
      </w:r>
      <w:r>
        <w:t>−1</w:t>
      </w:r>
      <w:r>
        <w:t xml:space="preserve"> </w:t>
      </w:r>
      <w:r>
        <w:t>。本文提出的动态润湿策略为固态电池界面设计提供了一个有前景的研究方向。</w:t>
      </w:r>
    </w:p>
    <w:p>
      <w:pPr>
        <w:spacing w:before="0" w:after="200" w:lineRule="auto" w:line="276"/>
      </w:pPr>
      <w:r>
        <w:rPr>
          <w:b/>
        </w:rPr>
        <w:t xml:space="preserve">Abstract (EN): </w:t>
      </w:r>
      <w:r>
        <w:t>Solid‐state lithium–sulfur batteries feature high energy density and stability, but their practical application is constrained by limited ion transport at the electrode/solid‐state electrolyte interfaces and safety concerns arising from Li dendrites. This study presents a solid polymer electrolyte (SPSLL) constructed from an ultrathin flame‐retardant sulfonated copolymer (phthalazinone biphenylether sulfone) skeleton, into which a mixed phase of poly(vinylidene fluoride‐co‐hexafluoropropylene), succinonitrile, and lithium bis(trifluoromethanesulfonyl)imide is incorporated, together with a liquid metal interfacial wetting phase. This design enables a dynamic wetting mechanism that facilitates the formation of compatible electrolyte‐electrode interfaces. Through its sulfonated polymer skeleton, SPSLL promotes lithium salt dissociation and enhances thermal stability. Simultaneously, the LM serves as dynamic active sites, both strengthening interfacial physical contact and facilitating the formation of alloyed solid electrolyte interphases. As a result, the SPSLL‐based solid‐state Li‐sulfurized polyacrylonitrile (Li||SPAN) battery exhibits excellent cycling stability, maintaining a capacity retention of 92.2% and a Coulombic efficiency of 99.9% after 500 cycles. Furthermore, the SPSLL single‐layer pouch cell has an initial specific capacity of 948 mAh g</w:t>
      </w:r>
      <w:r>
        <w:t xml:space="preserve"> </w:t>
      </w:r>
      <w:r>
        <w:t>−1</w:t>
      </w:r>
      <w:r>
        <w:t xml:space="preserve"> </w:t>
      </w:r>
      <w:r>
        <w:t>. The dynamic wetting strategy presented in this work offers a promising research direction for interface design in solid‐state batteries.</w:t>
      </w:r>
    </w:p>
    <w:p>
      <w:pPr>
        <w:spacing w:before="120" w:after="120"/>
      </w:pPr>
      <w:r>
        <w:rPr>
          <w:sz w:val="18"/>
        </w:rPr>
        <w:t>——————————————————————————————————————————————————————————————————————</w:t>
      </w:r>
    </w:p>
    <w:p>
      <w:pPr>
        <w:spacing w:before="160" w:after="40" w:line="240" w:lineRule="auto"/>
      </w:pPr>
      <w:r>
        <w:rPr>
          <w:b/>
        </w:rPr>
        <w:t xml:space="preserve">[9] </w:t>
      </w:r>
      <w:hyperlink r:id="rId90">
        <w:r>
          <w:rPr>
            <w:color w:val="1155CC"/>
            <w:u w:val="single"/>
          </w:rPr>
          <w:t>修订的溶剂规则解锁了石墨中Na+‐溶剂共嵌入的非常规溶剂</w:t>
        </w:r>
      </w:hyperlink>
    </w:p>
    <w:p>
      <w:pPr>
        <w:spacing w:before="0" w:after="80"/>
      </w:pPr>
      <w:r>
        <w:rPr>
          <w:i/>
          <w:sz w:val="20"/>
        </w:rPr>
        <w:t>EN: Revised Solvent Rule Unlocks Non‐Conventional Solvents for Na+‐Solvent Co‐Intercalation in Graphite</w:t>
      </w:r>
    </w:p>
    <w:p>
      <w:pPr>
        <w:spacing w:before="0" w:after="120"/>
      </w:pPr>
      <w:r>
        <w:rPr>
          <w:b/>
        </w:rPr>
        <w:t xml:space="preserve">Source: </w:t>
      </w:r>
      <w:r>
        <w:t>Wiley: Advanced Materials: Table of Contents</w:t>
      </w:r>
      <w:r>
        <w:t xml:space="preserve">    </w:t>
      </w:r>
      <w:r>
        <w:rPr>
          <w:b/>
        </w:rPr>
        <w:t xml:space="preserve">Pub date: </w:t>
      </w:r>
      <w:r>
        <w:t>2026-05-12 07:22:48+00:00</w:t>
      </w:r>
      <w:r>
        <w:t xml:space="preserve">    </w:t>
      </w:r>
      <w:r>
        <w:rPr>
          <w:b/>
        </w:rPr>
        <w:t xml:space="preserve">DOI: </w:t>
      </w:r>
      <w:hyperlink r:id="rId91">
        <w:r>
          <w:rPr>
            <w:color w:val="1155CC"/>
            <w:u w:val="single"/>
          </w:rPr>
          <w:t>10.1002/adma.202521350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Na+‐溶剂共嵌入石墨的溶剂选择受到经验规则的限制，要求既具有高还原稳定性又具有强溶解能力，因此历史上将可行的溶剂候选者主要限制在基于甘醚的醚类。我们在此重新审视这一溶剂选择规则，并揭示Na+‐溶剂复合物在石墨电极的循环消耗及其在对电极的再生导致耦合电极系统中溶解能的净抵消，从而将溶解能力与共嵌入可行性分离。为了验证这种分离，我们设计了一种氟化醚，故意降低其溶解能力但具有高还原稳定性，作为概念验证溶剂。观察到这种弱溶解氟化醚的成功共嵌入，而典型的具有优越溶解能力的碳酸酯溶剂由于在嵌入阈值以上的还原分解而失败，证实溶解强度不是决定因素。利用这一见解，我们进一步设计并识别了氨基化醚作为一种以前未探索的能够共嵌入的醚类子类。这项工作修订了经验双因素规则，并消除了溶解能力作为限制，从而扩大了石墨基钠离子电池的可行溶剂范围。</w:t>
      </w:r>
    </w:p>
    <w:p>
      <w:pPr>
        <w:spacing w:before="0" w:after="200" w:lineRule="auto" w:line="276"/>
      </w:pPr>
      <w:r>
        <w:rPr>
          <w:b/>
        </w:rPr>
        <w:t xml:space="preserve">Abstract (EN): </w:t>
      </w:r>
      <w:r>
        <w:t>Solvent selection for electrochemical Na</w:t>
      </w:r>
      <w:r>
        <w:t xml:space="preserve"> </w:t>
      </w:r>
      <w:r>
        <w:t>+</w:t>
      </w:r>
      <w:r>
        <w:t xml:space="preserve"> </w:t>
      </w:r>
      <w:r>
        <w:t>‐solvent co‐intercalation in graphite has been constrained by an empirical rule requiring both high reductive stability and strong solvating power, thereby historically confining viable solvent candidates primarily to glyme‐based ethers. Here, we re‐examine this solvent selection rule and reveal that the cyclic consumption of Na</w:t>
      </w:r>
      <w:r>
        <w:t xml:space="preserve"> </w:t>
      </w:r>
      <w:r>
        <w:t>+</w:t>
      </w:r>
      <w:r>
        <w:t xml:space="preserve"> </w:t>
      </w:r>
      <w:r>
        <w:t>‐solvent complexes at the graphite electrode and their regeneration at the counter electrode leads to a net cancellation of solvation energy in coupled electrode systems, thereby decoupling solvation power from co‐intercalation feasibility. To validate this decoupling, we designed a fluorinated ether with deliberately attenuated solvating power but high reductive stability, as a proof‐of‐concept solvent. Successful co‐intercalation was observed with this weakly solvating fluorinated ether, whereas typical carbonate solvents with superior solvation capability failed due to reductive decomposition above the intercalation threshold, confirming that solvation strength is not the determining factor. Leveraging this insight, we further designed and identified aminated ethers as a previously unexplored subclass of ethers capable of co‐intercalation. This work revises the empirical dual‐factor rule and eliminates solvation capability as a constraint, which broadens the range of viable solvents for graphite‐based sodium‐ion batteries.</w:t>
      </w:r>
    </w:p>
    <w:p>
      <w:pPr>
        <w:spacing w:before="120" w:after="120"/>
      </w:pPr>
      <w:r>
        <w:rPr>
          <w:sz w:val="18"/>
        </w:rPr>
        <w:t>——————————————————————————————————————————————————————————————————————</w:t>
      </w:r>
    </w:p>
    <w:p>
      <w:pPr>
        <w:spacing w:before="160" w:after="40" w:line="240" w:lineRule="auto"/>
      </w:pPr>
      <w:r>
        <w:rPr>
          <w:b/>
        </w:rPr>
        <w:t xml:space="preserve">[10] </w:t>
      </w:r>
      <w:hyperlink r:id="rId92">
        <w:r>
          <w:rPr>
            <w:color w:val="1155CC"/>
            <w:u w:val="single"/>
          </w:rPr>
          <w:t>用于水系锌金属电池的水凝胶电解质的多尺度计算洞察</w:t>
        </w:r>
      </w:hyperlink>
    </w:p>
    <w:p>
      <w:pPr>
        <w:spacing w:before="0" w:after="80"/>
      </w:pPr>
      <w:r>
        <w:rPr>
          <w:i/>
          <w:sz w:val="20"/>
        </w:rPr>
        <w:t>EN: Multiscale Computational Insights for Hydrogel Electrolytes in Aqueous Zinc Metal Batteries</w:t>
      </w:r>
    </w:p>
    <w:p>
      <w:pPr>
        <w:spacing w:before="0" w:after="120"/>
      </w:pPr>
      <w:r>
        <w:rPr>
          <w:b/>
        </w:rPr>
        <w:t xml:space="preserve">Source: </w:t>
      </w:r>
      <w:r>
        <w:t>Wiley: Advanced Energy Materials: Table of Contents</w:t>
      </w:r>
      <w:r>
        <w:t xml:space="preserve">    </w:t>
      </w:r>
      <w:r>
        <w:rPr>
          <w:b/>
        </w:rPr>
        <w:t xml:space="preserve">Pub date: </w:t>
      </w:r>
      <w:r>
        <w:t>2026-05-12 11:27:50+00:00</w:t>
      </w:r>
      <w:r>
        <w:t xml:space="preserve">    </w:t>
      </w:r>
      <w:r>
        <w:rPr>
          <w:b/>
        </w:rPr>
        <w:t xml:space="preserve">DOI: </w:t>
      </w:r>
      <w:hyperlink r:id="rId93">
        <w:r>
          <w:rPr>
            <w:color w:val="1155CC"/>
            <w:u w:val="single"/>
          </w:rPr>
          <w:t>10.1002/aenm.71071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金属电池（AZMBs）因其固有的安全性、环保性和成本效益而备受期待。然而，阳极枝晶、氢气析出和阴极溶解等不受控制的界面问题会对AZMBs的循环稳定性和容量保持产生不利影响。水凝胶电解质（HEs）可以缓解这些问题，但面临机械脆弱性、界面不稳定性和温度敏感性等实际限制。此外，从原子尺度到宏观机械/电化学性能的跨尺度结构-性能关系的理解仍存在关键知识空白，以及HEs中电荷/离子转移和反应动力学的耦合机制。这些空白需要一种多尺度计算视角，以桥接微观相互作用和宏观功能。在此，我们系统地讨论了HEs的挑战以及多尺度计算在AZMBs中的变革性作用。首先从电化学和物理特性两个视角解构HEs的内在特性，然后是包括电极/电解质界面稳定性在内的关键挑战。针对这些挑战，本综述提供了详细的见解，说明多尺度计算如何通过原子/电子、分子和宏观方法阐明HE内部组分相互作用和电解质-电极界面行为的微观机制。最后，讨论了多尺度计算的当前挑战和前景。</w:t>
      </w:r>
    </w:p>
    <w:p>
      <w:pPr>
        <w:spacing w:before="0" w:after="200" w:lineRule="auto" w:line="276"/>
      </w:pPr>
      <w:r>
        <w:rPr>
          <w:b/>
        </w:rPr>
        <w:t xml:space="preserve">Abstract (EN): </w:t>
      </w:r>
      <w:r>
        <w:t>Aqueous zinc metal batteries (AZMBs) are promising due to their inherent safety, eco‐friendliness, and cost‐effectiveness. However, uncontrolled interfacial issues such as anode dendrites, hydrogen evolution, and cathode dissolution, adversely affect the cycling stability and capacity retention of AZMBs. Hydrogel electrolytes (HEs) could mitigate these issues but face practical limitations like mechanical fragility, interfacial instability, and temperature sensitivity. Furthermore, critical knowledge gaps persist in understanding cross‐scale structure‐property relationships from atomic‐scale to macroscale mechanical/electrochemical performance, and coupled mechanisms of charge/ion transfer and reaction kinetics in HEs. These gaps necessitate a multiscale computational perspective that bridge microscopic interactions and macroscopic functionality. Herein, we systematically discuss the challenges of HEs and the transformative role of multiscale computations in AZMBs. The intrinsic properties of HEs are first deconstructed through dual perspectives of electrochemical and physical characteristics, followed by critical challenges including the stability of the electrode/electrolyte interface. In response to these challenges, this review provides detailed insights of how multiscale computations, encompassing atomic/electronic, molecular, and macroscale approaches, elucidate the microscopic mechanisms of HE internal component interactions and electrolyte‐electrode interfacial behaviors at different scales. Finally, current challenges and prospects of multiscale computational frameworks for guiding the design of high‐performance HEs in AZMBs are discussed.</w:t>
      </w:r>
    </w:p>
    <w:p>
      <w:pPr>
        <w:spacing w:before="120" w:after="120"/>
      </w:pPr>
      <w:r>
        <w:rPr>
          <w:sz w:val="18"/>
        </w:rPr>
        <w:t>——————————————————————————————————————————————————————————————————————</w:t>
      </w:r>
    </w:p>
    <w:p>
      <w:pPr>
        <w:spacing w:before="160" w:after="40" w:line="240" w:lineRule="auto"/>
      </w:pPr>
      <w:r>
        <w:rPr>
          <w:b/>
        </w:rPr>
        <w:t xml:space="preserve">[11] </w:t>
      </w:r>
      <w:hyperlink r:id="rId94">
        <w:r>
          <w:rPr>
            <w:color w:val="1155CC"/>
            <w:u w:val="single"/>
          </w:rPr>
          <w:t>揭示MOF和COF网状化学在固态电池中的作用：从电极到电解质设计</w:t>
        </w:r>
      </w:hyperlink>
    </w:p>
    <w:p>
      <w:pPr>
        <w:spacing w:before="0" w:after="80"/>
      </w:pPr>
      <w:r>
        <w:rPr>
          <w:i/>
          <w:sz w:val="20"/>
        </w:rPr>
        <w:t>EN: Revealing the Role of MOF and COF Reticular Chemistry in Solid State Batteries: From Electrode to Electrolyte Design</w:t>
      </w:r>
    </w:p>
    <w:p>
      <w:pPr>
        <w:spacing w:before="0" w:after="120"/>
      </w:pPr>
      <w:r>
        <w:rPr>
          <w:b/>
        </w:rPr>
        <w:t xml:space="preserve">Source: </w:t>
      </w:r>
      <w:r>
        <w:t>Wiley: Advanced Materials: Table of Contents</w:t>
      </w:r>
      <w:r>
        <w:t xml:space="preserve">    </w:t>
      </w:r>
      <w:r>
        <w:rPr>
          <w:b/>
        </w:rPr>
        <w:t xml:space="preserve">Pub date: </w:t>
      </w:r>
      <w:r>
        <w:t>2026-05-12 13:02:16+00:00</w:t>
      </w:r>
      <w:r>
        <w:t xml:space="preserve">    </w:t>
      </w:r>
      <w:r>
        <w:rPr>
          <w:b/>
        </w:rPr>
        <w:t xml:space="preserve">DOI: </w:t>
      </w:r>
      <w:hyperlink r:id="rId95">
        <w:r>
          <w:rPr>
            <w:color w:val="1155CC"/>
            <w:u w:val="single"/>
          </w:rPr>
          <w:t>10.1002/adma.73311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池（SSBs）因其固有的安全性和高能量密度被认为是下一代能源存储技术。然而，其广泛的商业引入仍然受到离子传输缓慢和界面不稳定的阻碍。网状化合物，包括金属有机框架（MOFs）和共价有机框架（COFs），通过有序的孔隙率、模块化的化学功能性和结构可调性，提供了一套日益增长的工具来解决这些限制。具有定向离子通道的固体电解质、机械柔性的阴极以稳定高电压化学反应，以及调节离子流动并防止枝晶生长的阳极界面，都可以通过网状化学有效设计。本综述首先概述了SSBs的主要挑战，随后对电解质、阴极和阳极中网状化合物的关键作用进行了批判性分析，强调了网状调制策略的影响以及最近在框架集成电池中的大量应用。Operando和多尺度表征对于阐明这些框架行为至关重要，并且还包括一个专门的部分来将这些设计概念置于背景中，并展示这种模块化如何在实际SSBs中发挥作用。最后，提出了未来的方向，以指导基于网状化合物的SSBs的系统设计，旨在激励更广泛的社区推进安全、高性能和可扩展的固态能源存储系统。</w:t>
      </w:r>
    </w:p>
    <w:p>
      <w:pPr>
        <w:spacing w:before="0" w:after="200" w:lineRule="auto" w:line="276"/>
      </w:pPr>
      <w:r>
        <w:rPr>
          <w:b/>
        </w:rPr>
        <w:t xml:space="preserve">Abstract (EN): </w:t>
      </w:r>
      <w:r>
        <w:t>Solid‐state batteries (SSBs) are considered next‐generation energy storage technologies due to their intrinsic safety and high energy density. However, their widespread commercial introduction is still hindered by slow ion transport and unstable interfaces. Reticular compounds, including metal‐organic frameworks (MOFs) and covalent organic frameworks (COFs), offer a growing toolset to address these limitations through ordered porosity, modular chemical functionality, and structural tunability. Solid electrolytes with directed ion pathways, mechanically flexible cathodes to stabilize high‐voltage chemistries, and anode interfaces that regulate ion flow and prevent dendritic growth can all be effectively engineered through reticular chemistry. This review first outlines the primary challenges of SSBs, subsequently conducting a critical role of reticular compounds within electrolytes, cathodes, and anodes, emphasizing the influence of reticular modulation strategies and the recent plethora in framework‐integrated batteries. Operando and multiscale characterizations are essential for elucidating these framework behaviors, and a dedicated section is also included to contextualize these design concepts and demonstrate how such modularity functions in practical SSBs. Finally, future directions are proposed to guide the systematic design of reticular compounds based SSBs, aiming to motivate the wider community in advancing safe, high‐performance, and scalable solid‐state energy storage systems.</w:t>
      </w:r>
    </w:p>
    <w:p>
      <w:pPr>
        <w:spacing w:before="120" w:after="120"/>
      </w:pPr>
      <w:r>
        <w:rPr>
          <w:sz w:val="18"/>
        </w:rPr>
        <w:t>——————————————————————————————————————————————————————————————————————</w:t>
      </w:r>
    </w:p>
    <w:p>
      <w:pPr>
        <w:spacing w:before="160" w:after="40" w:line="240" w:lineRule="auto"/>
      </w:pPr>
      <w:r>
        <w:rPr>
          <w:b/>
        </w:rPr>
        <w:t xml:space="preserve">[12] </w:t>
      </w:r>
      <w:hyperlink r:id="rId70">
        <w:r>
          <w:rPr>
            <w:color w:val="1155CC"/>
            <w:u w:val="single"/>
          </w:rPr>
          <w:t>一种协同双添加剂策略，用于构建梯度疏水界面，以实现超稳定的水性锌金属阳极</w:t>
        </w:r>
      </w:hyperlink>
    </w:p>
    <w:p>
      <w:pPr>
        <w:spacing w:before="0" w:after="80"/>
      </w:pPr>
      <w:r>
        <w:rPr>
          <w:i/>
          <w:sz w:val="20"/>
        </w:rPr>
        <w:t>EN: A synergistic dual additive strategy for constructing gradient hydrophobic interfaces toward ultrastable aqueous zinc metal anodes</w:t>
      </w:r>
    </w:p>
    <w:p>
      <w:pPr>
        <w:spacing w:before="0" w:after="120"/>
      </w:pPr>
      <w:r>
        <w:rPr>
          <w:b/>
        </w:rPr>
        <w:t xml:space="preserve">Source: </w:t>
      </w:r>
      <w:r>
        <w:t>RSC - Energy Environ. Sci. latest articles</w:t>
      </w:r>
      <w:r>
        <w:t xml:space="preserve">    </w:t>
      </w:r>
      <w:r>
        <w:rPr>
          <w:b/>
        </w:rPr>
        <w:t xml:space="preserve">Pub date: </w:t>
      </w:r>
      <w:r>
        <w:t>2026-05-12 23:00:00+00:00</w:t>
      </w:r>
    </w:p>
    <w:p>
      <w:pPr>
        <w:spacing w:before="0" w:after="120"/>
      </w:pPr>
      <w:r>
        <w:rPr>
          <w:b/>
        </w:rPr>
        <w:t xml:space="preserve">Notes: </w:t>
      </w:r>
      <w:r>
        <w:t>abstract_source=rsc_html</w:t>
      </w:r>
    </w:p>
    <w:p>
      <w:pPr>
        <w:spacing w:before="0" w:after="80" w:lineRule="auto" w:line="276"/>
      </w:pPr>
      <w:r>
        <w:rPr>
          <w:b/>
        </w:rPr>
        <w:t xml:space="preserve">摘要（ZH）: </w:t>
      </w:r>
      <w:r>
        <w:t>水系锌离子电池（AZIBs）有效解决了能量存储的关键问题，如易燃性风险、成本和离子电导率。然而，其实际应用受到水引起的寄生反应和不均匀锌沉积的严重阻碍。因此，限制电极界面处水的含量和活性至关重要。在此，我们提出了一种新颖的协同疏水吸附和竞争配位（H-C）策略，以原位构建锌阳极上的功能梯度疏水界面，通过分子动力学模拟和和频生成振动光谱明确揭示。这是通过在2 M ZnSO4电解液中引入微量苯甲叉丙酮（BZA）作为疏水吸附单元（H）和乙醇作为竞争配位单元（C）来实现的。H单元（BZA）优先吸附在锌阳极表面，形成致密的防水内层，抑制氢气析出和腐蚀反应。同时，C单元（乙醇）调节Zn2+的外溶剂化鞘并破坏界面氢键网络，从而促进Zn2+的去溶剂化和传输。因此，工程化的界面使得Zn‖Zn对称电池在1 mA cm−2和1 mAh cm−2下实现长达3000小时的循环寿命，在Zn‖Cu半电池中实现99.2%的高平均库仑效率，以及卓越的深度充放电能力（85.4% DOD）。此外，当与δ-MnO2配置时，全电池保持84%的容量</w:t>
      </w:r>
    </w:p>
    <w:p>
      <w:pPr>
        <w:spacing w:before="0" w:after="200" w:lineRule="auto" w:line="276"/>
      </w:pPr>
      <w:r>
        <w:rPr>
          <w:b/>
        </w:rPr>
        <w:t xml:space="preserve">Abstract (EN): </w:t>
      </w:r>
      <w:r>
        <w:t>Aqueous zinc-ion batteries (AZIBs) effectively address critical concerns of energy storage such as flammability risks, cost, and ionic conductivity. However, their practical deployment is severely hampered by water-induced parasitic reactions and inhomogeneous zinc deposition. Therefore, restricting the content and activity of water at the electrode interface is of paramount importance. Herein, we propose a novel synergistic hydrophobic-adsorption and competitive-coordination (H-C) strategy to in situ construct a functional gradient hydrophobic interface on the zinc anode, convincingly revealed by molecular dynamics simulations and sum-frequency generation vibrational spectroscopy. This is achieved by introducing trace amounts of benzylideneacetone (BZA) as the hydrophobic-adsorption unit (H) and ethanol as the competitive-coordination unit (C) into a 2 M ZnSO4 electrolyte. The H-unit (BZA) preferentially adsorbs onto the zinc anode surface, forming a dense, waterproof inner layer that suppresses hydrogen evolution and corrosion reactions. Concurrently, the C unit (ethanol) modulates the outer solvation sheath of Zn2+ and disrupts the interfacial hydrogen-bond network, thereby facilitating Zn2+ desolvation and transport. Consequently, the engineered interphase enables a Zn‖Zn symmetric cell to achieve an extended cycling lifespan of up to 3000 hours at 1 mA cm−2 and 1 mAh cm−2, a high average Coulombic efficiency of 99.2% in Zn‖Cu half cells, and exceptional deep charge−discharge capability (85.4% DOD). Furthermore, when configured with δ-MnO2, the full cell retains 84% capacity after 2000 cycles at 5C and exhibits remarkably suppressed self-discharge. This work demonstrates a rational design principle of synergistic functional additives for constructing advanced electrode–electrolyte interphases.</w:t>
      </w:r>
    </w:p>
    <w:p>
      <w:pPr>
        <w:spacing w:before="120" w:after="120"/>
      </w:pPr>
      <w:r>
        <w:rPr>
          <w:sz w:val="18"/>
        </w:rPr>
        <w:t>——————————————————————————————————————————————————————————————————————</w:t>
      </w:r>
    </w:p>
    <w:p>
      <w:pPr>
        <w:spacing w:before="160" w:after="40" w:line="240" w:lineRule="auto"/>
      </w:pPr>
      <w:r>
        <w:rPr>
          <w:b/>
        </w:rPr>
        <w:t xml:space="preserve">[13] </w:t>
      </w:r>
      <w:hyperlink r:id="rId96">
        <w:r>
          <w:rPr>
            <w:color w:val="1155CC"/>
            <w:u w:val="single"/>
          </w:rPr>
          <w:t>调节界面极性以稳定高电位锂金属电池</w:t>
        </w:r>
      </w:hyperlink>
    </w:p>
    <w:p>
      <w:pPr>
        <w:spacing w:before="0" w:after="80"/>
      </w:pPr>
      <w:r>
        <w:rPr>
          <w:i/>
          <w:sz w:val="20"/>
        </w:rPr>
        <w:t>EN: Tuning interfacial polarity for stable high-potential lithium metal batteries</w:t>
      </w:r>
    </w:p>
    <w:p>
      <w:pPr>
        <w:spacing w:before="0" w:after="120"/>
      </w:pPr>
      <w:r>
        <w:rPr>
          <w:b/>
        </w:rPr>
        <w:t xml:space="preserve">Source: </w:t>
      </w:r>
      <w:r>
        <w:t>Nature Nanotechnology</w:t>
      </w:r>
      <w:r>
        <w:t xml:space="preserve">    </w:t>
      </w:r>
      <w:r>
        <w:rPr>
          <w:b/>
        </w:rPr>
        <w:t xml:space="preserve">Pub date: </w:t>
      </w:r>
      <w:r>
        <w:t>2026-05-13 00:00:00+00:00</w:t>
      </w:r>
      <w:r>
        <w:t xml:space="preserve">    </w:t>
      </w:r>
      <w:r>
        <w:rPr>
          <w:b/>
        </w:rPr>
        <w:t xml:space="preserve">DOI: </w:t>
      </w:r>
      <w:hyperlink r:id="rId97">
        <w:r>
          <w:rPr>
            <w:color w:val="1155CC"/>
            <w:u w:val="single"/>
          </w:rPr>
          <w:t>10.1038/s41565-026-02167-4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98">
        <w:r>
          <w:rPr>
            <w:color w:val="1155CC"/>
            <w:u w:val="single"/>
          </w:rPr>
          <w:t>通过凝胶聚合物电解质中的软硬段协同作用调整溶剂化结构，实现无枝晶钠电池的超长循环</w:t>
        </w:r>
      </w:hyperlink>
    </w:p>
    <w:p>
      <w:pPr>
        <w:spacing w:before="0" w:after="80"/>
      </w:pPr>
      <w:r>
        <w:rPr>
          <w:i/>
          <w:sz w:val="20"/>
        </w:rPr>
        <w:t>EN: Tailoring Solvation Structure via Soft‐Hard Segment Synergy in Gel Polymer Electrolytes Enables Dendrite‐Free Sodium Batteries with Ultra‐Long Cycling</w:t>
      </w:r>
    </w:p>
    <w:p>
      <w:pPr>
        <w:spacing w:before="0" w:after="120"/>
      </w:pPr>
      <w:r>
        <w:rPr>
          <w:b/>
        </w:rPr>
        <w:t xml:space="preserve">Source: </w:t>
      </w:r>
      <w:r>
        <w:t>Wiley: Advanced Materials: Table of Contents</w:t>
      </w:r>
      <w:r>
        <w:t xml:space="preserve">    </w:t>
      </w:r>
      <w:r>
        <w:rPr>
          <w:b/>
        </w:rPr>
        <w:t xml:space="preserve">Pub date: </w:t>
      </w:r>
      <w:r>
        <w:t>2026-05-13 08:12:03+00:00</w:t>
      </w:r>
      <w:r>
        <w:t xml:space="preserve">    </w:t>
      </w:r>
      <w:r>
        <w:rPr>
          <w:b/>
        </w:rPr>
        <w:t xml:space="preserve">DOI: </w:t>
      </w:r>
      <w:hyperlink r:id="rId99">
        <w:r>
          <w:rPr>
            <w:color w:val="1155CC"/>
            <w:u w:val="single"/>
          </w:rPr>
          <w:t>10.1002/adma.73323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离子电导率、强机械强度和优良界面稳定性的聚合物电解质的发展仍然是高性能钠金属电池（SMBs）的关键挑战。在此，“化学-结构双重调控”策略将互补的软硬段引入凝胶聚合物电解质（GPE），实现溶剂化结构和机械性能的同步优化。具有强电子吸引力的-CF</w:t>
      </w:r>
      <w:r>
        <w:rPr>
          <w:vertAlign w:val="subscript"/>
        </w:rPr>
        <w:t>3</w:t>
      </w:r>
      <w:r>
        <w:t>基团的软段形成富溶剂域，削弱Na</w:t>
      </w:r>
      <w:r>
        <w:t xml:space="preserve"> </w:t>
      </w:r>
      <w:r>
        <w:t>+</w:t>
      </w:r>
      <w:r>
        <w:t xml:space="preserve"> </w:t>
      </w:r>
      <w:r>
        <w:t>-溶剂相互作用，而酰胺N–H基团则创建富聚合物域，通过氢键增强机械强度并锚定阴离子，促进钠盐解离。得益于这种合理的分子设计，GPE-9在室温下提供了1.11 mS cm</w:t>
      </w:r>
      <w:r>
        <w:t xml:space="preserve"> </w:t>
      </w:r>
      <w:r>
        <w:t>−1</w:t>
      </w:r>
      <w:r>
        <w:t xml:space="preserve"> </w:t>
      </w:r>
      <w:r>
        <w:t>的出色离子电导率和0.74的高Na</w:t>
      </w:r>
      <w:r>
        <w:t xml:space="preserve"> </w:t>
      </w:r>
      <w:r>
        <w:t>+</w:t>
      </w:r>
      <w:r>
        <w:t xml:space="preserve"> </w:t>
      </w:r>
      <w:r>
        <w:t>迁移数，并支持Na||Na对称电池在0.2 mA cm</w:t>
      </w:r>
      <w:r>
        <w:t xml:space="preserve"> </w:t>
      </w:r>
      <w:r>
        <w:t>−2</w:t>
      </w:r>
      <w:r>
        <w:t xml:space="preserve"> </w:t>
      </w:r>
      <w:r>
        <w:t>下长达7000小时的长期循环。Na|GPE-9|Na</w:t>
      </w:r>
      <w:r>
        <w:rPr>
          <w:vertAlign w:val="subscript"/>
        </w:rPr>
        <w:t>3</w:t>
      </w:r>
      <w:r>
        <w:t>V</w:t>
      </w:r>
      <w:r>
        <w:rPr>
          <w:vertAlign w:val="subscript"/>
        </w:rPr>
        <w:t>2</w:t>
      </w:r>
      <w:r>
        <w:t>(PO</w:t>
      </w:r>
      <w:r>
        <w:rPr>
          <w:vertAlign w:val="subscript"/>
        </w:rPr>
        <w:t>4</w:t>
      </w:r>
      <w:r>
        <w:t>)</w:t>
      </w:r>
      <w:r>
        <w:rPr>
          <w:vertAlign w:val="subscript"/>
        </w:rPr>
        <w:t>3</w:t>
      </w:r>
      <w:r>
        <w:t>(NVP)电池表现出优异的倍率耐久性，在5C和10C下分别维持12,000和20,000次循环，库仑效率接近100%。此外，</w:t>
      </w:r>
    </w:p>
    <w:p>
      <w:pPr>
        <w:spacing w:before="0" w:after="200" w:lineRule="auto" w:line="276"/>
      </w:pPr>
      <w:r>
        <w:rPr>
          <w:b/>
        </w:rPr>
        <w:t xml:space="preserve">Abstract (EN): </w:t>
      </w:r>
      <w:r>
        <w:t>The development of polymer electrolytes with high ionic conductivity, robust mechanical strength, and excellent interfacial stability remains a critical challenge for high‐performance sodium metal batteries (SMBs). Herein, a “chemical‐structural dual regulation” strategy introduces complementary soft and hard segments into a gel polymer electrolyte (GPE), enabling concurrent optimization of solvation structure and mechanical properties. Soft segments with strong electron‐withdrawing ‐CF</w:t>
      </w:r>
      <w:r>
        <w:rPr>
          <w:vertAlign w:val="subscript"/>
        </w:rPr>
        <w:t>3</w:t>
      </w:r>
      <w:r>
        <w:t>groups form solvent‐rich domains that weaken Na</w:t>
      </w:r>
      <w:r>
        <w:t xml:space="preserve"> </w:t>
      </w:r>
      <w:r>
        <w:t>+</w:t>
      </w:r>
      <w:r>
        <w:t xml:space="preserve"> </w:t>
      </w:r>
      <w:r>
        <w:t>‐solvent interactions, while amide N–H groups create polymer‐rich domains that enhance mechanical strength and anchor anions via hydrogen bonding, promoting sodium salt dissociation. Benefiting from this rational molecular design, GPE‐9 delivers an outstanding ionic conductivity of 1.11 mS cm</w:t>
      </w:r>
      <w:r>
        <w:t xml:space="preserve"> </w:t>
      </w:r>
      <w:r>
        <w:t>−1</w:t>
      </w:r>
      <w:r>
        <w:t xml:space="preserve"> </w:t>
      </w:r>
      <w:r>
        <w:t>and a high Na</w:t>
      </w:r>
      <w:r>
        <w:t xml:space="preserve"> </w:t>
      </w:r>
      <w:r>
        <w:t>+</w:t>
      </w:r>
      <w:r>
        <w:t xml:space="preserve"> </w:t>
      </w:r>
      <w:r>
        <w:t>transference number of 0.74 at room temperature, and supports long‐term cycling of Na||Na symmetric cell at 0.2 mA cm</w:t>
      </w:r>
      <w:r>
        <w:t xml:space="preserve"> </w:t>
      </w:r>
      <w:r>
        <w:t>−2</w:t>
      </w:r>
      <w:r>
        <w:t xml:space="preserve"> </w:t>
      </w:r>
      <w:r>
        <w:t>for 7000 h. The Na|GPE‐9|Na</w:t>
      </w:r>
      <w:r>
        <w:rPr>
          <w:vertAlign w:val="subscript"/>
        </w:rPr>
        <w:t>3</w:t>
      </w:r>
      <w:r>
        <w:t>V</w:t>
      </w:r>
      <w:r>
        <w:rPr>
          <w:vertAlign w:val="subscript"/>
        </w:rPr>
        <w:t>2</w:t>
      </w:r>
      <w:r>
        <w:t>(PO</w:t>
      </w:r>
      <w:r>
        <w:rPr>
          <w:vertAlign w:val="subscript"/>
        </w:rPr>
        <w:t>4</w:t>
      </w:r>
      <w:r>
        <w:t>)</w:t>
      </w:r>
      <w:r>
        <w:rPr>
          <w:vertAlign w:val="subscript"/>
        </w:rPr>
        <w:t>3</w:t>
      </w:r>
      <w:r>
        <w:t>(NVP) cell demonstrates excellent rate durability, sustaining 12 000 and 20 000 cycles at 5C and 10C, respectively, with nearly 100% Coulombic efficiency. Furthermore, a 29‐layer pouch cell with NVP cathode and hard carbon (HC) anode delivers a high capacity approaching 1.0 Ah. This study demonstrates that designing polymer segments capable of regulating solvation structure and directing interfacial fluorination offers a promising strategy for high‐performance GPEs for Na batteries.</w:t>
      </w:r>
    </w:p>
    <w:p>
      <w:pPr>
        <w:spacing w:before="120" w:after="120"/>
      </w:pPr>
      <w:r>
        <w:rPr>
          <w:sz w:val="18"/>
        </w:rPr>
        <w:t>——————————————————————————————————————————————————————————————————————</w:t>
      </w:r>
    </w:p>
    <w:p>
      <w:pPr>
        <w:spacing w:before="160" w:after="40" w:line="240" w:lineRule="auto"/>
      </w:pPr>
      <w:r>
        <w:rPr>
          <w:b/>
        </w:rPr>
        <w:t xml:space="preserve">[15] </w:t>
      </w:r>
      <w:hyperlink r:id="rId100">
        <w:r>
          <w:rPr>
            <w:color w:val="1155CC"/>
            <w:u w:val="single"/>
          </w:rPr>
          <w:t>协同竞争配位调控电解质溶剂化结构以实现高性能低温钠金属电池</w:t>
        </w:r>
      </w:hyperlink>
    </w:p>
    <w:p>
      <w:pPr>
        <w:spacing w:before="0" w:after="80"/>
      </w:pPr>
      <w:r>
        <w:rPr>
          <w:i/>
          <w:sz w:val="20"/>
        </w:rPr>
        <w:t>EN: Synergistically Competitive Coordination for Modulating Electrolyte Solvation Structures Toward High‐Performance Low‐Temperature Sodium Metal Batteries</w:t>
      </w:r>
    </w:p>
    <w:p>
      <w:pPr>
        <w:spacing w:before="0" w:after="120"/>
      </w:pPr>
      <w:r>
        <w:rPr>
          <w:b/>
        </w:rPr>
        <w:t xml:space="preserve">Source: </w:t>
      </w:r>
      <w:r>
        <w:t>Wiley: Advanced Materials: Table of Contents</w:t>
      </w:r>
      <w:r>
        <w:t xml:space="preserve">    </w:t>
      </w:r>
      <w:r>
        <w:rPr>
          <w:b/>
        </w:rPr>
        <w:t xml:space="preserve">Pub date: </w:t>
      </w:r>
      <w:r>
        <w:t>2026-05-13 08:18:10+00:00</w:t>
      </w:r>
      <w:r>
        <w:t xml:space="preserve">    </w:t>
      </w:r>
      <w:r>
        <w:rPr>
          <w:b/>
        </w:rPr>
        <w:t xml:space="preserve">DOI: </w:t>
      </w:r>
      <w:hyperlink r:id="rId101">
        <w:r>
          <w:rPr>
            <w:color w:val="1155CC"/>
            <w:u w:val="single"/>
          </w:rPr>
          <w:t>10.1002/adma.73375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线性醚基溶剂具有低熔点和低粘度，在低温钠金属电池中有效降低Na+</w:t>
      </w:r>
      <w:r>
        <w:t xml:space="preserve"> </w:t>
      </w:r>
      <w:r>
        <w:t>解溶能垒。其中，1,2-二乙氧基乙烷（DEE）因其在低温下相对较弱的溶解能力被认为是一种有前途的溶剂；然而，其两个氧原子仍然电子隔离，形成与Na+</w:t>
      </w:r>
      <w:r>
        <w:t xml:space="preserve"> </w:t>
      </w:r>
      <w:r>
        <w:t>的准螯合双齿配位结构，并在极冷条件下仍触发高解溶能垒。在此，通过引入二甲氧基甲烷（DMM）作为共溶剂到基于DEE的电解质中，设计了一种基于协同竞争配位概念的新型电解质，其中DMM中氧原子的孤对电子部分离域化，从而降低其对Na+</w:t>
      </w:r>
      <w:r>
        <w:t xml:space="preserve"> </w:t>
      </w:r>
      <w:r>
        <w:t>的电子供给能力并重构Na+</w:t>
      </w:r>
      <w:r>
        <w:t xml:space="preserve"> </w:t>
      </w:r>
      <w:r>
        <w:t>的溶解结构。分子动力学模拟显示，DMM与DEE竞争Na+</w:t>
      </w:r>
      <w:r>
        <w:t xml:space="preserve"> </w:t>
      </w:r>
      <w:r>
        <w:t>配位位点，从而削弱Na+</w:t>
      </w:r>
      <w:r>
        <w:t xml:space="preserve"> </w:t>
      </w:r>
      <w:r>
        <w:t>-DEE相互作用，降低解溶能垒，并在严寒条件下促进阴离子参与的配位。因此，Na||Na对称电池在-40°C下稳定运行超过3500小时，而Na||Cu电池在-20°C下显示出99.7%的库仑效率超过200个循环。此外，NaFe</w:t>
      </w:r>
    </w:p>
    <w:p>
      <w:pPr>
        <w:spacing w:before="0" w:after="200" w:lineRule="auto" w:line="276"/>
      </w:pPr>
      <w:r>
        <w:rPr>
          <w:b/>
        </w:rPr>
        <w:t xml:space="preserve">Abstract (EN): </w:t>
      </w:r>
      <w:r>
        <w:t>With low melting points and viscosities, linear ether‐based solvents effectively lower the Na</w:t>
      </w:r>
      <w:r>
        <w:t xml:space="preserve"> </w:t>
      </w:r>
      <w:r>
        <w:t>+</w:t>
      </w:r>
      <w:r>
        <w:t xml:space="preserve"> </w:t>
      </w:r>
      <w:r>
        <w:t>desolvation energy barrier in low‐temperature sodium metal batteries. Among them, 1,2‐diethoxyethane (DEE) is considered a promising solvent due to its relatively weak solvating ability at low temperatures; however, its two oxygen atoms remain electronically isolated, forming quasi‐chelating bidentate coordination structures with Na</w:t>
      </w:r>
      <w:r>
        <w:t xml:space="preserve"> </w:t>
      </w:r>
      <w:r>
        <w:t>+</w:t>
      </w:r>
      <w:r>
        <w:t xml:space="preserve"> </w:t>
      </w:r>
      <w:r>
        <w:t>and still triggering a high desolvation energy barrier under extremely cold conditions. Herein, a novel electrolyte based on the concept of synergistic‐competitive coordination is designed by introducing dimethoxymethane (DMM) as a cosolvent into the DEE‐based electrolyte, where the lone‐pair electrons on oxygen atoms in DMM are partially delocalized, thus reducing its electron‐donating capability toward Na</w:t>
      </w:r>
      <w:r>
        <w:t xml:space="preserve"> </w:t>
      </w:r>
      <w:r>
        <w:t>+</w:t>
      </w:r>
      <w:r>
        <w:t xml:space="preserve"> </w:t>
      </w:r>
      <w:r>
        <w:t>and reconstructing the Na</w:t>
      </w:r>
      <w:r>
        <w:t xml:space="preserve"> </w:t>
      </w:r>
      <w:r>
        <w:t>+</w:t>
      </w:r>
      <w:r>
        <w:t xml:space="preserve"> </w:t>
      </w:r>
      <w:r>
        <w:t>solvation structure. Molecular dynamics simulations reveal that DMM competes with DEE for Na</w:t>
      </w:r>
      <w:r>
        <w:t xml:space="preserve"> </w:t>
      </w:r>
      <w:r>
        <w:t>+</w:t>
      </w:r>
      <w:r>
        <w:t xml:space="preserve"> </w:t>
      </w:r>
      <w:r>
        <w:t>coordination sites, thereby weakening the Na</w:t>
      </w:r>
      <w:r>
        <w:t xml:space="preserve"> </w:t>
      </w:r>
      <w:r>
        <w:t>+</w:t>
      </w:r>
      <w:r>
        <w:t xml:space="preserve"> </w:t>
      </w:r>
      <w:r>
        <w:t>‐DEE interaction, lowering the desolvation energy barrier, and promoting anion‐involved coordination under severe cold conditions. Consequently, Na||Na symmetric cells run stably for over 3500 h at −40°C, while Na||Cu cells show 99.7% coulombic efficiency over 200 cycles at −20°C. Moreover, NaFe</w:t>
      </w:r>
      <w:r>
        <w:t xml:space="preserve"> </w:t>
      </w:r>
      <w:r>
        <w:t>1/3</w:t>
      </w:r>
      <w:r>
        <w:t xml:space="preserve"> </w:t>
      </w:r>
      <w:r>
        <w:t>Ni</w:t>
      </w:r>
      <w:r>
        <w:t xml:space="preserve"> </w:t>
      </w:r>
      <w:r>
        <w:t>1/3</w:t>
      </w:r>
      <w:r>
        <w:t xml:space="preserve"> </w:t>
      </w:r>
      <w:r>
        <w:t>Mn</w:t>
      </w:r>
      <w:r>
        <w:t xml:space="preserve"> </w:t>
      </w:r>
      <w:r>
        <w:t>1/3</w:t>
      </w:r>
      <w:r>
        <w:t xml:space="preserve"> </w:t>
      </w:r>
      <w:r>
        <w:t>O</w:t>
      </w:r>
      <w:r>
        <w:rPr>
          <w:vertAlign w:val="subscript"/>
        </w:rPr>
        <w:t>2</w:t>
      </w:r>
      <w:r>
        <w:t>||Na full cell retains 78.7% capacity after 200 cycles at −20°C, while Na</w:t>
      </w:r>
      <w:r>
        <w:rPr>
          <w:vertAlign w:val="subscript"/>
        </w:rPr>
        <w:t>3</w:t>
      </w:r>
      <w:r>
        <w:t>V</w:t>
      </w:r>
      <w:r>
        <w:rPr>
          <w:vertAlign w:val="subscript"/>
        </w:rPr>
        <w:t>2</w:t>
      </w:r>
      <w:r>
        <w:t>(PO</w:t>
      </w:r>
      <w:r>
        <w:rPr>
          <w:vertAlign w:val="subscript"/>
        </w:rPr>
        <w:t>4</w:t>
      </w:r>
      <w:r>
        <w:t>)</w:t>
      </w:r>
      <w:r>
        <w:rPr>
          <w:vertAlign w:val="subscript"/>
        </w:rPr>
        <w:t>3</w:t>
      </w:r>
      <w:r>
        <w:t>||Na full cell maintains an impressive 99.2% reversible capacity over 300 cycles at −40°C.</w:t>
      </w:r>
    </w:p>
    <w:p>
      <w:pPr>
        <w:spacing w:before="120" w:after="120"/>
      </w:pPr>
      <w:r>
        <w:rPr>
          <w:sz w:val="18"/>
        </w:rPr>
        <w:t>——————————————————————————————————————————————————————————————————————</w:t>
      </w:r>
    </w:p>
    <w:p>
      <w:pPr>
        <w:spacing w:before="160" w:after="40" w:line="240" w:lineRule="auto"/>
      </w:pPr>
      <w:r>
        <w:rPr>
          <w:b/>
        </w:rPr>
        <w:t xml:space="preserve">[16] </w:t>
      </w:r>
      <w:hyperlink r:id="rId102">
        <w:r>
          <w:rPr>
            <w:color w:val="1155CC"/>
            <w:u w:val="single"/>
          </w:rPr>
          <w:t>从废弃固态钠电池中闭环回收硫化物固体电解质</w:t>
        </w:r>
      </w:hyperlink>
    </w:p>
    <w:p>
      <w:pPr>
        <w:spacing w:before="0" w:after="80"/>
      </w:pPr>
      <w:r>
        <w:rPr>
          <w:i/>
          <w:sz w:val="20"/>
        </w:rPr>
        <w:t>EN: Closed‐loop Recycling of Sulfide Solid Electrolytes from Spent Solid‐State Sodium Batteries</w:t>
      </w:r>
    </w:p>
    <w:p>
      <w:pPr>
        <w:spacing w:before="0" w:after="120"/>
      </w:pPr>
      <w:r>
        <w:rPr>
          <w:b/>
        </w:rPr>
        <w:t xml:space="preserve">Source: </w:t>
      </w:r>
      <w:r>
        <w:t>Wiley: Advanced Materials: Table of Contents</w:t>
      </w:r>
      <w:r>
        <w:t xml:space="preserve">    </w:t>
      </w:r>
      <w:r>
        <w:rPr>
          <w:b/>
        </w:rPr>
        <w:t xml:space="preserve">Pub date: </w:t>
      </w:r>
      <w:r>
        <w:t>2026-05-13 10:39:45+00:00</w:t>
      </w:r>
      <w:r>
        <w:t xml:space="preserve">    </w:t>
      </w:r>
      <w:r>
        <w:rPr>
          <w:b/>
        </w:rPr>
        <w:t xml:space="preserve">DOI: </w:t>
      </w:r>
      <w:hyperlink r:id="rId103">
        <w:r>
          <w:rPr>
            <w:color w:val="1155CC"/>
            <w:u w:val="single"/>
          </w:rPr>
          <w:t>10.1002/adma.73359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钠电池（ASSSBs）因钠的丰富性和内在安全性而在大规模储能中具有前景。然而，从可持续性角度来看，固态电解质的可回收性至关重要，但尚未得到充分探索，因为许多成熟的固态电解质依赖于低丰度、高成本的元素，限制了长期的可扩展性。在此，我们首次报告了一种闭环回收策略，用于Na</w:t>
      </w:r>
      <w:r>
        <w:rPr>
          <w:vertAlign w:val="subscript"/>
        </w:rPr>
        <w:t>3</w:t>
      </w:r>
      <w:r>
        <w:t>SbS</w:t>
      </w:r>
      <w:r>
        <w:rPr>
          <w:vertAlign w:val="subscript"/>
        </w:rPr>
        <w:t>4</w:t>
      </w:r>
      <w:r>
        <w:t>（NAS）固态电解质，通过DFT计算指导，实现了从废弃全固态钠电池中通过温和的溶解-再结晶-热处理过程的高效回收和再生。回收的NAS（R-NAS）完全保留了原始材料的长程晶体结构、局部配位环境和化学状态。R-NAS提供了良好的离子电导率、电化学稳定性、降低的极化、增强的速率性能和优异的循环稳定性，与原始NAS（P-NAS）相当。这项工作展示了从废弃设备中回收高性能硫化物固态电解质的可行性和重要性，而不损害结构完整性或功能性。所提出的回收策略为先进固态电解质的再利用提供了一条可推广和可持续的途径，有助于全固态电池技术的循环经济。</w:t>
      </w:r>
    </w:p>
    <w:p>
      <w:pPr>
        <w:spacing w:before="0" w:after="200" w:lineRule="auto" w:line="276"/>
      </w:pPr>
      <w:r>
        <w:rPr>
          <w:b/>
        </w:rPr>
        <w:t xml:space="preserve">Abstract (EN): </w:t>
      </w:r>
      <w:r>
        <w:t>All‐solid‐state sodium batteries (ASSSBs) are promising for large‐scale energy storage due to sodium abundance and intrinsic safety. However, from a sustainability perspective, the recyclability of solid electrolytes is critical but largely unexplored, as many mature solid electrolytes rely on low‐abundance, high‐cost elements, limiting long‐term scalability. Herein, we firstly report a closed‐loop recycling strategy for Na</w:t>
      </w:r>
      <w:r>
        <w:rPr>
          <w:vertAlign w:val="subscript"/>
        </w:rPr>
        <w:t>3</w:t>
      </w:r>
      <w:r>
        <w:t>SbS</w:t>
      </w:r>
      <w:r>
        <w:rPr>
          <w:vertAlign w:val="subscript"/>
        </w:rPr>
        <w:t>4</w:t>
      </w:r>
      <w:r>
        <w:t>(NAS) solid electrolytes guided by the DFT calculations, enabling efficient recovery and regeneration from spent all‐solid‐state sodium batteries via a mild dissolution–recrystallization–thermal treatment process. The recycled NAS (R‐NAS) fully preserves the long‐range crystal structure, local coordination environment, and chemical states of the pristine material. The R‐NAS delivers good ionic conductivity, electrochemical stability, reduced polarization, enhanced rate performance, and superior cycling stability comparable to pristine NAS (P‐NAS). This work demonstrates the feasibility and importance of the recycling of high‐performance sulfide solid electrolytes from spent devices without compromising structural integrity or functionality. The proposed recycling strategy offers a generalizable and sustainable pathway for the reutilization of advanced solid electrolytes, contributing to the circular economy of all‐solid‐state battery technologies.</w:t>
      </w:r>
    </w:p>
    <w:p>
      <w:pPr>
        <w:spacing w:before="120" w:after="120"/>
      </w:pPr>
      <w:r>
        <w:rPr>
          <w:sz w:val="18"/>
        </w:rPr>
        <w:t>——————————————————————————————————————————————————————————————————————</w:t>
      </w:r>
    </w:p>
    <w:p>
      <w:pPr>
        <w:spacing w:before="160" w:after="40" w:line="240" w:lineRule="auto"/>
      </w:pPr>
      <w:r>
        <w:rPr>
          <w:b/>
        </w:rPr>
        <w:t xml:space="preserve">[17] </w:t>
      </w:r>
      <w:hyperlink r:id="rId104">
        <w:r>
          <w:rPr>
            <w:color w:val="1155CC"/>
            <w:u w:val="single"/>
          </w:rPr>
          <w:t>通过一体化设计构建耐用的高电压PVDF基固态锂金属电池</w:t>
        </w:r>
      </w:hyperlink>
    </w:p>
    <w:p>
      <w:pPr>
        <w:spacing w:before="0" w:after="80"/>
      </w:pPr>
      <w:r>
        <w:rPr>
          <w:i/>
          <w:sz w:val="20"/>
        </w:rPr>
        <w:t>EN: Constructing Durable High‐Voltage PVDF‐Based Solid‐State Lithium Metal Batteries via an All‐in‐One Design</w:t>
      </w:r>
    </w:p>
    <w:p>
      <w:pPr>
        <w:spacing w:before="0" w:after="120"/>
      </w:pPr>
      <w:r>
        <w:rPr>
          <w:b/>
        </w:rPr>
        <w:t xml:space="preserve">Source: </w:t>
      </w:r>
      <w:r>
        <w:t>Wiley: Angewandte Chemie International Edition: Table of Contents</w:t>
      </w:r>
      <w:r>
        <w:t xml:space="preserve">    </w:t>
      </w:r>
      <w:r>
        <w:rPr>
          <w:b/>
        </w:rPr>
        <w:t xml:space="preserve">Pub date: </w:t>
      </w:r>
      <w:r>
        <w:t>2026-05-13 14:46:50+00:00</w:t>
      </w:r>
      <w:r>
        <w:t xml:space="preserve">    </w:t>
      </w:r>
      <w:r>
        <w:rPr>
          <w:b/>
        </w:rPr>
        <w:t xml:space="preserve">DOI: </w:t>
      </w:r>
      <w:hyperlink r:id="rId105">
        <w:r>
          <w:rPr>
            <w:color w:val="1155CC"/>
            <w:u w:val="single"/>
          </w:rPr>
          <w:t>10.1002/anie.4082977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基于聚偏氟乙烯（PVDF）的固态电解质代表了固态锂金属电池的一个引人注目的前沿。不幸的是，由于α相丰富的构象和不理想的Li</w:t>
      </w:r>
      <w:r>
        <w:t xml:space="preserve"> </w:t>
      </w:r>
      <w:r>
        <w:t>+</w:t>
      </w:r>
      <w:r>
        <w:t xml:space="preserve"> </w:t>
      </w:r>
      <w:r>
        <w:t>溶剂化环境导致的高Li</w:t>
      </w:r>
      <w:r>
        <w:t xml:space="preserve"> </w:t>
      </w:r>
      <w:r>
        <w:t>+</w:t>
      </w:r>
      <w:r>
        <w:t xml:space="preserve"> </w:t>
      </w:r>
      <w:r>
        <w:t>迁移能垒和显著的界面不稳定性，其实际应用受到严重阻碍。在这项研究中，提出了一种由N-甲基咪唑鎓双（三氟甲基磺酰）亚胺（MimTFSI）启用的“全合一”调控策略，该策略协同设计了一个β相聚合物基质以缩短路径，并构建了一个富阴离子的溶剂化鞘以降低能垒，最终实现了快速且稳定的Li</w:t>
      </w:r>
      <w:r>
        <w:t xml:space="preserve"> </w:t>
      </w:r>
      <w:r>
        <w:t>+</w:t>
      </w:r>
      <w:r>
        <w:t xml:space="preserve"> </w:t>
      </w:r>
      <w:r>
        <w:t>传输，并具有卓越的界面兼容性。因此，这种集成的固态电解质表现出0.84 mS cm</w:t>
      </w:r>
      <w:r>
        <w:t xml:space="preserve"> </w:t>
      </w:r>
      <w:r>
        <w:t>−</w:t>
      </w:r>
      <w:r>
        <w:rPr>
          <w:vertAlign w:val="subscript"/>
        </w:rPr>
        <w:t>1</w:t>
      </w:r>
      <w:r>
        <w:t>的高离子电导率，支持Li对称电池在0.1 mA cm</w:t>
      </w:r>
      <w:r>
        <w:t xml:space="preserve"> </w:t>
      </w:r>
      <w:r>
        <w:t>−</w:t>
      </w:r>
      <w:r>
        <w:rPr>
          <w:vertAlign w:val="subscript"/>
        </w:rPr>
        <w:t>2</w:t>
      </w:r>
      <w:r>
        <w:t>下稳定循环超过4000小时，并在Li/LiNi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全电池中提供出色的循环性能，在0.5 C下经过930次循环后保持其初始容量的93.8%，在1 C下经过500次循环后保持95%。即使未</w:t>
      </w:r>
    </w:p>
    <w:p>
      <w:pPr>
        <w:spacing w:before="0" w:after="200" w:lineRule="auto" w:line="276"/>
      </w:pPr>
      <w:r>
        <w:rPr>
          <w:b/>
        </w:rPr>
        <w:t xml:space="preserve">Abstract (EN): </w:t>
      </w:r>
      <w:r>
        <w:t>Poly(vinylidene fluoride) (PVDF)‐based solid electrolytes represent a compelling frontier for solid‐state lithium metal batteries. Unfortunately, their practical implementation is severely impeded by high Li</w:t>
      </w:r>
      <w:r>
        <w:t xml:space="preserve"> </w:t>
      </w:r>
      <w:r>
        <w:t>+</w:t>
      </w:r>
      <w:r>
        <w:t xml:space="preserve"> </w:t>
      </w:r>
      <w:r>
        <w:t>migration energy barrier and pronounced interfacial instabilities, arising from α‐phase‐rich conformations and undesired Li</w:t>
      </w:r>
      <w:r>
        <w:t xml:space="preserve"> </w:t>
      </w:r>
      <w:r>
        <w:t>+</w:t>
      </w:r>
      <w:r>
        <w:t xml:space="preserve"> </w:t>
      </w:r>
      <w:r>
        <w:t>‐solvation environments. In this study, an ‘all‐in‐one’ regulation strategy enabled by N‐methylimidazolium bis((trifluoromethyl)sulfonyl)imide (MimTFSI) is proposed, which synergistically engineers a β‐phase polymer matrix for shortened pathways and constructs an anion‐rich solvation sheath for lowered energy barriers, ultimately unlocking fast and stable Li</w:t>
      </w:r>
      <w:r>
        <w:t xml:space="preserve"> </w:t>
      </w:r>
      <w:r>
        <w:t>+</w:t>
      </w:r>
      <w:r>
        <w:t xml:space="preserve"> </w:t>
      </w:r>
      <w:r>
        <w:t>transport coupled with exceptional interfacial compatibility. Consequently, this integrated solid‐state electrolyte demonstrates a high ionic conductivity of 0.84 mS cm</w:t>
      </w:r>
      <w:r>
        <w:t xml:space="preserve"> </w:t>
      </w:r>
      <w:r>
        <w:t>−</w:t>
      </w:r>
      <w:r>
        <w:rPr>
          <w:vertAlign w:val="subscript"/>
        </w:rPr>
        <w:t>1</w:t>
      </w:r>
      <w:r>
        <w:t>, supports stable cycling of Li symmetric cells for over 4000 h at 0.1 mA cm</w:t>
      </w:r>
      <w:r>
        <w:t xml:space="preserve"> </w:t>
      </w:r>
      <w:r>
        <w:t>−</w:t>
      </w:r>
      <w:r>
        <w:rPr>
          <w:vertAlign w:val="subscript"/>
        </w:rPr>
        <w:t>2</w:t>
      </w:r>
      <w:r>
        <w:t>, and delivers outstanding cycling performance in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full cells, retaining 93.8% of its initial capacity after 930 cycles at 0.5 C and 95% over 500 cycles at 1 C. Even under expanded voltage windows, it retains 80% after 580 cycles at 4.4 V and 84% after 160 cycles at 4.5 V. Furthermore, the pouch cell is capable of delivering a discharge capacity of 3.26 mAh cm</w:t>
      </w:r>
      <w:r>
        <w:t xml:space="preserve"> </w:t>
      </w:r>
      <w:r>
        <w:t>−2</w:t>
      </w:r>
      <w:r>
        <w:t xml:space="preserve"> </w:t>
      </w:r>
      <w:r>
        <w:t>, demonstrating the strong applicability for next‐generation solid‐state lithium metal batteries.</w:t>
      </w:r>
    </w:p>
    <w:p>
      <w:pPr>
        <w:spacing w:before="120" w:after="120"/>
      </w:pPr>
      <w:r>
        <w:rPr>
          <w:sz w:val="18"/>
        </w:rPr>
        <w:t>——————————————————————————————————————————————————————————————————————</w:t>
      </w:r>
    </w:p>
    <w:p>
      <w:pPr>
        <w:spacing w:before="160" w:after="40" w:line="240" w:lineRule="auto"/>
      </w:pPr>
      <w:r>
        <w:rPr>
          <w:b/>
        </w:rPr>
        <w:t xml:space="preserve">[18] </w:t>
      </w:r>
      <w:hyperlink r:id="rId106">
        <w:r>
          <w:rPr>
            <w:color w:val="1155CC"/>
            <w:u w:val="single"/>
          </w:rPr>
          <w:t>Li2CO3衍生的低成本Li2S用于超过11 mS cm−1的硫化物固体电解质</w:t>
        </w:r>
      </w:hyperlink>
    </w:p>
    <w:p>
      <w:pPr>
        <w:spacing w:before="0" w:after="80"/>
      </w:pPr>
      <w:r>
        <w:rPr>
          <w:i/>
          <w:sz w:val="20"/>
        </w:rPr>
        <w:t>EN: Li2CO3‐Derived Low‐Cost Li2S for Sulfide Solid Electrolytes Exceeding 11 mS cm−1</w:t>
      </w:r>
    </w:p>
    <w:p>
      <w:pPr>
        <w:spacing w:before="0" w:after="120"/>
      </w:pPr>
      <w:r>
        <w:rPr>
          <w:b/>
        </w:rPr>
        <w:t xml:space="preserve">Source: </w:t>
      </w:r>
      <w:r>
        <w:t>Wiley: Angewandte Chemie International Edition: Table of Contents</w:t>
      </w:r>
      <w:r>
        <w:t xml:space="preserve">    </w:t>
      </w:r>
      <w:r>
        <w:rPr>
          <w:b/>
        </w:rPr>
        <w:t xml:space="preserve">Pub date: </w:t>
      </w:r>
      <w:r>
        <w:t>2026-05-13 14:48:00+00:00</w:t>
      </w:r>
      <w:r>
        <w:t xml:space="preserve">    </w:t>
      </w:r>
      <w:r>
        <w:rPr>
          <w:b/>
        </w:rPr>
        <w:t xml:space="preserve">DOI: </w:t>
      </w:r>
      <w:hyperlink r:id="rId107">
        <w:r>
          <w:rPr>
            <w:color w:val="1155CC"/>
            <w:u w:val="single"/>
          </w:rPr>
          <w:t>10.1002/anie.8115835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固态电解质（SSEs）由于其高离子电导率和优良的可变形性，在全固态电池（ASSBs）中具有巨大潜力。然而，其实际应用受到高成本的严重阻碍，主要来源于硫化锂（Li2S），其占总SSE成本的约90%。在此，我们报道了一种新策略，通过碳酸锂（Li2CO3）与硫氰酸铵（NH4SCN）的反应生产低成本的Li2S。此反应仅生成气态副产物，消除了纯化程序，并实现了高质量Li2S的规模化生产。所得的Li2S可用于合成代表性SSEs，Li5.4PS4.6Cl0.8Br0.8（LPSCB）和Li5.4PS4.6Cl1.6（LPSC），其室温离子电导率分别为11.33和7.94 mS cm−1。当与LiNbO3涂层的LiNi0.895结合时，</w:t>
      </w:r>
    </w:p>
    <w:p>
      <w:pPr>
        <w:spacing w:before="0" w:after="200" w:lineRule="auto" w:line="276"/>
      </w:pPr>
      <w:r>
        <w:rPr>
          <w:b/>
        </w:rPr>
        <w:t xml:space="preserve">Abstract (EN): </w:t>
      </w:r>
      <w:r>
        <w:t>Sulfide solid electrolytes (SSEs) hold great promise for all‐solid‐state batteries (ASSBs), owing to their high ionic conductivity and excellent deformability. However, their practical application is severely hindered by high cost, primarily originating from lithium sulfide (Li</w:t>
      </w:r>
      <w:r>
        <w:rPr>
          <w:vertAlign w:val="subscript"/>
        </w:rPr>
        <w:t>2</w:t>
      </w:r>
      <w:r>
        <w:t>S), which accounts for ∼90% of the total SSE cost. Here, we report a novel strategy to produce low‐cost Li</w:t>
      </w:r>
      <w:r>
        <w:rPr>
          <w:vertAlign w:val="subscript"/>
        </w:rPr>
        <w:t>2</w:t>
      </w:r>
      <w:r>
        <w:t>S from lithium carbonate (Li</w:t>
      </w:r>
      <w:r>
        <w:rPr>
          <w:vertAlign w:val="subscript"/>
        </w:rPr>
        <w:t>2</w:t>
      </w:r>
      <w:r>
        <w:t>CO</w:t>
      </w:r>
      <w:r>
        <w:rPr>
          <w:vertAlign w:val="subscript"/>
        </w:rPr>
        <w:t>3</w:t>
      </w:r>
      <w:r>
        <w:t>) via its reaction with ammonium thiocyanate (NH</w:t>
      </w:r>
      <w:r>
        <w:rPr>
          <w:vertAlign w:val="subscript"/>
        </w:rPr>
        <w:t>4</w:t>
      </w:r>
      <w:r>
        <w:t>SCN). This reaction generates only gaseous by‐products, eliminating purification procedures and enabling scalable production of high‐quality Li</w:t>
      </w:r>
      <w:r>
        <w:rPr>
          <w:vertAlign w:val="subscript"/>
        </w:rPr>
        <w:t>2</w:t>
      </w:r>
      <w:r>
        <w:t>S. The resulting Li</w:t>
      </w:r>
      <w:r>
        <w:rPr>
          <w:vertAlign w:val="subscript"/>
        </w:rPr>
        <w:t>2</w:t>
      </w:r>
      <w:r>
        <w:t>S enables the synthesis of representative SSEs, Li</w:t>
      </w:r>
      <w:r>
        <w:t xml:space="preserve"> </w:t>
      </w:r>
      <w:r>
        <w:t>5.4</w:t>
      </w:r>
      <w:r>
        <w:t xml:space="preserve"> </w:t>
      </w:r>
      <w:r>
        <w:t>PS</w:t>
      </w:r>
      <w:r>
        <w:t xml:space="preserve"> </w:t>
      </w:r>
      <w:r>
        <w:t>4.6</w:t>
      </w:r>
      <w:r>
        <w:t xml:space="preserve"> </w:t>
      </w:r>
      <w:r>
        <w:t>Cl</w:t>
      </w:r>
      <w:r>
        <w:t xml:space="preserve"> </w:t>
      </w:r>
      <w:r>
        <w:t>0.8</w:t>
      </w:r>
      <w:r>
        <w:t xml:space="preserve"> </w:t>
      </w:r>
      <w:r>
        <w:t>Br</w:t>
      </w:r>
      <w:r>
        <w:t xml:space="preserve"> </w:t>
      </w:r>
      <w:r>
        <w:t>0.8</w:t>
      </w:r>
      <w:r>
        <w:t xml:space="preserve"> </w:t>
      </w:r>
      <w:r>
        <w:t>(LPSCB) and Li</w:t>
      </w:r>
      <w:r>
        <w:t xml:space="preserve"> </w:t>
      </w:r>
      <w:r>
        <w:t>5.4</w:t>
      </w:r>
      <w:r>
        <w:t xml:space="preserve"> </w:t>
      </w:r>
      <w:r>
        <w:t>PS</w:t>
      </w:r>
      <w:r>
        <w:t xml:space="preserve"> </w:t>
      </w:r>
      <w:r>
        <w:t>4.6</w:t>
      </w:r>
      <w:r>
        <w:t xml:space="preserve"> </w:t>
      </w:r>
      <w:r>
        <w:t>Cl</w:t>
      </w:r>
      <w:r>
        <w:t xml:space="preserve"> </w:t>
      </w:r>
      <w:r>
        <w:t>1.6</w:t>
      </w:r>
      <w:r>
        <w:t xml:space="preserve"> </w:t>
      </w:r>
      <w:r>
        <w:t>(LPSC), with room‐temperature ionic conductivities of 11.33 and 7.94 mS cm</w:t>
      </w:r>
      <w:r>
        <w:t xml:space="preserve"> </w:t>
      </w:r>
      <w:r>
        <w:t>−1</w:t>
      </w:r>
      <w:r>
        <w:t xml:space="preserve"> </w:t>
      </w:r>
      <w:r>
        <w:t>, respectively. When coupled with LiNbO</w:t>
      </w:r>
      <w:r>
        <w:rPr>
          <w:vertAlign w:val="subscript"/>
        </w:rPr>
        <w:t>3</w:t>
      </w:r>
      <w:r>
        <w:t>‐coated LiNi</w:t>
      </w:r>
      <w:r>
        <w:t xml:space="preserve"> </w:t>
      </w:r>
      <w:r>
        <w:t>0.895</w:t>
      </w:r>
      <w:r>
        <w:t xml:space="preserve"> </w:t>
      </w:r>
      <w:r>
        <w:t>Co</w:t>
      </w:r>
      <w:r>
        <w:t xml:space="preserve"> </w:t>
      </w:r>
      <w:r>
        <w:t>0.077</w:t>
      </w:r>
      <w:r>
        <w:t xml:space="preserve"> </w:t>
      </w:r>
      <w:r>
        <w:t>Mn</w:t>
      </w:r>
      <w:r>
        <w:t xml:space="preserve"> </w:t>
      </w:r>
      <w:r>
        <w:t>0.028</w:t>
      </w:r>
      <w:r>
        <w:t xml:space="preserve"> </w:t>
      </w:r>
      <w:r>
        <w:t>O</w:t>
      </w:r>
      <w:r>
        <w:rPr>
          <w:vertAlign w:val="subscript"/>
        </w:rPr>
        <w:t>2</w:t>
      </w:r>
      <w:r>
        <w:t>cathode, ASSBs deliver discharge capacities of 192.2 and 198.8 mAh g</w:t>
      </w:r>
      <w:r>
        <w:t xml:space="preserve"> </w:t>
      </w:r>
      <w:r>
        <w:t>−1</w:t>
      </w:r>
      <w:r>
        <w:t xml:space="preserve"> </w:t>
      </w:r>
      <w:r>
        <w:t>at 0.1C, and retain 94.85% and 94.89% of initial capacities after 800 cycles at 1C, respectively. Cost analysis reveal that the total cost of SSEs synthesized from this Li</w:t>
      </w:r>
      <w:r>
        <w:rPr>
          <w:vertAlign w:val="subscript"/>
        </w:rPr>
        <w:t>2</w:t>
      </w:r>
      <w:r>
        <w:t>CO</w:t>
      </w:r>
      <w:r>
        <w:rPr>
          <w:vertAlign w:val="subscript"/>
        </w:rPr>
        <w:t>3</w:t>
      </w:r>
      <w:r>
        <w:t>‐derived Li</w:t>
      </w:r>
      <w:r>
        <w:rPr>
          <w:vertAlign w:val="subscript"/>
        </w:rPr>
        <w:t>2</w:t>
      </w:r>
      <w:r>
        <w:t>S is reduced by 86.6% and 88.5%, highlighting its significant techno‐economic advantages for commercializing SSEs toward ASSBs.</w:t>
      </w:r>
    </w:p>
    <w:p>
      <w:pPr>
        <w:spacing w:before="120" w:after="120"/>
      </w:pPr>
      <w:r>
        <w:rPr>
          <w:sz w:val="18"/>
        </w:rPr>
        <w:t>——————————————————————————————————————————————————————————————————————</w:t>
      </w:r>
    </w:p>
    <w:p>
      <w:pPr>
        <w:spacing w:before="160" w:after="40" w:line="240" w:lineRule="auto"/>
      </w:pPr>
      <w:r>
        <w:rPr>
          <w:b/>
        </w:rPr>
        <w:t xml:space="preserve">[19] </w:t>
      </w:r>
      <w:hyperlink r:id="rId108">
        <w:r>
          <w:rPr>
            <w:color w:val="1155CC"/>
            <w:u w:val="single"/>
          </w:rPr>
          <w:t>界面体积氟化用于稳定和低压全固态锂金属电池</w:t>
        </w:r>
      </w:hyperlink>
    </w:p>
    <w:p>
      <w:pPr>
        <w:spacing w:before="0" w:after="80"/>
      </w:pPr>
      <w:r>
        <w:rPr>
          <w:i/>
          <w:sz w:val="20"/>
        </w:rPr>
        <w:t>EN: Bulk-to-interface fluorination for stable and low-pressure all-solid-state lithium metal batteries</w:t>
      </w:r>
    </w:p>
    <w:p>
      <w:pPr>
        <w:spacing w:before="0" w:after="120"/>
      </w:pPr>
      <w:r>
        <w:rPr>
          <w:b/>
        </w:rPr>
        <w:t xml:space="preserve">Source: </w:t>
      </w:r>
      <w:r>
        <w:t>Nature Communications</w:t>
      </w:r>
      <w:r>
        <w:t xml:space="preserve">    </w:t>
      </w:r>
      <w:r>
        <w:rPr>
          <w:b/>
        </w:rPr>
        <w:t xml:space="preserve">Pub date: </w:t>
      </w:r>
      <w:r>
        <w:t>2026-05-14 00:00:00+00:00</w:t>
      </w:r>
      <w:r>
        <w:t xml:space="preserve">    </w:t>
      </w:r>
      <w:r>
        <w:rPr>
          <w:b/>
        </w:rPr>
        <w:t xml:space="preserve">DOI: </w:t>
      </w:r>
      <w:hyperlink r:id="rId109">
        <w:r>
          <w:rPr>
            <w:color w:val="1155CC"/>
            <w:u w:val="single"/>
          </w:rPr>
          <w:t>10.1038/s41467-026-73012-4</w:t>
        </w:r>
      </w:hyperlink>
    </w:p>
    <w:p>
      <w:pPr>
        <w:spacing w:before="0" w:after="120"/>
      </w:pPr>
      <w:r>
        <w:rPr>
          <w:b/>
        </w:rPr>
        <w:t xml:space="preserve">Notes: </w:t>
      </w:r>
      <w:r>
        <w:t>abstract_source=nature_html</w:t>
      </w:r>
    </w:p>
    <w:p>
      <w:pPr>
        <w:spacing w:before="0" w:after="80" w:lineRule="auto" w:line="276"/>
      </w:pPr>
      <w:r>
        <w:rPr>
          <w:b/>
        </w:rPr>
        <w:t xml:space="preserve">摘要（ZH）: </w:t>
      </w:r>
      <w:r>
        <w:t>全固态锂金属电池因其高比能量和增强的安全性而被广泛认为是下一代有前途的储能系统。然而，其实际部署受到高堆叠压力和较差的电化学性能的阻碍。在此，我们利用氟原子的快速热力学扩散设计了一种核壳结构的硫化物电解质Li5.4PS4.4Cl1.4F0.2-0.2LiF，具有50 nm的LiF纳米壳和富氟的主体。在电化学操作过程中，氟原子扩散到LiNi0.83Co0.12Mn0.05O2正极晶格中，增强了结构的稳健性并减轻了机械化学失效，而LiF纳米壳通过自发氟化扩散稳定了锂金属负极和正极界面。因此，全电池表现出良好的电化学性能，包括长循环寿命、高电压稳定性和在宽温度范围内的稳健操作。此外，在2.5 MPa低堆叠压力下运行的全固态软包电池在350次循环（1 C）中表现出稳定的循环，容量保持率为85%，并实现了超过400 Wh/kg的高比能量（基于固态电解质、锂金属和正极材料）。这种从主体到界面的氟化策略有效地减轻了机械化学失效，提供了一种通向低压、长寿命和高能量全固态电池的替代途径。</w:t>
      </w:r>
    </w:p>
    <w:p>
      <w:pPr>
        <w:spacing w:before="0" w:after="200" w:lineRule="auto" w:line="276"/>
      </w:pPr>
      <w:r>
        <w:rPr>
          <w:b/>
        </w:rPr>
        <w:t xml:space="preserve">Abstract (EN): </w:t>
      </w:r>
      <w:r>
        <w:t>All-solid-state lithium metal batteries are widely considered promising next-generation energy storage systems owing to high specific energy and enhanced safety. However, their practical deployment is hindered by high stack pressure and inferior electrochemical performance. Here, we exploit the fast thermodynamic diffusion of fluorine atoms to design a core-shell structured sulfide electrolyte, Li5.4PS4.4Cl1.4F0.2-0.2LiF, featuring 50 nm LiF nanoshell and F-enriched bulk. During electrochemical operation, fluorine atoms diffuse into the LiNi0.83Co0.12Mn0.05O2 positive electrode lattice, enhancing structural robustness and mitigating mechanochemical failure, while the LiF nanoshell stabilizes both the Li metal negative electrode and positive electrode interfaces through spontaneous fluorination diffusion. As a result, full cells demonstrate good electrochemical performance, including long cycle life, high-voltage stability, and robust operation across a wide temperature window. Furthermore, all-solid-state pouch cells operated under a low stack pressure of 2.5 MPa exhibit stable cycling over 350 cycles (1 C) with 85% capacity retention, and achieve a high specific energy of over 400 Wh/kg (based on solid electrolyte, Li metal, and positive electrode materials). This bulk-to-interface fluorination strategy effectively mitigates mechanochemical failures, offering an alternative pathway toward low-pressure, long-life, and high-energy all-solid-state batteries.</w:t>
      </w:r>
    </w:p>
    <w:p>
      <w:pPr>
        <w:spacing w:before="120" w:after="120"/>
      </w:pPr>
      <w:r>
        <w:rPr>
          <w:sz w:val="18"/>
        </w:rPr>
        <w:t>——————————————————————————————————————————————————————————————————————</w:t>
      </w:r>
    </w:p>
    <w:p>
      <w:pPr>
        <w:spacing w:before="160" w:after="40" w:line="240" w:lineRule="auto"/>
      </w:pPr>
      <w:r>
        <w:rPr>
          <w:b/>
        </w:rPr>
        <w:t xml:space="preserve">[20] </w:t>
      </w:r>
      <w:hyperlink r:id="rId110">
        <w:r>
          <w:rPr>
            <w:color w:val="1155CC"/>
            <w:u w:val="single"/>
          </w:rPr>
          <w:t>[ASAP] 通过Si–O分子工程实现耐用可充镁电池的稳固固态电解质界面</w:t>
        </w:r>
      </w:hyperlink>
    </w:p>
    <w:p>
      <w:pPr>
        <w:spacing w:before="0" w:after="80"/>
      </w:pPr>
      <w:r>
        <w:rPr>
          <w:i/>
          <w:sz w:val="20"/>
        </w:rPr>
        <w:t>EN: [ASAP] Robust Solid-Electrolyte Interphase via Si–O Molecular Engineering for Durable Rechargeable Magnesium Batteries</w:t>
      </w:r>
    </w:p>
    <w:p>
      <w:pPr>
        <w:spacing w:before="0" w:after="120"/>
      </w:pPr>
      <w:r>
        <w:rPr>
          <w:b/>
        </w:rPr>
        <w:t xml:space="preserve">Source: </w:t>
      </w:r>
      <w:r>
        <w:t>ACS Energy Letters: Latest Articles (ACS Publications)</w:t>
      </w:r>
      <w:r>
        <w:t xml:space="preserve">    </w:t>
      </w:r>
      <w:r>
        <w:rPr>
          <w:b/>
        </w:rPr>
        <w:t xml:space="preserve">Pub date: </w:t>
      </w:r>
      <w:r>
        <w:t>2026-05-14 08:56:28+00:00</w:t>
      </w:r>
      <w:r>
        <w:t xml:space="preserve">    </w:t>
      </w:r>
      <w:r>
        <w:rPr>
          <w:b/>
        </w:rPr>
        <w:t xml:space="preserve">DOI: </w:t>
      </w:r>
      <w:hyperlink r:id="rId111">
        <w:r>
          <w:rPr>
            <w:color w:val="1155CC"/>
            <w:u w:val="single"/>
          </w:rPr>
          <w:t>10.1021/acsenergylett.6c00991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12">
        <w:r>
          <w:rPr>
            <w:color w:val="1155CC"/>
            <w:u w:val="single"/>
          </w:rPr>
          <w:t>锂离子电池退化诊断的可解释非侵入性框架：容量和功率衰减的联合预测及机制感知健康指数分类</w:t>
        </w:r>
      </w:hyperlink>
    </w:p>
    <w:p>
      <w:pPr>
        <w:spacing w:before="0" w:after="80"/>
      </w:pPr>
      <w:r>
        <w:rPr>
          <w:i/>
          <w:sz w:val="20"/>
        </w:rPr>
        <w:t>EN: Interpretable noninvasive framework for lithium-ion battery degradation diagnosis: Joint prediction of capacity and power fade and mechanism-aware health index classification</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3">
        <w:r>
          <w:rPr>
            <w:color w:val="1155CC"/>
            <w:u w:val="single"/>
          </w:rPr>
          <w:t>通过直接再生和高价值升级回收实现低碳循环的废锂离子电池正极材料</w:t>
        </w:r>
      </w:hyperlink>
    </w:p>
    <w:p>
      <w:pPr>
        <w:spacing w:before="0" w:after="80"/>
      </w:pPr>
      <w:r>
        <w:rPr>
          <w:i/>
          <w:sz w:val="20"/>
        </w:rPr>
        <w:t>EN: Low-Carbon Circular Recycling of Spent Lithium-Ion Battery Cathodes via Direct Regeneration and High-Value Upcycling</w:t>
      </w:r>
    </w:p>
    <w:p>
      <w:pPr>
        <w:spacing w:before="0" w:after="120"/>
      </w:pPr>
      <w:r>
        <w:rPr>
          <w:b/>
        </w:rPr>
        <w:t xml:space="preserve">Source: </w:t>
      </w:r>
      <w:r>
        <w:t>RSC - Energy Environ. Sci. latest articles</w:t>
      </w:r>
      <w:r>
        <w:t xml:space="preserve">    </w:t>
      </w:r>
      <w:r>
        <w:rPr>
          <w:b/>
        </w:rPr>
        <w:t xml:space="preserve">Pub date: </w:t>
      </w:r>
      <w:r>
        <w:t>2026-05-12 23:00:00+00:00</w:t>
      </w:r>
    </w:p>
    <w:p>
      <w:pPr>
        <w:spacing w:before="0" w:after="120"/>
      </w:pPr>
      <w:r>
        <w:rPr>
          <w:b/>
        </w:rPr>
        <w:t xml:space="preserve">Notes: </w:t>
      </w:r>
      <w:r>
        <w:t>abstract_source=rsc_html</w:t>
      </w:r>
    </w:p>
    <w:p>
      <w:pPr>
        <w:spacing w:before="0" w:after="80" w:lineRule="auto" w:line="276"/>
      </w:pPr>
      <w:r>
        <w:rPr>
          <w:b/>
        </w:rPr>
        <w:t xml:space="preserve">摘要（ZH）: </w:t>
      </w:r>
      <w:r>
        <w:t>随着电动汽车和电网级储能产业的快速扩张，全球第一代锂离子动力电池正接近大规模退役，导致废旧锂离子电池（S-LIBs）数量激增。火法冶金和湿法冶金回收受到高能耗、大量碳排放和沉重废水处理负担的限制。相比之下，直接阴极再生和升级改造技术通过恢复或重构微观结构以恢复性能或实现功能升级，提供了一种低碳循环利用的短流程回收途径。本文系统回顾了固态热化学、液相化学和电化学再生的途径。在此框架基础上，我们阐明了锂补充、缺陷修复和相重构如何共同控制电化学性能的恢复。除了再生之外，我们还强调了从废旧阴极中衍生的环境功能材料和能源材料的研究进展，包括污染物降解、CO2捕获、能量转换和储存，特别强调了相变调控、缺陷工程和界面工程的作用。最后，我们对阴极再生和高价值升级的技术、经济和环境影响进行了基准测试，揭示了这些方法大规模采用的基本障碍。</w:t>
      </w:r>
    </w:p>
    <w:p>
      <w:pPr>
        <w:spacing w:before="0" w:after="200" w:lineRule="auto" w:line="276"/>
      </w:pPr>
      <w:r>
        <w:rPr>
          <w:b/>
        </w:rPr>
        <w:t xml:space="preserve">Abstract (EN): </w:t>
      </w:r>
      <w:r>
        <w:t>With the rapid expansion of electric vehicles and grid-scale energy storage industries, the first generation of lithium-ion power batteries worldwide is approaching large-scale retirement, leading to a surging volume of spent lithium-ion batteries (S-LIBs). Pyrometallurgical and hydrometallurgical recycling are constrained by high energy consumption, substantial carbon emissions, and heavy wastewater treatment burdens. In contrast, direct cathode regeneration and upcycling technologies restore or reconstruct the microstructure to recover performance or enable functional upgrading, offering a short-process recycling pathway toward low-carbon circular utilization. This work systematically reviews the routes of solid-state thermochemical, liquid-phase chemical, and electrochemical regeneration. Building on this framework, we elucidate how lithium replenishment, defect repair and phase reconstruction collectively govern the restoration of electrochemical performance. Beyond regeneration, we highlight research progress on environmental functional materials and energy materials derived from spent cathodes, including pollutant degradation, CO2 capture, energy conversion and storage, with particular emphasis on roles of phase-transition regulation, defect engineering, and interface engineering. Finally, we benchmark the technological, economic, and environmental impacts of cathode regeneration and high-value upcycling, revealing the fundamental obstacles to the large-scale adoption of these approaches.</w:t>
      </w:r>
    </w:p>
    <w:p>
      <w:pPr>
        <w:spacing w:before="120" w:after="120"/>
      </w:pPr>
      <w:r>
        <w:rPr>
          <w:sz w:val="18"/>
        </w:rPr>
        <w:t>——————————————————————————————————————————————————————————————————————</w:t>
      </w:r>
    </w:p>
    <w:p>
      <w:pPr>
        <w:spacing w:before="160" w:after="40" w:line="240" w:lineRule="auto"/>
      </w:pPr>
      <w:r>
        <w:rPr>
          <w:b/>
        </w:rPr>
        <w:t xml:space="preserve">[3] </w:t>
      </w:r>
      <w:hyperlink r:id="rId114">
        <w:r>
          <w:rPr>
            <w:color w:val="1155CC"/>
            <w:u w:val="single"/>
          </w:rPr>
          <w:t>用于电动汽车锂离子电池荷电状态和健康状态估计的贝叶斯滤波技术：方法、挑战和未来方向</w:t>
        </w:r>
      </w:hyperlink>
    </w:p>
    <w:p>
      <w:pPr>
        <w:spacing w:before="0" w:after="80"/>
      </w:pPr>
      <w:r>
        <w:rPr>
          <w:i/>
          <w:sz w:val="20"/>
        </w:rPr>
        <w:t>EN: Bayesian filtering techniques for state of charge and state of health estimation in lithium-ion batteries for electric vehicles: Methods, challenges, and future directions</w:t>
      </w:r>
    </w:p>
    <w:p>
      <w:pPr>
        <w:spacing w:before="0" w:after="120"/>
      </w:pPr>
      <w:r>
        <w:rPr>
          <w:b/>
        </w:rPr>
        <w:t xml:space="preserve">Source: </w:t>
      </w:r>
      <w:r>
        <w:t>ScienceDirect Publication: Applied Energy</w:t>
      </w:r>
      <w:r>
        <w:t xml:space="preserve">    </w:t>
      </w:r>
      <w:r>
        <w:rPr>
          <w:b/>
        </w:rPr>
        <w:t xml:space="preserve">Pub date: </w:t>
      </w:r>
      <w:r>
        <w:t>2026-05-13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02">
        <w:r>
          <w:rPr>
            <w:color w:val="1155CC"/>
            <w:u w:val="single"/>
          </w:rPr>
          <w:t>从废弃固态钠电池中闭环回收硫化物固体电解质</w:t>
        </w:r>
      </w:hyperlink>
    </w:p>
    <w:p>
      <w:pPr>
        <w:spacing w:before="0" w:after="80"/>
      </w:pPr>
      <w:r>
        <w:rPr>
          <w:i/>
          <w:sz w:val="20"/>
        </w:rPr>
        <w:t>EN: Closed‐loop Recycling of Sulfide Solid Electrolytes from Spent Solid‐State Sodium Batteries</w:t>
      </w:r>
    </w:p>
    <w:p>
      <w:pPr>
        <w:spacing w:before="0" w:after="120"/>
      </w:pPr>
      <w:r>
        <w:rPr>
          <w:b/>
        </w:rPr>
        <w:t xml:space="preserve">Source: </w:t>
      </w:r>
      <w:r>
        <w:t>Wiley: Advanced Materials: Table of Contents</w:t>
      </w:r>
      <w:r>
        <w:t xml:space="preserve">    </w:t>
      </w:r>
      <w:r>
        <w:rPr>
          <w:b/>
        </w:rPr>
        <w:t xml:space="preserve">Pub date: </w:t>
      </w:r>
      <w:r>
        <w:t>2026-05-13 10:39:45+00:00</w:t>
      </w:r>
      <w:r>
        <w:t xml:space="preserve">    </w:t>
      </w:r>
      <w:r>
        <w:rPr>
          <w:b/>
        </w:rPr>
        <w:t xml:space="preserve">DOI: </w:t>
      </w:r>
      <w:hyperlink r:id="rId103">
        <w:r>
          <w:rPr>
            <w:color w:val="1155CC"/>
            <w:u w:val="single"/>
          </w:rPr>
          <w:t>10.1002/adma.73359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钠电池（ASSSBs）因钠的丰富性和内在安全性而在大规模储能中具有前景。然而，从可持续性角度来看，固态电解质的可回收性至关重要，但尚未得到充分探索，因为许多成熟的固态电解质依赖于低丰度、高成本的元素，限制了长期的可扩展性。在此，我们首次报告了一种闭环回收策略，用于Na</w:t>
      </w:r>
      <w:r>
        <w:rPr>
          <w:vertAlign w:val="subscript"/>
        </w:rPr>
        <w:t>3</w:t>
      </w:r>
      <w:r>
        <w:t>SbS</w:t>
      </w:r>
      <w:r>
        <w:rPr>
          <w:vertAlign w:val="subscript"/>
        </w:rPr>
        <w:t>4</w:t>
      </w:r>
      <w:r>
        <w:t>（NAS）固态电解质，通过DFT计算指导，实现了从废弃全固态钠电池中通过温和的溶解-再结晶-热处理过程的高效回收和再生。回收的NAS（R-NAS）完全保留了原始材料的长程晶体结构、局部配位环境和化学状态。R-NAS提供了良好的离子电导率、电化学稳定性、降低的极化、增强的速率性能和优异的循环稳定性，与原始NAS（P-NAS）相当。这项工作展示了从废弃设备中回收高性能硫化物固态电解质的可行性和重要性，而不损害结构完整性或功能性。所提出的回收策略为先进固态电解质的再利用提供了一条可推广和可持续的途径，有助于全固态电池技术的循环经济。</w:t>
      </w:r>
    </w:p>
    <w:p>
      <w:pPr>
        <w:spacing w:before="0" w:after="200" w:lineRule="auto" w:line="276"/>
      </w:pPr>
      <w:r>
        <w:rPr>
          <w:b/>
        </w:rPr>
        <w:t xml:space="preserve">Abstract (EN): </w:t>
      </w:r>
      <w:r>
        <w:t>All‐solid‐state sodium batteries (ASSSBs) are promising for large‐scale energy storage due to sodium abundance and intrinsic safety. However, from a sustainability perspective, the recyclability of solid electrolytes is critical but largely unexplored, as many mature solid electrolytes rely on low‐abundance, high‐cost elements, limiting long‐term scalability. Herein, we firstly report a closed‐loop recycling strategy for Na</w:t>
      </w:r>
      <w:r>
        <w:rPr>
          <w:vertAlign w:val="subscript"/>
        </w:rPr>
        <w:t>3</w:t>
      </w:r>
      <w:r>
        <w:t>SbS</w:t>
      </w:r>
      <w:r>
        <w:rPr>
          <w:vertAlign w:val="subscript"/>
        </w:rPr>
        <w:t>4</w:t>
      </w:r>
      <w:r>
        <w:t>(NAS) solid electrolytes guided by the DFT calculations, enabling efficient recovery and regeneration from spent all‐solid‐state sodium batteries via a mild dissolution–recrystallization–thermal treatment process. The recycled NAS (R‐NAS) fully preserves the long‐range crystal structure, local coordination environment, and chemical states of the pristine material. The R‐NAS delivers good ionic conductivity, electrochemical stability, reduced polarization, enhanced rate performance, and superior cycling stability comparable to pristine NAS (P‐NAS). This work demonstrates the feasibility and importance of the recycling of high‐performance sulfide solid electrolytes from spent devices without compromising structural integrity or functionality. The proposed recycling strategy offers a generalizable and sustainable pathway for the reutilization of advanced solid electrolytes, contributing to the circular economy of all‐solid‐state battery technologies.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15">
        <w:r>
          <w:rPr>
            <w:color w:val="1155CC"/>
            <w:u w:val="single"/>
          </w:rPr>
          <w:t>揭示抽水蓄能生命周期环境经济性能的空间变异性：南北中国的比较研究</w:t>
        </w:r>
      </w:hyperlink>
    </w:p>
    <w:p>
      <w:pPr>
        <w:spacing w:before="0" w:after="80"/>
      </w:pPr>
      <w:r>
        <w:rPr>
          <w:i/>
          <w:sz w:val="20"/>
        </w:rPr>
        <w:t>EN: Unveiling spatial variability in life cycle environmental-economic performance of pumped hydro storage: A north-south China comparative study</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6">
        <w:r>
          <w:rPr>
            <w:color w:val="1155CC"/>
            <w:u w:val="single"/>
          </w:rPr>
          <w:t>非对称卷曲引发的强极化电场用于超高面积电化学电容</w:t>
        </w:r>
      </w:hyperlink>
    </w:p>
    <w:p>
      <w:pPr>
        <w:spacing w:before="0" w:after="80"/>
      </w:pPr>
      <w:r>
        <w:rPr>
          <w:i/>
          <w:sz w:val="20"/>
        </w:rPr>
        <w:t>EN: Asymmetric Rolling‐Up Induced Strong Polarization Electric Field for Ultrahigh Areal Electrochemical Capacitance</w:t>
      </w:r>
    </w:p>
    <w:p>
      <w:pPr>
        <w:spacing w:before="0" w:after="120"/>
      </w:pPr>
      <w:r>
        <w:rPr>
          <w:b/>
        </w:rPr>
        <w:t xml:space="preserve">Source: </w:t>
      </w:r>
      <w:r>
        <w:t>Wiley: Advanced Materials: Table of Contents</w:t>
      </w:r>
      <w:r>
        <w:t xml:space="preserve">    </w:t>
      </w:r>
      <w:r>
        <w:rPr>
          <w:b/>
        </w:rPr>
        <w:t xml:space="preserve">Pub date: </w:t>
      </w:r>
      <w:r>
        <w:t>2026-05-09 06:01:23+00:00</w:t>
      </w:r>
      <w:r>
        <w:t xml:space="preserve">    </w:t>
      </w:r>
      <w:r>
        <w:rPr>
          <w:b/>
        </w:rPr>
        <w:t xml:space="preserve">DOI: </w:t>
      </w:r>
      <w:hyperlink r:id="rId117">
        <w:r>
          <w:rPr>
            <w:color w:val="1155CC"/>
            <w:u w:val="single"/>
          </w:rPr>
          <w:t>10.1002/adma.73340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电容器由于其高功率密度而成为大规模能量存储设备的有前途的候选者。然而，随着高负载厚电极能量密度的增加，离子传输动力学在循环过程中通常受到限制。在此，通过改进的刚度介导卷曲策略制备了过渡金属碳化物（MXenes）的不对称卷曲。这种不对称结构在MXene卷曲轴上引发了电子浓度梯度，导致强极化电场。在极化作用下，不对称MXene卷曲在各种离子（如H</w:t>
      </w:r>
      <w:r>
        <w:t xml:space="preserve"> </w:t>
      </w:r>
      <w:r>
        <w:t>+</w:t>
      </w:r>
      <w:r>
        <w:t xml:space="preserve"> </w:t>
      </w:r>
      <w:r>
        <w:t>、Li</w:t>
      </w:r>
      <w:r>
        <w:t xml:space="preserve"> </w:t>
      </w:r>
      <w:r>
        <w:t>+</w:t>
      </w:r>
      <w:r>
        <w:t xml:space="preserve"> </w:t>
      </w:r>
      <w:r>
        <w:t>、Na</w:t>
      </w:r>
      <w:r>
        <w:t xml:space="preserve"> </w:t>
      </w:r>
      <w:r>
        <w:t>+</w:t>
      </w:r>
      <w:r>
        <w:t xml:space="preserve"> </w:t>
      </w:r>
      <w:r>
        <w:t>、NH</w:t>
      </w:r>
      <w:r>
        <w:rPr>
          <w:vertAlign w:val="subscript"/>
        </w:rPr>
        <w:t>4</w:t>
      </w:r>
      <w:r>
        <w:t>+</w:t>
      </w:r>
      <w:r>
        <w:t xml:space="preserve"> </w:t>
      </w:r>
      <w:r>
        <w:t>、Zn</w:t>
      </w:r>
      <w:r>
        <w:t xml:space="preserve"> </w:t>
      </w:r>
      <w:r>
        <w:t>2+</w:t>
      </w:r>
      <w:r>
        <w:t xml:space="preserve"> </w:t>
      </w:r>
      <w:r>
        <w:t>、Mg</w:t>
      </w:r>
      <w:r>
        <w:t xml:space="preserve"> </w:t>
      </w:r>
      <w:r>
        <w:t>2+</w:t>
      </w:r>
      <w:r>
        <w:t xml:space="preserve"> </w:t>
      </w:r>
      <w:r>
        <w:t>、Al</w:t>
      </w:r>
      <w:r>
        <w:t xml:space="preserve"> </w:t>
      </w:r>
      <w:r>
        <w:t>3+</w:t>
      </w:r>
      <w:r>
        <w:t xml:space="preserve"> </w:t>
      </w:r>
      <w:r>
        <w:t>）中的离子传输电导率高达约10</w:t>
      </w:r>
      <w:r>
        <w:rPr>
          <w:vertAlign w:val="subscript"/>
        </w:rPr>
        <w:t>2</w:t>
      </w:r>
      <w:r>
        <w:t>µS，比构成单元块高出一个数量级（约10</w:t>
      </w:r>
      <w:r>
        <w:rPr>
          <w:vertAlign w:val="subscript"/>
        </w:rPr>
        <w:t>1</w:t>
      </w:r>
      <w:r>
        <w:t>µS）。因此，由不对称MXene卷曲构建的薄膜在5000 mV s</w:t>
      </w:r>
      <w:r>
        <w:t xml:space="preserve"> </w:t>
      </w:r>
      <w:r>
        <w:t>−1</w:t>
      </w:r>
      <w:r>
        <w:t xml:space="preserve"> </w:t>
      </w:r>
      <w:r>
        <w:t>下表现出约400 F g</w:t>
      </w:r>
      <w:r>
        <w:t xml:space="preserve"> </w:t>
      </w:r>
      <w:r>
        <w:t>−1</w:t>
      </w:r>
      <w:r>
        <w:t xml:space="preserve"> </w:t>
      </w:r>
      <w:r>
        <w:t>的超高速率能力和独特的厚度无关电容特性。此外，400 µm厚的MXene卷曲薄膜的面积容量具有高m</w:t>
      </w:r>
    </w:p>
    <w:p>
      <w:pPr>
        <w:spacing w:before="0" w:after="200" w:lineRule="auto" w:line="276"/>
      </w:pPr>
      <w:r>
        <w:rPr>
          <w:b/>
        </w:rPr>
        <w:t xml:space="preserve">Abstract (EN): </w:t>
      </w:r>
      <w:r>
        <w:t>Electrochemical capacitors are promising candidates for large‐scale energy storage devices owing to their high power densities. However, as increasing their energy densities with high‐loading thick electrodes, the ion transport kinetics are usually limited during cycling. Here, asymmetric roll‐ups of transition metal carbides (MXenes) are fabricated via a modified stiffness‐mediated rolling‐up strategy. Such asymmetric structure induces an electron concentration gradient along the axis of MXene roll‐up, leading to a strong polarization electric field. Under the polarization, ionic transport conductance of the asymmetric MXene roll‐up in various ions (e.g., H</w:t>
      </w:r>
      <w:r>
        <w:t xml:space="preserve"> </w:t>
      </w:r>
      <w:r>
        <w:t>+</w:t>
      </w:r>
      <w:r>
        <w:t xml:space="preserve"> </w:t>
      </w:r>
      <w:r>
        <w:t>, Li</w:t>
      </w:r>
      <w:r>
        <w:t xml:space="preserve"> </w:t>
      </w:r>
      <w:r>
        <w:t>+</w:t>
      </w:r>
      <w:r>
        <w:t xml:space="preserve"> </w:t>
      </w:r>
      <w:r>
        <w:t>, Na</w:t>
      </w:r>
      <w:r>
        <w:t xml:space="preserve"> </w:t>
      </w:r>
      <w:r>
        <w:t>+</w:t>
      </w:r>
      <w:r>
        <w:t xml:space="preserve"> </w:t>
      </w:r>
      <w:r>
        <w:t>, NH</w:t>
      </w:r>
      <w:r>
        <w:rPr>
          <w:vertAlign w:val="subscript"/>
        </w:rPr>
        <w:t>4</w:t>
      </w:r>
      <w:r>
        <w:t>+</w:t>
      </w:r>
      <w:r>
        <w:t xml:space="preserve"> </w:t>
      </w:r>
      <w:r>
        <w:t>, Zn</w:t>
      </w:r>
      <w:r>
        <w:t xml:space="preserve"> </w:t>
      </w:r>
      <w:r>
        <w:t>2+</w:t>
      </w:r>
      <w:r>
        <w:t xml:space="preserve"> </w:t>
      </w:r>
      <w:r>
        <w:t>, Mg</w:t>
      </w:r>
      <w:r>
        <w:t xml:space="preserve"> </w:t>
      </w:r>
      <w:r>
        <w:t>2+</w:t>
      </w:r>
      <w:r>
        <w:t xml:space="preserve"> </w:t>
      </w:r>
      <w:r>
        <w:t>, Al</w:t>
      </w:r>
      <w:r>
        <w:t xml:space="preserve"> </w:t>
      </w:r>
      <w:r>
        <w:t>3+</w:t>
      </w:r>
      <w:r>
        <w:t xml:space="preserve"> </w:t>
      </w:r>
      <w:r>
        <w:t>) is up to ∼10</w:t>
      </w:r>
      <w:r>
        <w:rPr>
          <w:vertAlign w:val="subscript"/>
        </w:rPr>
        <w:t>2</w:t>
      </w:r>
      <w:r>
        <w:t>µS, which is an order of magnitude higher than the constituent building blocks (∼10</w:t>
      </w:r>
      <w:r>
        <w:rPr>
          <w:vertAlign w:val="subscript"/>
        </w:rPr>
        <w:t>1</w:t>
      </w:r>
      <w:r>
        <w:t>µS). As a result, the film constructed from asymmetric MXene roll‐up exhibits an ultrahigh rate capability of ∼400 F g</w:t>
      </w:r>
      <w:r>
        <w:t xml:space="preserve"> </w:t>
      </w:r>
      <w:r>
        <w:t>−1</w:t>
      </w:r>
      <w:r>
        <w:t xml:space="preserve"> </w:t>
      </w:r>
      <w:r>
        <w:t>at 5000 mV s</w:t>
      </w:r>
      <w:r>
        <w:t xml:space="preserve"> </w:t>
      </w:r>
      <w:r>
        <w:t>−1</w:t>
      </w:r>
      <w:r>
        <w:t xml:space="preserve"> </w:t>
      </w:r>
      <w:r>
        <w:t>and unique thickness‐independent capacitive features. Moreover, the areal capacity of the 400‐µm‐thick MXene roll‐up film with a high mass loading of ∼50 mg cm</w:t>
      </w:r>
      <w:r>
        <w:t xml:space="preserve"> </w:t>
      </w:r>
      <w:r>
        <w:t>−2</w:t>
      </w:r>
      <w:r>
        <w:t xml:space="preserve"> </w:t>
      </w:r>
      <w:r>
        <w:t>is up to ∼26 F cm</w:t>
      </w:r>
      <w:r>
        <w:t xml:space="preserve"> </w:t>
      </w:r>
      <w:r>
        <w:t>−2</w:t>
      </w:r>
      <w:r>
        <w:t xml:space="preserve"> </w:t>
      </w:r>
      <w:r>
        <w:t>, outperforming the most reported materials.</w:t>
      </w:r>
    </w:p>
    <w:p>
      <w:pPr>
        <w:spacing w:before="120" w:after="120"/>
      </w:pPr>
      <w:r>
        <w:rPr>
          <w:sz w:val="18"/>
        </w:rPr>
        <w:t>——————————————————————————————————————————————————————————————————————</w:t>
      </w:r>
    </w:p>
    <w:p>
      <w:pPr>
        <w:spacing w:before="160" w:after="40" w:line="240" w:lineRule="auto"/>
      </w:pPr>
      <w:r>
        <w:rPr>
          <w:b/>
        </w:rPr>
        <w:t xml:space="preserve">[3] </w:t>
      </w:r>
      <w:hyperlink r:id="rId118">
        <w:r>
          <w:rPr>
            <w:color w:val="1155CC"/>
            <w:u w:val="single"/>
          </w:rPr>
          <w:t>分级结构气凝胶的反应激光增材制造</w:t>
        </w:r>
      </w:hyperlink>
    </w:p>
    <w:p>
      <w:pPr>
        <w:spacing w:before="0" w:after="80"/>
      </w:pPr>
      <w:r>
        <w:rPr>
          <w:i/>
          <w:sz w:val="20"/>
        </w:rPr>
        <w:t>EN: Reactive Laser Additive Manufacturing of Hierarchically Structured Aerogels</w:t>
      </w:r>
    </w:p>
    <w:p>
      <w:pPr>
        <w:spacing w:before="0" w:after="120"/>
      </w:pPr>
      <w:r>
        <w:rPr>
          <w:b/>
        </w:rPr>
        <w:t xml:space="preserve">Source: </w:t>
      </w:r>
      <w:r>
        <w:t>Wiley: Advanced Materials: Table of Contents</w:t>
      </w:r>
      <w:r>
        <w:t xml:space="preserve">    </w:t>
      </w:r>
      <w:r>
        <w:rPr>
          <w:b/>
        </w:rPr>
        <w:t xml:space="preserve">Pub date: </w:t>
      </w:r>
      <w:r>
        <w:t>2026-05-09 06:01:51+00:00</w:t>
      </w:r>
      <w:r>
        <w:t xml:space="preserve">    </w:t>
      </w:r>
      <w:r>
        <w:rPr>
          <w:b/>
        </w:rPr>
        <w:t xml:space="preserve">DOI: </w:t>
      </w:r>
      <w:hyperlink r:id="rId119">
        <w:r>
          <w:rPr>
            <w:color w:val="1155CC"/>
            <w:u w:val="single"/>
          </w:rPr>
          <w:t>10.1002/adma.73352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对可持续和可扩展的能源材料制造需求的加速，增材制造（AM）在很大程度上仍然局限于对预定义前体的被动成型。在此，我们介绍了反应性激光AM，其中前体成分被设计为将打印步骤本身转变为材料合成的化学活性阶段。将共晶碱金属卤化物盐掺入蛋白质基粉末中，将局部激光加热转化为瞬态反应环境，驱动气相化学、表面蚀刻和原位分层生长，无需外部试剂或溶剂。这种内部激活的反应性使得在单一过程中能够在几秒钟内快速形成具有多层次结构的石墨气凝胶整体——宏孔框架装饰有微管阵列和纳米级特征。作为能量存储电极，这些分层结构的气凝胶在比重电容（约162 F g</w:t>
      </w:r>
      <w:r>
        <w:t xml:space="preserve"> </w:t>
      </w:r>
      <w:r>
        <w:t>−1</w:t>
      </w:r>
      <w:r>
        <w:t xml:space="preserve"> </w:t>
      </w:r>
      <w:r>
        <w:t>）方面相对于无盐对照组表现出十倍的增强。通过通过原料设计工程化反应性，这项工作将激光AM重新定义为一个动态平台，用于反应驱动的材料设计。</w:t>
      </w:r>
    </w:p>
    <w:p>
      <w:pPr>
        <w:spacing w:before="0" w:after="200" w:lineRule="auto" w:line="276"/>
      </w:pPr>
      <w:r>
        <w:rPr>
          <w:b/>
        </w:rPr>
        <w:t xml:space="preserve">Abstract (EN): </w:t>
      </w:r>
      <w:r>
        <w:t>As demands for sustainable and scalable energy materials manufacturing accelerate, additive manufacturing (AM) remains largely limited to passive shaping of predefined precursors. Here, we introduce reactive laser AM, in which precursor composition is designed to transform the printing step itself into a chemically active stage of materials synthesis. Incorporating eutectic alkali halide salts into protein‐based powders converts localized laser heating into transient reaction environments that drive vapor‐phase chemistry, surface etching, and in situ hierarchical growth without external reagents or solvents. This internally activated reactivity enables the rapid formation of graphitic aerogel monoliths with multilevel architecture—macroporous frameworks decorated with microtubular arrays and nanoscale features—within seconds in a single process. As energy storage electrodes, these hierarchically structured aerogels exhibit a tenfold enhancement in gravimetric capacitance (∼162 F g</w:t>
      </w:r>
      <w:r>
        <w:t xml:space="preserve"> </w:t>
      </w:r>
      <w:r>
        <w:t>−1</w:t>
      </w:r>
      <w:r>
        <w:t xml:space="preserve"> </w:t>
      </w:r>
      <w:r>
        <w:t>) relative to salt‐free counterparts. By engineering reactivity through feedstock design, this work reframes laser AM as a dynamic platform for reaction‐driven materials‐by‐design.</w:t>
      </w:r>
    </w:p>
    <w:p>
      <w:pPr>
        <w:spacing w:before="120" w:after="120"/>
      </w:pPr>
      <w:r>
        <w:rPr>
          <w:sz w:val="18"/>
        </w:rPr>
        <w:t>——————————————————————————————————————————————————————————————————————</w:t>
      </w:r>
    </w:p>
    <w:p>
      <w:pPr>
        <w:spacing w:before="160" w:after="40" w:line="240" w:lineRule="auto"/>
      </w:pPr>
      <w:r>
        <w:rPr>
          <w:b/>
        </w:rPr>
        <w:t xml:space="preserve">[4] </w:t>
      </w:r>
      <w:hyperlink r:id="rId120">
        <w:r>
          <w:rPr>
            <w:color w:val="1155CC"/>
            <w:u w:val="single"/>
          </w:rPr>
          <w:t>通过咪唑鎓接枝动态离子导电间隔物在有机溶剂中实现超快阴离子跳跃导电，用于稳定的非水流动电池</w:t>
        </w:r>
      </w:hyperlink>
    </w:p>
    <w:p>
      <w:pPr>
        <w:spacing w:before="0" w:after="80"/>
      </w:pPr>
      <w:r>
        <w:rPr>
          <w:i/>
          <w:sz w:val="20"/>
        </w:rPr>
        <w:t>EN: Ultrafast Anion‐Hopping Conduction in Organic Solvent via Imidazolium‐Grafted Dynamic Ion‐Conducting Spacers for Stable Non‐Aqueous Flow Batteries</w:t>
      </w:r>
    </w:p>
    <w:p>
      <w:pPr>
        <w:spacing w:before="0" w:after="120"/>
      </w:pPr>
      <w:r>
        <w:rPr>
          <w:b/>
        </w:rPr>
        <w:t xml:space="preserve">Source: </w:t>
      </w:r>
      <w:r>
        <w:t>Wiley: Angewandte Chemie International Edition: Table of Contents</w:t>
      </w:r>
      <w:r>
        <w:t xml:space="preserve">    </w:t>
      </w:r>
      <w:r>
        <w:rPr>
          <w:b/>
        </w:rPr>
        <w:t xml:space="preserve">Pub date: </w:t>
      </w:r>
      <w:r>
        <w:t>2026-05-09 16:00:48+00:00</w:t>
      </w:r>
      <w:r>
        <w:t xml:space="preserve">    </w:t>
      </w:r>
      <w:r>
        <w:rPr>
          <w:b/>
        </w:rPr>
        <w:t xml:space="preserve">DOI: </w:t>
      </w:r>
      <w:hyperlink r:id="rId121">
        <w:r>
          <w:rPr>
            <w:color w:val="1155CC"/>
            <w:u w:val="single"/>
          </w:rPr>
          <w:t>10.1002/anie.6160285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水流动电池（NAFBs）需要具有优异有机溶剂耐受性和在有机溶剂中高离子电导率的膜，以承受非水电解质固有的腐蚀性影响。在此，我们设计了一种高度耐有机溶剂的咪唑鎓接枝阴离子交换膜（AEM）用于NAFBs，实现了在有机溶剂中的快速阴离子跃迁传导。该膜在基于DMF的电解质中表现出高达2.1 mS cm</w:t>
      </w:r>
      <w:r>
        <w:t xml:space="preserve"> </w:t>
      </w:r>
      <w:r>
        <w:t>−1</w:t>
      </w:r>
      <w:r>
        <w:t xml:space="preserve"> </w:t>
      </w:r>
      <w:r>
        <w:t>的超快离子电导率，远高于商业Celgard膜（仅为0.45 mS·cm</w:t>
      </w:r>
      <w:r>
        <w:t xml:space="preserve"> </w:t>
      </w:r>
      <w:r>
        <w:t>−1</w:t>
      </w:r>
      <w:r>
        <w:t xml:space="preserve"> </w:t>
      </w:r>
      <w:r>
        <w:t>），并具有优异的屏障性能，表现为2,1,3-苯并噻二唑正电解质的超低活性物质渗透率为1.6 × 10</w:t>
      </w:r>
      <w:r>
        <w:t xml:space="preserve"> </w:t>
      </w:r>
      <w:r>
        <w:t>−8</w:t>
      </w:r>
      <w:r>
        <w:t xml:space="preserve"> </w:t>
      </w:r>
      <w:r>
        <w:t>cm</w:t>
      </w:r>
      <w:r>
        <w:rPr>
          <w:vertAlign w:val="subscript"/>
        </w:rPr>
        <w:t>2</w:t>
      </w:r>
      <w:r>
        <w:t>s</w:t>
      </w:r>
      <w:r>
        <w:t xml:space="preserve"> </w:t>
      </w:r>
      <w:r>
        <w:t>−1</w:t>
      </w:r>
      <w:r>
        <w:t xml:space="preserve"> </w:t>
      </w:r>
      <w:r>
        <w:t>和10-甲基苯并噻嗪负电解质为3.8 × 10</w:t>
      </w:r>
      <w:r>
        <w:t xml:space="preserve"> </w:t>
      </w:r>
      <w:r>
        <w:t>−9</w:t>
      </w:r>
      <w:r>
        <w:t xml:space="preserve"> </w:t>
      </w:r>
      <w:r>
        <w:t>cm</w:t>
      </w:r>
      <w:r>
        <w:rPr>
          <w:vertAlign w:val="subscript"/>
        </w:rPr>
        <w:t>2</w:t>
      </w:r>
      <w:r>
        <w:t>s</w:t>
      </w:r>
      <w:r>
        <w:t xml:space="preserve"> </w:t>
      </w:r>
      <w:r>
        <w:t>−1</w:t>
      </w:r>
      <w:r>
        <w:t xml:space="preserve"> </w:t>
      </w:r>
      <w:r>
        <w:t>。此外，该膜在苛刻的有机溶剂中表现出卓越的稳定性，在NAFB电池测试中以5 mA cm</w:t>
      </w:r>
      <w:r>
        <w:t xml:space="preserve"> </w:t>
      </w:r>
      <w:r>
        <w:t>−2</w:t>
      </w:r>
      <w:r>
        <w:t xml:space="preserve"> </w:t>
      </w:r>
      <w:r>
        <w:t>的电流密度超过330个循环，平均能量效率（EE）超过66.1%，远远超过商业Celgard膜（仅70个循环，平均EE为48.8%）。这项研究提出了一项战略性进展</w:t>
      </w:r>
    </w:p>
    <w:p>
      <w:pPr>
        <w:spacing w:before="0" w:after="200" w:lineRule="auto" w:line="276"/>
      </w:pPr>
      <w:r>
        <w:rPr>
          <w:b/>
        </w:rPr>
        <w:t xml:space="preserve">Abstract (EN): </w:t>
      </w:r>
      <w:r>
        <w:t>Non‐aqueous flow batteries (NAFBs) require membranes with superior organic solvent resistance and high ionic conductivity in organic solvents to endure the corrosive effects inherent in non‐aqueous electrolytes. Herein, we designed a highly organic‐solvent‐resistant imidazolium‐grafted anion‐exchange membrane (AEM) for NAFBs, realizing rapid anion hopping conduction in organic solvents. The membrane exhibited an ultrafast ionic conductivity as high as 2.1 mS cm</w:t>
      </w:r>
      <w:r>
        <w:t xml:space="preserve"> </w:t>
      </w:r>
      <w:r>
        <w:t>−1</w:t>
      </w:r>
      <w:r>
        <w:t xml:space="preserve"> </w:t>
      </w:r>
      <w:r>
        <w:t>in DMF‐based electrolyte which was much greater than that of the commercial Celgard membrane (only 0.45 mS·cm</w:t>
      </w:r>
      <w:r>
        <w:t xml:space="preserve"> </w:t>
      </w:r>
      <w:r>
        <w:t>−1</w:t>
      </w:r>
      <w:r>
        <w:t xml:space="preserve"> </w:t>
      </w:r>
      <w:r>
        <w:t>), coupled with exceptional barrier properties evidenced by ultralow active‐species permeability values of 1.6 × 10</w:t>
      </w:r>
      <w:r>
        <w:t xml:space="preserve"> </w:t>
      </w:r>
      <w:r>
        <w:t>−8</w:t>
      </w:r>
      <w:r>
        <w:t xml:space="preserve"> </w:t>
      </w:r>
      <w:r>
        <w:t>cm</w:t>
      </w:r>
      <w:r>
        <w:rPr>
          <w:vertAlign w:val="subscript"/>
        </w:rPr>
        <w:t>2</w:t>
      </w:r>
      <w:r>
        <w:t>s</w:t>
      </w:r>
      <w:r>
        <w:t xml:space="preserve"> </w:t>
      </w:r>
      <w:r>
        <w:t>−1</w:t>
      </w:r>
      <w:r>
        <w:t xml:space="preserve"> </w:t>
      </w:r>
      <w:r>
        <w:t>for 2,1,3‐benzothiadiazole positive electrolyte and 3.8 × 10</w:t>
      </w:r>
      <w:r>
        <w:t xml:space="preserve"> </w:t>
      </w:r>
      <w:r>
        <w:t>−9</w:t>
      </w:r>
      <w:r>
        <w:t xml:space="preserve"> </w:t>
      </w:r>
      <w:r>
        <w:t>cm</w:t>
      </w:r>
      <w:r>
        <w:rPr>
          <w:vertAlign w:val="subscript"/>
        </w:rPr>
        <w:t>2</w:t>
      </w:r>
      <w:r>
        <w:t>s</w:t>
      </w:r>
      <w:r>
        <w:t xml:space="preserve"> </w:t>
      </w:r>
      <w:r>
        <w:t>−1</w:t>
      </w:r>
      <w:r>
        <w:t xml:space="preserve"> </w:t>
      </w:r>
      <w:r>
        <w:t>for 10‐methylphenothiazine negative electrolyte, respectively. Moreover, the membrane demonstrated outstanding stability in aggressive organic solvent, achieving an average energy efficiency (EE) over 66.1% for over 330 cycles at 5 mA cm</w:t>
      </w:r>
      <w:r>
        <w:t xml:space="preserve"> </w:t>
      </w:r>
      <w:r>
        <w:t>−2</w:t>
      </w:r>
      <w:r>
        <w:t xml:space="preserve"> </w:t>
      </w:r>
      <w:r>
        <w:t>in a NAFB cell test, which far exceeded the commercial Celgard membrane (with only 70 cycles with an average EE of 48.8%). This research presents a strategic advance in next‐generation membrane design for NAFBs with exceptional organic solvent resistance and high ionic conductivity.</w:t>
      </w:r>
    </w:p>
    <w:p>
      <w:pPr>
        <w:spacing w:before="120" w:after="120"/>
      </w:pPr>
      <w:r>
        <w:rPr>
          <w:sz w:val="18"/>
        </w:rPr>
        <w:t>——————————————————————————————————————————————————————————————————————</w:t>
      </w:r>
    </w:p>
    <w:p>
      <w:pPr>
        <w:spacing w:before="160" w:after="40" w:line="240" w:lineRule="auto"/>
      </w:pPr>
      <w:r>
        <w:rPr>
          <w:b/>
        </w:rPr>
        <w:t xml:space="preserve">[5] </w:t>
      </w:r>
      <w:hyperlink r:id="rId122">
        <w:r>
          <w:rPr>
            <w:color w:val="1155CC"/>
            <w:u w:val="single"/>
          </w:rPr>
          <w:t>将间隔物（0D, 1D, 2D, 3D）集成到2D MXenes中以增强能量存储和转换应用</w:t>
        </w:r>
      </w:hyperlink>
    </w:p>
    <w:p>
      <w:pPr>
        <w:spacing w:before="0" w:after="80"/>
      </w:pPr>
      <w:r>
        <w:rPr>
          <w:i/>
          <w:sz w:val="20"/>
        </w:rPr>
        <w:t>EN: Integrating spacers (0D, 1D, 2D, 3D) into 2D MXenes for enhanced energy storage and conversion applications</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23">
        <w:r>
          <w:rPr>
            <w:color w:val="1155CC"/>
            <w:u w:val="single"/>
          </w:rPr>
          <w:t>电子局域化RuNi纳米片组装体实现低过电位Mg-CO2电池</w:t>
        </w:r>
      </w:hyperlink>
    </w:p>
    <w:p>
      <w:pPr>
        <w:spacing w:before="0" w:after="80"/>
      </w:pPr>
      <w:r>
        <w:rPr>
          <w:i/>
          <w:sz w:val="20"/>
        </w:rPr>
        <w:t>EN: Electron‐Localized RuNi Nanosheet Assemblies Enable Low‐Overpotential Mg‐CO2 Battery</w:t>
      </w:r>
    </w:p>
    <w:p>
      <w:pPr>
        <w:spacing w:before="0" w:after="120"/>
      </w:pPr>
      <w:r>
        <w:rPr>
          <w:b/>
        </w:rPr>
        <w:t xml:space="preserve">Source: </w:t>
      </w:r>
      <w:r>
        <w:t>Wiley: Angewandte Chemie International Edition: Table of Contents</w:t>
      </w:r>
      <w:r>
        <w:t xml:space="preserve">    </w:t>
      </w:r>
      <w:r>
        <w:rPr>
          <w:b/>
        </w:rPr>
        <w:t xml:space="preserve">Pub date: </w:t>
      </w:r>
      <w:r>
        <w:t>2026-05-12 05:38:05+00:00</w:t>
      </w:r>
      <w:r>
        <w:t xml:space="preserve">    </w:t>
      </w:r>
      <w:r>
        <w:rPr>
          <w:b/>
        </w:rPr>
        <w:t xml:space="preserve">DOI: </w:t>
      </w:r>
      <w:hyperlink r:id="rId124">
        <w:r>
          <w:rPr>
            <w:color w:val="1155CC"/>
            <w:u w:val="single"/>
          </w:rPr>
          <w:t>10.1002/anie.1677991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Mg‐CO</w:t>
      </w:r>
      <w:r>
        <w:rPr>
          <w:vertAlign w:val="subscript"/>
        </w:rPr>
        <w:t>2</w:t>
      </w:r>
      <w:r>
        <w:t>电池作为一种有前景的能量存储系统正在兴起，同时将CO</w:t>
      </w:r>
      <w:r>
        <w:rPr>
          <w:vertAlign w:val="subscript"/>
        </w:rPr>
        <w:t>2</w:t>
      </w:r>
      <w:r>
        <w:t>转化为增值产品。然而，其实际应用受到热力学稳定且电绝缘的放电产物MgCO</w:t>
      </w:r>
      <w:r>
        <w:rPr>
          <w:vertAlign w:val="subscript"/>
        </w:rPr>
        <w:t>3</w:t>
      </w:r>
      <w:r>
        <w:t>形成的阻碍，这严重限制了Mg‐CO</w:t>
      </w:r>
      <w:r>
        <w:rPr>
          <w:vertAlign w:val="subscript"/>
        </w:rPr>
        <w:t>2</w:t>
      </w:r>
      <w:r>
        <w:t>电池的能量效率。在此，我们报告了一种电子局域化的Ru</w:t>
      </w:r>
      <w:r>
        <w:rPr>
          <w:vertAlign w:val="subscript"/>
        </w:rPr>
        <w:t>61</w:t>
      </w:r>
      <w:r>
        <w:t>Ni</w:t>
      </w:r>
      <w:r>
        <w:rPr>
          <w:vertAlign w:val="subscript"/>
        </w:rPr>
        <w:t>39</w:t>
      </w:r>
      <w:r>
        <w:t>纳米片组装催化剂，通过精确工程化表面电子结构来实现从MgCO</w:t>
      </w:r>
      <w:r>
        <w:rPr>
          <w:vertAlign w:val="subscript"/>
        </w:rPr>
        <w:t>3</w:t>
      </w:r>
      <w:r>
        <w:t>到MgC</w:t>
      </w:r>
      <w:r>
        <w:rPr>
          <w:vertAlign w:val="subscript"/>
        </w:rPr>
        <w:t>2</w:t>
      </w:r>
      <w:r>
        <w:t>O</w:t>
      </w:r>
      <w:r>
        <w:rPr>
          <w:vertAlign w:val="subscript"/>
        </w:rPr>
        <w:t>4</w:t>
      </w:r>
      <w:r>
        <w:t>的产物精确调控，从而克服这些限制。我们证明了从Ni到Ru的电子转移在Ru位点创造了局域电子，削弱了MgC</w:t>
      </w:r>
      <w:r>
        <w:rPr>
          <w:vertAlign w:val="subscript"/>
        </w:rPr>
        <w:t>2</w:t>
      </w:r>
      <w:r>
        <w:t>O</w:t>
      </w:r>
      <w:r>
        <w:rPr>
          <w:vertAlign w:val="subscript"/>
        </w:rPr>
        <w:t>4</w:t>
      </w:r>
      <w:r>
        <w:t>的结合并抑制其向MgCO</w:t>
      </w:r>
      <w:r>
        <w:rPr>
          <w:vertAlign w:val="subscript"/>
        </w:rPr>
        <w:t>3</w:t>
      </w:r>
      <w:r>
        <w:t>的转化，从而实现了MgC</w:t>
      </w:r>
      <w:r>
        <w:rPr>
          <w:vertAlign w:val="subscript"/>
        </w:rPr>
        <w:t>2</w:t>
      </w:r>
      <w:r>
        <w:t>O</w:t>
      </w:r>
      <w:r>
        <w:rPr>
          <w:vertAlign w:val="subscript"/>
        </w:rPr>
        <w:t>4</w:t>
      </w:r>
      <w:r>
        <w:t>的可逆形成和分解，并减轻了阴极钝化。包含电子局域化催化剂的Mg‐CO</w:t>
      </w:r>
      <w:r>
        <w:rPr>
          <w:vertAlign w:val="subscript"/>
        </w:rPr>
        <w:t>2</w:t>
      </w:r>
      <w:r>
        <w:t>电池实现了</w:t>
      </w:r>
    </w:p>
    <w:p>
      <w:pPr>
        <w:spacing w:before="0" w:after="200" w:lineRule="auto" w:line="276"/>
      </w:pPr>
      <w:r>
        <w:rPr>
          <w:b/>
        </w:rPr>
        <w:t xml:space="preserve">Abstract (EN): </w:t>
      </w:r>
      <w:r>
        <w:t>Mg‐CO</w:t>
      </w:r>
      <w:r>
        <w:rPr>
          <w:vertAlign w:val="subscript"/>
        </w:rPr>
        <w:t>2</w:t>
      </w:r>
      <w:r>
        <w:t>battery is emerging as a promising energy storage system that simultaneously converts CO</w:t>
      </w:r>
      <w:r>
        <w:rPr>
          <w:vertAlign w:val="subscript"/>
        </w:rPr>
        <w:t>2</w:t>
      </w:r>
      <w:r>
        <w:t>into value‐added products. However, its practical application is hindered by formation thermodynamically stable and electrically insulating discharge product MgCO</w:t>
      </w:r>
      <w:r>
        <w:rPr>
          <w:vertAlign w:val="subscript"/>
        </w:rPr>
        <w:t>3</w:t>
      </w:r>
      <w:r>
        <w:t>, which severely limits energy efficiency of Mg‐CO</w:t>
      </w:r>
      <w:r>
        <w:rPr>
          <w:vertAlign w:val="subscript"/>
        </w:rPr>
        <w:t>2</w:t>
      </w:r>
      <w:r>
        <w:t>battery. Herein, we report an electron‐localized Ru</w:t>
      </w:r>
      <w:r>
        <w:rPr>
          <w:vertAlign w:val="subscript"/>
        </w:rPr>
        <w:t>61</w:t>
      </w:r>
      <w:r>
        <w:t>Ni</w:t>
      </w:r>
      <w:r>
        <w:rPr>
          <w:vertAlign w:val="subscript"/>
        </w:rPr>
        <w:t>39</w:t>
      </w:r>
      <w:r>
        <w:t>nanosheet assembly catalyst that overcomes these limitations by precisely engineering the surface electronic structure for achieving precise tuning of product from MgCO</w:t>
      </w:r>
      <w:r>
        <w:rPr>
          <w:vertAlign w:val="subscript"/>
        </w:rPr>
        <w:t>3</w:t>
      </w:r>
      <w:r>
        <w:t>to MgC</w:t>
      </w:r>
      <w:r>
        <w:rPr>
          <w:vertAlign w:val="subscript"/>
        </w:rPr>
        <w:t>2</w:t>
      </w:r>
      <w:r>
        <w:t>O</w:t>
      </w:r>
      <w:r>
        <w:rPr>
          <w:vertAlign w:val="subscript"/>
        </w:rPr>
        <w:t>4</w:t>
      </w:r>
      <w:r>
        <w:t>of Mg‐CO</w:t>
      </w:r>
      <w:r>
        <w:rPr>
          <w:vertAlign w:val="subscript"/>
        </w:rPr>
        <w:t>2</w:t>
      </w:r>
      <w:r>
        <w:t>battery. We demonstrate that electron transfer from Ni to Ru creates the localized electron at the Ru sites, weakening MgC</w:t>
      </w:r>
      <w:r>
        <w:rPr>
          <w:vertAlign w:val="subscript"/>
        </w:rPr>
        <w:t>2</w:t>
      </w:r>
      <w:r>
        <w:t>O</w:t>
      </w:r>
      <w:r>
        <w:rPr>
          <w:vertAlign w:val="subscript"/>
        </w:rPr>
        <w:t>4</w:t>
      </w:r>
      <w:r>
        <w:t>binding and suppressing its conversion to MgCO</w:t>
      </w:r>
      <w:r>
        <w:rPr>
          <w:vertAlign w:val="subscript"/>
        </w:rPr>
        <w:t>3</w:t>
      </w:r>
      <w:r>
        <w:t>, thereby enabling reversible formation and decomposition of MgC</w:t>
      </w:r>
      <w:r>
        <w:rPr>
          <w:vertAlign w:val="subscript"/>
        </w:rPr>
        <w:t>2</w:t>
      </w:r>
      <w:r>
        <w:t>O</w:t>
      </w:r>
      <w:r>
        <w:rPr>
          <w:vertAlign w:val="subscript"/>
        </w:rPr>
        <w:t>4</w:t>
      </w:r>
      <w:r>
        <w:t>and mitigating cathode passivation. The Mg‐CO</w:t>
      </w:r>
      <w:r>
        <w:rPr>
          <w:vertAlign w:val="subscript"/>
        </w:rPr>
        <w:t>2</w:t>
      </w:r>
      <w:r>
        <w:t>battery incorporating the electron‐localized Ru</w:t>
      </w:r>
      <w:r>
        <w:rPr>
          <w:vertAlign w:val="subscript"/>
        </w:rPr>
        <w:t>61</w:t>
      </w:r>
      <w:r>
        <w:t>Ni</w:t>
      </w:r>
      <w:r>
        <w:rPr>
          <w:vertAlign w:val="subscript"/>
        </w:rPr>
        <w:t>39</w:t>
      </w:r>
      <w:r>
        <w:t>nanosheet assembly catalyst achieves an ultralow charge overpotential of 0.07 V and a record‐high energy conversion efficiency of 94.1%, with the stable cycling for over 580 h. In situ electrochemical spectroscopy and theoretical studies reveal that the electron‐localized between Ru and Ni stabilizes the product intermediates (C</w:t>
      </w:r>
      <w:r>
        <w:rPr>
          <w:vertAlign w:val="subscript"/>
        </w:rPr>
        <w:t>2</w:t>
      </w:r>
      <w:r>
        <w:t>O</w:t>
      </w:r>
      <w:r>
        <w:rPr>
          <w:vertAlign w:val="subscript"/>
        </w:rPr>
        <w:t>4</w:t>
      </w:r>
      <w:r>
        <w:t>2−</w:t>
      </w:r>
      <w:r>
        <w:t>) and prevents the MgC</w:t>
      </w:r>
      <w:r>
        <w:rPr>
          <w:vertAlign w:val="subscript"/>
        </w:rPr>
        <w:t>2</w:t>
      </w:r>
      <w:r>
        <w:t>O</w:t>
      </w:r>
      <w:r>
        <w:rPr>
          <w:vertAlign w:val="subscript"/>
        </w:rPr>
        <w:t>4</w:t>
      </w:r>
      <w:r>
        <w:t>conversion to MgCO</w:t>
      </w:r>
      <w:r>
        <w:rPr>
          <w:vertAlign w:val="subscript"/>
        </w:rPr>
        <w:t>3</w:t>
      </w:r>
      <w:r>
        <w:t>.</w:t>
      </w:r>
    </w:p>
    <w:p>
      <w:pPr>
        <w:spacing w:before="120" w:after="120"/>
      </w:pPr>
      <w:r>
        <w:rPr>
          <w:sz w:val="18"/>
        </w:rPr>
        <w:t>——————————————————————————————————————————————————————————————————————</w:t>
      </w:r>
    </w:p>
    <w:p>
      <w:pPr>
        <w:spacing w:before="160" w:after="40" w:line="240" w:lineRule="auto"/>
      </w:pPr>
      <w:r>
        <w:rPr>
          <w:b/>
        </w:rPr>
        <w:t xml:space="preserve">[7] </w:t>
      </w:r>
      <w:hyperlink r:id="rId125">
        <w:r>
          <w:rPr>
            <w:color w:val="1155CC"/>
            <w:u w:val="single"/>
          </w:rPr>
          <w:t>气固氢化物离子电池和氢电共储系统</w:t>
        </w:r>
      </w:hyperlink>
    </w:p>
    <w:p>
      <w:pPr>
        <w:spacing w:before="0" w:after="80"/>
      </w:pPr>
      <w:r>
        <w:rPr>
          <w:i/>
          <w:sz w:val="20"/>
        </w:rPr>
        <w:t>EN: A gas-solid hydride ion battery and a hydrogen-electricity co-storage system</w:t>
      </w:r>
    </w:p>
    <w:p>
      <w:pPr>
        <w:spacing w:before="0" w:after="120"/>
      </w:pPr>
      <w:r>
        <w:rPr>
          <w:b/>
        </w:rPr>
        <w:t xml:space="preserve">Source: </w:t>
      </w:r>
      <w:r>
        <w:t>Joule</w:t>
      </w:r>
      <w:r>
        <w:t xml:space="preserve">    </w:t>
      </w:r>
      <w:r>
        <w:rPr>
          <w:b/>
        </w:rPr>
        <w:t xml:space="preserve">Pub date: </w:t>
      </w:r>
      <w:r>
        <w:t>2026-05-13 00:00:00+00:00</w:t>
      </w:r>
      <w:r>
        <w:t xml:space="preserve">    </w:t>
      </w:r>
      <w:r>
        <w:rPr>
          <w:b/>
        </w:rPr>
        <w:t xml:space="preserve">DOI: </w:t>
      </w:r>
      <w:hyperlink r:id="rId126">
        <w:r>
          <w:rPr>
            <w:color w:val="1155CC"/>
            <w:u w:val="single"/>
          </w:rPr>
          <w:t>10.1016/j.joule.2026.102475</w:t>
        </w:r>
      </w:hyperlink>
    </w:p>
    <w:p>
      <w:pPr>
        <w:spacing w:before="0" w:after="120"/>
      </w:pPr>
      <w:r>
        <w:rPr>
          <w:b/>
        </w:rPr>
        <w:t xml:space="preserve">Notes: </w:t>
      </w:r>
      <w:r>
        <w:t>abstract_source=rss_cell</w:t>
      </w:r>
    </w:p>
    <w:p>
      <w:pPr>
        <w:spacing w:before="0" w:after="80" w:lineRule="auto" w:line="276"/>
      </w:pPr>
      <w:r>
        <w:rPr>
          <w:b/>
        </w:rPr>
        <w:t xml:space="preserve">摘要（ZH）: </w:t>
      </w:r>
      <w:r>
        <w:t>利用氢化物离子传导，热化学储氢过程被转化为一种可以实现高能效的电化学过程。这在气-固氢化物离子电池中得以实现，该电池将热金属-H2反应解耦为电极反应，充放电结果表明其提供了高容量以及良好的循环稳定性。</w:t>
      </w:r>
    </w:p>
    <w:p>
      <w:pPr>
        <w:spacing w:before="0" w:after="200" w:lineRule="auto" w:line="276"/>
      </w:pPr>
      <w:r>
        <w:rPr>
          <w:b/>
        </w:rPr>
        <w:t xml:space="preserve">Abstract (EN): </w:t>
      </w:r>
      <w:r>
        <w:t>Leveraging hydride ion conduction, the thermochemical hydrogen storage process is transformed into an electrochemical process that can achieve high energy efficiency. This is realized in the gas-solid hydride ion battery, which decouples the thermal metal-H2 reaction into electrode reactions, and charge-discharge results demonstrate that it delivers high capacities along with good cycle stability.</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27">
        <w:r>
          <w:rPr>
            <w:color w:val="1155CC"/>
            <w:u w:val="single"/>
          </w:rPr>
          <w:t>基于物理的数字孪生开发用于主动学习的热能分配系统</w:t>
        </w:r>
      </w:hyperlink>
    </w:p>
    <w:p>
      <w:pPr>
        <w:spacing w:before="0" w:after="80"/>
      </w:pPr>
      <w:r>
        <w:rPr>
          <w:i/>
          <w:sz w:val="20"/>
        </w:rPr>
        <w:t>EN: Physics-informed digital twin development of thermal energy distribution systems with active learning</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8">
        <w:r>
          <w:rPr>
            <w:color w:val="1155CC"/>
            <w:u w:val="single"/>
          </w:rPr>
          <w:t>迈向人体热舒适：自适应太阳辐射热调节器</w:t>
        </w:r>
      </w:hyperlink>
    </w:p>
    <w:p>
      <w:pPr>
        <w:spacing w:before="0" w:after="80"/>
      </w:pPr>
      <w:r>
        <w:rPr>
          <w:i/>
          <w:sz w:val="20"/>
        </w:rPr>
        <w:t>EN: Toward Human Thermal Comfort: An Adaptive Solar‐Radiative Thermoregulator</w:t>
      </w:r>
    </w:p>
    <w:p>
      <w:pPr>
        <w:spacing w:before="0" w:after="120"/>
      </w:pPr>
      <w:r>
        <w:rPr>
          <w:b/>
        </w:rPr>
        <w:t xml:space="preserve">Source: </w:t>
      </w:r>
      <w:r>
        <w:t>Wiley: Advanced Materials: Table of Contents</w:t>
      </w:r>
      <w:r>
        <w:t xml:space="preserve">    </w:t>
      </w:r>
      <w:r>
        <w:rPr>
          <w:b/>
        </w:rPr>
        <w:t xml:space="preserve">Pub date: </w:t>
      </w:r>
      <w:r>
        <w:t>2026-05-09 14:05:35+00:00</w:t>
      </w:r>
      <w:r>
        <w:t xml:space="preserve">    </w:t>
      </w:r>
      <w:r>
        <w:rPr>
          <w:b/>
        </w:rPr>
        <w:t xml:space="preserve">DOI: </w:t>
      </w:r>
      <w:hyperlink r:id="rId129">
        <w:r>
          <w:rPr>
            <w:color w:val="1155CC"/>
            <w:u w:val="single"/>
          </w:rPr>
          <w:t>10.1002/adma.202521765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自适应热调节器是建筑物的绿色解决方案，但当前设计通常仅关注空气温度，忽视了人类热感受的多方面特性。在此，我们提出了一种以热舒适为导向的设计范式，集成了对多种环境刺激（包括温度、湿度和太阳辐射）的响应。我们展示了一种概念验证的热调节器，能够感知环境变化并相应调整其配置，提供在824 W m</w:t>
      </w:r>
      <w:r>
        <w:t xml:space="preserve"> </w:t>
      </w:r>
      <w:r>
        <w:t>−2</w:t>
      </w:r>
      <w:r>
        <w:t xml:space="preserve"> </w:t>
      </w:r>
      <w:r>
        <w:t>（加热）到−114 W m</w:t>
      </w:r>
      <w:r>
        <w:t xml:space="preserve"> </w:t>
      </w:r>
      <w:r>
        <w:t>−2</w:t>
      </w:r>
      <w:r>
        <w:t xml:space="preserve"> </w:t>
      </w:r>
      <w:r>
        <w:t>（冷却）范围内的无级热调节潜力。现场测试证实，配备这种智能热调节器的模型房屋在白天可以在零能耗的情况下保持长达6小时的热舒适性。该设备还表现出卓越的机械强度、粘附性能和对恶劣天气条件的抵抗力，确保其服务可靠性。模拟表明，与标准屋顶相比，该设备可以减少15%–50%的能耗，同时在全球不同气候条件下保持室内热舒适性，突显了多刺激响应热调节器在建筑热管理中的巨大潜力。</w:t>
      </w:r>
    </w:p>
    <w:p>
      <w:pPr>
        <w:spacing w:before="0" w:after="200" w:lineRule="auto" w:line="276"/>
      </w:pPr>
      <w:r>
        <w:rPr>
          <w:b/>
        </w:rPr>
        <w:t xml:space="preserve">Abstract (EN): </w:t>
      </w:r>
      <w:r>
        <w:t>While adaptive thermoregulators are promising green solutions for buildings, current designs often focus solely on air temperature, neglecting the multifaceted nature of human thermal sensation. Here, we proposed a thermal‐comfort‐oriented design paradigm that integrates responsiveness to multiple environmental stimuli, including temperature, humidity, and solar irradiance. We demonstrated a proof‐of‐concept thermoregulator capable of perceiving environmental changes and adjusting its configuration accordingly, offering a stepless thermal regulation potential within a range of 824 W m</w:t>
      </w:r>
      <w:r>
        <w:t xml:space="preserve"> </w:t>
      </w:r>
      <w:r>
        <w:t>−2</w:t>
      </w:r>
      <w:r>
        <w:t xml:space="preserve"> </w:t>
      </w:r>
      <w:r>
        <w:t>(heating) to −114 W m</w:t>
      </w:r>
      <w:r>
        <w:t xml:space="preserve"> </w:t>
      </w:r>
      <w:r>
        <w:t>−2</w:t>
      </w:r>
      <w:r>
        <w:t xml:space="preserve"> </w:t>
      </w:r>
      <w:r>
        <w:t>(cooling). Field tests affirmed that model houses with this intelligent thermoregulator could maintain thermal comfort for up to 6 h with zero energy consumption during the daytime. The device also exhibited exceptional mechanical strength, adhesion properties, and resistance to adverse weather conditions, ensuring its service reliability. Simulations indicate the device can reduce energy consumption by 15%–50% compared to standard roofs while maintaining indoor thermal comfort across different climates worldwide, highlighting the great potential of multi‐stimuli‐responsive thermoregulators for building thermal management.</w:t>
      </w:r>
    </w:p>
    <w:p>
      <w:pPr>
        <w:spacing w:before="120" w:after="120"/>
      </w:pPr>
      <w:r>
        <w:rPr>
          <w:sz w:val="18"/>
        </w:rPr>
        <w:t>——————————————————————————————————————————————————————————————————————</w:t>
      </w:r>
    </w:p>
    <w:p>
      <w:pPr>
        <w:spacing w:before="160" w:after="40" w:line="240" w:lineRule="auto"/>
      </w:pPr>
      <w:r>
        <w:rPr>
          <w:b/>
        </w:rPr>
        <w:t xml:space="preserve">[3] </w:t>
      </w:r>
      <w:hyperlink r:id="rId130">
        <w:r>
          <w:rPr>
            <w:color w:val="1155CC"/>
            <w:u w:val="single"/>
          </w:rPr>
          <w:t>热电材料和器件的最佳实践</w:t>
        </w:r>
      </w:hyperlink>
    </w:p>
    <w:p>
      <w:pPr>
        <w:spacing w:before="0" w:after="80"/>
      </w:pPr>
      <w:r>
        <w:rPr>
          <w:i/>
          <w:sz w:val="20"/>
        </w:rPr>
        <w:t>EN: Best practices for thermoelectric materials and devices</w:t>
      </w:r>
    </w:p>
    <w:p>
      <w:pPr>
        <w:spacing w:before="0" w:after="120"/>
      </w:pPr>
      <w:r>
        <w:rPr>
          <w:b/>
        </w:rPr>
        <w:t xml:space="preserve">Source: </w:t>
      </w:r>
      <w:r>
        <w:t>Nature Sustainability</w:t>
      </w:r>
      <w:r>
        <w:t xml:space="preserve">    </w:t>
      </w:r>
      <w:r>
        <w:rPr>
          <w:b/>
        </w:rPr>
        <w:t xml:space="preserve">Pub date: </w:t>
      </w:r>
      <w:r>
        <w:t>2026-05-12 00:00:00+00:00</w:t>
      </w:r>
      <w:r>
        <w:t xml:space="preserve">    </w:t>
      </w:r>
      <w:r>
        <w:rPr>
          <w:b/>
        </w:rPr>
        <w:t xml:space="preserve">DOI: </w:t>
      </w:r>
      <w:hyperlink r:id="rId131">
        <w:r>
          <w:rPr>
            <w:color w:val="1155CC"/>
            <w:u w:val="single"/>
          </w:rPr>
          <w:t>10.1038/s41893-026-01826-7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2">
        <w:r>
          <w:rPr>
            <w:color w:val="1155CC"/>
            <w:u w:val="single"/>
          </w:rPr>
          <w:t>未来离子热电材料的鸟瞰：从离子到产品</w:t>
        </w:r>
      </w:hyperlink>
    </w:p>
    <w:p>
      <w:pPr>
        <w:spacing w:before="0" w:after="80"/>
      </w:pPr>
      <w:r>
        <w:rPr>
          <w:i/>
          <w:sz w:val="20"/>
        </w:rPr>
        <w:t>EN: A bird’s-eye view for future ionic thermoelectrics: from ions to products</w:t>
      </w:r>
    </w:p>
    <w:p>
      <w:pPr>
        <w:spacing w:before="0" w:after="120"/>
      </w:pPr>
      <w:r>
        <w:rPr>
          <w:b/>
        </w:rPr>
        <w:t xml:space="preserve">Source: </w:t>
      </w:r>
      <w:r>
        <w:t>National Science Review Advance Access</w:t>
      </w:r>
      <w:r>
        <w:t xml:space="preserve">    </w:t>
      </w:r>
      <w:r>
        <w:rPr>
          <w:b/>
        </w:rPr>
        <w:t xml:space="preserve">Pub date: </w:t>
      </w:r>
      <w:r>
        <w:t>2026-05-14 00:00:00+00:00</w:t>
      </w:r>
      <w:r>
        <w:t xml:space="preserve">    </w:t>
      </w:r>
      <w:r>
        <w:rPr>
          <w:b/>
        </w:rPr>
        <w:t xml:space="preserve">DOI: </w:t>
      </w:r>
      <w:hyperlink r:id="rId133">
        <w:r>
          <w:rPr>
            <w:color w:val="1155CC"/>
            <w:u w:val="single"/>
          </w:rPr>
          <w:t>10.1093/nsr/nwag283</w:t>
        </w:r>
      </w:hyperlink>
    </w:p>
    <w:p>
      <w:pPr>
        <w:spacing w:before="0" w:after="120"/>
      </w:pPr>
      <w:r>
        <w:rPr>
          <w:b/>
        </w:rPr>
        <w:t xml:space="preserve">Notes: </w:t>
      </w:r>
      <w:r>
        <w:t>abstract_source=rss_oup</w:t>
      </w:r>
    </w:p>
    <w:p>
      <w:pPr>
        <w:spacing w:before="0" w:after="80" w:lineRule="auto" w:line="276"/>
      </w:pPr>
      <w:r>
        <w:rPr>
          <w:b/>
        </w:rPr>
        <w:t xml:space="preserve">摘要（ZH）: </w:t>
      </w:r>
      <w:r>
        <w:t>离子热电（i-TE）技术为收集低品位热量提供了一条引人注目的途径，其特点是极高的热电势和固有的材料多样性。然而，该领域的发展受到电化学、热力学和传输现象之间复杂相互作用的限制，这对基础理解、准确性能评估和新材料的系统筛选构成了重大挑战。本综述系统地概述和展望了i-TE领域，将基本原理与未来应用联系起来。我们首先通过解构核心组件——电解质和电极——来阐明决定性能的材料设计策略。讨论随后进展到关键指标的多尺度评估，从固有的i-TE特性到设备级能量转换和存储能力。重点放在剖析持续存在的化学和物理挑战，包括离子选择性、传输动力学和界面工程。本综述进一步调查了i-TE的新兴应用，从可穿戴发电和主动冷却到多模态传感和集成多功能系统。此外，我们强调了协同系统的范式转变潜力，其中将热电效应与电化学、光催化或水电过程结合，释放出前所未有的功能和性能提升。最终，本综述综合当前理解，提出了一种策略。</w:t>
      </w:r>
    </w:p>
    <w:p>
      <w:pPr>
        <w:spacing w:before="0" w:after="200" w:lineRule="auto" w:line="276"/>
      </w:pPr>
      <w:r>
        <w:rPr>
          <w:b/>
        </w:rPr>
        <w:t xml:space="preserve">Abstract (EN): </w:t>
      </w:r>
      <w:r>
        <w:t>The ionic thermoelectric (i-TE) technology offers a compelling pathway for harvesting low-grade heat, distinguished by its exceptionally high thermopower and inherent material versatility. However, development in this field is constrained by the complex interplay among electrochemical, thermodynamic, and transport phenomena, which poses significant challenges to the fundamental understanding, accurate performance evaluation, and systematic screening of new materials. This review provides a systematic overview and outlook of the i-TE landscape, bridging fundamental principles with future applications. We begin by deconstructing the core components—electrolytes and electrodes—to elucidate the material design strategies that govern the performance. The discussion then progresses to a multi-scale evaluation of key metrics, from intrinsic i-TE properties to device-level energy conversion and storage capabilities. A central focus is placed on dissecting the persistent chemical and physical challenges, including ion selectivity, transport dynamics, and interfacial engineering. This review further surveys the emerging applications of i-TE, ranging from wearable power generation and active cooling to multimodal sensing and integrated multifunctional systems. Furthermore, we highlight the paradigm-shifting potential of synergistic systems, where coupling thermoelectric effects with electrochemical, photocatalytic, or hydrovoltaic processes unlocks unprecedented functionalities and performance enhancements. Ultimately, this review synthesizes current understanding to propose a strategic roadmap for this field. It outlines the key scientific and engineering perspectives on standardization, scalable manufacturing, and reliability that are essential to translate laboratory innovations into viable commercial technologies.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34">
        <w:r>
          <w:rPr>
            <w:color w:val="1155CC"/>
            <w:u w:val="single"/>
          </w:rPr>
          <w:t>基于核能的综合能源系统（NIES）：关键状态评估</w:t>
        </w:r>
      </w:hyperlink>
    </w:p>
    <w:p>
      <w:pPr>
        <w:spacing w:before="0" w:after="80"/>
      </w:pPr>
      <w:r>
        <w:rPr>
          <w:i/>
          <w:sz w:val="20"/>
        </w:rPr>
        <w:t>EN: Nuclear-based integrated energy systems (NIES): a critical status review</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35">
        <w:r>
          <w:rPr>
            <w:color w:val="1155CC"/>
            <w:u w:val="single"/>
          </w:rPr>
          <w:t>可再生氢：PPA和附加性要求对选定欧洲国家的系统性影响</w:t>
        </w:r>
      </w:hyperlink>
    </w:p>
    <w:p>
      <w:pPr>
        <w:spacing w:before="0" w:after="80"/>
      </w:pPr>
      <w:r>
        <w:rPr>
          <w:i/>
          <w:sz w:val="20"/>
        </w:rPr>
        <w:t>EN: Renewable hydrogen: The system-wide impact of PPAs and additionality requirements for selected European countries</w:t>
      </w:r>
    </w:p>
    <w:p>
      <w:pPr>
        <w:spacing w:before="0" w:after="120"/>
      </w:pPr>
      <w:r>
        <w:rPr>
          <w:b/>
        </w:rPr>
        <w:t xml:space="preserve">Source: </w:t>
      </w:r>
      <w:r>
        <w:t>ScienceDirect Publication: Energy Policy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6">
        <w:r>
          <w:rPr>
            <w:color w:val="1155CC"/>
            <w:u w:val="single"/>
          </w:rPr>
          <w:t>促进氢气，减少排放：低碳氢气的监管设计</w:t>
        </w:r>
      </w:hyperlink>
    </w:p>
    <w:p>
      <w:pPr>
        <w:spacing w:before="0" w:after="80"/>
      </w:pPr>
      <w:r>
        <w:rPr>
          <w:i/>
          <w:sz w:val="20"/>
        </w:rPr>
        <w:t>EN: Boosting hydrogen, slashing emissions: the regulatory design of low-carbon hydrogen</w:t>
      </w:r>
    </w:p>
    <w:p>
      <w:pPr>
        <w:spacing w:before="0" w:after="120"/>
      </w:pPr>
      <w:r>
        <w:rPr>
          <w:b/>
        </w:rPr>
        <w:t xml:space="preserve">Source: </w:t>
      </w:r>
      <w:r>
        <w:t>ScienceDirect Publication: Energy Policy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7">
        <w:r>
          <w:rPr>
            <w:color w:val="1155CC"/>
            <w:u w:val="single"/>
          </w:rPr>
          <w:t>释放合作的协同效应：摩洛哥和德国绿色氢基础设施的更广泛经济视角</w:t>
        </w:r>
      </w:hyperlink>
    </w:p>
    <w:p>
      <w:pPr>
        <w:spacing w:before="0" w:after="80"/>
      </w:pPr>
      <w:r>
        <w:rPr>
          <w:i/>
          <w:sz w:val="20"/>
        </w:rPr>
        <w:t>EN: Unlocking the synergies of cooperation: A broader economic perspective on green hydrogen infrastructure in Morocco and Germany</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8">
        <w:r>
          <w:rPr>
            <w:color w:val="1155CC"/>
            <w:u w:val="single"/>
          </w:rPr>
          <w:t>通过凸优化-小波变换方法在无人机应用中对燃料电池进行在线滚动参数识别</w:t>
        </w:r>
      </w:hyperlink>
    </w:p>
    <w:p>
      <w:pPr>
        <w:spacing w:before="0" w:after="80"/>
      </w:pPr>
      <w:r>
        <w:rPr>
          <w:i/>
          <w:sz w:val="20"/>
        </w:rPr>
        <w:t>EN: Online rolling parameter identification of fuel cells in unmanned aerial vehicle applications via a convex optimization-wavelet transform method</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9">
        <w:r>
          <w:rPr>
            <w:color w:val="1155CC"/>
            <w:u w:val="single"/>
          </w:rPr>
          <w:t>通过锶基底介导的共烧结制备的可扩展质子陶瓷燃料电池的前景技术经济分析</w:t>
        </w:r>
      </w:hyperlink>
    </w:p>
    <w:p>
      <w:pPr>
        <w:spacing w:before="0" w:after="80"/>
      </w:pPr>
      <w:r>
        <w:rPr>
          <w:i/>
          <w:sz w:val="20"/>
        </w:rPr>
        <w:t>EN: Prospective techno-economic analysis of scalable protonic ceramic fuel cell fabricated via strontium substrate-mediated co-sintering</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0">
        <w:r>
          <w:rPr>
            <w:color w:val="1155CC"/>
            <w:u w:val="single"/>
          </w:rPr>
          <w:t>胡萝卜与大棒：加速氢能和电转X经济的工具比较分析</w:t>
        </w:r>
      </w:hyperlink>
    </w:p>
    <w:p>
      <w:pPr>
        <w:spacing w:before="0" w:after="80"/>
      </w:pPr>
      <w:r>
        <w:rPr>
          <w:i/>
          <w:sz w:val="20"/>
        </w:rPr>
        <w:t>EN: Carrot and stick: A comparative analysis of instruments for accelerating the hydrogen and power-to-X economy</w:t>
      </w:r>
    </w:p>
    <w:p>
      <w:pPr>
        <w:spacing w:before="0" w:after="120"/>
      </w:pPr>
      <w:r>
        <w:rPr>
          <w:b/>
        </w:rPr>
        <w:t xml:space="preserve">Source: </w:t>
      </w:r>
      <w:r>
        <w:t>ScienceDirect Publication: Energy Policy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41">
        <w:r>
          <w:rPr>
            <w:color w:val="1155CC"/>
            <w:u w:val="single"/>
          </w:rPr>
          <w:t>通过原子精确调节界面pH值和离子-水相互作用实现直接海水制氢</w:t>
        </w:r>
      </w:hyperlink>
    </w:p>
    <w:p>
      <w:pPr>
        <w:spacing w:before="0" w:after="80"/>
      </w:pPr>
      <w:r>
        <w:rPr>
          <w:i/>
          <w:sz w:val="20"/>
        </w:rPr>
        <w:t>EN: Direct Seawater Hydrogen Evolution via Atomically Precise Regulation of Interfacial pH and Ion‐Water Interactions</w:t>
      </w:r>
    </w:p>
    <w:p>
      <w:pPr>
        <w:spacing w:before="0" w:after="120"/>
      </w:pPr>
      <w:r>
        <w:rPr>
          <w:b/>
        </w:rPr>
        <w:t xml:space="preserve">Source: </w:t>
      </w:r>
      <w:r>
        <w:t>Wiley: Angewandte Chemie International Edition: Table of Contents</w:t>
      </w:r>
      <w:r>
        <w:t xml:space="preserve">    </w:t>
      </w:r>
      <w:r>
        <w:rPr>
          <w:b/>
        </w:rPr>
        <w:t xml:space="preserve">Pub date: </w:t>
      </w:r>
      <w:r>
        <w:t>2026-05-11 07:42:43+00:00</w:t>
      </w:r>
      <w:r>
        <w:t xml:space="preserve">    </w:t>
      </w:r>
      <w:r>
        <w:rPr>
          <w:b/>
        </w:rPr>
        <w:t xml:space="preserve">DOI: </w:t>
      </w:r>
      <w:hyperlink r:id="rId142">
        <w:r>
          <w:rPr>
            <w:color w:val="1155CC"/>
            <w:u w:val="single"/>
          </w:rPr>
          <w:t>10.1002/anie.7140350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直接海水电解提供了一种从丰富的盐水资源中生产绿色氢气的可持续途径，但工业应用受到缓慢动力学和催化剂失活的限制，这些失活是由Mg(OH)</w:t>
      </w:r>
      <w:r>
        <w:rPr>
          <w:vertAlign w:val="subscript"/>
        </w:rPr>
        <w:t>2</w:t>
      </w:r>
      <w:r>
        <w:t>/Ca(OH)</w:t>
      </w:r>
      <w:r>
        <w:rPr>
          <w:vertAlign w:val="subscript"/>
        </w:rPr>
        <w:t>2</w:t>
      </w:r>
      <w:r>
        <w:t>沉淀或Cl</w:t>
      </w:r>
      <w:r>
        <w:t xml:space="preserve"> </w:t>
      </w:r>
      <w:r>
        <w:t>−</w:t>
      </w:r>
      <w:r>
        <w:t>腐蚀引起的。在此，我们报告了一种pH梯度介导的界面工程策略，该策略同时增强了天然海水中金属纳米催化剂用于氢气析出反应（HER）的活性和稳定性。通过使用原子精确的Pt</w:t>
      </w:r>
      <w:r>
        <w:rPr>
          <w:vertAlign w:val="subscript"/>
        </w:rPr>
        <w:t>6</w:t>
      </w:r>
      <w:r>
        <w:t>(TPP)</w:t>
      </w:r>
      <w:r>
        <w:rPr>
          <w:vertAlign w:val="subscript"/>
        </w:rPr>
        <w:t>4</w:t>
      </w:r>
      <w:r>
        <w:t>Cl</w:t>
      </w:r>
      <w:r>
        <w:rPr>
          <w:vertAlign w:val="subscript"/>
        </w:rPr>
        <w:t>5</w:t>
      </w:r>
      <w:r>
        <w:t>纳米簇（NCs）（Pt</w:t>
      </w:r>
      <w:r>
        <w:rPr>
          <w:vertAlign w:val="subscript"/>
        </w:rPr>
        <w:t>6</w:t>
      </w:r>
      <w:r>
        <w:t>-TPP，TPP = 三苯基膦）作为范例催化剂，我们展示了自组织的TPP配体在簇表面通过阳离子-π相互作用系留Na</w:t>
      </w:r>
      <w:r>
        <w:t xml:space="preserve"> </w:t>
      </w:r>
      <w:r>
        <w:t>+</w:t>
      </w:r>
      <w:r>
        <w:t xml:space="preserve"> </w:t>
      </w:r>
      <w:r>
        <w:t>/K</w:t>
      </w:r>
      <w:r>
        <w:t xml:space="preserve"> </w:t>
      </w:r>
      <w:r>
        <w:t>+。局部集中的Na</w:t>
      </w:r>
      <w:r>
        <w:t xml:space="preserve"> </w:t>
      </w:r>
      <w:r>
        <w:t>+</w:t>
      </w:r>
      <w:r>
        <w:t xml:space="preserve"> </w:t>
      </w:r>
      <w:r>
        <w:t>/K</w:t>
      </w:r>
      <w:r>
        <w:t xml:space="preserve"> </w:t>
      </w:r>
      <w:r>
        <w:t>+阳离子破坏了水分子的氢键网络以加速HER动力学，并静电吸引OH</w:t>
      </w:r>
      <w:r>
        <w:t xml:space="preserve"> </w:t>
      </w:r>
      <w:r>
        <w:t>−</w:t>
      </w:r>
      <w:r>
        <w:t>以建立碱性界面pH，这可以传播到溶液主体的扩散pH梯度。这个pH梯度驱动Mg</w:t>
      </w:r>
      <w:r>
        <w:t xml:space="preserve"> </w:t>
      </w:r>
      <w:r>
        <w:t>2+</w:t>
      </w:r>
      <w:r>
        <w:t xml:space="preserve"> </w:t>
      </w:r>
      <w:r>
        <w:t>/Ca</w:t>
      </w:r>
    </w:p>
    <w:p>
      <w:pPr>
        <w:spacing w:before="0" w:after="200" w:lineRule="auto" w:line="276"/>
      </w:pPr>
      <w:r>
        <w:rPr>
          <w:b/>
        </w:rPr>
        <w:t xml:space="preserve">Abstract (EN): </w:t>
      </w:r>
      <w:r>
        <w:t>Direct seawater electrolysis offers a sustainable route to green hydrogen production from abundant saline water resources, yet industrial applications are limited by sluggish kinetics and catalyst deactivation caused by Mg(OH)</w:t>
      </w:r>
      <w:r>
        <w:rPr>
          <w:vertAlign w:val="subscript"/>
        </w:rPr>
        <w:t>2</w:t>
      </w:r>
      <w:r>
        <w:t>/Ca(OH)</w:t>
      </w:r>
      <w:r>
        <w:rPr>
          <w:vertAlign w:val="subscript"/>
        </w:rPr>
        <w:t>2</w:t>
      </w:r>
      <w:r>
        <w:t>precipitation or Cl</w:t>
      </w:r>
      <w:r>
        <w:t xml:space="preserve"> </w:t>
      </w:r>
      <w:r>
        <w:t>−</w:t>
      </w:r>
      <w:r>
        <w:t>corrosion. Here, we report a pH‐gradient‐mediated interfacial engineering strategy that simultaneously enhances activity and stability of metal nanocatalysts for the hydrogen evolution reaction (HER) in natural seawater. By using atomically precise Pt</w:t>
      </w:r>
      <w:r>
        <w:rPr>
          <w:vertAlign w:val="subscript"/>
        </w:rPr>
        <w:t>6</w:t>
      </w:r>
      <w:r>
        <w:t>(TPP)</w:t>
      </w:r>
      <w:r>
        <w:rPr>
          <w:vertAlign w:val="subscript"/>
        </w:rPr>
        <w:t>4</w:t>
      </w:r>
      <w:r>
        <w:t>Cl</w:t>
      </w:r>
      <w:r>
        <w:rPr>
          <w:vertAlign w:val="subscript"/>
        </w:rPr>
        <w:t>5</w:t>
      </w:r>
      <w:r>
        <w:t>nanoclusters (NCs) (Pt</w:t>
      </w:r>
      <w:r>
        <w:rPr>
          <w:vertAlign w:val="subscript"/>
        </w:rPr>
        <w:t>6</w:t>
      </w:r>
      <w:r>
        <w:t>‐TPP, TPP = triphenylphosphine) as paradigm catalysts, we demonstrate self‐organized TPP ligands on cluster surface tether Na</w:t>
      </w:r>
      <w:r>
        <w:t xml:space="preserve"> </w:t>
      </w:r>
      <w:r>
        <w:t>+</w:t>
      </w:r>
      <w:r>
        <w:t xml:space="preserve"> </w:t>
      </w:r>
      <w:r>
        <w:t>/K</w:t>
      </w:r>
      <w:r>
        <w:t xml:space="preserve"> </w:t>
      </w:r>
      <w:r>
        <w:t>+</w:t>
      </w:r>
      <w:r>
        <w:t xml:space="preserve"> </w:t>
      </w:r>
      <w:r>
        <w:t>via cation–π interactions. The locally concentrated Na</w:t>
      </w:r>
      <w:r>
        <w:t xml:space="preserve"> </w:t>
      </w:r>
      <w:r>
        <w:t>+</w:t>
      </w:r>
      <w:r>
        <w:t xml:space="preserve"> </w:t>
      </w:r>
      <w:r>
        <w:t>/K</w:t>
      </w:r>
      <w:r>
        <w:t xml:space="preserve"> </w:t>
      </w:r>
      <w:r>
        <w:t>+</w:t>
      </w:r>
      <w:r>
        <w:t xml:space="preserve"> </w:t>
      </w:r>
      <w:r>
        <w:t>cations disrupt the hydrogen‐bond network of water molecules for accelerating HER kinetics, and electrostatically attract OH</w:t>
      </w:r>
      <w:r>
        <w:t xml:space="preserve"> </w:t>
      </w:r>
      <w:r>
        <w:t>−</w:t>
      </w:r>
      <w:r>
        <w:t>to establish an alkaline interfacial pH, which can propagate into a diffuse pH gradient toward the bulk of the solution. This pH gradient drives Mg</w:t>
      </w:r>
      <w:r>
        <w:t xml:space="preserve"> </w:t>
      </w:r>
      <w:r>
        <w:t>2+</w:t>
      </w:r>
      <w:r>
        <w:t xml:space="preserve"> </w:t>
      </w:r>
      <w:r>
        <w:t>/Ca</w:t>
      </w:r>
      <w:r>
        <w:t xml:space="preserve"> </w:t>
      </w:r>
      <w:r>
        <w:t>2+</w:t>
      </w:r>
      <w:r>
        <w:t xml:space="preserve"> </w:t>
      </w:r>
      <w:r>
        <w:t>precipitation away from the catalytic surface, preventing site blockage. The enriched OH</w:t>
      </w:r>
      <w:r>
        <w:t xml:space="preserve"> </w:t>
      </w:r>
      <w:r>
        <w:t>−</w:t>
      </w:r>
      <w:r>
        <w:t>can also resist Cl</w:t>
      </w:r>
      <w:r>
        <w:t xml:space="preserve"> </w:t>
      </w:r>
      <w:r>
        <w:t>−</w:t>
      </w:r>
      <w:r>
        <w:t>corrosion of Pt</w:t>
      </w:r>
      <w:r>
        <w:rPr>
          <w:vertAlign w:val="subscript"/>
        </w:rPr>
        <w:t>6</w:t>
      </w:r>
      <w:r>
        <w:t>‐TPP NCs. Consequently, Pt</w:t>
      </w:r>
      <w:r>
        <w:rPr>
          <w:vertAlign w:val="subscript"/>
        </w:rPr>
        <w:t>6</w:t>
      </w:r>
      <w:r>
        <w:t>‐TPP achieves 10 mA cm</w:t>
      </w:r>
      <w:r>
        <w:t xml:space="preserve"> </w:t>
      </w:r>
      <w:r>
        <w:t>−2</w:t>
      </w:r>
      <w:r>
        <w:t xml:space="preserve"> </w:t>
      </w:r>
      <w:r>
        <w:t>at an overpotential of 292 mV and retains exceptional stability (&amp;gt; 500 h) under intermittent renewable‐energy operation, with one‐tenth the Pt loading of commercial Pt/C. This work establishes a pH gradient‐mediated interfacial chemistry framework enabled by atomically precise engineering, providing guidance for sustainable and efficient direct seawater hydrogen evolution.</w:t>
      </w:r>
    </w:p>
    <w:p>
      <w:pPr>
        <w:spacing w:before="120" w:after="120"/>
      </w:pPr>
      <w:r>
        <w:rPr>
          <w:sz w:val="18"/>
        </w:rPr>
        <w:t>——————————————————————————————————————————————————————————————————————</w:t>
      </w:r>
    </w:p>
    <w:p>
      <w:pPr>
        <w:spacing w:before="160" w:after="40" w:line="240" w:lineRule="auto"/>
      </w:pPr>
      <w:r>
        <w:rPr>
          <w:b/>
        </w:rPr>
        <w:t xml:space="preserve">[8] </w:t>
      </w:r>
      <w:hyperlink r:id="rId143">
        <w:r>
          <w:rPr>
            <w:color w:val="1155CC"/>
            <w:u w:val="single"/>
          </w:rPr>
          <w:t>实现热化学绿色氢气生产的最大效率</w:t>
        </w:r>
      </w:hyperlink>
    </w:p>
    <w:p>
      <w:pPr>
        <w:spacing w:before="0" w:after="80"/>
      </w:pPr>
      <w:r>
        <w:rPr>
          <w:i/>
          <w:sz w:val="20"/>
        </w:rPr>
        <w:t>EN: Achieving maximum efficiency in thermochemical green hydrogen production</w:t>
      </w:r>
    </w:p>
    <w:p>
      <w:pPr>
        <w:spacing w:before="0" w:after="120"/>
      </w:pPr>
      <w:r>
        <w:rPr>
          <w:b/>
        </w:rPr>
        <w:t xml:space="preserve">Source: </w:t>
      </w:r>
      <w:r>
        <w:t>ScienceDirect Publication: Applied Energy</w:t>
      </w:r>
      <w:r>
        <w:t xml:space="preserve">    </w:t>
      </w:r>
      <w:r>
        <w:rPr>
          <w:b/>
        </w:rPr>
        <w:t xml:space="preserve">Pub date: </w:t>
      </w:r>
      <w:r>
        <w:t>2026-05-12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44">
        <w:r>
          <w:rPr>
            <w:color w:val="1155CC"/>
            <w:u w:val="single"/>
          </w:rPr>
          <w:t>在Ni基逆催化剂上抗中毒的液态有机氢载体的完全加氢</w:t>
        </w:r>
      </w:hyperlink>
    </w:p>
    <w:p>
      <w:pPr>
        <w:spacing w:before="0" w:after="80"/>
      </w:pPr>
      <w:r>
        <w:rPr>
          <w:i/>
          <w:sz w:val="20"/>
        </w:rPr>
        <w:t>EN: Poisoning‐Resistant Complete Hydrogenation of Liquid Organic Hydrogen Carriers Over Ni‐Based Inverse Catalysts</w:t>
      </w:r>
    </w:p>
    <w:p>
      <w:pPr>
        <w:spacing w:before="0" w:after="120"/>
      </w:pPr>
      <w:r>
        <w:rPr>
          <w:b/>
        </w:rPr>
        <w:t xml:space="preserve">Source: </w:t>
      </w:r>
      <w:r>
        <w:t>Wiley: Angewandte Chemie International Edition: Table of Contents</w:t>
      </w:r>
      <w:r>
        <w:t xml:space="preserve">    </w:t>
      </w:r>
      <w:r>
        <w:rPr>
          <w:b/>
        </w:rPr>
        <w:t xml:space="preserve">Pub date: </w:t>
      </w:r>
      <w:r>
        <w:t>2026-05-12 04:45:58+00:00</w:t>
      </w:r>
      <w:r>
        <w:t xml:space="preserve">    </w:t>
      </w:r>
      <w:r>
        <w:rPr>
          <w:b/>
        </w:rPr>
        <w:t xml:space="preserve">DOI: </w:t>
      </w:r>
      <w:hyperlink r:id="rId145">
        <w:r>
          <w:rPr>
            <w:color w:val="1155CC"/>
            <w:u w:val="single"/>
          </w:rPr>
          <w:t>10.1002/anie.9919505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使用液态有机氢载体（LOHCs）进行高效氢存储需要结合高低温活性和对不纯H</w:t>
      </w:r>
      <w:r>
        <w:rPr>
          <w:vertAlign w:val="subscript"/>
        </w:rPr>
        <w:t>2</w:t>
      </w:r>
      <w:r>
        <w:t>进料的耐受性的催化剂。传统的负载型镍催化剂由于强基质吸附和随之而来的位点中毒而受到阻碍。在此，设计了一种由CeZrO</w:t>
      </w:r>
      <w:r>
        <w:t xml:space="preserve"> </w:t>
      </w:r>
      <w:r>
        <w:t>x</w:t>
      </w:r>
      <w:r>
        <w:t xml:space="preserve"> </w:t>
      </w:r>
      <w:r>
        <w:t>簇支持在金属镍上的镍基逆向催化剂，在130°C的低温下实现了多种LOHCs（包括单、双和三苯基型N-杂环和纯芳香基质）的完全氢化，产率超过99.9%，其活性比传统镍催化剂高200倍。此性能的关键在于氧化物诱导的镍原子（Ni</w:t>
      </w:r>
      <w:r>
        <w:t xml:space="preserve"> </w:t>
      </w:r>
      <w:r>
        <w:t>δ+</w:t>
      </w:r>
      <w:r>
        <w:t xml:space="preserve"> </w:t>
      </w:r>
      <w:r>
        <w:t>）极化，创建了一个热力学稳定的亚表面储层和解离的H*物种的迁移路径。通过这种氢传输路径，氢可以有效地氢化强吸附的LOHCs。显著降低的H</w:t>
      </w:r>
      <w:r>
        <w:rPr>
          <w:vertAlign w:val="subscript"/>
        </w:rPr>
        <w:t>2</w:t>
      </w:r>
      <w:r>
        <w:t>动力学顺序证实了在这种逆向配置中表面H*覆盖率的增加。通过解耦强基质吸附位点和氢化位点，逆向配置防止了自中毒，使得使用粗H</w:t>
      </w:r>
      <w:r>
        <w:rPr>
          <w:vertAlign w:val="subscript"/>
        </w:rPr>
        <w:t>2</w:t>
      </w:r>
      <w:r>
        <w:t>和无溶剂LOHCs的完全氢化成为可能。这项工作突出了优越的基质通用性和完全氢化能力</w:t>
      </w:r>
    </w:p>
    <w:p>
      <w:pPr>
        <w:spacing w:before="0" w:after="200" w:lineRule="auto" w:line="276"/>
      </w:pPr>
      <w:r>
        <w:rPr>
          <w:b/>
        </w:rPr>
        <w:t xml:space="preserve">Abstract (EN): </w:t>
      </w:r>
      <w:r>
        <w:t>Efficient hydrogen storage using liquid organic hydrogen carriers (LOHCs) requires catalysts that combine high low‐temperature activity with robustness against impure H</w:t>
      </w:r>
      <w:r>
        <w:rPr>
          <w:vertAlign w:val="subscript"/>
        </w:rPr>
        <w:t>2</w:t>
      </w:r>
      <w:r>
        <w:t>feeds. Conventional supported Ni catalysts are hindered by strong substrate adsorption and consequent site poisoning. Herein, a Ni based inverse catalyst consisting of CeZrO</w:t>
      </w:r>
      <w:r>
        <w:t xml:space="preserve"> </w:t>
      </w:r>
      <w:r>
        <w:t>x</w:t>
      </w:r>
      <w:r>
        <w:t xml:space="preserve"> </w:t>
      </w:r>
      <w:r>
        <w:t>clusters supported on metallic Ni is designed, which achieves &amp;gt;99.9% yield in the complete hydrogenation of diverse LOHCs—including mono‐, bi‐, and triphenyl‐type N‐heterocyclic and purely aromatic substrates—at low‐temperature of 130°C, exhibiting a 200‐fold higher activity than conventional Ni catalysts. Key to this performance is the oxide‐induced polarization of Ni atoms (Ni</w:t>
      </w:r>
      <w:r>
        <w:t xml:space="preserve"> </w:t>
      </w:r>
      <w:r>
        <w:t>δ+</w:t>
      </w:r>
      <w:r>
        <w:t xml:space="preserve"> </w:t>
      </w:r>
      <w:r>
        <w:t>), creating a thermodynamic stable subsurface reservoir and migration routes for dissociated H* species. Through this hydrogen transport pathway, hydrogen can efficiently hydrogenate the strongly adsorbed LOHCs. The significantly lowered H</w:t>
      </w:r>
      <w:r>
        <w:rPr>
          <w:vertAlign w:val="subscript"/>
        </w:rPr>
        <w:t>2</w:t>
      </w:r>
      <w:r>
        <w:t>kinetic order confirms the increased surface H* coverage in this inverse configuration. Decoupling the strong substrate adsorption sites and hydrogenation sites, the inverse configuration prevents self‐poisoning, enabling complete hydrogenation using crude H</w:t>
      </w:r>
      <w:r>
        <w:rPr>
          <w:vertAlign w:val="subscript"/>
        </w:rPr>
        <w:t>2</w:t>
      </w:r>
      <w:r>
        <w:t>and solvent‐free LOHCs. This work highlights the superior substrate generality and complete‐hydrogenation capability of the Ni inverse catalyst, establishing such inverse systems as a versatile platform for mild and robust LOHC‐based hydrogen storage.</w:t>
      </w:r>
    </w:p>
    <w:p>
      <w:pPr>
        <w:spacing w:before="120" w:after="120"/>
      </w:pPr>
      <w:r>
        <w:rPr>
          <w:sz w:val="18"/>
        </w:rPr>
        <w:t>——————————————————————————————————————————————————————————————————————</w:t>
      </w:r>
    </w:p>
    <w:p>
      <w:pPr>
        <w:spacing w:before="160" w:after="40" w:line="240" w:lineRule="auto"/>
      </w:pPr>
      <w:r>
        <w:rPr>
          <w:b/>
        </w:rPr>
        <w:t xml:space="preserve">[10] </w:t>
      </w:r>
      <w:hyperlink r:id="rId146">
        <w:r>
          <w:rPr>
            <w:color w:val="1155CC"/>
            <w:u w:val="single"/>
          </w:rPr>
          <w:t>氮掺杂CeO2‐x载体加速表面Pt位点的界面水解离以实现耐用的工业碱性析氢</w:t>
        </w:r>
      </w:hyperlink>
    </w:p>
    <w:p>
      <w:pPr>
        <w:spacing w:before="0" w:after="80"/>
      </w:pPr>
      <w:r>
        <w:rPr>
          <w:i/>
          <w:sz w:val="20"/>
        </w:rPr>
        <w:t>EN: Nitrogen‐Doped CeO2‐x Supports Accelerate Interfacial Water Dissociation at Surface Pt Sites for Durable Industrial Alkaline Hydrogen Evolution</w:t>
      </w:r>
    </w:p>
    <w:p>
      <w:pPr>
        <w:spacing w:before="0" w:after="120"/>
      </w:pPr>
      <w:r>
        <w:rPr>
          <w:b/>
        </w:rPr>
        <w:t xml:space="preserve">Source: </w:t>
      </w:r>
      <w:r>
        <w:t>Wiley: Angewandte Chemie International Edition: Table of Contents</w:t>
      </w:r>
      <w:r>
        <w:t xml:space="preserve">    </w:t>
      </w:r>
      <w:r>
        <w:rPr>
          <w:b/>
        </w:rPr>
        <w:t xml:space="preserve">Pub date: </w:t>
      </w:r>
      <w:r>
        <w:t>2026-05-12 09:14:42+00:00</w:t>
      </w:r>
      <w:r>
        <w:t xml:space="preserve">    </w:t>
      </w:r>
      <w:r>
        <w:rPr>
          <w:b/>
        </w:rPr>
        <w:t xml:space="preserve">DOI: </w:t>
      </w:r>
      <w:hyperlink r:id="rId147">
        <w:r>
          <w:rPr>
            <w:color w:val="1155CC"/>
            <w:u w:val="single"/>
          </w:rPr>
          <w:t>10.1002/anie.6627945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克服水解离的高动力学障碍是高效碱性析氢反应 (HER) 的先决条件。在此，我们提出了一种氮掺杂策略用于 CeO2-x 支撑体，以调整支撑的 Pt 位点的界面水微环境。通过利用不同的配体导向金属有机框架前体，我们构建了定义明确的 Pt−N/O−Ce 界面配位基序。氮掺杂不仅通过增强的金属-支撑相互作用稳定了超细 Pt 簇，还引发了显著的界面电子重分布。关键是，原位表面增强拉曼光谱揭示 Pt−N/O−Ce 界面促进了弱氢键 K+·H2O 物种的积累，这破坏了刚性的界面水网络并加速了速率决定的水解离步骤。因此，获得的具有 Pt−N/O−Ce 界面的催化剂在 100 mV 过电位下为 HER 提供了 13.6 A mg−1 Pt 的显著质量活性，比其无氮对照提高了 7.6 倍。展示工业可行性，Pt/N-CeO2-x@NC 在 1.73 V 下在大面积 (25 cm2) 阴离子交换膜中实现了 1 A cm−2。</w:t>
      </w:r>
    </w:p>
    <w:p>
      <w:pPr>
        <w:spacing w:before="0" w:after="200" w:lineRule="auto" w:line="276"/>
      </w:pPr>
      <w:r>
        <w:rPr>
          <w:b/>
        </w:rPr>
        <w:t xml:space="preserve">Abstract (EN): </w:t>
      </w:r>
      <w:r>
        <w:t>Surmounting the high kinetic barrier of water dissociation is a prerequisite for efficient alkaline hydrogen evolution reaction (HER). Herein, we present a nitrogen‐doping strategy for CeO</w:t>
      </w:r>
      <w:r>
        <w:t xml:space="preserve"> </w:t>
      </w:r>
      <w:r>
        <w:t>2‐x</w:t>
      </w:r>
      <w:r>
        <w:t xml:space="preserve"> </w:t>
      </w:r>
      <w:r>
        <w:t>supports to tailor the interfacial water microenvironment at supported Pt sites. By leveraging distinct ligand‐directed metal–organic framework precursors, we construct well‐defined Pt−N/O−Ce interfacial coordination motifs. Nitrogen doping not only stabilizes ultrafine Pt clusters via enhanced metal–support interactions but also triggers pronounced interfacial electronic redistribution. Crucially,</w:t>
      </w:r>
      <w:r>
        <w:t xml:space="preserve"> </w:t>
      </w:r>
      <w:r>
        <w:t>operando</w:t>
      </w:r>
      <w:r>
        <w:t xml:space="preserve"> </w:t>
      </w:r>
      <w:r>
        <w:t>surface‐enhanced Raman spectroscopy reveals that the Pt−N/O−Ce interface promotes the accumulation of weakly hydrogen‐bonded K</w:t>
      </w:r>
      <w:r>
        <w:t xml:space="preserve"> </w:t>
      </w:r>
      <w:r>
        <w:t>+</w:t>
      </w:r>
      <w:r>
        <w:t xml:space="preserve"> </w:t>
      </w:r>
      <w:r>
        <w:t>·H</w:t>
      </w:r>
      <w:r>
        <w:rPr>
          <w:vertAlign w:val="subscript"/>
        </w:rPr>
        <w:t>2</w:t>
      </w:r>
      <w:r>
        <w:t>O species, which disrupts the rigid interfacial water network and accelerates the rate‐determining water dissociation step. Consequently, the obtained catalyst with Pt−N/O−Ce interface delivers a remarkable mass activity of 13.6 A mg</w:t>
      </w:r>
      <w:r>
        <w:t xml:space="preserve"> </w:t>
      </w:r>
      <w:r>
        <w:t>−1</w:t>
      </w:r>
      <w:r>
        <w:t xml:space="preserve"> </w:t>
      </w:r>
      <w:r>
        <w:t>Pt</w:t>
      </w:r>
      <w:r>
        <w:t xml:space="preserve"> </w:t>
      </w:r>
      <w:r>
        <w:t>at 100 mV overpotential for HER, representing a 7.6‐fold enhancement over its N‐free counterpart. Demonstrating industrial viability, the Pt/N‐CeO</w:t>
      </w:r>
      <w:r>
        <w:t xml:space="preserve"> </w:t>
      </w:r>
      <w:r>
        <w:t>2‐x</w:t>
      </w:r>
      <w:r>
        <w:t xml:space="preserve"> </w:t>
      </w:r>
      <w:r>
        <w:t>@NC achieves 1 A cm</w:t>
      </w:r>
      <w:r>
        <w:t xml:space="preserve"> </w:t>
      </w:r>
      <w:r>
        <w:t>−2</w:t>
      </w:r>
      <w:r>
        <w:t xml:space="preserve"> </w:t>
      </w:r>
      <w:r>
        <w:t>at 1.73 V in a large‐area (25 cm</w:t>
      </w:r>
      <w:r>
        <w:rPr>
          <w:vertAlign w:val="subscript"/>
        </w:rPr>
        <w:t>2</w:t>
      </w:r>
      <w:r>
        <w:t>) anion‐exchange membrane water electrolyzer, maintaining exceptional durability over 1600 h at 80°C (degradation rate of 87.5 µV h</w:t>
      </w:r>
      <w:r>
        <w:t xml:space="preserve"> </w:t>
      </w:r>
      <w:r>
        <w:t>−1</w:t>
      </w:r>
      <w:r>
        <w:t xml:space="preserve"> </w:t>
      </w:r>
      <w:r>
        <w:t>). This work elucidates the critical role of N‐mediated interfacial engineering in breaking the water dissociation bottleneck for robust industrial‐scale alkaline electrolysis.</w:t>
      </w:r>
    </w:p>
    <w:p>
      <w:pPr>
        <w:spacing w:before="120" w:after="120"/>
      </w:pPr>
      <w:r>
        <w:rPr>
          <w:sz w:val="18"/>
        </w:rPr>
        <w:t>——————————————————————————————————————————————————————————————————————</w:t>
      </w:r>
    </w:p>
    <w:p>
      <w:pPr>
        <w:spacing w:before="160" w:after="40" w:line="240" w:lineRule="auto"/>
      </w:pPr>
      <w:r>
        <w:rPr>
          <w:b/>
        </w:rPr>
        <w:t xml:space="preserve">[11] </w:t>
      </w:r>
      <w:hyperlink r:id="rId148">
        <w:r>
          <w:rPr>
            <w:color w:val="1155CC"/>
            <w:u w:val="single"/>
          </w:rPr>
          <w:t>用于过氧化氢和甘油酸生产的串联光电化学电池</w:t>
        </w:r>
      </w:hyperlink>
    </w:p>
    <w:p>
      <w:pPr>
        <w:spacing w:before="0" w:after="80"/>
      </w:pPr>
      <w:r>
        <w:rPr>
          <w:i/>
          <w:sz w:val="20"/>
        </w:rPr>
        <w:t>EN: Tandem Photoelectrochemical Cells for Hydrogen Peroxide With Glyceric Acid Production</w:t>
      </w:r>
    </w:p>
    <w:p>
      <w:pPr>
        <w:spacing w:before="0" w:after="120"/>
      </w:pPr>
      <w:r>
        <w:rPr>
          <w:b/>
        </w:rPr>
        <w:t xml:space="preserve">Source: </w:t>
      </w:r>
      <w:r>
        <w:t>Wiley: Angewandte Chemie International Edition: Table of Contents</w:t>
      </w:r>
      <w:r>
        <w:t xml:space="preserve">    </w:t>
      </w:r>
      <w:r>
        <w:rPr>
          <w:b/>
        </w:rPr>
        <w:t xml:space="preserve">Pub date: </w:t>
      </w:r>
      <w:r>
        <w:t>2026-05-12 09:22:41+00:00</w:t>
      </w:r>
      <w:r>
        <w:t xml:space="preserve">    </w:t>
      </w:r>
      <w:r>
        <w:rPr>
          <w:b/>
        </w:rPr>
        <w:t xml:space="preserve">DOI: </w:t>
      </w:r>
      <w:hyperlink r:id="rId149">
        <w:r>
          <w:rPr>
            <w:color w:val="1155CC"/>
            <w:u w:val="single"/>
          </w:rPr>
          <w:t>10.1002/anie.202520295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虽然用于过氧化氢（H</w:t>
      </w:r>
      <w:r>
        <w:rPr>
          <w:vertAlign w:val="subscript"/>
        </w:rPr>
        <w:t>2</w:t>
      </w:r>
      <w:r>
        <w:t>O</w:t>
      </w:r>
      <w:r>
        <w:rPr>
          <w:vertAlign w:val="subscript"/>
        </w:rPr>
        <w:t>2</w:t>
      </w:r>
      <w:r>
        <w:t>）生产的光电化学（PEC）氧还原提供了一种可持续的替代方案，以替代能量密集且有害的蒽醌工业生产工艺，但由于电荷转移动力学缓慢和光电极的耐腐蚀性差，持续和稳定的长期操作仍然具有挑战性。在此，我们合成了一种由CuO和W掺杂的CuBi</w:t>
      </w:r>
      <w:r>
        <w:rPr>
          <w:vertAlign w:val="subscript"/>
        </w:rPr>
        <w:t>2</w:t>
      </w:r>
      <w:r>
        <w:t>O</w:t>
      </w:r>
      <w:r>
        <w:rPr>
          <w:vertAlign w:val="subscript"/>
        </w:rPr>
        <w:t>4</w:t>
      </w:r>
      <w:r>
        <w:t>组成的异质结光阴极，并装饰有Pd纳米颗粒（Pd:CuO/W-CBO），用于高效和稳定的PEC H</w:t>
      </w:r>
      <w:r>
        <w:rPr>
          <w:vertAlign w:val="subscript"/>
        </w:rPr>
        <w:t>2</w:t>
      </w:r>
      <w:r>
        <w:t>O</w:t>
      </w:r>
      <w:r>
        <w:rPr>
          <w:vertAlign w:val="subscript"/>
        </w:rPr>
        <w:t>2</w:t>
      </w:r>
      <w:r>
        <w:t>生成。优化的光阴极实现了超过90%的平均法拉第效率，起始电位低至1.08 V</w:t>
      </w:r>
      <w:r>
        <w:t xml:space="preserve"> </w:t>
      </w:r>
      <w:r>
        <w:t>RHE</w:t>
      </w:r>
      <w:r>
        <w:t xml:space="preserve"> </w:t>
      </w:r>
      <w:r>
        <w:t>，使其在0.7 V</w:t>
      </w:r>
      <w:r>
        <w:t xml:space="preserve"> </w:t>
      </w:r>
      <w:r>
        <w:t>RHE</w:t>
      </w:r>
      <w:r>
        <w:t xml:space="preserve"> </w:t>
      </w:r>
      <w:r>
        <w:t>下稳定运行超过50小时。CuO覆盖层有效抑制了Cu和Bi物种的溶解，提高了基于CuBi</w:t>
      </w:r>
      <w:r>
        <w:rPr>
          <w:vertAlign w:val="subscript"/>
        </w:rPr>
        <w:t>2</w:t>
      </w:r>
      <w:r>
        <w:t>O</w:t>
      </w:r>
      <w:r>
        <w:rPr>
          <w:vertAlign w:val="subscript"/>
        </w:rPr>
        <w:t>4</w:t>
      </w:r>
      <w:r>
        <w:t>的光电极的稳定性。更重要的是，利用Pd:CuO/W-CBO光阴极和Pt/TiO</w:t>
      </w:r>
      <w:r>
        <w:t xml:space="preserve"> </w:t>
      </w:r>
      <w:r>
        <w:t>x</w:t>
      </w:r>
      <w:r>
        <w:t xml:space="preserve"> </w:t>
      </w:r>
      <w:r>
        <w:t>阳极构建了一个无偏压PEC系统，用于同时太阳能驱动的H</w:t>
      </w:r>
      <w:r>
        <w:rPr>
          <w:vertAlign w:val="subscript"/>
        </w:rPr>
        <w:t>2</w:t>
      </w:r>
      <w:r>
        <w:t>O</w:t>
      </w:r>
      <w:r>
        <w:rPr>
          <w:vertAlign w:val="subscript"/>
        </w:rPr>
        <w:t>2</w:t>
      </w:r>
    </w:p>
    <w:p>
      <w:pPr>
        <w:spacing w:before="0" w:after="200" w:lineRule="auto" w:line="276"/>
      </w:pPr>
      <w:r>
        <w:rPr>
          <w:b/>
        </w:rPr>
        <w:t xml:space="preserve">Abstract (EN): </w:t>
      </w:r>
      <w:r>
        <w:t>While photoelectrochemical (PEC) oxygen reduction for hydrogen peroxide (H</w:t>
      </w:r>
      <w:r>
        <w:rPr>
          <w:vertAlign w:val="subscript"/>
        </w:rPr>
        <w:t>2</w:t>
      </w:r>
      <w:r>
        <w:t>O</w:t>
      </w:r>
      <w:r>
        <w:rPr>
          <w:vertAlign w:val="subscript"/>
        </w:rPr>
        <w:t>2</w:t>
      </w:r>
      <w:r>
        <w:t>) production offers a sustainable alternative to the energy‐intensive and detrimental anthraquinone process for industrial production, continuous and stable long‐term operation remains challenging due to sluggish charge transfer kinetics and poor corrosion resistance of the photoelectrode. Herein, we synthesized a heterojunction photocathode comprising CuO and W‐doped CuBi</w:t>
      </w:r>
      <w:r>
        <w:rPr>
          <w:vertAlign w:val="subscript"/>
        </w:rPr>
        <w:t>2</w:t>
      </w:r>
      <w:r>
        <w:t>O</w:t>
      </w:r>
      <w:r>
        <w:rPr>
          <w:vertAlign w:val="subscript"/>
        </w:rPr>
        <w:t>4</w:t>
      </w:r>
      <w:r>
        <w:t>decorated with Pd nanoparticles (Pd:CuO/W‐CBO) for efficient and stable PEC H</w:t>
      </w:r>
      <w:r>
        <w:rPr>
          <w:vertAlign w:val="subscript"/>
        </w:rPr>
        <w:t>2</w:t>
      </w:r>
      <w:r>
        <w:t>O</w:t>
      </w:r>
      <w:r>
        <w:rPr>
          <w:vertAlign w:val="subscript"/>
        </w:rPr>
        <w:t>2</w:t>
      </w:r>
      <w:r>
        <w:t>generation. The optimized photocathode achieves an average Faradaic efficiency exceeding 90% with a low onset potential of 1.08 V</w:t>
      </w:r>
      <w:r>
        <w:t xml:space="preserve"> </w:t>
      </w:r>
      <w:r>
        <w:t>RHE</w:t>
      </w:r>
      <w:r>
        <w:t xml:space="preserve"> </w:t>
      </w:r>
      <w:r>
        <w:t>, enabling a stable operation for over 50 h at 0.7 V</w:t>
      </w:r>
      <w:r>
        <w:t xml:space="preserve"> </w:t>
      </w:r>
      <w:r>
        <w:t>RHE</w:t>
      </w:r>
      <w:r>
        <w:t xml:space="preserve"> </w:t>
      </w:r>
      <w:r>
        <w:t>. The CuO overlayer effectively suppresses dissolution of Cu and Bi species, improving the stability of CuBi</w:t>
      </w:r>
      <w:r>
        <w:rPr>
          <w:vertAlign w:val="subscript"/>
        </w:rPr>
        <w:t>2</w:t>
      </w:r>
      <w:r>
        <w:t>O</w:t>
      </w:r>
      <w:r>
        <w:rPr>
          <w:vertAlign w:val="subscript"/>
        </w:rPr>
        <w:t>4</w:t>
      </w:r>
      <w:r>
        <w:t>‐based photoelectrodes. More importantly, a bias‐free PEC system utilizing the Pd:CuO/W‐CBO photocathode and a Pt/TiO</w:t>
      </w:r>
      <w:r>
        <w:t xml:space="preserve"> </w:t>
      </w:r>
      <w:r>
        <w:t>x</w:t>
      </w:r>
      <w:r>
        <w:t xml:space="preserve"> </w:t>
      </w:r>
      <w:r>
        <w:t>anode was constructed for simultaneous solar‐driven H</w:t>
      </w:r>
      <w:r>
        <w:rPr>
          <w:vertAlign w:val="subscript"/>
        </w:rPr>
        <w:t>2</w:t>
      </w:r>
      <w:r>
        <w:t>O</w:t>
      </w:r>
      <w:r>
        <w:rPr>
          <w:vertAlign w:val="subscript"/>
        </w:rPr>
        <w:t>2</w:t>
      </w:r>
      <w:r>
        <w:t>production and electrochemical glycerol oxidation to high‐value chemicals. This unassisted system delivers a current density of 3.75 mA cm</w:t>
      </w:r>
      <w:r>
        <w:t xml:space="preserve"> </w:t>
      </w:r>
      <w:r>
        <w:t>−2</w:t>
      </w:r>
      <w:r>
        <w:t xml:space="preserve"> </w:t>
      </w:r>
      <w:r>
        <w:t>under one sun illumination. Further employing a large‐scale photocathode (10 cm</w:t>
      </w:r>
      <w:r>
        <w:rPr>
          <w:vertAlign w:val="subscript"/>
        </w:rPr>
        <w:t>2</w:t>
      </w:r>
      <w:r>
        <w:t>) enables H</w:t>
      </w:r>
      <w:r>
        <w:rPr>
          <w:vertAlign w:val="subscript"/>
        </w:rPr>
        <w:t>2</w:t>
      </w:r>
      <w:r>
        <w:t>O</w:t>
      </w:r>
      <w:r>
        <w:rPr>
          <w:vertAlign w:val="subscript"/>
        </w:rPr>
        <w:t>2</w:t>
      </w:r>
      <w:r>
        <w:t>and C</w:t>
      </w:r>
      <w:r>
        <w:rPr>
          <w:vertAlign w:val="subscript"/>
        </w:rPr>
        <w:t>3</w:t>
      </w:r>
      <w:r>
        <w:t>chemical production rates of 250.4 and 127.6 µmol h</w:t>
      </w:r>
      <w:r>
        <w:t xml:space="preserve"> </w:t>
      </w:r>
      <w:r>
        <w:t>−1</w:t>
      </w:r>
      <w:r>
        <w:t xml:space="preserve"> </w:t>
      </w:r>
      <w:r>
        <w:t>, respectively. Regulating H</w:t>
      </w:r>
      <w:r>
        <w:rPr>
          <w:vertAlign w:val="subscript"/>
        </w:rPr>
        <w:t>2</w:t>
      </w:r>
      <w:r>
        <w:t>O</w:t>
      </w:r>
      <w:r>
        <w:rPr>
          <w:vertAlign w:val="subscript"/>
        </w:rPr>
        <w:t>2</w:t>
      </w:r>
      <w:r>
        <w:t>permeation using an anion exchange membrane considerably enhances the selectivity to 56% for oxidation of glycerol to glyceric acid, markedly outperforming systems using proton/cation exchange membranes (∼20%). Additionally, the cathodically generated H</w:t>
      </w:r>
      <w:r>
        <w:rPr>
          <w:vertAlign w:val="subscript"/>
        </w:rPr>
        <w:t>2</w:t>
      </w:r>
      <w:r>
        <w:t>O</w:t>
      </w:r>
      <w:r>
        <w:rPr>
          <w:vertAlign w:val="subscript"/>
        </w:rPr>
        <w:t>2</w:t>
      </w:r>
      <w:r>
        <w:t>enables rapid water disinfection, achieving &amp;gt;99.9% bacterial inactivation within 180 min. This work demonstrates a scalable PEC platform for stable concurrent solar‐driven H</w:t>
      </w:r>
      <w:r>
        <w:rPr>
          <w:vertAlign w:val="subscript"/>
        </w:rPr>
        <w:t>2</w:t>
      </w:r>
      <w:r>
        <w:t>O</w:t>
      </w:r>
      <w:r>
        <w:rPr>
          <w:vertAlign w:val="subscript"/>
        </w:rPr>
        <w:t>2</w:t>
      </w:r>
      <w:r>
        <w:t>generation and glycerol valorization while enabling energy conversion.</w:t>
      </w:r>
    </w:p>
    <w:p>
      <w:pPr>
        <w:spacing w:before="120" w:after="120"/>
      </w:pPr>
      <w:r>
        <w:rPr>
          <w:sz w:val="18"/>
        </w:rPr>
        <w:t>——————————————————————————————————————————————————————————————————————</w:t>
      </w:r>
    </w:p>
    <w:p>
      <w:pPr>
        <w:spacing w:before="160" w:after="40" w:line="240" w:lineRule="auto"/>
      </w:pPr>
      <w:r>
        <w:rPr>
          <w:b/>
        </w:rPr>
        <w:t xml:space="preserve">[12] </w:t>
      </w:r>
      <w:hyperlink r:id="rId150">
        <w:r>
          <w:rPr>
            <w:color w:val="1155CC"/>
            <w:u w:val="single"/>
          </w:rPr>
          <w:t>[ASAP] 通过顺序电子-质子转移选择性电合成氨</w:t>
        </w:r>
      </w:hyperlink>
    </w:p>
    <w:p>
      <w:pPr>
        <w:spacing w:before="0" w:after="80"/>
      </w:pPr>
      <w:r>
        <w:rPr>
          <w:i/>
          <w:sz w:val="20"/>
        </w:rPr>
        <w:t>EN: [ASAP] Selective Electrosynthesis of Ammonia via Sequential Electron–Proton Transfer</w:t>
      </w:r>
    </w:p>
    <w:p>
      <w:pPr>
        <w:spacing w:before="0" w:after="120"/>
      </w:pPr>
      <w:r>
        <w:rPr>
          <w:b/>
        </w:rPr>
        <w:t xml:space="preserve">Source: </w:t>
      </w:r>
      <w:r>
        <w:t>Journal of the American Chemical Society: Latest Articles (ACS Publications)</w:t>
      </w:r>
      <w:r>
        <w:t xml:space="preserve">    </w:t>
      </w:r>
      <w:r>
        <w:rPr>
          <w:b/>
        </w:rPr>
        <w:t xml:space="preserve">Pub date: </w:t>
      </w:r>
      <w:r>
        <w:t>2026-05-12 17:36:39+00:00</w:t>
      </w:r>
      <w:r>
        <w:t xml:space="preserve">    </w:t>
      </w:r>
      <w:r>
        <w:rPr>
          <w:b/>
        </w:rPr>
        <w:t xml:space="preserve">DOI: </w:t>
      </w:r>
      <w:hyperlink r:id="rId151">
        <w:r>
          <w:rPr>
            <w:color w:val="1155CC"/>
            <w:u w:val="single"/>
          </w:rPr>
          <w:t>10.1021/jacs.6c01469</w:t>
        </w:r>
      </w:hyperlink>
    </w:p>
    <w:p>
      <w:pPr>
        <w:spacing w:before="0" w:after="120"/>
      </w:pPr>
      <w:r>
        <w:rPr>
          <w:b/>
        </w:rPr>
        <w:t xml:space="preserve">Notes: </w:t>
      </w:r>
      <w:r>
        <w:t>abstract_source=pubmed</w:t>
      </w:r>
    </w:p>
    <w:p>
      <w:pPr>
        <w:spacing w:before="0" w:after="80" w:lineRule="auto" w:line="276"/>
      </w:pPr>
      <w:r>
        <w:rPr>
          <w:b/>
        </w:rPr>
        <w:t xml:space="preserve">摘要（ZH）: </w:t>
      </w:r>
      <w:r>
        <w:t>质子耦合电子转移（PCET）过程是可持续电化学能量转换（例如，电催化硝酸盐还原（NO3RR）为氨）的核心。解耦电子转移（ET）和质子转移（PT）可以抑制在Volmer-Tafel过程中发生的*H二聚化，从而增强活性和产品选择性。在此，我们展示了具有柔性结构的π-共轭氰胺（NCN2-）基团（[N═C═N]2- ⇔ [N≡C─N]2-）在NO3RR中作为电子加速器和质子中继的功能，导致解耦的ETPT过程。吸电子的[N═C═N]2-诱导了[Bi2O2]催化层的极化，具有更多的σ空穴和增强的表面静电势（VS(r)），这促进了ET并形成高价NO3(1+δ)-（δ &gt; 1）陷阱。同时，可切换的[N≡C─N]2-作为质子中继，加速了NOx中间体的氢化过程中的PT。通过各种原位实验表征和分子动力学建模验证了这种顺序ETPT。ETPT主导的NO3RR过程实现了95.3%的氨法拉第效率，并在工业电流密度（500 mA cm-2）下稳定工作超过500小时。这项工作确立了顺序ETPT调控作为优化PCET介导的可持续能量转换系统的一般策略。</w:t>
      </w:r>
    </w:p>
    <w:p>
      <w:pPr>
        <w:spacing w:before="0" w:after="200" w:lineRule="auto" w:line="276"/>
      </w:pPr>
      <w:r>
        <w:rPr>
          <w:b/>
        </w:rPr>
        <w:t xml:space="preserve">Abstract (EN): </w:t>
      </w:r>
      <w:r>
        <w:t>The proton-coupled electron transfer (PCET) process is central to sustainable electrochemical energy conversion (e.g., electrocatalytic nitrate reduction (NO3RR) to ammonia). Decoupling electron transfer (ET) and proton transfer (PT) could suppress the *H dimerization that happens in the Volmer-Tafel process, thereby enhancing activity and product selectivity. Herein, we demonstrate that π-conjugated cyanamide (NCN2-) groups featuring a flexible structure ([N═C═N]2- ⇔ [N≡C─N]2-) function as an electron accelerator and proton relay in NO3RR, leading to a decoupled ETPT process. The electron-withdrawing [N═C═N]2- induces the polarization of [Bi2O2] catalytic layers, with more σ holes and an enhanced surface electrostatic potential (VS(r)), which facilitates ET and forms high-valence NO3(1+δ)- (δ &gt; 1) traps. Simultaneously, switchable [N≡C─N]2- serves as a proton relay that accelerates PT in the hydrogenation of NOx intermediates. This sequential ETPT is validated by various in situ experimental characterizations and molecular dynamic modeling. The ETPT-dominant NO3RR process achieves 95.3% Faradaic efficiency for NH3 and stably works for over 500 h at an industrial current density (500 mA cm-2) in a paired electro-refinery system. This work establishes sequential ETPT regulation as a general strategy for optimizing PCET-mediated sustainable energy conversion systems.</w:t>
      </w:r>
    </w:p>
    <w:p>
      <w:pPr>
        <w:spacing w:before="120" w:after="120"/>
      </w:pPr>
      <w:r>
        <w:rPr>
          <w:sz w:val="18"/>
        </w:rPr>
        <w:t>——————————————————————————————————————————————————————————————————————</w:t>
      </w:r>
    </w:p>
    <w:p>
      <w:pPr>
        <w:spacing w:before="160" w:after="40" w:line="240" w:lineRule="auto"/>
      </w:pPr>
      <w:r>
        <w:rPr>
          <w:b/>
        </w:rPr>
        <w:t xml:space="preserve">[13] </w:t>
      </w:r>
      <w:hyperlink r:id="rId152">
        <w:r>
          <w:rPr>
            <w:color w:val="1155CC"/>
            <w:u w:val="single"/>
          </w:rPr>
          <w:t>内外工程化CuOx/Ru位点用于高效电化学硝酸盐还原为氨</w:t>
        </w:r>
      </w:hyperlink>
    </w:p>
    <w:p>
      <w:pPr>
        <w:spacing w:before="0" w:after="80"/>
      </w:pPr>
      <w:r>
        <w:rPr>
          <w:i/>
          <w:sz w:val="20"/>
        </w:rPr>
        <w:t>EN: Inside-out-engineered CuOx/Ru sites for efficient electrochemical nitrate reduction to ammonia</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153">
        <w:r>
          <w:rPr>
            <w:color w:val="1155CC"/>
            <w:u w:val="single"/>
          </w:rPr>
          <w:t>10.1073/pnas.2537982123</w:t>
        </w:r>
      </w:hyperlink>
    </w:p>
    <w:p>
      <w:pPr>
        <w:spacing w:before="0" w:after="120"/>
      </w:pPr>
      <w:r>
        <w:rPr>
          <w:b/>
        </w:rPr>
        <w:t xml:space="preserve">Notes: </w:t>
      </w:r>
      <w:r>
        <w:t>abstract_source=crossref</w:t>
      </w:r>
    </w:p>
    <w:p>
      <w:pPr>
        <w:spacing w:before="0" w:after="80" w:lineRule="auto" w:line="276"/>
      </w:pPr>
      <w:r>
        <w:rPr>
          <w:b/>
        </w:rPr>
        <w:t xml:space="preserve">摘要（ZH）: </w:t>
      </w:r>
      <w:r>
        <w:t>电化学硝酸盐还原反应（NO3−RR）为NO3−净化和NH3生产提供了一种可持续的方法。基于Ru的催化剂在NO3−RR中具有巨大潜力，但受到竞争的氢析出反应、缺乏电化学稳定性以及初始*NO3→*NO2还原步骤的缓慢热力学和动力学的限制。在此，我们通过将超小Ru纳米颗粒整合在碳纳米管的外表面和限制的无定形CuOx纳米线在内部（CuOx@CNT/Ru）开发了一种内外策略，以增强从NO3−RR合成NH3。这种催化剂在-0.7 V vs. 可逆氢电极（vs. RHE）下实现了146.37±3.4 mg h−1 mgcat−1的领先NH3产率，在0 V vs. RHE下实现了99.1 ± 0.9%的法拉第效率，并在0 V vs. RHE下实现了43.5 ± 0.9%的最高能量效率。此外，作为Zn−NO3−电池阴极，CuO</w:t>
      </w:r>
    </w:p>
    <w:p>
      <w:pPr>
        <w:spacing w:before="0" w:after="200" w:lineRule="auto" w:line="276"/>
      </w:pPr>
      <w:r>
        <w:rPr>
          <w:b/>
        </w:rPr>
        <w:t xml:space="preserve">Abstract (EN): </w:t>
      </w:r>
      <w:r>
        <w:t>Electrochemical nitrate reduction reaction (NO</w:t>
      </w:r>
      <w:r>
        <w:rPr>
          <w:vertAlign w:val="subscript"/>
        </w:rPr>
        <w:t>3</w:t>
      </w:r>
      <w:r>
        <w:t>−</w:t>
      </w:r>
      <w:r>
        <w:t>RR) provides a sustainable approach for both NO</w:t>
      </w:r>
      <w:r>
        <w:rPr>
          <w:vertAlign w:val="subscript"/>
        </w:rPr>
        <w:t>3</w:t>
      </w:r>
      <w:r>
        <w:t>−</w:t>
      </w:r>
      <w:r>
        <w:t>purification and NH</w:t>
      </w:r>
      <w:r>
        <w:rPr>
          <w:vertAlign w:val="subscript"/>
        </w:rPr>
        <w:t>3</w:t>
      </w:r>
      <w:r>
        <w:t>production. Ru-based catalysts hold great promise for NO</w:t>
      </w:r>
      <w:r>
        <w:rPr>
          <w:vertAlign w:val="subscript"/>
        </w:rPr>
        <w:t>3</w:t>
      </w:r>
      <w:r>
        <w:t>−</w:t>
      </w:r>
      <w:r>
        <w:t>RR, but are limited by competing hydrogen evolution reaction, insufficient electrochemical stability, and the sluggish thermodynamics and kinetics of the initial *NO</w:t>
      </w:r>
      <w:r>
        <w:rPr>
          <w:vertAlign w:val="subscript"/>
        </w:rPr>
        <w:t>3</w:t>
      </w:r>
      <w:r>
        <w:t>→ *NO</w:t>
      </w:r>
      <w:r>
        <w:rPr>
          <w:vertAlign w:val="subscript"/>
        </w:rPr>
        <w:t>2</w:t>
      </w:r>
      <w:r>
        <w:t>reduction step. Here, we develop an inside-out strategy by integrating ultrasmall Ru nanoparticles on the outer surface of carbon nanotubes and confined amorphous CuO</w:t>
      </w:r>
      <w:r>
        <w:t xml:space="preserve"> </w:t>
      </w:r>
      <w:r>
        <w:t>x</w:t>
      </w:r>
      <w:r>
        <w:t xml:space="preserve"> </w:t>
      </w:r>
      <w:r>
        <w:t>nanowires inside (CuO</w:t>
      </w:r>
      <w:r>
        <w:t xml:space="preserve"> </w:t>
      </w:r>
      <w:r>
        <w:t>x</w:t>
      </w:r>
      <w:r>
        <w:t xml:space="preserve"> </w:t>
      </w:r>
      <w:r>
        <w:t>@CNT/Ru) to enhance NH</w:t>
      </w:r>
      <w:r>
        <w:rPr>
          <w:vertAlign w:val="subscript"/>
        </w:rPr>
        <w:t>3</w:t>
      </w:r>
      <w:r>
        <w:t>synthesis from NO</w:t>
      </w:r>
      <w:r>
        <w:rPr>
          <w:vertAlign w:val="subscript"/>
        </w:rPr>
        <w:t>3</w:t>
      </w:r>
      <w:r>
        <w:t>−</w:t>
      </w:r>
      <w:r>
        <w:t>RR. This catalyst achieves a leading NH</w:t>
      </w:r>
      <w:r>
        <w:rPr>
          <w:vertAlign w:val="subscript"/>
        </w:rPr>
        <w:t>3</w:t>
      </w:r>
      <w:r>
        <w:t>yield rate of 146.37±3.4 mg h</w:t>
      </w:r>
      <w:r>
        <w:t xml:space="preserve"> </w:t>
      </w:r>
      <w:r>
        <w:t>−1</w:t>
      </w:r>
      <w:r>
        <w:t xml:space="preserve"> </w:t>
      </w:r>
      <w:r>
        <w:t>mg</w:t>
      </w:r>
      <w:r>
        <w:t xml:space="preserve"> </w:t>
      </w:r>
      <w:r>
        <w:t>cat</w:t>
      </w:r>
      <w:r>
        <w:t xml:space="preserve"> </w:t>
      </w:r>
      <w:r>
        <w:t>−1</w:t>
      </w:r>
      <w:r>
        <w:t xml:space="preserve"> </w:t>
      </w:r>
      <w:r>
        <w:t>at −0.7 V vs. reversible hydrogen electrode (vs. RHE), a Faradaic efficiency of 99.1 ± 0.9% at 0 V vs. RHE, and the highest energy efficiency of 43.5 ± 0.9% at 0 V vs. RHE. Moreover, as a Zn−NO</w:t>
      </w:r>
      <w:r>
        <w:rPr>
          <w:vertAlign w:val="subscript"/>
        </w:rPr>
        <w:t>3</w:t>
      </w:r>
      <w:r>
        <w:t>−</w:t>
      </w:r>
      <w:r>
        <w:t>battery cathode, CuO</w:t>
      </w:r>
      <w:r>
        <w:t xml:space="preserve"> </w:t>
      </w:r>
      <w:r>
        <w:t>x</w:t>
      </w:r>
      <w:r>
        <w:t xml:space="preserve"> </w:t>
      </w:r>
      <w:r>
        <w:t>@CNT/Ru delivers a maximum power density of 22.6 mW cm</w:t>
      </w:r>
      <w:r>
        <w:t xml:space="preserve"> </w:t>
      </w:r>
      <w:r>
        <w:t>−2</w:t>
      </w:r>
      <w:r>
        <w:t xml:space="preserve"> </w:t>
      </w:r>
      <w:r>
        <w:t>along with high NH</w:t>
      </w:r>
      <w:r>
        <w:rPr>
          <w:vertAlign w:val="subscript"/>
        </w:rPr>
        <w:t>3</w:t>
      </w:r>
      <w:r>
        <w:t>production efficiency. In situ spectroscopic analysis and theoretical calculations reveal that Ru species serve as the main active centers, while high-valence CuO</w:t>
      </w:r>
      <w:r>
        <w:t xml:space="preserve"> </w:t>
      </w:r>
      <w:r>
        <w:t>x</w:t>
      </w:r>
      <w:r>
        <w:t xml:space="preserve"> </w:t>
      </w:r>
      <w:r>
        <w:t>not only stabilizes and activates Ru sites but also facilitates the conversion of *NO</w:t>
      </w:r>
      <w:r>
        <w:rPr>
          <w:vertAlign w:val="subscript"/>
        </w:rPr>
        <w:t>3</w:t>
      </w:r>
      <w:r>
        <w:t>to *NO</w:t>
      </w:r>
      <w:r>
        <w:rPr>
          <w:vertAlign w:val="subscript"/>
        </w:rPr>
        <w:t>2</w:t>
      </w:r>
      <w:r>
        <w:t>and promotes active hydrogen generation from water dissociation, thereby accelerating the hydrogenation kinetics of nitrogen-containing intermediates and reducing the energy barrier of the rate-determining step of *NO to *NOH, ultimately boosting NH</w:t>
      </w:r>
      <w:r>
        <w:rPr>
          <w:vertAlign w:val="subscript"/>
        </w:rPr>
        <w:t>3</w:t>
      </w:r>
      <w:r>
        <w:t>synthesis. This work provides an efficient strategy for modulating active site interactions to promote sustainable nitrate reduction processes.</w:t>
      </w:r>
    </w:p>
    <w:p>
      <w:pPr>
        <w:spacing w:before="120" w:after="120"/>
      </w:pPr>
      <w:r>
        <w:rPr>
          <w:sz w:val="18"/>
        </w:rPr>
        <w:t>——————————————————————————————————————————————————————————————————————</w:t>
      </w:r>
    </w:p>
    <w:p>
      <w:pPr>
        <w:spacing w:before="160" w:after="40" w:line="240" w:lineRule="auto"/>
      </w:pPr>
      <w:r>
        <w:rPr>
          <w:b/>
        </w:rPr>
        <w:t xml:space="preserve">[14] </w:t>
      </w:r>
      <w:hyperlink r:id="rId154">
        <w:r>
          <w:rPr>
            <w:color w:val="1155CC"/>
            <w:u w:val="single"/>
          </w:rPr>
          <w:t>一种具有水诱导表面重构的高亲水性空气电极，用于在低水分压下高效可逆质子陶瓷电池</w:t>
        </w:r>
      </w:hyperlink>
    </w:p>
    <w:p>
      <w:pPr>
        <w:spacing w:before="0" w:after="80"/>
      </w:pPr>
      <w:r>
        <w:rPr>
          <w:i/>
          <w:sz w:val="20"/>
        </w:rPr>
        <w:t>EN: A Highly Hydrophilic Air Electrode With Water‐Induced Surface Reconstruction for Efficient Reversible Protonic Ceramic Cell at Low Water Partial Pressures</w:t>
      </w:r>
    </w:p>
    <w:p>
      <w:pPr>
        <w:spacing w:before="0" w:after="120"/>
      </w:pPr>
      <w:r>
        <w:rPr>
          <w:b/>
        </w:rPr>
        <w:t xml:space="preserve">Source: </w:t>
      </w:r>
      <w:r>
        <w:t>Wiley: Advanced Energy Materials: Table of Contents</w:t>
      </w:r>
      <w:r>
        <w:t xml:space="preserve">    </w:t>
      </w:r>
      <w:r>
        <w:rPr>
          <w:b/>
        </w:rPr>
        <w:t xml:space="preserve">Pub date: </w:t>
      </w:r>
      <w:r>
        <w:t>2026-05-13 07:43:09+00:00</w:t>
      </w:r>
      <w:r>
        <w:t xml:space="preserve">    </w:t>
      </w:r>
      <w:r>
        <w:rPr>
          <w:b/>
        </w:rPr>
        <w:t xml:space="preserve">DOI: </w:t>
      </w:r>
      <w:hyperlink r:id="rId155">
        <w:r>
          <w:rPr>
            <w:color w:val="1155CC"/>
            <w:u w:val="single"/>
          </w:rPr>
          <w:t>10.1002/aenm.71076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逆质子陶瓷电池（R-PCCs）实现了高效且可逆的蒸汽到氢气的转化。然而，它们的空气电极在电解和燃料电池模式下依赖于质子介导的反应，需要本质上亲水的氧化物将水作为质子源。传统的空气电极在低水分压（pH2O）下吸水性差，需要浓缩蒸汽，这会损害系统的稳定性和能量效率。在此，我们通过对BaFeO3基氧化物的合理筛选，开发了一种用于R-PCCs的BaCo0.45Fe0.45In0.1O3‐δ空气电极。该材料在低温下pH2O = 0.02 atm时表现出前所未有的10.5 mol%的质子浓度。值得注意的是，蒸汽暴露诱导了BaCoO3‐δ纳米催化剂的原位析出，增强了电化学活性。通过深度剖析表征结合DFT计算系统地阐明了蒸汽驱动的重构过程。得益于其超亲水性和优化的表面电子结构，采用该空气电极的R-PCCs提供了显著的电流</w:t>
      </w:r>
    </w:p>
    <w:p>
      <w:pPr>
        <w:spacing w:before="0" w:after="200" w:lineRule="auto" w:line="276"/>
      </w:pPr>
      <w:r>
        <w:rPr>
          <w:b/>
        </w:rPr>
        <w:t xml:space="preserve">Abstract (EN): </w:t>
      </w:r>
      <w:r>
        <w:t>Reversible protonic ceramic cells (R‐PCCs) enable efficient and reversible steam‐to‐hydrogen conversion. However, their air electrodes rely on proton‐mediated reactions in both electrolysis and fuel cell modes, requiring intrinsically hydrophilic oxides to incorporate water as a proton source. Conventional air electrodes suffer from poor water uptake under low water partial pressure (</w:t>
      </w:r>
      <w:r>
        <w:t xml:space="preserve"> </w:t>
      </w:r>
      <w:r>
        <w:t>p</w:t>
      </w:r>
      <w:r>
        <w:t xml:space="preserve"> </w:t>
      </w:r>
      <w:r>
        <w:t>H</w:t>
      </w:r>
      <w:r>
        <w:rPr>
          <w:vertAlign w:val="subscript"/>
        </w:rPr>
        <w:t>2</w:t>
      </w:r>
      <w:r>
        <w:t>O), necessitating concentrated steam that compromises both system stability and energy efficiency. Here, we develop a BaCo</w:t>
      </w:r>
      <w:r>
        <w:t xml:space="preserve"> </w:t>
      </w:r>
      <w:r>
        <w:t>0.45</w:t>
      </w:r>
      <w:r>
        <w:t xml:space="preserve"> </w:t>
      </w:r>
      <w:r>
        <w:t>Fe</w:t>
      </w:r>
      <w:r>
        <w:t xml:space="preserve"> </w:t>
      </w:r>
      <w:r>
        <w:t>0.45</w:t>
      </w:r>
      <w:r>
        <w:t xml:space="preserve"> </w:t>
      </w:r>
      <w:r>
        <w:t>In</w:t>
      </w:r>
      <w:r>
        <w:t xml:space="preserve"> </w:t>
      </w:r>
      <w:r>
        <w:t>0.1</w:t>
      </w:r>
      <w:r>
        <w:t xml:space="preserve"> </w:t>
      </w:r>
      <w:r>
        <w:t>O</w:t>
      </w:r>
      <w:r>
        <w:t xml:space="preserve"> </w:t>
      </w:r>
      <w:r>
        <w:t>3‐δ</w:t>
      </w:r>
      <w:r>
        <w:t xml:space="preserve"> </w:t>
      </w:r>
      <w:r>
        <w:t>air electrode for R‐PCCs through rational screening of BaFeO</w:t>
      </w:r>
      <w:r>
        <w:rPr>
          <w:vertAlign w:val="subscript"/>
        </w:rPr>
        <w:t>3</w:t>
      </w:r>
      <w:r>
        <w:t>‐based oxides. This material exhibits an unprecedented proton concentration of 10.5 mol% at</w:t>
      </w:r>
      <w:r>
        <w:t xml:space="preserve"> </w:t>
      </w:r>
      <w:r>
        <w:t>p</w:t>
      </w:r>
      <w:r>
        <w:t xml:space="preserve"> </w:t>
      </w:r>
      <w:r>
        <w:t>H</w:t>
      </w:r>
      <w:r>
        <w:rPr>
          <w:vertAlign w:val="subscript"/>
        </w:rPr>
        <w:t>2</w:t>
      </w:r>
      <w:r>
        <w:t>O = 0.02 atm at low temperatures. Notably, steam exposure induces in situ exsolution of BaCoO</w:t>
      </w:r>
      <w:r>
        <w:t xml:space="preserve"> </w:t>
      </w:r>
      <w:r>
        <w:t>3‐δ</w:t>
      </w:r>
      <w:r>
        <w:t xml:space="preserve"> </w:t>
      </w:r>
      <w:r>
        <w:t>nanocatalysts, enhancing electrochemical activity. The steam‐driven reconstruction process is systematically elucidated using depth‐profiling characterizations combined with DFT calculations. Benefiting from its super‐hydrophilic property and optimized surface electronic structure, R‐PCCs incorporating this air electrode deliver a remarkable current density of 2615 mA cm</w:t>
      </w:r>
      <w:r>
        <w:t xml:space="preserve"> </w:t>
      </w:r>
      <w:r>
        <w:t>−2</w:t>
      </w:r>
      <w:r>
        <w:t xml:space="preserve"> </w:t>
      </w:r>
      <w:r>
        <w:t>at 1.3 V and a peak power density of 1.02 W cm</w:t>
      </w:r>
      <w:r>
        <w:t xml:space="preserve"> </w:t>
      </w:r>
      <w:r>
        <w:t>−2</w:t>
      </w:r>
      <w:r>
        <w:t xml:space="preserve"> </w:t>
      </w:r>
      <w:r>
        <w:t>at 600°C, and maintain high Faradaic efficiency across a wide</w:t>
      </w:r>
      <w:r>
        <w:t xml:space="preserve"> </w:t>
      </w:r>
      <w:r>
        <w:t>p</w:t>
      </w:r>
      <w:r>
        <w:t xml:space="preserve"> </w:t>
      </w:r>
      <w:r>
        <w:t>H</w:t>
      </w:r>
      <w:r>
        <w:rPr>
          <w:vertAlign w:val="subscript"/>
        </w:rPr>
        <w:t>2</w:t>
      </w:r>
      <w:r>
        <w:t>O range of 0.006–0.47 atm. This work establishes a hydrophilicity‐driven air‐electrode design strategy for efficient hydrogen production under ultra‐low steam conditions, offering a viable pathway for deployment in freshwater‐scarce regions.</w:t>
      </w:r>
    </w:p>
    <w:p>
      <w:pPr>
        <w:spacing w:before="120" w:after="120"/>
      </w:pPr>
      <w:r>
        <w:rPr>
          <w:sz w:val="18"/>
        </w:rPr>
        <w:t>——————————————————————————————————————————————————————————————————————</w:t>
      </w:r>
    </w:p>
    <w:p>
      <w:pPr>
        <w:spacing w:before="160" w:after="40" w:line="240" w:lineRule="auto"/>
      </w:pPr>
      <w:r>
        <w:rPr>
          <w:b/>
        </w:rPr>
        <w:t xml:space="preserve">[15] </w:t>
      </w:r>
      <w:hyperlink r:id="rId156">
        <w:r>
          <w:rPr>
            <w:color w:val="1155CC"/>
            <w:u w:val="single"/>
          </w:rPr>
          <w:t>在人工海水条件下使用过渡金属硼酸盐阳极选择性电解水（Adv. Energy Mater. 18/2026）</w:t>
        </w:r>
      </w:hyperlink>
    </w:p>
    <w:p>
      <w:pPr>
        <w:spacing w:before="0" w:after="80"/>
      </w:pPr>
      <w:r>
        <w:rPr>
          <w:i/>
          <w:sz w:val="20"/>
        </w:rPr>
        <w:t>EN: Selective Electrolysis of Water Under Artificial Seawater Conditions Using Transition Metal Borate Anodes (Adv. Energy Mater. 18/2026)</w:t>
      </w:r>
    </w:p>
    <w:p>
      <w:pPr>
        <w:spacing w:before="0" w:after="120"/>
      </w:pPr>
      <w:r>
        <w:rPr>
          <w:b/>
        </w:rPr>
        <w:t xml:space="preserve">Source: </w:t>
      </w:r>
      <w:r>
        <w:t>Wiley: Advanced Energy Materials: Table of Contents</w:t>
      </w:r>
      <w:r>
        <w:t xml:space="preserve">    </w:t>
      </w:r>
      <w:r>
        <w:rPr>
          <w:b/>
        </w:rPr>
        <w:t xml:space="preserve">Pub date: </w:t>
      </w:r>
      <w:r>
        <w:t>2026-05-13 11:55:26+00:00</w:t>
      </w:r>
      <w:r>
        <w:t xml:space="preserve">    </w:t>
      </w:r>
      <w:r>
        <w:rPr>
          <w:b/>
        </w:rPr>
        <w:t xml:space="preserve">DOI: </w:t>
      </w:r>
      <w:hyperlink r:id="rId157">
        <w:r>
          <w:rPr>
            <w:color w:val="1155CC"/>
            <w:u w:val="single"/>
          </w:rPr>
          <w:t>10.1002/aenm.70881</w:t>
        </w:r>
      </w:hyperlink>
    </w:p>
    <w:p>
      <w:pPr>
        <w:spacing w:before="0" w:after="120"/>
      </w:pPr>
      <w:r>
        <w:rPr>
          <w:b/>
        </w:rPr>
        <w:t xml:space="preserve">Notes: </w:t>
      </w:r>
      <w:r>
        <w:t>abstract_source=openalex</w:t>
      </w:r>
    </w:p>
    <w:p>
      <w:pPr>
        <w:spacing w:before="0" w:after="80" w:lineRule="auto" w:line="276"/>
      </w:pPr>
      <w:r>
        <w:rPr>
          <w:b/>
        </w:rPr>
        <w:t xml:space="preserve">摘要（ZH）: </w:t>
      </w:r>
      <w:r>
        <w:t>海水电解 硼酸盐基钴铁催化剂在海水电解过程中促进选择性氧化水而非氯气析出反应。当集成到零间隙电解槽原型中时，该催化剂支持人工海水在延长时间尺度上的稳健分解为氧气和氢气。更多内容见文章编号e06788，Luis Miguel Azofra，Alexandr N. Simonov及其合作者。</w:t>
      </w:r>
    </w:p>
    <w:p>
      <w:pPr>
        <w:spacing w:before="0" w:after="200" w:lineRule="auto" w:line="276"/>
      </w:pPr>
      <w:r>
        <w:rPr>
          <w:b/>
        </w:rPr>
        <w:t xml:space="preserve">Abstract (EN): </w:t>
      </w:r>
      <w:r>
        <w:t>Seawater Electrolysis The borate-based cobalt-iron catalyst promotes selective oxidation of water rather than chlorine evolution reaction during electrolysis of seawater. When integrated into a zero-gap electrolyser prototype, this catalyst supports robust splitting of artificial seawater into oxygen and hydrogen on an extended timescale. More in article number e06788, Luis Miguel Azofra, Alexandr N. Simonov, and co-workers.</w:t>
      </w:r>
    </w:p>
    <w:p>
      <w:pPr>
        <w:spacing w:before="120" w:after="120"/>
      </w:pPr>
      <w:r>
        <w:rPr>
          <w:sz w:val="18"/>
        </w:rPr>
        <w:t>——————————————————————————————————————————————————————————————————————</w:t>
      </w:r>
    </w:p>
    <w:p>
      <w:pPr>
        <w:spacing w:before="160" w:after="40" w:line="240" w:lineRule="auto"/>
      </w:pPr>
      <w:r>
        <w:rPr>
          <w:b/>
        </w:rPr>
        <w:t xml:space="preserve">[16] </w:t>
      </w:r>
      <w:hyperlink r:id="rId158">
        <w:r>
          <w:rPr>
            <w:color w:val="1155CC"/>
            <w:u w:val="single"/>
          </w:rPr>
          <w:t>在双功能Pd–Cu协同位点上耦合醛氧化的无辅助电催化加氢</w:t>
        </w:r>
      </w:hyperlink>
    </w:p>
    <w:p>
      <w:pPr>
        <w:spacing w:before="0" w:after="80"/>
      </w:pPr>
      <w:r>
        <w:rPr>
          <w:i/>
          <w:sz w:val="20"/>
        </w:rPr>
        <w:t>EN: Unassisted Electrocatalytic Hydrogenation Coupled With Aldehydes Oxidation on Bifunctional Pd–Cu Synergistic Sites</w:t>
      </w:r>
    </w:p>
    <w:p>
      <w:pPr>
        <w:spacing w:before="0" w:after="120"/>
      </w:pPr>
      <w:r>
        <w:rPr>
          <w:b/>
        </w:rPr>
        <w:t xml:space="preserve">Source: </w:t>
      </w:r>
      <w:r>
        <w:t>Wiley: Angewandte Chemie International Edition: Table of Contents</w:t>
      </w:r>
      <w:r>
        <w:t xml:space="preserve">    </w:t>
      </w:r>
      <w:r>
        <w:rPr>
          <w:b/>
        </w:rPr>
        <w:t xml:space="preserve">Pub date: </w:t>
      </w:r>
      <w:r>
        <w:t>2026-05-13 14:41:04+00:00</w:t>
      </w:r>
      <w:r>
        <w:t xml:space="preserve">    </w:t>
      </w:r>
      <w:r>
        <w:rPr>
          <w:b/>
        </w:rPr>
        <w:t xml:space="preserve">DOI: </w:t>
      </w:r>
      <w:hyperlink r:id="rId159">
        <w:r>
          <w:rPr>
            <w:color w:val="1155CC"/>
            <w:u w:val="single"/>
          </w:rPr>
          <w:t>10.1002/anie.9988326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配对电解通过将阳极氧化与阴极还原反应耦合，提高了能量利用效率，实现了高价值化学品的同时生产。然而，由于阳极和阴极反应的电位不匹配以及缺乏高效活性位点，实现从电力消耗到电力生成的转变仍然是一个巨大的挑战。在此，我们设计了一种电化学系统，将各种不饱和化合物的阴极氢化与阳极醛氧化反应在协同的Pd–Cu双功能位点耦合。实验研究和理论计算表明，Pd–Cu协同机制优化了氢化和氧化反应中的氢转移动力学。具体而言，Pd位点促进水解离以生成活性氢，然后溢流到相邻的Cu位点以催化氢化，而Pd位点调节Cu位点的电子结构，促进C─H键断裂并在醛氧化过程中促进H</w:t>
      </w:r>
      <w:r>
        <w:rPr>
          <w:vertAlign w:val="subscript"/>
        </w:rPr>
        <w:t>2</w:t>
      </w:r>
      <w:r>
        <w:t>生成。本研究表明，精确的催化剂设计和反应系统优化可以在配对电解中实现氧化和还原反应的高效协同，为电化学提供了新的见解和技术路径。</w:t>
      </w:r>
    </w:p>
    <w:p>
      <w:pPr>
        <w:spacing w:before="0" w:after="200" w:lineRule="auto" w:line="276"/>
      </w:pPr>
      <w:r>
        <w:rPr>
          <w:b/>
        </w:rPr>
        <w:t xml:space="preserve">Abstract (EN): </w:t>
      </w:r>
      <w:r>
        <w:t>Paired electrolysis enhances energy utilization efficiency by coupling anodic oxidation with cathodic reduction reactions, enabling the simultaneous production of high‐value chemicals. However, achieving the transition from electricity consumption to electricity generation in paired electrolysis remains a huge challenge due to mismatched potentials of anodic and cathodic reactions and lack of highly efficient active sites. Herein, we designed an electrochemical system that couples cathodic hydrogenation of various unsaturated compounds with anodic aldehydes oxidation reactions at a synergistic Pd–Cu bifunctional site. The paired hydrogenation and oxidation reactions were demonstrated to produce valuable products at both electrodes simultaneously without electrical energy input. Experimental studies and theory calculations indicate a Pd–Cu cooperative mechanism, which optimizes hydrogen transfer kinetics in both hydrogenation and oxidation reactions. Specifically, the Pd site promotes water dissociation to generate active hydrogen, which then spillover to the adjacent Cu site to catalyze hydrogenation, while the Pd site modulates the electronic structure of the Cu site, promoting C─H bond cleavage and facilitating H</w:t>
      </w:r>
      <w:r>
        <w:rPr>
          <w:vertAlign w:val="subscript"/>
        </w:rPr>
        <w:t>2</w:t>
      </w:r>
      <w:r>
        <w:t>generation during aldehydes oxidation. This study demonstrates that precise catalyst design and reaction system optimization can achieve efficient synergy between oxidation and reduction reactions in paired electrolysis, offering new insights and technological pathways for electrochemical synthesis of high‐value chemicals.</w:t>
      </w:r>
    </w:p>
    <w:p>
      <w:pPr>
        <w:spacing w:before="120" w:after="120"/>
      </w:pPr>
      <w:r>
        <w:rPr>
          <w:sz w:val="18"/>
        </w:rPr>
        <w:t>——————————————————————————————————————————————————————————————————————</w:t>
      </w:r>
    </w:p>
    <w:p>
      <w:pPr>
        <w:spacing w:before="160" w:after="40" w:line="240" w:lineRule="auto"/>
      </w:pPr>
      <w:r>
        <w:rPr>
          <w:b/>
        </w:rPr>
        <w:t xml:space="preserve">[17] </w:t>
      </w:r>
      <w:hyperlink r:id="rId160">
        <w:r>
          <w:rPr>
            <w:color w:val="1155CC"/>
            <w:u w:val="single"/>
          </w:rPr>
          <w:t>通过乙二胺配位稳定水解离位点以实现工业电流密度碱性析氢反应</w:t>
        </w:r>
      </w:hyperlink>
    </w:p>
    <w:p>
      <w:pPr>
        <w:spacing w:before="0" w:after="80"/>
      </w:pPr>
      <w:r>
        <w:rPr>
          <w:i/>
          <w:sz w:val="20"/>
        </w:rPr>
        <w:t>EN: Stabilizing Water Dissociation Sites via Ethylenediamine Coordination for Industrial‐Current‐Density Alkaline Hydrogen Evolution Reaction</w:t>
      </w:r>
    </w:p>
    <w:p>
      <w:pPr>
        <w:spacing w:before="0" w:after="120"/>
      </w:pPr>
      <w:r>
        <w:rPr>
          <w:b/>
        </w:rPr>
        <w:t xml:space="preserve">Source: </w:t>
      </w:r>
      <w:r>
        <w:t>Wiley: Angewandte Chemie International Edition: Table of Contents</w:t>
      </w:r>
      <w:r>
        <w:t xml:space="preserve">    </w:t>
      </w:r>
      <w:r>
        <w:rPr>
          <w:b/>
        </w:rPr>
        <w:t xml:space="preserve">Pub date: </w:t>
      </w:r>
      <w:r>
        <w:t>2026-05-13 14:42:23+00:00</w:t>
      </w:r>
      <w:r>
        <w:t xml:space="preserve">    </w:t>
      </w:r>
      <w:r>
        <w:rPr>
          <w:b/>
        </w:rPr>
        <w:t xml:space="preserve">DOI: </w:t>
      </w:r>
      <w:hyperlink r:id="rId161">
        <w:r>
          <w:rPr>
            <w:color w:val="1155CC"/>
            <w:u w:val="single"/>
          </w:rPr>
          <w:t>10.1002/anie.8549669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水解离位点引入电催化剂显著提高了碱性析氢反应（HER）的催化活性，但在工业级电流密度下这些位点的重构——一个此前受到有限关注的问题——严重损害了催化稳定性。在此，我们通过可扩展的阴极碱化策略构建了一种由金属镍和羟基（乙二胺）镍（II）配合物（Ni[(OH)2enx]/Ni）组成的高活性和超稳定的混合电催化剂。界面耦合的Ni[(OH)2enx]配合物，具有高亲氧性和增强的抗还原热力学稳定性，不仅加速了水解离步骤，还提供了长期的催化耐久性。所得混合催化剂在10 mA cm−2时提供了35.2 mV的低过电位和43.68 mV dec−1的小Tafel斜率，性能优于基准Ni(OH)2/Ni和Ni(OH)2/Pt催化剂。当集成到阴离子交换膜水电解槽中时，电极在1.0 M KOH和25°C下提供500 mA cm−2的电流持续3000小时。该工作展示了配位配合物作为稳健催化剂的巨大潜力。</w:t>
      </w:r>
    </w:p>
    <w:p>
      <w:pPr>
        <w:spacing w:before="0" w:after="200" w:lineRule="auto" w:line="276"/>
      </w:pPr>
      <w:r>
        <w:rPr>
          <w:b/>
        </w:rPr>
        <w:t xml:space="preserve">Abstract (EN): </w:t>
      </w:r>
      <w:r>
        <w:t>Incorporating water dissociation sites into electrocatalysts significantly boosts the catalytic activity for the alkaline hydrogen evolution reaction (HER), yet the reconfiguration of these sites under industrial‐level current densities—an issue that has received limited prior attention—severely impairs catalytic stability. Herein, we construct a highly active and ultra‐stable hybrid electrocatalyst composed of metallic nickel and a hydroxy(ethylenediamine)nickel(II) complex (Ni[(OH)</w:t>
      </w:r>
      <w:r>
        <w:rPr>
          <w:vertAlign w:val="subscript"/>
        </w:rPr>
        <w:t>2</w:t>
      </w:r>
      <w:r>
        <w:t>en</w:t>
      </w:r>
      <w:r>
        <w:t xml:space="preserve"> </w:t>
      </w:r>
      <w:r>
        <w:t>x</w:t>
      </w:r>
      <w:r>
        <w:t xml:space="preserve"> </w:t>
      </w:r>
      <w:r>
        <w:t>]/Ni) via a scalable cathodic alkalization strategy. The interface‐coupled Ni[(OH)</w:t>
      </w:r>
      <w:r>
        <w:rPr>
          <w:vertAlign w:val="subscript"/>
        </w:rPr>
        <w:t>2</w:t>
      </w:r>
      <w:r>
        <w:t>en</w:t>
      </w:r>
      <w:r>
        <w:t xml:space="preserve"> </w:t>
      </w:r>
      <w:r>
        <w:t>x</w:t>
      </w:r>
      <w:r>
        <w:t xml:space="preserve"> </w:t>
      </w:r>
      <w:r>
        <w:t>] complex, featuring high oxophilicity and enhanced thermodynamical stability against reduction, not only accelerates the water‐dissociation step but also renders long‐term catalytic durability. The resulting hybrid catalyst delivers a low overpotential of 35.2 mV at 10 mA cm</w:t>
      </w:r>
      <w:r>
        <w:t xml:space="preserve"> </w:t>
      </w:r>
      <w:r>
        <w:t>−2</w:t>
      </w:r>
      <w:r>
        <w:t xml:space="preserve"> </w:t>
      </w:r>
      <w:r>
        <w:t>and a small Tafel slope of 43.68 mV dec</w:t>
      </w:r>
      <w:r>
        <w:t xml:space="preserve"> </w:t>
      </w:r>
      <w:r>
        <w:t>−1</w:t>
      </w:r>
      <w:r>
        <w:t xml:space="preserve"> </w:t>
      </w:r>
      <w:r>
        <w:t>, outperforming the benchmark Ni(OH)</w:t>
      </w:r>
      <w:r>
        <w:rPr>
          <w:vertAlign w:val="subscript"/>
        </w:rPr>
        <w:t>2</w:t>
      </w:r>
      <w:r>
        <w:t>/Ni and Ni(OH)</w:t>
      </w:r>
      <w:r>
        <w:rPr>
          <w:vertAlign w:val="subscript"/>
        </w:rPr>
        <w:t>2</w:t>
      </w:r>
      <w:r>
        <w:t>/Pt catalysts. When integrated into an anion‐exchange membrane water electrolyzer, the electrode delivers 500 mA cm</w:t>
      </w:r>
      <w:r>
        <w:t xml:space="preserve"> </w:t>
      </w:r>
      <w:r>
        <w:t>−2</w:t>
      </w:r>
      <w:r>
        <w:t xml:space="preserve"> </w:t>
      </w:r>
      <w:r>
        <w:t>for 3000 h in 1.0 M KOH at 25°C. This work demonstrates the great potential of coordination complexes as robust active sites for Volmer step, a concept that can be extended to other electrocatalytic reactions involving water dissociation.</w:t>
      </w:r>
    </w:p>
    <w:p>
      <w:pPr>
        <w:spacing w:before="120" w:after="120"/>
      </w:pPr>
      <w:r>
        <w:rPr>
          <w:sz w:val="18"/>
        </w:rPr>
        <w:t>——————————————————————————————————————————————————————————————————————</w:t>
      </w:r>
    </w:p>
    <w:p>
      <w:pPr>
        <w:spacing w:before="160" w:after="40" w:line="240" w:lineRule="auto"/>
      </w:pPr>
      <w:r>
        <w:rPr>
          <w:b/>
        </w:rPr>
        <w:t xml:space="preserve">[18] </w:t>
      </w:r>
      <w:hyperlink r:id="rId162">
        <w:r>
          <w:rPr>
            <w:color w:val="1155CC"/>
            <w:u w:val="single"/>
          </w:rPr>
          <w:t>[ASAP] 减弱共价有机框架中亚胺键极化加速电荷和质子传输以实现高效光催化产氢</w:t>
        </w:r>
      </w:hyperlink>
    </w:p>
    <w:p>
      <w:pPr>
        <w:spacing w:before="0" w:after="80"/>
      </w:pPr>
      <w:r>
        <w:rPr>
          <w:i/>
          <w:sz w:val="20"/>
        </w:rPr>
        <w:t>EN: [ASAP] Attenuating Imine Bond Polarization in Covalent Organic Frameworks Accelerates Charge and Proton Transport for High-Efficiency Photocatalytic Hydrogen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2026-05-13 18:44:47+00:00</w:t>
      </w:r>
      <w:r>
        <w:t xml:space="preserve">    </w:t>
      </w:r>
      <w:r>
        <w:rPr>
          <w:b/>
        </w:rPr>
        <w:t xml:space="preserve">DOI: </w:t>
      </w:r>
      <w:hyperlink r:id="rId163">
        <w:r>
          <w:rPr>
            <w:color w:val="1155CC"/>
            <w:u w:val="single"/>
          </w:rPr>
          <w:t>10.1021/jacs.6c04124</w:t>
        </w:r>
      </w:hyperlink>
    </w:p>
    <w:p>
      <w:pPr>
        <w:spacing w:before="0" w:after="120"/>
      </w:pPr>
      <w:r>
        <w:rPr>
          <w:b/>
        </w:rPr>
        <w:t xml:space="preserve">Notes: </w:t>
      </w:r>
      <w:r>
        <w:t>abstract_source=pubmed</w:t>
      </w:r>
    </w:p>
    <w:p>
      <w:pPr>
        <w:spacing w:before="0" w:after="80" w:lineRule="auto" w:line="276"/>
      </w:pPr>
      <w:r>
        <w:rPr>
          <w:b/>
        </w:rPr>
        <w:t xml:space="preserve">摘要（ZH）: </w:t>
      </w:r>
      <w:r>
        <w:t>虽然共价有机框架（COFs）的结构可调性和π电子离域性使其成为光催化产氢的有前途候选者，但其亚胺键的内在极化常常阻碍有效的电荷分离和传输。为了克服这一基本的动力学障碍，我们报告了一种分子工程策略，通过在COF孔壁上功能化电子供体甲氧基（-OMe）基团来减弱亚胺键极化。这种结构调节显著增强了π共轭和层间相互作用，促进了有效的电荷分离并延长了电荷载流子的寿命。此外，甲氧基通过建立有序的氢键网络促进了最佳的质子传输。超快瞬态吸收光谱和质子导电性测量明确验证了框架内长寿命极化子和快速质子跃迁的生成。因此，经过工程化的甲氧基功能化COF实现了约100 mmol h-1 gcat-1的卓越光催化产氢速率，并在450 nm下获得了21.8 ± 0.80%的表观量子产率，远远优于其中性和电子吸引对手。这些机制见解为高性能亚胺连接COF光催化剂的合理设计提供了可靠的蓝图。</w:t>
      </w:r>
    </w:p>
    <w:p>
      <w:pPr>
        <w:spacing w:before="0" w:after="200" w:lineRule="auto" w:line="276"/>
      </w:pPr>
      <w:r>
        <w:rPr>
          <w:b/>
        </w:rPr>
        <w:t xml:space="preserve">Abstract (EN): </w:t>
      </w:r>
      <w:r>
        <w:t>While the structural tunability and π-electron delocalization of covalent organic frameworks (COFs) make them promising candidates for photocatalytic hydrogen evolution, the intrinsic polarization of their imine bonds often impedes efficient charge separation and transport. To overcome this fundamental kinetic barrier, we report a molecular engineering strategy that attenuates imine bond polarization through the functionalization of COF pore walls with electron-donating methoxy (-OMe) motifs. This structural modulation significantly enhances π-conjugation and interlayer interactions, promoting efficient charge separation and extending charge carrier lifetimes. Furthermore, the methoxy groups facilitate optimal proton transport by establishing an ordered hydrogen-bond network. Ultrafast transient absorption spectroscopy and proton conductivity measurements conclusively verify the generation of long-lived polarons and rapid proton hopping within the framework. Consequently, the engineered methoxy-functionalized COF achieves an exceptional photocatalytic hydrogen evolution rate of ca. 100 mmol h-1 gcat-1 and an apparent quantum yield of 21.8 ± 0.80% at 450 nm, vastly outperforming its neutral and electron-withdrawing counterparts. These mechanistic insights provide a dependable blueprint for the rational design of high-performance imine-linked COF photocatalysts.</w:t>
      </w:r>
    </w:p>
    <w:p>
      <w:pPr>
        <w:spacing w:before="120" w:after="120"/>
      </w:pPr>
      <w:r>
        <w:rPr>
          <w:sz w:val="18"/>
        </w:rPr>
        <w:t>——————————————————————————————————————————————————————————————————————</w:t>
      </w:r>
    </w:p>
    <w:p>
      <w:pPr>
        <w:spacing w:before="160" w:after="40" w:line="240" w:lineRule="auto"/>
      </w:pPr>
      <w:r>
        <w:rPr>
          <w:b/>
        </w:rPr>
        <w:t xml:space="preserve">[19] </w:t>
      </w:r>
      <w:hyperlink r:id="rId164">
        <w:r>
          <w:rPr>
            <w:color w:val="1155CC"/>
            <w:u w:val="single"/>
          </w:rPr>
          <w:t>高电气化情景下的最低甲醇后备</w:t>
        </w:r>
      </w:hyperlink>
    </w:p>
    <w:p>
      <w:pPr>
        <w:spacing w:before="0" w:after="80"/>
      </w:pPr>
      <w:r>
        <w:rPr>
          <w:i/>
          <w:sz w:val="20"/>
        </w:rPr>
        <w:t>EN: A minimal methanol backstop for high-electrification scenarios</w:t>
      </w:r>
    </w:p>
    <w:p>
      <w:pPr>
        <w:spacing w:before="0" w:after="120"/>
      </w:pPr>
      <w:r>
        <w:rPr>
          <w:b/>
        </w:rPr>
        <w:t xml:space="preserve">Source: </w:t>
      </w:r>
      <w:r>
        <w:t>Joule</w:t>
      </w:r>
      <w:r>
        <w:t xml:space="preserve">    </w:t>
      </w:r>
      <w:r>
        <w:rPr>
          <w:b/>
        </w:rPr>
        <w:t xml:space="preserve">Pub date: </w:t>
      </w:r>
      <w:r>
        <w:t>2026-05-14 00:00:00+00:00</w:t>
      </w:r>
      <w:r>
        <w:t xml:space="preserve">    </w:t>
      </w:r>
      <w:r>
        <w:rPr>
          <w:b/>
        </w:rPr>
        <w:t xml:space="preserve">DOI: </w:t>
      </w:r>
      <w:hyperlink r:id="rId165">
        <w:r>
          <w:rPr>
            <w:color w:val="1155CC"/>
            <w:u w:val="single"/>
          </w:rPr>
          <w:t>10.1016/j.joule.2026.102464</w:t>
        </w:r>
      </w:hyperlink>
    </w:p>
    <w:p>
      <w:pPr>
        <w:spacing w:before="0" w:after="120"/>
      </w:pPr>
      <w:r>
        <w:rPr>
          <w:b/>
        </w:rPr>
        <w:t xml:space="preserve">Notes: </w:t>
      </w:r>
      <w:r>
        <w:t>abstract_source=rss_cell</w:t>
      </w:r>
    </w:p>
    <w:p>
      <w:pPr>
        <w:spacing w:before="0" w:after="80" w:lineRule="auto" w:line="276"/>
      </w:pPr>
      <w:r>
        <w:rPr>
          <w:b/>
        </w:rPr>
        <w:t xml:space="preserve">摘要（ZH）: </w:t>
      </w:r>
      <w:r>
        <w:t>绿色甲醇为脱碳那些无法直接电气化的少数能源部门提供了一种具有竞争力且易于处理的替代方案。基于甲醇的净零能量系统仅比基于氢的系统贵2%–6%，有助于整合可持续的生物碳，并避免扩大氢基础设施的困难。</w:t>
      </w:r>
    </w:p>
    <w:p>
      <w:pPr>
        <w:spacing w:before="0" w:after="200" w:lineRule="auto" w:line="276"/>
      </w:pPr>
      <w:r>
        <w:rPr>
          <w:b/>
        </w:rPr>
        <w:t xml:space="preserve">Abstract (EN): </w:t>
      </w:r>
      <w:r>
        <w:t>Green methanol offers a competitive, easy-to-handle alternative to hydrogen for decarbonizing the few energy sectors that cannot be directly electrified. A methanol-based net-zero energy system is just 2%–6% more expensive than a hydrogen-based one, helps to integrate sustainable biogenic carbon, and avoids the difficulties of scaling up hydrogen infrastructure.</w:t>
      </w:r>
    </w:p>
    <w:p>
      <w:pPr>
        <w:spacing w:before="120" w:after="120"/>
      </w:pPr>
      <w:r>
        <w:rPr>
          <w:sz w:val="18"/>
        </w:rPr>
        <w:t>——————————————————————————————————————————————————————————————————————</w:t>
      </w:r>
    </w:p>
    <w:p>
      <w:pPr>
        <w:spacing w:before="160" w:after="40" w:line="240" w:lineRule="auto"/>
      </w:pPr>
      <w:r>
        <w:rPr>
          <w:b/>
        </w:rPr>
        <w:t xml:space="preserve">[20] </w:t>
      </w:r>
      <w:hyperlink r:id="rId166">
        <w:r>
          <w:rPr>
            <w:color w:val="1155CC"/>
            <w:u w:val="single"/>
          </w:rPr>
          <w:t>具有调制阴离子交换膜结构的阳极加压水电解</w:t>
        </w:r>
      </w:hyperlink>
    </w:p>
    <w:p>
      <w:pPr>
        <w:spacing w:before="0" w:after="80"/>
      </w:pPr>
      <w:r>
        <w:rPr>
          <w:i/>
          <w:sz w:val="20"/>
        </w:rPr>
        <w:t>EN: Anode-pressurized water electrolysis with modulated anion exchange membrane architecture</w:t>
      </w:r>
    </w:p>
    <w:p>
      <w:pPr>
        <w:spacing w:before="0" w:after="120"/>
      </w:pPr>
      <w:r>
        <w:rPr>
          <w:b/>
        </w:rPr>
        <w:t xml:space="preserve">Source: </w:t>
      </w:r>
      <w:r>
        <w:t>Nature Communications</w:t>
      </w:r>
      <w:r>
        <w:t xml:space="preserve">    </w:t>
      </w:r>
      <w:r>
        <w:rPr>
          <w:b/>
        </w:rPr>
        <w:t xml:space="preserve">Pub date: </w:t>
      </w:r>
      <w:r>
        <w:t>2026-05-14 00:00:00+00:00</w:t>
      </w:r>
      <w:r>
        <w:t xml:space="preserve">    </w:t>
      </w:r>
      <w:r>
        <w:rPr>
          <w:b/>
        </w:rPr>
        <w:t xml:space="preserve">DOI: </w:t>
      </w:r>
      <w:hyperlink r:id="rId167">
        <w:r>
          <w:rPr>
            <w:color w:val="1155CC"/>
            <w:u w:val="single"/>
          </w:rPr>
          <w:t>10.1038/s41467-026-72950-3</w:t>
        </w:r>
      </w:hyperlink>
    </w:p>
    <w:p>
      <w:pPr>
        <w:spacing w:before="0" w:after="120"/>
      </w:pPr>
      <w:r>
        <w:rPr>
          <w:b/>
        </w:rPr>
        <w:t xml:space="preserve">Notes: </w:t>
      </w:r>
      <w:r>
        <w:t>abstract_source=nature_html</w:t>
      </w:r>
    </w:p>
    <w:p>
      <w:pPr>
        <w:spacing w:before="0" w:after="80" w:lineRule="auto" w:line="276"/>
      </w:pPr>
      <w:r>
        <w:rPr>
          <w:b/>
        </w:rPr>
        <w:t xml:space="preserve">摘要（ZH）: </w:t>
      </w:r>
      <w:r>
        <w:t>阴离子交换膜水电解槽为经济高效的绿色H2生成提供了一种有前景的方法，而碱性介质和干阴极条件的整合本质上禁止了在高电流密度下的充分H2O/OH-传导。在此，我们开发了一种季胺功能化膜，具有调节的纳米多孔结构，并利用其与具有阳极到阴极压力梯度的调节配置的协同作用。通过促进H2O在互连的亲水纳米通道中的渗透，使用NiFe阳极在2 V和90°C下实现了11.2 A·cm−2的性能，同时足够的膜强度和耐久性使其在1 A·cm−2下运行2000小时，衰减抑制为−1。缩小的（1-2 nm）气体通道与施加的压力梯度协调，以减轻H2交叉，提高对各种静态-动态场景的适应性。1.8 $·kg−1的令人鼓舞的H2平准化成本揭示了大规模部署的前景，而这种提出的膜-条件协作推动了下一代能源技术的创新。</w:t>
      </w:r>
    </w:p>
    <w:p>
      <w:pPr>
        <w:spacing w:before="0" w:after="200" w:lineRule="auto" w:line="276"/>
      </w:pPr>
      <w:r>
        <w:rPr>
          <w:b/>
        </w:rPr>
        <w:t xml:space="preserve">Abstract (EN): </w:t>
      </w:r>
      <w:r>
        <w:t>Anion exchange membrane water electrolyzers present a promising approach to cost-effective green H2 generation, whereas integration of alkaline media and dry-cathode conditions intrinsically forbids adequate H2O/OH- conduction for efficient operation at high current densities. Herein, we develop a quinuclidinium-functionalized membrane possessing a modulated nano-porous architecture, and exploit its synergy with regulated configuration featuring an anode-to-cathode pressure gradient. By facilitating H2O permeation across interconnected hydrophilic nano-channels, a performance of 11.2 A·cm−2 at 2 V and 90 °C is realized using a NiFe anode, while sufficient membrane robustness and durability enable 2000 h operation at 1 A·cm−2 with suppressed decay of −1. The narrowed (1-2 nm) gas avenues coordinate with applied pressure gradient to mitigate H2 crossover, improving adaptability to various static-dynamic scenarios. An encouraging levelized cost of H2 of 1.8 $·kg−1 unveils the promise for up-scaled deployment, and this proposed membrane-condition collaboration advances to innovate next-generation energy technologies.</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68">
        <w:r>
          <w:rPr>
            <w:color w:val="1155CC"/>
            <w:u w:val="single"/>
          </w:rPr>
          <w:t>寒冷气候下离网工业建筑的绿色能源框架和前景</w:t>
        </w:r>
      </w:hyperlink>
    </w:p>
    <w:p>
      <w:pPr>
        <w:spacing w:before="0" w:after="80"/>
      </w:pPr>
      <w:r>
        <w:rPr>
          <w:i/>
          <w:sz w:val="20"/>
        </w:rPr>
        <w:t>EN: A green energy framework and perspectives for off-grid industrial buildings in cold climates</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69">
        <w:r>
          <w:rPr>
            <w:color w:val="1155CC"/>
            <w:u w:val="single"/>
          </w:rPr>
          <w:t>氢耦合实现高效零碳电冶金</w:t>
        </w:r>
      </w:hyperlink>
    </w:p>
    <w:p>
      <w:pPr>
        <w:spacing w:before="0" w:after="80"/>
      </w:pPr>
      <w:r>
        <w:rPr>
          <w:i/>
          <w:sz w:val="20"/>
        </w:rPr>
        <w:t>EN: Hydrogen Coupling Enables High‐Efficiency Zero‐Carbon Electrometallurgy</w:t>
      </w:r>
    </w:p>
    <w:p>
      <w:pPr>
        <w:spacing w:before="0" w:after="120"/>
      </w:pPr>
      <w:r>
        <w:rPr>
          <w:b/>
        </w:rPr>
        <w:t xml:space="preserve">Source: </w:t>
      </w:r>
      <w:r>
        <w:t>Wiley: Advanced Energy Materials: Table of Contents</w:t>
      </w:r>
      <w:r>
        <w:t xml:space="preserve">    </w:t>
      </w:r>
      <w:r>
        <w:rPr>
          <w:b/>
        </w:rPr>
        <w:t xml:space="preserve">Pub date: </w:t>
      </w:r>
      <w:r>
        <w:t>2026-05-11 07:20:36+00:00</w:t>
      </w:r>
      <w:r>
        <w:t xml:space="preserve">    </w:t>
      </w:r>
      <w:r>
        <w:rPr>
          <w:b/>
        </w:rPr>
        <w:t xml:space="preserve">DOI: </w:t>
      </w:r>
      <w:hyperlink r:id="rId170">
        <w:r>
          <w:rPr>
            <w:color w:val="1155CC"/>
            <w:u w:val="single"/>
          </w:rPr>
          <w:t>10.1002/aenm.71030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钢铁行业对碳密集型高炉炼铁的依赖对全球脱碳构成了重大障碍。电冶金被提议作为减少碳排放的一种手段。然而，这些技术在能耗和效率方面落后于高炉炼铁，阻碍了其广泛采用。在此，我们介绍了一种氢耦合策略，即零碳电化学还原矿石（ZERO）技术，实现了零碳铁生产，具有卓越的能效。通过用氢氧化反应（HOR）替代传统的氧气演化阳极，ZERO将电池电压降低了50%以上（在100 mA cm−2时为1.3 V对比2.9 V），同时保持94%的铁纯度。热力学和动力学分析表明，HOR的低过电位和更快的动力学在电解过程中最大限度地减少了能量损失，总能耗仅为每公吨2.76 MWh（包括氢气生产）——显著低于传统高炉炼铁（每公吨5.86 MWh）和现有低碳炼铁方法（每公吨超过3.0 MWh）。此外，ZERO在温和条件下运行，其解耦设计能够与波动的可再生能源无缝集成，提供了一种可扩展的电化学途径，用于可持续钢铁生产并推进重工业脱碳。</w:t>
      </w:r>
    </w:p>
    <w:p>
      <w:pPr>
        <w:spacing w:before="0" w:after="200" w:lineRule="auto" w:line="276"/>
      </w:pPr>
      <w:r>
        <w:rPr>
          <w:b/>
        </w:rPr>
        <w:t xml:space="preserve">Abstract (EN): </w:t>
      </w:r>
      <w:r>
        <w:t>The steel industry's reliance on carbon‐intensive blast furnace ironmaking poses a significant barrier to global decarbonization. Electrometallurgy has been proposed as a means to cut carbon emissions. Yet, these technologies lag behind blast furnace ironmaking in energy consumption and efficiency, hindering their widespread adoption. Here, we introduce a hydrogen coupling strategy, namely the zero‐carbon electrochemical reduction of ore (ZERO) technology, which achieves zero‐carbon iron production with exceptional energy efficiency. By replacing the conventional oxygen evolution anode with a hydrogen oxidation reaction (HOR), ZERO reduces cell voltage by over 50% (1.3 versus 2.9 V at 100 mA cm</w:t>
      </w:r>
      <w:r>
        <w:t xml:space="preserve"> </w:t>
      </w:r>
      <w:r>
        <w:t>−2</w:t>
      </w:r>
      <w:r>
        <w:t xml:space="preserve"> </w:t>
      </w:r>
      <w:r>
        <w:t>) while maintaining 94% iron purity. Thermodynamic and kinetic analyses reveal that HOR's low overpotential and faster kinetics minimize energy losses during electrolysis, yielding a total energy consumption of only 2.76 MWh per metric ton (including hydrogen production)—significantly lower than traditional blast furnace ironmaking (5.86 MWh per metric ton) and existing low‐carbon ironmaking methods (more than 3.0 MWh per metric ton). Furthermore, ZERO operates under mild conditions, and its decoupled design enables seamless integration with fluctuating renewables, offering a scalable electrochemical route for sustainable steel production and advancing heavy industry decarbonization.</w:t>
      </w:r>
    </w:p>
    <w:p>
      <w:pPr>
        <w:spacing w:before="120" w:after="120"/>
      </w:pPr>
      <w:r>
        <w:rPr>
          <w:sz w:val="18"/>
        </w:rPr>
        <w:t>——————————————————————————————————————————————————————————————————————</w:t>
      </w:r>
    </w:p>
    <w:p>
      <w:pPr>
        <w:spacing w:before="160" w:after="40" w:line="240" w:lineRule="auto"/>
      </w:pPr>
      <w:r>
        <w:rPr>
          <w:b/>
        </w:rPr>
        <w:t xml:space="preserve">[3] </w:t>
      </w:r>
      <w:hyperlink r:id="rId171">
        <w:r>
          <w:rPr>
            <w:color w:val="1155CC"/>
            <w:u w:val="single"/>
          </w:rPr>
          <w:t>[ASAP] 电化学合成硅酸钙水合物用于低碳水泥</w:t>
        </w:r>
      </w:hyperlink>
    </w:p>
    <w:p>
      <w:pPr>
        <w:spacing w:before="0" w:after="80"/>
      </w:pPr>
      <w:r>
        <w:rPr>
          <w:i/>
          <w:sz w:val="20"/>
        </w:rPr>
        <w:t>EN: [ASAP] Electrochemical Synthesis of Calcium Silicate Hydrate for Low Carbon Cement</w:t>
      </w:r>
    </w:p>
    <w:p>
      <w:pPr>
        <w:spacing w:before="0" w:after="120"/>
      </w:pPr>
      <w:r>
        <w:rPr>
          <w:b/>
        </w:rPr>
        <w:t xml:space="preserve">Source: </w:t>
      </w:r>
      <w:r>
        <w:t>ACS Energy Letters: Latest Articles (ACS Publications)</w:t>
      </w:r>
      <w:r>
        <w:t xml:space="preserve">    </w:t>
      </w:r>
      <w:r>
        <w:rPr>
          <w:b/>
        </w:rPr>
        <w:t xml:space="preserve">Pub date: </w:t>
      </w:r>
      <w:r>
        <w:t>2026-05-13 12:00:01+00:00</w:t>
      </w:r>
      <w:r>
        <w:t xml:space="preserve">    </w:t>
      </w:r>
      <w:r>
        <w:rPr>
          <w:b/>
        </w:rPr>
        <w:t xml:space="preserve">DOI: </w:t>
      </w:r>
      <w:hyperlink r:id="rId172">
        <w:r>
          <w:rPr>
            <w:color w:val="1155CC"/>
            <w:u w:val="single"/>
          </w:rPr>
          <w:t>10.1021/acsenergylett.5c04150</w:t>
        </w:r>
      </w:hyperlink>
    </w:p>
    <w:p>
      <w:pPr>
        <w:spacing w:before="0" w:after="120"/>
      </w:pPr>
      <w:r>
        <w:rPr>
          <w:b/>
        </w:rPr>
        <w:t xml:space="preserve">Notes: </w:t>
      </w:r>
      <w:r>
        <w:t>abstract_source=openalex</w:t>
      </w:r>
    </w:p>
    <w:p>
      <w:pPr>
        <w:spacing w:before="0" w:after="80" w:lineRule="auto" w:line="276"/>
      </w:pPr>
      <w:r>
        <w:rPr>
          <w:b/>
        </w:rPr>
        <w:t xml:space="preserve">摘要（ZH）: </w:t>
      </w:r>
      <w:r>
        <w:t>普通硅酸盐水泥熟料主要由三钙硅酸盐（阿利特）组成，并含有一定浓度的二钙硅酸盐（贝利特）。贝利特在比阿利特更低的温度下形成（1200 °C对比1500 °C）。在此，我们报告了一种连续电化学反应器，该反应器利用电力将石灰石和二氧化硅转化为硅酸钙水合物（“eCSH”）。加热时，这种eCSH转化为贝利特。重要的是，这种贝利特仅在650 °C下形成（对比传统石灰石和SiO2形成时的1200 °C）。我们还展示了我们可以从废水泥中形成eCSH，进而形成贝利特，这一过程计算每吨富含贝利特的水泥熟料仅排放20公斤CO2（对比普通硅酸盐水泥熟料每吨排放800公斤CO2）。因此，这项研究提出了一条可信的途径，可以分别减少水泥生产的热需求和CO2排放70%和98%。</w:t>
      </w:r>
    </w:p>
    <w:p>
      <w:pPr>
        <w:spacing w:before="0" w:after="200" w:lineRule="auto" w:line="276"/>
      </w:pPr>
      <w:r>
        <w:rPr>
          <w:b/>
        </w:rPr>
        <w:t xml:space="preserve">Abstract (EN): </w:t>
      </w:r>
      <w:r>
        <w:t>Ordinary Portland cement clinker consists predominantly of tricalcium silicate (alite), along with concentrations of dicalcium silicate (belite). Belite forms at lower temperatures than alite (1200 °C c.f. 1500 °C). Here, we report a continuous electrochemical reactor that uses electricity to convert limestone and silica into calcium silicate hydrate (“eCSH”). When heated, this eCSH is converted into belite. Importantly, this belite formed at merely 650 °C (c.f. 1200 °C when formed from conventional limestone and SiO2). We also show we can form eCSH and, in turn, belite from waste cement, a process calculated to emit only 20 kg of CO2 per ton of belite-rich cement clinker (c.f. 800 kg of CO2 per ton of ordinary Portland cement clinker). This study therefore presents a credible path for decreasing the thermal demand and CO2 emissions for cement production by 70% and 98%, respectively.</w:t>
      </w:r>
    </w:p>
    <w:p>
      <w:pPr>
        <w:spacing w:before="120" w:after="120"/>
      </w:pPr>
      <w:r>
        <w:rPr>
          <w:sz w:val="18"/>
        </w:rPr>
        <w:t>——————————————————————————————————————————————————————————————————————</w:t>
      </w:r>
    </w:p>
    <w:p>
      <w:pPr>
        <w:spacing w:before="160" w:after="40" w:line="240" w:lineRule="auto"/>
      </w:pPr>
      <w:r>
        <w:rPr>
          <w:b/>
        </w:rPr>
        <w:t xml:space="preserve">[4] </w:t>
      </w:r>
      <w:hyperlink r:id="rId173">
        <w:r>
          <w:rPr>
            <w:color w:val="1155CC"/>
            <w:u w:val="single"/>
          </w:rPr>
          <w:t>识别德国钢铁行业脱碳的障碍作为可行性评估的基础</w:t>
        </w:r>
      </w:hyperlink>
    </w:p>
    <w:p>
      <w:pPr>
        <w:spacing w:before="0" w:after="80"/>
      </w:pPr>
      <w:r>
        <w:rPr>
          <w:i/>
          <w:sz w:val="20"/>
        </w:rPr>
        <w:t>EN: Identification of barriers to decarbonise the German steel industry as a basis for a feasibility assessment</w:t>
      </w:r>
    </w:p>
    <w:p>
      <w:pPr>
        <w:spacing w:before="0" w:after="120"/>
      </w:pPr>
      <w:r>
        <w:rPr>
          <w:b/>
        </w:rPr>
        <w:t xml:space="preserve">Source: </w:t>
      </w:r>
      <w:r>
        <w:t>ScienceDirect Publication: Energy Policy</w:t>
      </w:r>
      <w:r>
        <w:t xml:space="preserve">    </w:t>
      </w:r>
      <w:r>
        <w:rPr>
          <w:b/>
        </w:rPr>
        <w:t xml:space="preserve">Pub date: </w:t>
      </w:r>
      <w:r>
        <w:t>2026-05-14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74">
        <w:r>
          <w:rPr>
            <w:color w:val="1155CC"/>
            <w:u w:val="single"/>
          </w:rPr>
          <w:t>基于合作谈判的CCUS综合电力和天然气系统规划</w:t>
        </w:r>
      </w:hyperlink>
    </w:p>
    <w:p>
      <w:pPr>
        <w:spacing w:before="0" w:after="80"/>
      </w:pPr>
      <w:r>
        <w:rPr>
          <w:i/>
          <w:sz w:val="20"/>
        </w:rPr>
        <w:t>EN: Cooperative bargaining-based integrated electricity and gas system planning with CCUS</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75">
        <w:r>
          <w:rPr>
            <w:color w:val="1155CC"/>
            <w:u w:val="single"/>
          </w:rPr>
          <w:t>用于CO2转化的自旋增强催化的出现</w:t>
        </w:r>
      </w:hyperlink>
    </w:p>
    <w:p>
      <w:pPr>
        <w:spacing w:before="0" w:after="80"/>
      </w:pPr>
      <w:r>
        <w:rPr>
          <w:i/>
          <w:sz w:val="20"/>
        </w:rPr>
        <w:t>EN: The Emergence of Spin‐Enhanced Catalysis for CO2 Conversion</w:t>
      </w:r>
    </w:p>
    <w:p>
      <w:pPr>
        <w:spacing w:before="0" w:after="120"/>
      </w:pPr>
      <w:r>
        <w:rPr>
          <w:b/>
        </w:rPr>
        <w:t xml:space="preserve">Source: </w:t>
      </w:r>
      <w:r>
        <w:t>Wiley: Advanced Materials: Table of Contents</w:t>
      </w:r>
      <w:r>
        <w:t xml:space="preserve">    </w:t>
      </w:r>
      <w:r>
        <w:rPr>
          <w:b/>
        </w:rPr>
        <w:t xml:space="preserve">Pub date: </w:t>
      </w:r>
      <w:r>
        <w:t>2026-05-09 06:03:34+00:00</w:t>
      </w:r>
      <w:r>
        <w:t xml:space="preserve">    </w:t>
      </w:r>
      <w:r>
        <w:rPr>
          <w:b/>
        </w:rPr>
        <w:t xml:space="preserve">DOI: </w:t>
      </w:r>
      <w:hyperlink r:id="rId176">
        <w:r>
          <w:rPr>
            <w:color w:val="1155CC"/>
            <w:u w:val="single"/>
          </w:rPr>
          <w:t>10.1002/adma.73300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自旋催化为通过利用自旋依赖的电荷转移和自由基反应途径克服二氧化碳（CO</w:t>
      </w:r>
      <w:r>
        <w:rPr>
          <w:vertAlign w:val="subscript"/>
        </w:rPr>
        <w:t>2</w:t>
      </w:r>
      <w:r>
        <w:t>）转化的传统性能限制提供了新的机会。因此，清晰理解自旋效应和有效的自旋调控策略对于推进CO</w:t>
      </w:r>
      <w:r>
        <w:rPr>
          <w:vertAlign w:val="subscript"/>
        </w:rPr>
        <w:t>2</w:t>
      </w:r>
      <w:r>
        <w:t>转化催化至关重要。本综述简要总结了自旋增强CO</w:t>
      </w:r>
      <w:r>
        <w:rPr>
          <w:vertAlign w:val="subscript"/>
        </w:rPr>
        <w:t>2</w:t>
      </w:r>
      <w:r>
        <w:t>转化的基本机制和一些代表性例子，强调了它们在引导CO</w:t>
      </w:r>
      <w:r>
        <w:rPr>
          <w:vertAlign w:val="subscript"/>
        </w:rPr>
        <w:t>2</w:t>
      </w:r>
      <w:r>
        <w:t>转化为高附加值产品中的重要性。首先介绍了自旋依赖的反应途径和催化活性位点的自旋调控，随后讨论了自旋增强CO</w:t>
      </w:r>
      <w:r>
        <w:rPr>
          <w:vertAlign w:val="subscript"/>
        </w:rPr>
        <w:t>2</w:t>
      </w:r>
      <w:r>
        <w:t>转化的新兴方法。基于外部磁场和内部磁相互作用的自旋催化策略被提出，强调了它们在促进光催化和电催化CO</w:t>
      </w:r>
      <w:r>
        <w:rPr>
          <w:vertAlign w:val="subscript"/>
        </w:rPr>
        <w:t>2</w:t>
      </w:r>
      <w:r>
        <w:t>还原向多样化和高附加值产品转化中的作用。此外，原位/操作中表征技术对于探索自旋催化的基本机制和在CO</w:t>
      </w:r>
      <w:r>
        <w:rPr>
          <w:vertAlign w:val="subscript"/>
        </w:rPr>
        <w:t>2</w:t>
      </w:r>
      <w:r>
        <w:t>转化过程中追踪自旋敏感反应中间体至关重要。最后，</w:t>
      </w:r>
    </w:p>
    <w:p>
      <w:pPr>
        <w:spacing w:before="0" w:after="200" w:lineRule="auto" w:line="276"/>
      </w:pPr>
      <w:r>
        <w:rPr>
          <w:b/>
        </w:rPr>
        <w:t xml:space="preserve">Abstract (EN): </w:t>
      </w:r>
      <w:r>
        <w:t>Spin catalysis provides a new opportunity to overcome conventional performance limits in carbon dioxide (CO</w:t>
      </w:r>
      <w:r>
        <w:rPr>
          <w:vertAlign w:val="subscript"/>
        </w:rPr>
        <w:t>2</w:t>
      </w:r>
      <w:r>
        <w:t>) conversion by exploiting spin‐dependent charge transfer and radical reaction pathways. A clear understanding of spin effects and effective strategies for spin regulation is therefore essential for advancing CO</w:t>
      </w:r>
      <w:r>
        <w:rPr>
          <w:vertAlign w:val="subscript"/>
        </w:rPr>
        <w:t>2</w:t>
      </w:r>
      <w:r>
        <w:t>conversion catalysis. This review briefly summarizes recent advances in the underlying mechanisms and a few representative examples of spin‐enhanced CO</w:t>
      </w:r>
      <w:r>
        <w:rPr>
          <w:vertAlign w:val="subscript"/>
        </w:rPr>
        <w:t>2</w:t>
      </w:r>
      <w:r>
        <w:t>conversion, highlighting their importance in steering CO</w:t>
      </w:r>
      <w:r>
        <w:rPr>
          <w:vertAlign w:val="subscript"/>
        </w:rPr>
        <w:t>2</w:t>
      </w:r>
      <w:r>
        <w:t>conversion toward high value‐added products. It begins with an introduction to spin‐dependent reaction pathways and spin regulation at catalytic active sites, followed by a discussion of emerging approaches for spin‐enhanced CO</w:t>
      </w:r>
      <w:r>
        <w:rPr>
          <w:vertAlign w:val="subscript"/>
        </w:rPr>
        <w:t>2</w:t>
      </w:r>
      <w:r>
        <w:t>conversion. Spin catalysis strategies based on external magnetic fields and internal magnetic interactions are presented, highlighting their roles in promoting photocatalytic and electrocatalytic CO</w:t>
      </w:r>
      <w:r>
        <w:rPr>
          <w:vertAlign w:val="subscript"/>
        </w:rPr>
        <w:t>2</w:t>
      </w:r>
      <w:r>
        <w:t>reduction toward diverse and value‐added products. Besides,</w:t>
      </w:r>
      <w:r>
        <w:t xml:space="preserve"> </w:t>
      </w:r>
      <w:r>
        <w:t>in situ/operando</w:t>
      </w:r>
      <w:r>
        <w:t xml:space="preserve"> </w:t>
      </w:r>
      <w:r>
        <w:t>characterization techniques are essential for exploring the underlying mechanisms of spin catalysis and tracking the spin‐sensitive reaction intermediates during CO</w:t>
      </w:r>
      <w:r>
        <w:rPr>
          <w:vertAlign w:val="subscript"/>
        </w:rPr>
        <w:t>2</w:t>
      </w:r>
      <w:r>
        <w:t>conversion. Finally, key challenges and future opportunities in the design of spin catalysts, as well as the reactor engineering for practical applications, are discussed, advancing the concept of spin catalysis for achieving sustainable CO</w:t>
      </w:r>
      <w:r>
        <w:rPr>
          <w:vertAlign w:val="subscript"/>
        </w:rPr>
        <w:t>2</w:t>
      </w:r>
      <w:r>
        <w:t>conversion.</w:t>
      </w:r>
    </w:p>
    <w:p>
      <w:pPr>
        <w:spacing w:before="120" w:after="120"/>
      </w:pPr>
      <w:r>
        <w:rPr>
          <w:sz w:val="18"/>
        </w:rPr>
        <w:t>——————————————————————————————————————————————————————————————————————</w:t>
      </w:r>
    </w:p>
    <w:p>
      <w:pPr>
        <w:spacing w:before="160" w:after="40" w:line="240" w:lineRule="auto"/>
      </w:pPr>
      <w:r>
        <w:rPr>
          <w:b/>
        </w:rPr>
        <w:t xml:space="preserve">[3] </w:t>
      </w:r>
      <w:hyperlink r:id="rId177">
        <w:r>
          <w:rPr>
            <w:color w:val="1155CC"/>
            <w:u w:val="single"/>
          </w:rPr>
          <w:t>[ASAP] 不饱和ZrOx位点促进C–C偶联以选择性CO2加氢生成烯烃</w:t>
        </w:r>
      </w:hyperlink>
    </w:p>
    <w:p>
      <w:pPr>
        <w:spacing w:before="0" w:after="80"/>
      </w:pPr>
      <w:r>
        <w:rPr>
          <w:i/>
          <w:sz w:val="20"/>
        </w:rPr>
        <w:t>EN: [ASAP] Unsaturated ZrOx Sites Boost C–C Coupling for Selective CO2 Hydrogenation to Olefins</w:t>
      </w:r>
    </w:p>
    <w:p>
      <w:pPr>
        <w:spacing w:before="0" w:after="120"/>
      </w:pPr>
      <w:r>
        <w:rPr>
          <w:b/>
        </w:rPr>
        <w:t xml:space="preserve">Source: </w:t>
      </w:r>
      <w:r>
        <w:t>Journal of the American Chemical Society: Latest Articles (ACS Publications)</w:t>
      </w:r>
      <w:r>
        <w:t xml:space="preserve">    </w:t>
      </w:r>
      <w:r>
        <w:rPr>
          <w:b/>
        </w:rPr>
        <w:t xml:space="preserve">Pub date: </w:t>
      </w:r>
      <w:r>
        <w:t>2026-05-09 13:03:24+00:00</w:t>
      </w:r>
      <w:r>
        <w:t xml:space="preserve">    </w:t>
      </w:r>
      <w:r>
        <w:rPr>
          <w:b/>
        </w:rPr>
        <w:t xml:space="preserve">DOI: </w:t>
      </w:r>
      <w:hyperlink r:id="rId178">
        <w:r>
          <w:rPr>
            <w:color w:val="1155CC"/>
            <w:u w:val="single"/>
          </w:rPr>
          <w:t>10.1021/jacs.6c02733</w:t>
        </w:r>
      </w:hyperlink>
    </w:p>
    <w:p>
      <w:pPr>
        <w:spacing w:before="0" w:after="120"/>
      </w:pPr>
      <w:r>
        <w:rPr>
          <w:b/>
        </w:rPr>
        <w:t xml:space="preserve">Notes: </w:t>
      </w:r>
      <w:r>
        <w:t>abstract_source=pubmed</w:t>
      </w:r>
    </w:p>
    <w:p>
      <w:pPr>
        <w:spacing w:before="0" w:after="80" w:lineRule="auto" w:line="276"/>
      </w:pPr>
      <w:r>
        <w:rPr>
          <w:b/>
        </w:rPr>
        <w:t xml:space="preserve">摘要（ZH）: </w:t>
      </w:r>
      <w:r>
        <w:t>使用可再生氢气直接加氢CO2以合成燃料和烯烃仍然具有挑战性，因为缺乏低成本、活性和高选择性的催化剂。目前的催化系统通常表现出过高的CO选择性或产生大量烷烃，导致低烯烃-烷烃（O/P）比，限制了氢气利用效率。在此，我们报告了一种不饱和ZrOx改性的铁催化剂（Na-Fe/a-ZrO2），在有机产物中提供超过80%的烯烃选择性，同时将CO+CH4的总选择性抑制到低于25%，并将O/P比提高到约28。多模式原位/操作光谱学和基于同步辐射的真空紫外光电离质谱（SVUV-PIMS）表明，不饱和ZrOx位点可以调节表面结合的*CO中间体的活化模式，并选择性地促进*CO插入烷基物种。此过程消耗了本会解吸形成不良副产物的反应中间体，从而实现了与氢气高效CO2转化兼容的选择性烯烃合成。</w:t>
      </w:r>
    </w:p>
    <w:p>
      <w:pPr>
        <w:spacing w:before="0" w:after="200" w:lineRule="auto" w:line="276"/>
      </w:pPr>
      <w:r>
        <w:rPr>
          <w:b/>
        </w:rPr>
        <w:t xml:space="preserve">Abstract (EN): </w:t>
      </w:r>
      <w:r>
        <w:t>Direct hydrogenation of CO2 to synthetic fuels and olefins using renewable hydrogen remains challenging owing to the scarcity of low-cost, active, and highly selective catalysts. Current catalytic systems often exhibit either excessive CO selectivity or generate substantial alkanes to cause a low olefin-to-paraffin (O/P) ratio that limits hydrogen utilization efficiency. Herein, we report an unsaturated ZrOx-modified iron catalyst (Na-Fe/a-ZrO2) that delivers an olefin selectivity exceeding 80% among organic products, while suppressing the combined CO+CH4 selectivity to below 25% and raising the O/P ratio to as high as ∼28. Multimodal in situ/operando spectroscopies and synchrotron-based vacuum ultraviolet photoionization mass spectrometry (SVUV-PIMS) demonstrate that unsaturated ZrOx sites can modulate the activation modes of surface-bound *CO intermediates and selectively promote *CO insertion into alkyl species. This process consumes reactive intermediates that would otherwise desorb to form undesirable byproducts, thereby enabling selective olefin synthesis compatible with hydrogen-efficient CO2 conversion.</w:t>
      </w:r>
    </w:p>
    <w:p>
      <w:pPr>
        <w:spacing w:before="120" w:after="120"/>
      </w:pPr>
      <w:r>
        <w:rPr>
          <w:sz w:val="18"/>
        </w:rPr>
        <w:t>——————————————————————————————————————————————————————————————————————</w:t>
      </w:r>
    </w:p>
    <w:p>
      <w:pPr>
        <w:spacing w:before="160" w:after="40" w:line="240" w:lineRule="auto"/>
      </w:pPr>
      <w:r>
        <w:rPr>
          <w:b/>
        </w:rPr>
        <w:t xml:space="preserve">[4] </w:t>
      </w:r>
      <w:hyperlink r:id="rId179">
        <w:r>
          <w:rPr>
            <w:color w:val="1155CC"/>
            <w:u w:val="single"/>
          </w:rPr>
          <w:t>通过微滴启用的界面电场解锁光催化CO2转化为乙二醇</w:t>
        </w:r>
      </w:hyperlink>
    </w:p>
    <w:p>
      <w:pPr>
        <w:spacing w:before="0" w:after="80"/>
      </w:pPr>
      <w:r>
        <w:rPr>
          <w:i/>
          <w:sz w:val="20"/>
        </w:rPr>
        <w:t>EN: Unlocking Photocatalytic CO2 Conversion to Ethylene Glycol by Microdroplet‐Enabled Interfacial Electric Field</w:t>
      </w:r>
    </w:p>
    <w:p>
      <w:pPr>
        <w:spacing w:before="0" w:after="120"/>
      </w:pPr>
      <w:r>
        <w:rPr>
          <w:b/>
        </w:rPr>
        <w:t xml:space="preserve">Source: </w:t>
      </w:r>
      <w:r>
        <w:t>Wiley: Angewandte Chemie International Edition: Table of Contents</w:t>
      </w:r>
      <w:r>
        <w:t xml:space="preserve">    </w:t>
      </w:r>
      <w:r>
        <w:rPr>
          <w:b/>
        </w:rPr>
        <w:t xml:space="preserve">Pub date: </w:t>
      </w:r>
      <w:r>
        <w:t>2026-05-09 16:14:59+00:00</w:t>
      </w:r>
      <w:r>
        <w:t xml:space="preserve">    </w:t>
      </w:r>
      <w:r>
        <w:rPr>
          <w:b/>
        </w:rPr>
        <w:t xml:space="preserve">DOI: </w:t>
      </w:r>
      <w:hyperlink r:id="rId180">
        <w:r>
          <w:rPr>
            <w:color w:val="1155CC"/>
            <w:u w:val="single"/>
          </w:rPr>
          <w:t>10.1002/anie.6306355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电化学二氧化碳（CO</w:t>
      </w:r>
      <w:r>
        <w:rPr>
          <w:vertAlign w:val="subscript"/>
        </w:rPr>
        <w:t>2</w:t>
      </w:r>
      <w:r>
        <w:t>）还原具有碳中和和化学升级的吸引力潜力，而光催化或电催化的产物类型仍然有限。将CO</w:t>
      </w:r>
      <w:r>
        <w:rPr>
          <w:vertAlign w:val="subscript"/>
        </w:rPr>
        <w:t>2</w:t>
      </w:r>
      <w:r>
        <w:t>转化为乙二醇，这是一种通常通过热催化过程生产的重要化学品，尚未通过光催化或电催化实现。在此，我们展示了一种微滴增强的光催化策略，使用Pd-TiO</w:t>
      </w:r>
      <w:r>
        <w:rPr>
          <w:vertAlign w:val="subscript"/>
        </w:rPr>
        <w:t>2</w:t>
      </w:r>
      <w:r>
        <w:t>催化剂，实现了CO</w:t>
      </w:r>
      <w:r>
        <w:rPr>
          <w:vertAlign w:val="subscript"/>
        </w:rPr>
        <w:t>2</w:t>
      </w:r>
      <w:r>
        <w:t>向乙二醇的高选择性高效转化。电喷微滴提供了高界面电场，促进了CO</w:t>
      </w:r>
      <w:r>
        <w:rPr>
          <w:vertAlign w:val="subscript"/>
        </w:rPr>
        <w:t>2</w:t>
      </w:r>
      <w:r>
        <w:t>向*CH</w:t>
      </w:r>
      <w:r>
        <w:rPr>
          <w:vertAlign w:val="subscript"/>
        </w:rPr>
        <w:t>3</w:t>
      </w:r>
      <w:r>
        <w:t>的深度还原，以及生成活性*OH中间体以形成CH</w:t>
      </w:r>
      <w:r>
        <w:rPr>
          <w:vertAlign w:val="subscript"/>
        </w:rPr>
        <w:t>3</w:t>
      </w:r>
      <w:r>
        <w:t>OH。原位形成的CH</w:t>
      </w:r>
      <w:r>
        <w:rPr>
          <w:vertAlign w:val="subscript"/>
        </w:rPr>
        <w:t>3</w:t>
      </w:r>
      <w:r>
        <w:t>OH进一步通过光催化活化以裂解C−H键为*CH</w:t>
      </w:r>
      <w:r>
        <w:rPr>
          <w:vertAlign w:val="subscript"/>
        </w:rPr>
        <w:t>2</w:t>
      </w:r>
      <w:r>
        <w:t>OH，随后通过C−C偶联生成乙二醇。在1太阳光照下，电喷微滴和Pd-TiO</w:t>
      </w:r>
      <w:r>
        <w:rPr>
          <w:vertAlign w:val="subscript"/>
        </w:rPr>
        <w:t>2</w:t>
      </w:r>
      <w:r>
        <w:t>催化剂表现出高的CO</w:t>
      </w:r>
      <w:r>
        <w:rPr>
          <w:vertAlign w:val="subscript"/>
        </w:rPr>
        <w:t>2</w:t>
      </w:r>
      <w:r>
        <w:t>到乙二醇的转化率为2985 µmol L</w:t>
      </w:r>
    </w:p>
    <w:p>
      <w:pPr>
        <w:spacing w:before="0" w:after="200" w:lineRule="auto" w:line="276"/>
      </w:pPr>
      <w:r>
        <w:rPr>
          <w:b/>
        </w:rPr>
        <w:t xml:space="preserve">Abstract (EN): </w:t>
      </w:r>
      <w:r>
        <w:t>The electrochemical carbon dioxide (CO</w:t>
      </w:r>
      <w:r>
        <w:rPr>
          <w:vertAlign w:val="subscript"/>
        </w:rPr>
        <w:t>2</w:t>
      </w:r>
      <w:r>
        <w:t>) reduction features attractive potentials of carbon neutrality and chemical upgrading, while the types of products from photocatalysis or electrocatalysis still remain limited. The conversion of CO</w:t>
      </w:r>
      <w:r>
        <w:rPr>
          <w:vertAlign w:val="subscript"/>
        </w:rPr>
        <w:t>2</w:t>
      </w:r>
      <w:r>
        <w:t>into ethylene glycol, an important chemical that is typically produced by thermo‐catalytic process, has not been achieved by photocatalysis or electrocatalysis. Herein, we demonstrate a microdroplet‐enhanced photocatalytic strategy with a Pd‐TiO</w:t>
      </w:r>
      <w:r>
        <w:rPr>
          <w:vertAlign w:val="subscript"/>
        </w:rPr>
        <w:t>2</w:t>
      </w:r>
      <w:r>
        <w:t>catalyst, which allows for efficient conversion of CO</w:t>
      </w:r>
      <w:r>
        <w:rPr>
          <w:vertAlign w:val="subscript"/>
        </w:rPr>
        <w:t>2</w:t>
      </w:r>
      <w:r>
        <w:t>into ethylene glycol with high selectivity. The electro‐sprayed microdroplets provide a high interfacial electric field that facilitates deep reduction of CO</w:t>
      </w:r>
      <w:r>
        <w:rPr>
          <w:vertAlign w:val="subscript"/>
        </w:rPr>
        <w:t>2</w:t>
      </w:r>
      <w:r>
        <w:t>into *CH</w:t>
      </w:r>
      <w:r>
        <w:rPr>
          <w:vertAlign w:val="subscript"/>
        </w:rPr>
        <w:t>3</w:t>
      </w:r>
      <w:r>
        <w:t>, as well as generation of reactive *OH intermediates to form CH</w:t>
      </w:r>
      <w:r>
        <w:rPr>
          <w:vertAlign w:val="subscript"/>
        </w:rPr>
        <w:t>3</w:t>
      </w:r>
      <w:r>
        <w:t>OH. The in situ formed CH</w:t>
      </w:r>
      <w:r>
        <w:rPr>
          <w:vertAlign w:val="subscript"/>
        </w:rPr>
        <w:t>3</w:t>
      </w:r>
      <w:r>
        <w:t>OH is further photo‐catalytically activated to cleave a C−H bond to *CH</w:t>
      </w:r>
      <w:r>
        <w:rPr>
          <w:vertAlign w:val="subscript"/>
        </w:rPr>
        <w:t>2</w:t>
      </w:r>
      <w:r>
        <w:t>OH, followed by the C−C coupling to produce ethylene glycol. Under 1‐sun illumination, the electro‐sprayed microdroplets and Pd‐TiO</w:t>
      </w:r>
      <w:r>
        <w:rPr>
          <w:vertAlign w:val="subscript"/>
        </w:rPr>
        <w:t>2</w:t>
      </w:r>
      <w:r>
        <w:t>catalyst exhibited a high CO</w:t>
      </w:r>
      <w:r>
        <w:rPr>
          <w:vertAlign w:val="subscript"/>
        </w:rPr>
        <w:t>2</w:t>
      </w:r>
      <w:r>
        <w:t>‐to‐ethylene glycol conversion rate of 2985 µmol L</w:t>
      </w:r>
      <w:r>
        <w:t xml:space="preserve"> </w:t>
      </w:r>
      <w:r>
        <w:t>−1</w:t>
      </w:r>
      <w:r>
        <w:t xml:space="preserve"> </w:t>
      </w:r>
      <w:r>
        <w:t>h</w:t>
      </w:r>
      <w:r>
        <w:t xml:space="preserve"> </w:t>
      </w:r>
      <w:r>
        <w:t>−1</w:t>
      </w:r>
      <w:r>
        <w:t xml:space="preserve"> </w:t>
      </w:r>
      <w:r>
        <w:t>, which significantly outperformed those by only photocatalysis or only electro‐sprayed microdroplets, revealing the capability of combining multiple energy fields for tuning reaction pathways and advancing green synthesis.</w:t>
      </w:r>
    </w:p>
    <w:p>
      <w:pPr>
        <w:spacing w:before="120" w:after="120"/>
      </w:pPr>
      <w:r>
        <w:rPr>
          <w:sz w:val="18"/>
        </w:rPr>
        <w:t>——————————————————————————————————————————————————————————————————————</w:t>
      </w:r>
    </w:p>
    <w:p>
      <w:pPr>
        <w:spacing w:before="160" w:after="40" w:line="240" w:lineRule="auto"/>
      </w:pPr>
      <w:r>
        <w:rPr>
          <w:b/>
        </w:rPr>
        <w:t xml:space="preserve">[5] </w:t>
      </w:r>
      <w:hyperlink r:id="rId181">
        <w:r>
          <w:rPr>
            <w:color w:val="1155CC"/>
            <w:u w:val="single"/>
          </w:rPr>
          <w:t>马来西亚CO2和碳强度的演变及驱动因素</w:t>
        </w:r>
      </w:hyperlink>
    </w:p>
    <w:p>
      <w:pPr>
        <w:spacing w:before="0" w:after="80"/>
      </w:pPr>
      <w:r>
        <w:rPr>
          <w:i/>
          <w:sz w:val="20"/>
        </w:rPr>
        <w:t>EN: Evolution and drivers of CO2 and carbon intensity in Malaysia</w:t>
      </w:r>
    </w:p>
    <w:p>
      <w:pPr>
        <w:spacing w:before="0" w:after="120"/>
      </w:pPr>
      <w:r>
        <w:rPr>
          <w:b/>
        </w:rPr>
        <w:t xml:space="preserve">Source: </w:t>
      </w:r>
      <w:r>
        <w:t>ScienceDirect Publication: Energy Policy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82">
        <w:r>
          <w:rPr>
            <w:color w:val="1155CC"/>
            <w:u w:val="single"/>
          </w:rPr>
          <w:t>通过可控活性氢供应调节高熵(CuZnAlZrCe)O2氧化物纳米片上的CO2还原深度实现安培级合成气合成</w:t>
        </w:r>
      </w:hyperlink>
    </w:p>
    <w:p>
      <w:pPr>
        <w:spacing w:before="0" w:after="80"/>
      </w:pPr>
      <w:r>
        <w:rPr>
          <w:i/>
          <w:sz w:val="20"/>
        </w:rPr>
        <w:t>EN: Ampere‐Level Syngas Synthesis by Controllable Active Hydrogen Supply to Regulate CO2 Reduction Depth on High‐Entropy (CuZnAlZrCe)O2 Oxide Nanosheets</w:t>
      </w:r>
    </w:p>
    <w:p>
      <w:pPr>
        <w:spacing w:before="0" w:after="120"/>
      </w:pPr>
      <w:r>
        <w:rPr>
          <w:b/>
        </w:rPr>
        <w:t xml:space="preserve">Source: </w:t>
      </w:r>
      <w:r>
        <w:t>Wiley: Angewandte Chemie International Edition: Table of Contents</w:t>
      </w:r>
      <w:r>
        <w:t xml:space="preserve">    </w:t>
      </w:r>
      <w:r>
        <w:rPr>
          <w:b/>
        </w:rPr>
        <w:t xml:space="preserve">Pub date: </w:t>
      </w:r>
      <w:r>
        <w:t>2026-05-11 10:30:56+00:00</w:t>
      </w:r>
      <w:r>
        <w:t xml:space="preserve">    </w:t>
      </w:r>
      <w:r>
        <w:rPr>
          <w:b/>
        </w:rPr>
        <w:t xml:space="preserve">DOI: </w:t>
      </w:r>
      <w:hyperlink r:id="rId183">
        <w:r>
          <w:rPr>
            <w:color w:val="1155CC"/>
            <w:u w:val="single"/>
          </w:rPr>
          <w:t>10.1002/anie.3290876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通过CO</w:t>
      </w:r>
      <w:r>
        <w:rPr>
          <w:vertAlign w:val="subscript"/>
        </w:rPr>
        <w:t>2</w:t>
      </w:r>
      <w:r>
        <w:t>电还原合成合成气提供了一种低温碳中和途径，但H</w:t>
      </w:r>
      <w:r>
        <w:rPr>
          <w:vertAlign w:val="subscript"/>
        </w:rPr>
        <w:t>2</w:t>
      </w:r>
      <w:r>
        <w:t>/CO比率控制不佳且有CH</w:t>
      </w:r>
      <w:r>
        <w:rPr>
          <w:vertAlign w:val="subscript"/>
        </w:rPr>
        <w:t>4</w:t>
      </w:r>
      <w:r>
        <w:t>副产物。在此，我们解耦了</w:t>
      </w:r>
      <w:r>
        <w:t xml:space="preserve"> </w:t>
      </w:r>
      <w:r>
        <w:t>*</w:t>
      </w:r>
      <w:r>
        <w:t xml:space="preserve"> </w:t>
      </w:r>
      <w:r>
        <w:t>H生成和结合以调节其供应和CO</w:t>
      </w:r>
      <w:r>
        <w:rPr>
          <w:vertAlign w:val="subscript"/>
        </w:rPr>
        <w:t>2</w:t>
      </w:r>
      <w:r>
        <w:t>还原深度，推动高效的CO</w:t>
      </w:r>
      <w:r>
        <w:rPr>
          <w:vertAlign w:val="subscript"/>
        </w:rPr>
        <w:t>2</w:t>
      </w:r>
      <w:r>
        <w:t>转化为合成气。作为原型，(CuZnAlZrCe)O</w:t>
      </w:r>
      <w:r>
        <w:rPr>
          <w:vertAlign w:val="subscript"/>
        </w:rPr>
        <w:t>2</w:t>
      </w:r>
      <w:r>
        <w:t>高熵氧化物（HEO）纳米片通过液相模板和温和热分解合成。多阳离子无序促进了CO</w:t>
      </w:r>
      <w:r>
        <w:rPr>
          <w:vertAlign w:val="subscript"/>
        </w:rPr>
        <w:t>2</w:t>
      </w:r>
      <w:r>
        <w:t>活化和随后的</w:t>
      </w:r>
      <w:r>
        <w:t xml:space="preserve"> </w:t>
      </w:r>
      <w:r>
        <w:t>*</w:t>
      </w:r>
      <w:r>
        <w:t xml:space="preserve"> </w:t>
      </w:r>
      <w:r>
        <w:t>COOH质子化。同时，HEO促进水活化并加速</w:t>
      </w:r>
      <w:r>
        <w:t xml:space="preserve"> </w:t>
      </w:r>
      <w:r>
        <w:t>*</w:t>
      </w:r>
      <w:r>
        <w:t xml:space="preserve"> </w:t>
      </w:r>
      <w:r>
        <w:t>H生成，进而驱动</w:t>
      </w:r>
      <w:r>
        <w:t xml:space="preserve"> </w:t>
      </w:r>
      <w:r>
        <w:t>*</w:t>
      </w:r>
      <w:r>
        <w:t xml:space="preserve"> </w:t>
      </w:r>
      <w:r>
        <w:t>COOH质子化为中度质子化的CO。重要的是，HEO削弱了</w:t>
      </w:r>
      <w:r>
        <w:t xml:space="preserve"> </w:t>
      </w:r>
      <w:r>
        <w:t>*</w:t>
      </w:r>
      <w:r>
        <w:t xml:space="preserve"> </w:t>
      </w:r>
      <w:r>
        <w:t>H吸附，抑制了H</w:t>
      </w:r>
      <w:r>
        <w:rPr>
          <w:vertAlign w:val="subscript"/>
        </w:rPr>
        <w:t>2</w:t>
      </w:r>
      <w:r>
        <w:t>过度生成和CH</w:t>
      </w:r>
      <w:r>
        <w:rPr>
          <w:vertAlign w:val="subscript"/>
        </w:rPr>
        <w:t>4</w:t>
      </w:r>
      <w:r>
        <w:t>这种深度氢化副产物的形成。因此，(CuZnAlZrCe)O</w:t>
      </w:r>
      <w:r>
        <w:rPr>
          <w:vertAlign w:val="subscript"/>
        </w:rPr>
        <w:t>2</w:t>
      </w:r>
      <w:r>
        <w:t>HEO实现了58.2%的CO法拉第效率和88.6%的合成气选择性，保持&gt;80%的合成气产量在</w:t>
      </w:r>
    </w:p>
    <w:p>
      <w:pPr>
        <w:spacing w:before="0" w:after="200" w:lineRule="auto" w:line="276"/>
      </w:pPr>
      <w:r>
        <w:rPr>
          <w:b/>
        </w:rPr>
        <w:t xml:space="preserve">Abstract (EN): </w:t>
      </w:r>
      <w:r>
        <w:t>Syngas synthesis via CO</w:t>
      </w:r>
      <w:r>
        <w:rPr>
          <w:vertAlign w:val="subscript"/>
        </w:rPr>
        <w:t>2</w:t>
      </w:r>
      <w:r>
        <w:t>electroreduction offers a low‐temperature carbon‐neutral route, yet with poor H</w:t>
      </w:r>
      <w:r>
        <w:rPr>
          <w:vertAlign w:val="subscript"/>
        </w:rPr>
        <w:t>2</w:t>
      </w:r>
      <w:r>
        <w:t>/CO ratio control and CH</w:t>
      </w:r>
      <w:r>
        <w:rPr>
          <w:vertAlign w:val="subscript"/>
        </w:rPr>
        <w:t>4</w:t>
      </w:r>
      <w:r>
        <w:t>byproduct. Herein, we decoupled</w:t>
      </w:r>
      <w:r>
        <w:t xml:space="preserve"> </w:t>
      </w:r>
      <w:r>
        <w:t>*</w:t>
      </w:r>
      <w:r>
        <w:t xml:space="preserve"> </w:t>
      </w:r>
      <w:r>
        <w:t>H generation and binding to modulate its supply and CO</w:t>
      </w:r>
      <w:r>
        <w:rPr>
          <w:vertAlign w:val="subscript"/>
        </w:rPr>
        <w:t>2</w:t>
      </w:r>
      <w:r>
        <w:t>reduction depth, steering efficient CO</w:t>
      </w:r>
      <w:r>
        <w:rPr>
          <w:vertAlign w:val="subscript"/>
        </w:rPr>
        <w:t>2</w:t>
      </w:r>
      <w:r>
        <w:t>‐to‐syngas conversion. As a prototype, (CuZnAlZrCe)O</w:t>
      </w:r>
      <w:r>
        <w:rPr>
          <w:vertAlign w:val="subscript"/>
        </w:rPr>
        <w:t>2</w:t>
      </w:r>
      <w:r>
        <w:t>high‐entropy oxide (HEO) nanosheets (NSs) were synthesized via liquid‐phase templating and mild thermal decomposition. The multi‐cation disorder facilitates CO</w:t>
      </w:r>
      <w:r>
        <w:rPr>
          <w:vertAlign w:val="subscript"/>
        </w:rPr>
        <w:t>2</w:t>
      </w:r>
      <w:r>
        <w:t>activation and subsequent protonation into</w:t>
      </w:r>
      <w:r>
        <w:t xml:space="preserve"> </w:t>
      </w:r>
      <w:r>
        <w:t>*</w:t>
      </w:r>
      <w:r>
        <w:t xml:space="preserve"> </w:t>
      </w:r>
      <w:r>
        <w:t>COOH. Concurrently, HEO promotes water activation and accelerates</w:t>
      </w:r>
      <w:r>
        <w:t xml:space="preserve"> </w:t>
      </w:r>
      <w:r>
        <w:t>*</w:t>
      </w:r>
      <w:r>
        <w:t xml:space="preserve"> </w:t>
      </w:r>
      <w:r>
        <w:t>H generation, which in turn drives</w:t>
      </w:r>
      <w:r>
        <w:t xml:space="preserve"> </w:t>
      </w:r>
      <w:r>
        <w:t>*</w:t>
      </w:r>
      <w:r>
        <w:t xml:space="preserve"> </w:t>
      </w:r>
      <w:r>
        <w:t>COOH protonation into moderately‐protonated CO. Importantly, HEO weakens</w:t>
      </w:r>
      <w:r>
        <w:t xml:space="preserve"> </w:t>
      </w:r>
      <w:r>
        <w:t>*</w:t>
      </w:r>
      <w:r>
        <w:t xml:space="preserve"> </w:t>
      </w:r>
      <w:r>
        <w:t>H adsorption, suppressing H</w:t>
      </w:r>
      <w:r>
        <w:rPr>
          <w:vertAlign w:val="subscript"/>
        </w:rPr>
        <w:t>2</w:t>
      </w:r>
      <w:r>
        <w:t>overproduction and the formation of CH</w:t>
      </w:r>
      <w:r>
        <w:rPr>
          <w:vertAlign w:val="subscript"/>
        </w:rPr>
        <w:t>4</w:t>
      </w:r>
      <w:r>
        <w:t>, a deeply‐hydrogenated byproduct. Consequently, (CuZnAlZrCe)O</w:t>
      </w:r>
      <w:r>
        <w:rPr>
          <w:vertAlign w:val="subscript"/>
        </w:rPr>
        <w:t>2</w:t>
      </w:r>
      <w:r>
        <w:t>HEO achieves 58.2% CO Faradaic efficiency and 88.6% syngas selectivity, retaining &amp;gt; 80% syngas yield at ampere‐level current density. This work presents a robust high‐entropy catalyst that provides tunable syngas at industrially current densities, demonstrating a novel</w:t>
      </w:r>
      <w:r>
        <w:t xml:space="preserve"> </w:t>
      </w:r>
      <w:r>
        <w:t>*</w:t>
      </w:r>
      <w:r>
        <w:t xml:space="preserve"> </w:t>
      </w:r>
      <w:r>
        <w:t>H‐supply‐modulation strategy to regulate CO</w:t>
      </w:r>
      <w:r>
        <w:rPr>
          <w:vertAlign w:val="subscript"/>
        </w:rPr>
        <w:t>2</w:t>
      </w:r>
      <w:r>
        <w:t>reduction depth for efficient CO</w:t>
      </w:r>
      <w:r>
        <w:rPr>
          <w:vertAlign w:val="subscript"/>
        </w:rPr>
        <w:t>2</w:t>
      </w:r>
      <w:r>
        <w:t>‐to‐syngas electrolysis.</w:t>
      </w:r>
    </w:p>
    <w:p>
      <w:pPr>
        <w:spacing w:before="120" w:after="120"/>
      </w:pPr>
      <w:r>
        <w:rPr>
          <w:sz w:val="18"/>
        </w:rPr>
        <w:t>——————————————————————————————————————————————————————————————————————</w:t>
      </w:r>
    </w:p>
    <w:p>
      <w:pPr>
        <w:spacing w:before="160" w:after="40" w:line="240" w:lineRule="auto"/>
      </w:pPr>
      <w:r>
        <w:rPr>
          <w:b/>
        </w:rPr>
        <w:t xml:space="preserve">[7] </w:t>
      </w:r>
      <w:hyperlink r:id="rId184">
        <w:r>
          <w:rPr>
            <w:color w:val="1155CC"/>
            <w:u w:val="single"/>
          </w:rPr>
          <w:t>利用MOF的构象动态性克服CO2加氢制乙醇的转化-选择性权衡</w:t>
        </w:r>
      </w:hyperlink>
    </w:p>
    <w:p>
      <w:pPr>
        <w:spacing w:before="0" w:after="80"/>
      </w:pPr>
      <w:r>
        <w:rPr>
          <w:i/>
          <w:sz w:val="20"/>
        </w:rPr>
        <w:t>EN: Leveraging Conformational Dynamics of MOFs to Overcome Conversion‐Selectivity Trade‐Off in CO2 Hydrogenation to Ethanol</w:t>
      </w:r>
    </w:p>
    <w:p>
      <w:pPr>
        <w:spacing w:before="0" w:after="120"/>
      </w:pPr>
      <w:r>
        <w:rPr>
          <w:b/>
        </w:rPr>
        <w:t xml:space="preserve">Source: </w:t>
      </w:r>
      <w:r>
        <w:t>Wiley: Angewandte Chemie International Edition: Table of Contents</w:t>
      </w:r>
      <w:r>
        <w:t xml:space="preserve">    </w:t>
      </w:r>
      <w:r>
        <w:rPr>
          <w:b/>
        </w:rPr>
        <w:t xml:space="preserve">Pub date: </w:t>
      </w:r>
      <w:r>
        <w:t>2026-05-11 10:35:16+00:00</w:t>
      </w:r>
      <w:r>
        <w:t xml:space="preserve">    </w:t>
      </w:r>
      <w:r>
        <w:rPr>
          <w:b/>
        </w:rPr>
        <w:t xml:space="preserve">DOI: </w:t>
      </w:r>
      <w:hyperlink r:id="rId185">
        <w:r>
          <w:rPr>
            <w:color w:val="1155CC"/>
            <w:u w:val="single"/>
          </w:rPr>
          <w:t>10.1002/anie.9130890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本研究中，我们利用MIL‐53(Al)金属有机框架（MOF）的结构动态性开发了一种高效且选择性的水相非均相催化剂，[MIL‐53‐Co(OH)]，其在MOF节点上具有原子分散的CoII(OH)活性物种，用于将CO2加氢转化为乙醇。在温和条件下（130°C，20 bar，H2/CO2: 3），MIL‐53‐Co(OH)实现了92%的CO2转化率，乙醇生产率为10 133 µmol gcat−1 h−1，选择性为93%。与刚性MIL‐68(Al)和呼吸抑制的MIL‐53 MOF变体相比，MIL‐53‐Co(OH)的晶格灵活性至少提高了3.5倍的乙醇生产率，同时抑制了CH3OH的形成。实验、结构和计算分析表明，MIL‐53‐Co(OH)的可逆窄孔（np）↔大孔（lp）互换周期性地优化了MOF节点处的Al2[μ3‐O–Co(OH)]活性位点几何结构，这与原位生成的CH3同步</w:t>
      </w:r>
    </w:p>
    <w:p>
      <w:pPr>
        <w:spacing w:before="0" w:after="200" w:lineRule="auto" w:line="276"/>
      </w:pPr>
      <w:r>
        <w:rPr>
          <w:b/>
        </w:rPr>
        <w:t xml:space="preserve">Abstract (EN): </w:t>
      </w:r>
      <w:r>
        <w:t>In this study, we exploit the structural dynamics of MIL‐53(Al) metal‐organic framework (MOF) to develop a highly efficient and selective aqueous‐phase heterogeneous catalyst, [MIL‐53‐Co(OH)], featuring atomically dispersed Co</w:t>
      </w:r>
      <w:r>
        <w:t xml:space="preserve"> </w:t>
      </w:r>
      <w:r>
        <w:t>II</w:t>
      </w:r>
      <w:r>
        <w:t xml:space="preserve"> </w:t>
      </w:r>
      <w:r>
        <w:t>(OH) active species at the MOF's nodes for the hydrogenation of CO</w:t>
      </w:r>
      <w:r>
        <w:rPr>
          <w:vertAlign w:val="subscript"/>
        </w:rPr>
        <w:t>2</w:t>
      </w:r>
      <w:r>
        <w:t>into ethanol. Under mild conditions (130°C, 20 bar, H</w:t>
      </w:r>
      <w:r>
        <w:rPr>
          <w:vertAlign w:val="subscript"/>
        </w:rPr>
        <w:t>2</w:t>
      </w:r>
      <w:r>
        <w:t>/CO</w:t>
      </w:r>
      <w:r>
        <w:rPr>
          <w:vertAlign w:val="subscript"/>
        </w:rPr>
        <w:t>2</w:t>
      </w:r>
      <w:r>
        <w:t>: 3), MIL‐53‐Co(OH) achieves 92% CO</w:t>
      </w:r>
      <w:r>
        <w:rPr>
          <w:vertAlign w:val="subscript"/>
        </w:rPr>
        <w:t>2</w:t>
      </w:r>
      <w:r>
        <w:t>conversion with an ethanol productivity of 10 133 µmol g</w:t>
      </w:r>
      <w:r>
        <w:t xml:space="preserve"> </w:t>
      </w:r>
      <w:r>
        <w:t>cat</w:t>
      </w:r>
      <w:r>
        <w:t xml:space="preserve"> </w:t>
      </w:r>
      <w:r>
        <w:t>−1</w:t>
      </w:r>
      <w:r>
        <w:t xml:space="preserve"> </w:t>
      </w:r>
      <w:r>
        <w:t>h</w:t>
      </w:r>
      <w:r>
        <w:t xml:space="preserve"> </w:t>
      </w:r>
      <w:r>
        <w:t>−1</w:t>
      </w:r>
      <w:r>
        <w:t xml:space="preserve"> </w:t>
      </w:r>
      <w:r>
        <w:t>and 93% selectivity. Comparisons with the rigid MIL‐68(Al) and breathing‐suppressed variants of MIL‐53 MOFs revealed that the lattice flexibility of MIL‐53‐Co(OH) enhances ethanol productivity by at least 3.5‐fold while suppressing the formation of CH</w:t>
      </w:r>
      <w:r>
        <w:rPr>
          <w:vertAlign w:val="subscript"/>
        </w:rPr>
        <w:t>3</w:t>
      </w:r>
      <w:r>
        <w:t>OH. Experimental, structural and computational analysis suggest that the reversible narrow‐pore (</w:t>
      </w:r>
      <w:r>
        <w:t xml:space="preserve"> </w:t>
      </w:r>
      <w:r>
        <w:t>np</w:t>
      </w:r>
      <w:r>
        <w:t xml:space="preserve"> </w:t>
      </w:r>
      <w:r>
        <w:t>)↔large‐pore (</w:t>
      </w:r>
      <w:r>
        <w:t xml:space="preserve"> </w:t>
      </w:r>
      <w:r>
        <w:t>lp</w:t>
      </w:r>
      <w:r>
        <w:t xml:space="preserve"> </w:t>
      </w:r>
      <w:r>
        <w:t>) interconversion of MIL‐53‐Co(OH) periodically optimizes the Al</w:t>
      </w:r>
      <w:r>
        <w:rPr>
          <w:vertAlign w:val="subscript"/>
        </w:rPr>
        <w:t>2</w:t>
      </w:r>
      <w:r>
        <w:t>[</w:t>
      </w:r>
      <w:r>
        <w:t xml:space="preserve"> </w:t>
      </w:r>
      <w:r>
        <w:t>μ</w:t>
      </w:r>
      <w:r>
        <w:rPr>
          <w:vertAlign w:val="subscript"/>
        </w:rPr>
        <w:t>3</w:t>
      </w:r>
      <w:r>
        <w:t>‐O–Co(OH)] active‐site geometry at MOF's node, which synchronizes in situ generated CH</w:t>
      </w:r>
      <w:r>
        <w:rPr>
          <w:vertAlign w:val="subscript"/>
        </w:rPr>
        <w:t>3</w:t>
      </w:r>
      <w:r>
        <w:t>OH activation followed by CO insertion to promote C‒C coupling. During the</w:t>
      </w:r>
      <w:r>
        <w:t xml:space="preserve"> </w:t>
      </w:r>
      <w:r>
        <w:t>np</w:t>
      </w:r>
      <w:r>
        <w:t xml:space="preserve"> </w:t>
      </w:r>
      <w:r>
        <w:t>→</w:t>
      </w:r>
      <w:r>
        <w:t xml:space="preserve"> </w:t>
      </w:r>
      <w:r>
        <w:t>lp</w:t>
      </w:r>
      <w:r>
        <w:t xml:space="preserve"> </w:t>
      </w:r>
      <w:r>
        <w:t>transition, the transient lattice expansion relaxes the Al–[</w:t>
      </w:r>
      <w:r>
        <w:t xml:space="preserve"> </w:t>
      </w:r>
      <w:r>
        <w:t>μ</w:t>
      </w:r>
      <w:r>
        <w:rPr>
          <w:vertAlign w:val="subscript"/>
        </w:rPr>
        <w:t>3</w:t>
      </w:r>
      <w:r>
        <w:t xml:space="preserve"> </w:t>
      </w:r>
      <w:r>
        <w:t>‐O–Co(OH)]–Al hinge, which reduces the activation barrier of</w:t>
      </w:r>
      <w:r>
        <w:t xml:space="preserve"> </w:t>
      </w:r>
      <w:r>
        <w:t>σ</w:t>
      </w:r>
      <w:r>
        <w:t xml:space="preserve"> </w:t>
      </w:r>
      <w:r>
        <w:t>‐bond metathesis between the Co–H bond and C–O bond of CH</w:t>
      </w:r>
      <w:r>
        <w:rPr>
          <w:vertAlign w:val="subscript"/>
        </w:rPr>
        <w:t>3</w:t>
      </w:r>
      <w:r>
        <w:t>OH, a key step in the catalytic cycle. This strategy of leveraging conformational dynamics of MOFs for active‐site engineering opens new avenues in designing highly active earth‐abundant metal catalysts for challenging chemical transformations.</w:t>
      </w:r>
    </w:p>
    <w:p>
      <w:pPr>
        <w:spacing w:before="120" w:after="120"/>
      </w:pPr>
      <w:r>
        <w:rPr>
          <w:sz w:val="18"/>
        </w:rPr>
        <w:t>——————————————————————————————————————————————————————————————————————</w:t>
      </w:r>
    </w:p>
    <w:p>
      <w:pPr>
        <w:spacing w:before="160" w:after="40" w:line="240" w:lineRule="auto"/>
      </w:pPr>
      <w:r>
        <w:rPr>
          <w:b/>
        </w:rPr>
        <w:t xml:space="preserve">[8] </w:t>
      </w:r>
      <w:hyperlink r:id="rId186">
        <w:r>
          <w:rPr>
            <w:color w:val="1155CC"/>
            <w:u w:val="single"/>
          </w:rPr>
          <w:t>调节π–π堆积相互作用以提升近红外光驱动的CO2还原</w:t>
        </w:r>
      </w:hyperlink>
    </w:p>
    <w:p>
      <w:pPr>
        <w:spacing w:before="0" w:after="80"/>
      </w:pPr>
      <w:r>
        <w:rPr>
          <w:i/>
          <w:sz w:val="20"/>
        </w:rPr>
        <w:t>EN: Regulating π–π Stacking Interactions to Boost Near‐Infrared Light‐Driven CO2 Reduction</w:t>
      </w:r>
    </w:p>
    <w:p>
      <w:pPr>
        <w:spacing w:before="0" w:after="120"/>
      </w:pPr>
      <w:r>
        <w:rPr>
          <w:b/>
        </w:rPr>
        <w:t xml:space="preserve">Source: </w:t>
      </w:r>
      <w:r>
        <w:t>Wiley: Angewandte Chemie International Edition: Table of Contents</w:t>
      </w:r>
      <w:r>
        <w:t xml:space="preserve">    </w:t>
      </w:r>
      <w:r>
        <w:rPr>
          <w:b/>
        </w:rPr>
        <w:t xml:space="preserve">Pub date: </w:t>
      </w:r>
      <w:r>
        <w:t>2026-05-12 04:43:57+00:00</w:t>
      </w:r>
      <w:r>
        <w:t xml:space="preserve">    </w:t>
      </w:r>
      <w:r>
        <w:rPr>
          <w:b/>
        </w:rPr>
        <w:t xml:space="preserve">DOI: </w:t>
      </w:r>
      <w:hyperlink r:id="rId187">
        <w:r>
          <w:rPr>
            <w:color w:val="1155CC"/>
            <w:u w:val="single"/>
          </w:rPr>
          <w:t>10.1002/anie.7481604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高效光催化剂以实现近红外（NIR）光驱动的CO2还原具有重要意义，但仍然是一个巨大挑战。在本文中，我们发现基于BODIPY的π框架可以作为良好的NIR光催化剂，实现高效的CO2还原为HCOO−，并与苄醇氧化为苯甲醛在纯水中耦合。更令人印象深刻的是，通过调节π–π堆积相互作用可以提高这些π框架的光催化性能，其中优化的π-芘（π-PY）框架具有最多的π–π堆积相互作用，表现出在&gt;99%和15% CO2气氛中HCOO−的生成速率分别为4045和1693 µmol g−1 h−1。因此，π-PY代表了当前NIR光驱动CO2还原的最先进光催化剂。实验和理论计算表明，π-PY的高光催化活性可能是由于丰富的π–π堆积相互作用，加速了电荷分离和转移，并延长了载流子寿命，减少了能隙。这项工作为理解π–π堆积相互作用对光催化的贡献提供了新的见解，并引入了一种新策略</w:t>
      </w:r>
    </w:p>
    <w:p>
      <w:pPr>
        <w:spacing w:before="0" w:after="200" w:lineRule="auto" w:line="276"/>
      </w:pPr>
      <w:r>
        <w:rPr>
          <w:b/>
        </w:rPr>
        <w:t xml:space="preserve">Abstract (EN): </w:t>
      </w:r>
      <w:r>
        <w:t>Developing highly efficient photocatalysts to achieve near‐infrared (NIR) light‐driven CO</w:t>
      </w:r>
      <w:r>
        <w:rPr>
          <w:vertAlign w:val="subscript"/>
        </w:rPr>
        <w:t>2</w:t>
      </w:r>
      <w:r>
        <w:t>reduction is of great significance yet remains a great challenge. In this article, we found that BODIPY‐based π frameworks can serve as good NIR photocatalysts, achieving highly efficient CO</w:t>
      </w:r>
      <w:r>
        <w:rPr>
          <w:vertAlign w:val="subscript"/>
        </w:rPr>
        <w:t>2</w:t>
      </w:r>
      <w:r>
        <w:t>reduction to HCOO</w:t>
      </w:r>
      <w:r>
        <w:t xml:space="preserve"> </w:t>
      </w:r>
      <w:r>
        <w:t>−</w:t>
      </w:r>
      <w:r>
        <w:t>coupled with benzyl alcohol oxidation to benzaldehyde in pure water. More impressively, the photocatalytic performance of these π frameworks can be improved by regulating π–π stacking interactions, among which the optimized π‐pyrenyl (π‐PY) framework with the most π–π stacking interactions exhibits HCOO</w:t>
      </w:r>
      <w:r>
        <w:t xml:space="preserve"> </w:t>
      </w:r>
      <w:r>
        <w:t>−</w:t>
      </w:r>
      <w:r>
        <w:t>production rates of 4045 and 1693 µmol g</w:t>
      </w:r>
      <w:r>
        <w:t xml:space="preserve"> </w:t>
      </w:r>
      <w:r>
        <w:t>−1</w:t>
      </w:r>
      <w:r>
        <w:t xml:space="preserve"> </w:t>
      </w:r>
      <w:r>
        <w:t>h</w:t>
      </w:r>
      <w:r>
        <w:t xml:space="preserve"> </w:t>
      </w:r>
      <w:r>
        <w:t>−1</w:t>
      </w:r>
      <w:r>
        <w:t xml:space="preserve"> </w:t>
      </w:r>
      <w:r>
        <w:t>in &amp;gt;99% and 15% CO</w:t>
      </w:r>
      <w:r>
        <w:rPr>
          <w:vertAlign w:val="subscript"/>
        </w:rPr>
        <w:t>2</w:t>
      </w:r>
      <w:r>
        <w:t>atmospheres, respectively. π‐PY, thus, stands for the current state‐of‐the‐art photocatalyst in NIR‐light‐driven CO</w:t>
      </w:r>
      <w:r>
        <w:rPr>
          <w:vertAlign w:val="subscript"/>
        </w:rPr>
        <w:t>2</w:t>
      </w:r>
      <w:r>
        <w:t>reduction. Experiments together with theoretical calculations demonstrated that the high photocatalytic activity of π‐PY could be due to the abundant π–π stacking interactions, which accelerates charge separation and transfer, as well as prolongs carrier lifetime and reduces energy gap. This work gives new insights in understanding the contribution of π–π stacking interactions to photocatalysis, and introduces a new strategy for developing efficient photocatalysts for NIR‐light‐driven CO</w:t>
      </w:r>
      <w:r>
        <w:rPr>
          <w:vertAlign w:val="subscript"/>
        </w:rPr>
        <w:t>2</w:t>
      </w:r>
      <w:r>
        <w:t>reduction.</w:t>
      </w:r>
    </w:p>
    <w:p>
      <w:pPr>
        <w:spacing w:before="120" w:after="120"/>
      </w:pPr>
      <w:r>
        <w:rPr>
          <w:sz w:val="18"/>
        </w:rPr>
        <w:t>——————————————————————————————————————————————————————————————————————</w:t>
      </w:r>
    </w:p>
    <w:p>
      <w:pPr>
        <w:spacing w:before="160" w:after="40" w:line="240" w:lineRule="auto"/>
      </w:pPr>
      <w:r>
        <w:rPr>
          <w:b/>
        </w:rPr>
        <w:t xml:space="preserve">[9] </w:t>
      </w:r>
      <w:hyperlink r:id="rId188">
        <w:r>
          <w:rPr>
            <w:color w:val="1155CC"/>
            <w:u w:val="single"/>
          </w:rPr>
          <w:t>通过离子限制在酸性介质中实现电催化CO2还原的高选择性和稳定性</w:t>
        </w:r>
      </w:hyperlink>
    </w:p>
    <w:p>
      <w:pPr>
        <w:spacing w:before="0" w:after="80"/>
      </w:pPr>
      <w:r>
        <w:rPr>
          <w:i/>
          <w:sz w:val="20"/>
        </w:rPr>
        <w:t>EN: Achieving High Selectivity and Stability in Electrocatalytic CO2 Reduction in Acidic Media via Ion Confinement</w:t>
      </w:r>
    </w:p>
    <w:p>
      <w:pPr>
        <w:spacing w:before="0" w:after="120"/>
      </w:pPr>
      <w:r>
        <w:rPr>
          <w:b/>
        </w:rPr>
        <w:t xml:space="preserve">Source: </w:t>
      </w:r>
      <w:r>
        <w:t>Wiley: Angewandte Chemie International Edition: Table of Contents</w:t>
      </w:r>
      <w:r>
        <w:t xml:space="preserve">    </w:t>
      </w:r>
      <w:r>
        <w:rPr>
          <w:b/>
        </w:rPr>
        <w:t xml:space="preserve">Pub date: </w:t>
      </w:r>
      <w:r>
        <w:t>2026-05-12 09:16:55+00:00</w:t>
      </w:r>
      <w:r>
        <w:t xml:space="preserve">    </w:t>
      </w:r>
      <w:r>
        <w:rPr>
          <w:b/>
        </w:rPr>
        <w:t xml:space="preserve">DOI: </w:t>
      </w:r>
      <w:hyperlink r:id="rId189">
        <w:r>
          <w:rPr>
            <w:color w:val="1155CC"/>
            <w:u w:val="single"/>
          </w:rPr>
          <w:t>10.1002/anie.2577753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在阴极固定阳离子型有机分子是增强酸性或纯水中电催化CO</w:t>
      </w:r>
      <w:r>
        <w:rPr>
          <w:vertAlign w:val="subscript"/>
        </w:rPr>
        <w:t>2</w:t>
      </w:r>
      <w:r>
        <w:t>还原反应（CO</w:t>
      </w:r>
      <w:r>
        <w:rPr>
          <w:vertAlign w:val="subscript"/>
        </w:rPr>
        <w:t>2</w:t>
      </w:r>
      <w:r>
        <w:t>RR）的变革性策略。然而，对阴离子型有机分子的研究缺失，阳离子和阴离子的作用尚不清楚，特别是在膜电极组件（MEA）配置中。采用固态电解质介导的离子限制策略，我们系统地研究了阳离子型和阴离子型有机分子对CO</w:t>
      </w:r>
      <w:r>
        <w:rPr>
          <w:vertAlign w:val="subscript"/>
        </w:rPr>
        <w:t>2</w:t>
      </w:r>
      <w:r>
        <w:t>RR的影响。我们的研究结果表明，阳离子型和阴离子型分子中的阳离子在抑制氢气演化反应和促进MEA中的CO</w:t>
      </w:r>
      <w:r>
        <w:rPr>
          <w:vertAlign w:val="subscript"/>
        </w:rPr>
        <w:t>2</w:t>
      </w:r>
      <w:r>
        <w:t>RR中起着关键作用。利用阴离子型有机分子，我们在H</w:t>
      </w:r>
      <w:r>
        <w:rPr>
          <w:vertAlign w:val="subscript"/>
        </w:rPr>
        <w:t>2</w:t>
      </w:r>
      <w:r>
        <w:t>SO</w:t>
      </w:r>
      <w:r>
        <w:rPr>
          <w:vertAlign w:val="subscript"/>
        </w:rPr>
        <w:t>4</w:t>
      </w:r>
      <w:r>
        <w:t>介质（pH = 1）中实现了98.4%的CO法拉第效率，在纯水供给的MEA中实现了95.8%的效率。此外，使用阳离子型有机分子，我们在H</w:t>
      </w:r>
      <w:r>
        <w:rPr>
          <w:vertAlign w:val="subscript"/>
        </w:rPr>
        <w:t>2</w:t>
      </w:r>
      <w:r>
        <w:t>SO</w:t>
      </w:r>
      <w:r>
        <w:rPr>
          <w:vertAlign w:val="subscript"/>
        </w:rPr>
        <w:t>4</w:t>
      </w:r>
      <w:r>
        <w:t>（pH = 1）电解质中展示了150小时的稳健操作稳定性，在超低钾浓度（2 mM）酸性电解质中展示了460小时的稳定性。这项工作建立了一个实现高效、长期CO</w:t>
      </w:r>
    </w:p>
    <w:p>
      <w:pPr>
        <w:spacing w:before="0" w:after="200" w:lineRule="auto" w:line="276"/>
      </w:pPr>
      <w:r>
        <w:rPr>
          <w:b/>
        </w:rPr>
        <w:t xml:space="preserve">Abstract (EN): </w:t>
      </w:r>
      <w:r>
        <w:t>Immobilizing cation‐type organic molecules at the cathode represents a transformative strategy for enhancing the electrocatalytic CO</w:t>
      </w:r>
      <w:r>
        <w:rPr>
          <w:vertAlign w:val="subscript"/>
        </w:rPr>
        <w:t>2</w:t>
      </w:r>
      <w:r>
        <w:t>reduction reaction (CO</w:t>
      </w:r>
      <w:r>
        <w:rPr>
          <w:vertAlign w:val="subscript"/>
        </w:rPr>
        <w:t>2</w:t>
      </w:r>
      <w:r>
        <w:t>RR) in acidic or pure water. However, the investigation of anion‐type organic molecules is missing, and the roles of cations and anions are not well understood, especially in the membrane electrode assembly (MEA) configuration. Employing an ionic‐confinement strategy mediated by a solid‐state electrolyte, we systematically investigate the influence of cation‐ and anion‐type organic molecules on CO</w:t>
      </w:r>
      <w:r>
        <w:rPr>
          <w:vertAlign w:val="subscript"/>
        </w:rPr>
        <w:t>2</w:t>
      </w:r>
      <w:r>
        <w:t>RR. Our findings show that cations in both cation‐ and anion‐type molecules play a crucial role in inhibiting the hydrogen evolution reaction and promoting CO</w:t>
      </w:r>
      <w:r>
        <w:rPr>
          <w:vertAlign w:val="subscript"/>
        </w:rPr>
        <w:t>2</w:t>
      </w:r>
      <w:r>
        <w:t>RR in MEA. Utilizing an anion‐type organic molecule, we achieved exceptional CO Faradaic efficiencies of 98.4% in H</w:t>
      </w:r>
      <w:r>
        <w:rPr>
          <w:vertAlign w:val="subscript"/>
        </w:rPr>
        <w:t>2</w:t>
      </w:r>
      <w:r>
        <w:t>SO</w:t>
      </w:r>
      <w:r>
        <w:rPr>
          <w:vertAlign w:val="subscript"/>
        </w:rPr>
        <w:t>4</w:t>
      </w:r>
      <w:r>
        <w:t>media (pH = 1) and 95.8% in pure water‐fed MEAs on Ag. Additionally, with cation‐type organic molecules, we demonstrated robust operational stability of 150 h in H</w:t>
      </w:r>
      <w:r>
        <w:rPr>
          <w:vertAlign w:val="subscript"/>
        </w:rPr>
        <w:t>2</w:t>
      </w:r>
      <w:r>
        <w:t>SO</w:t>
      </w:r>
      <w:r>
        <w:rPr>
          <w:vertAlign w:val="subscript"/>
        </w:rPr>
        <w:t>4</w:t>
      </w:r>
      <w:r>
        <w:t>(pH = 1) electrolyte and 460 h in an ultra‐low potassium concentration (2 mM) acidic electrolyte in MEA configuration. This work establishes a versatile framework for achieving high‐efficiency, long‐term CO</w:t>
      </w:r>
      <w:r>
        <w:rPr>
          <w:vertAlign w:val="subscript"/>
        </w:rPr>
        <w:t>2</w:t>
      </w:r>
      <w:r>
        <w:t>electrolysis across diverse electrolyte environments, highlighting its potential for industrial‐scale application.</w:t>
      </w:r>
    </w:p>
    <w:p>
      <w:pPr>
        <w:spacing w:before="120" w:after="120"/>
      </w:pPr>
      <w:r>
        <w:rPr>
          <w:sz w:val="18"/>
        </w:rPr>
        <w:t>——————————————————————————————————————————————————————————————————————</w:t>
      </w:r>
    </w:p>
    <w:p>
      <w:pPr>
        <w:spacing w:before="160" w:after="40" w:line="240" w:lineRule="auto"/>
      </w:pPr>
      <w:r>
        <w:rPr>
          <w:b/>
        </w:rPr>
        <w:t xml:space="preserve">[10] </w:t>
      </w:r>
      <w:hyperlink r:id="rId190">
        <w:r>
          <w:rPr>
            <w:color w:val="1155CC"/>
            <w:u w:val="single"/>
          </w:rPr>
          <w:t>自发的、无催化剂的离子液体与CO2共聚向聚碳酸酯</w:t>
        </w:r>
      </w:hyperlink>
    </w:p>
    <w:p>
      <w:pPr>
        <w:spacing w:before="0" w:after="80"/>
      </w:pPr>
      <w:r>
        <w:rPr>
          <w:i/>
          <w:sz w:val="20"/>
        </w:rPr>
        <w:t>EN: Spontaneous, Catalyst‐Free Co‐Polymerization of Ionic Liquids With CO2 Toward Polycarbonate</w:t>
      </w:r>
    </w:p>
    <w:p>
      <w:pPr>
        <w:spacing w:before="0" w:after="120"/>
      </w:pPr>
      <w:r>
        <w:rPr>
          <w:b/>
        </w:rPr>
        <w:t xml:space="preserve">Source: </w:t>
      </w:r>
      <w:r>
        <w:t>Wiley: Angewandte Chemie International Edition: Table of Contents</w:t>
      </w:r>
      <w:r>
        <w:t xml:space="preserve">    </w:t>
      </w:r>
      <w:r>
        <w:rPr>
          <w:b/>
        </w:rPr>
        <w:t xml:space="preserve">Pub date: </w:t>
      </w:r>
      <w:r>
        <w:t>2026-05-12 09:22:47+00:00</w:t>
      </w:r>
      <w:r>
        <w:t xml:space="preserve">    </w:t>
      </w:r>
      <w:r>
        <w:rPr>
          <w:b/>
        </w:rPr>
        <w:t xml:space="preserve">DOI: </w:t>
      </w:r>
      <w:hyperlink r:id="rId191">
        <w:r>
          <w:rPr>
            <w:color w:val="1155CC"/>
            <w:u w:val="single"/>
          </w:rPr>
          <w:t>10.1002/anie.8811376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二氧化碳（CO2）转化为增值聚合物是可持续化学的基石，但当前策略通常需要高压、金属催化剂，并且产物功能有限。在此，我们报告了一种自发的、无催化剂的聚合反应，直接将CO2和羟基功能化离子液体（ILs）在常温常压（0.1 MPa，60°C）下转化为多功能离子聚碳酸酯。机制研究结合光谱分析和密度泛函计算，阐明了一种协同过程，其中IL阳离子作为CO2浓缩剂，而OH−阴离子通过碳酸氢盐介导的亲核途径驱动聚合。这种方法得到了一种定义明确的离子聚碳酸酯，独特地结合了高离子电导率（&gt;10−4 S·m−1）、双波长荧光、广谱抗菌活性（对E. coli和S. aureus的抑制率&gt;99%），以及作为多功能粘合剂增强剂的性能，具有自我监测能力。此外，这些聚合物完全降解为单体成分，建立了一个闭环的单体-聚合物-单体循环。</w:t>
      </w:r>
    </w:p>
    <w:p>
      <w:pPr>
        <w:spacing w:before="0" w:after="200" w:lineRule="auto" w:line="276"/>
      </w:pPr>
      <w:r>
        <w:rPr>
          <w:b/>
        </w:rPr>
        <w:t xml:space="preserve">Abstract (EN): </w:t>
      </w:r>
      <w:r>
        <w:t>The conversion of carbon dioxide (CO</w:t>
      </w:r>
      <w:r>
        <w:rPr>
          <w:vertAlign w:val="subscript"/>
        </w:rPr>
        <w:t>2</w:t>
      </w:r>
      <w:r>
        <w:t>) into value‐added polymer is a cornerstone of sustainable chemistry, yet current strategies typically require high pressures, metal catalysts, and yield materials with limited functionality. Herein, we report a spontaneous, catalyst‐free polymerization that directly converts CO</w:t>
      </w:r>
      <w:r>
        <w:rPr>
          <w:vertAlign w:val="subscript"/>
        </w:rPr>
        <w:t>2</w:t>
      </w:r>
      <w:r>
        <w:t>and hydroxyl‐functionalized ionic liquids (ILs) into multifunctional ionic polycarbonates under ambient conditions (0.1 MPa, 60°C). Mechanism studies, combining spectroscopic analysis and density functional calculations, elucidate a synergistic process wherein IL cations function as CO</w:t>
      </w:r>
      <w:r>
        <w:rPr>
          <w:vertAlign w:val="subscript"/>
        </w:rPr>
        <w:t>2</w:t>
      </w:r>
      <w:r>
        <w:t>concentrators, while OH</w:t>
      </w:r>
      <w:r>
        <w:t xml:space="preserve"> </w:t>
      </w:r>
      <w:r>
        <w:t>−</w:t>
      </w:r>
      <w:r>
        <w:t>anions drive the polymerization via a bicarbonate‐mediated nucleophilic pathway. This approach yields a well‐defined ionic polycarbonate that uniquely integrates high ionic conductivity (&amp;gt;10</w:t>
      </w:r>
      <w:r>
        <w:t xml:space="preserve"> </w:t>
      </w:r>
      <w:r>
        <w:t>−</w:t>
      </w:r>
      <w:r>
        <w:rPr>
          <w:vertAlign w:val="subscript"/>
        </w:rPr>
        <w:t>4</w:t>
      </w:r>
      <w:r>
        <w:t>S·m</w:t>
      </w:r>
      <w:r>
        <w:t xml:space="preserve"> </w:t>
      </w:r>
      <w:r>
        <w:t>−</w:t>
      </w:r>
      <w:r>
        <w:rPr>
          <w:vertAlign w:val="subscript"/>
        </w:rPr>
        <w:t>1</w:t>
      </w:r>
      <w:r>
        <w:t>), dual‐wavelength fluorescence, broad‐spectrum antibacterial activity (&amp;gt;99% inhibition against</w:t>
      </w:r>
      <w:r>
        <w:t xml:space="preserve"> </w:t>
      </w:r>
      <w:r>
        <w:t>E. coli</w:t>
      </w:r>
      <w:r>
        <w:t xml:space="preserve"> </w:t>
      </w:r>
      <w:r>
        <w:t>and</w:t>
      </w:r>
      <w:r>
        <w:t xml:space="preserve"> </w:t>
      </w:r>
      <w:r>
        <w:t>S. aureus</w:t>
      </w:r>
      <w:r>
        <w:t xml:space="preserve"> </w:t>
      </w:r>
      <w:r>
        <w:t>), and performance as a multifunctional adhesive enhancer with self‐monitoring capability. Furthermore, these polymers undergo complete degradation into monomeric constituents, establishing a closed‐loop monomer‐polymer‐monomer lifecycle. This work provides a paradigm for sustainable CO</w:t>
      </w:r>
      <w:r>
        <w:rPr>
          <w:vertAlign w:val="subscript"/>
        </w:rPr>
        <w:t>2</w:t>
      </w:r>
      <w:r>
        <w:t>valorization into advanced multifunctional materials, with immediate potential in smart adhesives, wearable electronics, and information encryption.</w:t>
      </w:r>
    </w:p>
    <w:p>
      <w:pPr>
        <w:spacing w:before="120" w:after="120"/>
      </w:pPr>
      <w:r>
        <w:rPr>
          <w:sz w:val="18"/>
        </w:rPr>
        <w:t>——————————————————————————————————————————————————————————————————————</w:t>
      </w:r>
    </w:p>
    <w:p>
      <w:pPr>
        <w:spacing w:before="160" w:after="40" w:line="240" w:lineRule="auto"/>
      </w:pPr>
      <w:r>
        <w:rPr>
          <w:b/>
        </w:rPr>
        <w:t xml:space="preserve">[11] </w:t>
      </w:r>
      <w:hyperlink r:id="rId192">
        <w:r>
          <w:rPr>
            <w:color w:val="1155CC"/>
            <w:u w:val="single"/>
          </w:rPr>
          <w:t>两性离子氨基甲酸酯界面解锁高效“液体”CO2升级</w:t>
        </w:r>
      </w:hyperlink>
    </w:p>
    <w:p>
      <w:pPr>
        <w:spacing w:before="0" w:after="80"/>
      </w:pPr>
      <w:r>
        <w:rPr>
          <w:i/>
          <w:sz w:val="20"/>
        </w:rPr>
        <w:t>EN: Zwitterionic carbamate interfaces unlock efficient “liquid” CO2 upgrading</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193">
        <w:r>
          <w:rPr>
            <w:color w:val="1155CC"/>
            <w:u w:val="single"/>
          </w:rPr>
          <w:t>10.1126/sciadv.aed8640</w:t>
        </w:r>
      </w:hyperlink>
    </w:p>
    <w:p>
      <w:pPr>
        <w:spacing w:before="0" w:after="120"/>
      </w:pPr>
      <w:r>
        <w:rPr>
          <w:b/>
        </w:rPr>
        <w:t xml:space="preserve">Notes: </w:t>
      </w:r>
      <w:r>
        <w:t>abstract_source=crossref</w:t>
      </w:r>
    </w:p>
    <w:p>
      <w:pPr>
        <w:spacing w:before="0" w:after="80" w:lineRule="auto" w:line="276"/>
      </w:pPr>
      <w:r>
        <w:rPr>
          <w:b/>
        </w:rPr>
        <w:t xml:space="preserve">摘要（ZH）: </w:t>
      </w:r>
      <w:r>
        <w:t>将二氧化碳（CO</w:t>
      </w:r>
      <w:r>
        <w:rPr>
          <w:vertAlign w:val="subscript"/>
        </w:rPr>
        <w:t>2</w:t>
      </w:r>
      <w:r>
        <w:t>）捕集与其直接电化学转化相结合仍然是可持续能源技术的一大挑战。尽管胺洗涤广泛用于CO</w:t>
      </w:r>
      <w:r>
        <w:rPr>
          <w:vertAlign w:val="subscript"/>
        </w:rPr>
        <w:t>2</w:t>
      </w:r>
      <w:r>
        <w:t>捕集，但由于捕集的CO</w:t>
      </w:r>
      <w:r>
        <w:rPr>
          <w:vertAlign w:val="subscript"/>
        </w:rPr>
        <w:t>2</w:t>
      </w:r>
      <w:r>
        <w:t>物种的质量传输差和反应性有限，其与电化学还原的结合通常效率低下。在此，我们报告了一种集成的捕集-转化平台，该平台能够在液体氨基甲酸盐溶液中直接电解胺捕集的CO</w:t>
      </w:r>
      <w:r>
        <w:rPr>
          <w:vertAlign w:val="subscript"/>
        </w:rPr>
        <w:t>2</w:t>
      </w:r>
      <w:r>
        <w:t>。筛选结构相关的胺识别哌嗪（PZ）作为一种有效的捕集剂，形成稳定、高浓度的氨基甲酸盐物种。当与镍基催化剂和设计的气-液-固界面结合时，该系统能够实现高效的液相CO</w:t>
      </w:r>
      <w:r>
        <w:rPr>
          <w:vertAlign w:val="subscript"/>
        </w:rPr>
        <w:t>2</w:t>
      </w:r>
      <w:r>
        <w:t>转化，达到高达60%的碳单氧化物（CO）法拉第效率，并首次定量验证了氨基甲酸盐的参与（约40%）。在一个放大的电解槽（9 cm</w:t>
      </w:r>
      <w:r>
        <w:rPr>
          <w:vertAlign w:val="subscript"/>
        </w:rPr>
        <w:t>2</w:t>
      </w:r>
      <w:r>
        <w:t>）中，快速的CO</w:t>
      </w:r>
      <w:r>
        <w:rPr>
          <w:vertAlign w:val="subscript"/>
        </w:rPr>
        <w:t>2</w:t>
      </w:r>
      <w:r>
        <w:t>捕集和释放动力学使得在环境条件下CO的法拉第效率达到30%至45%，能量效率约为15%至25%，并在150小时内稳定运行。</w:t>
      </w:r>
    </w:p>
    <w:p>
      <w:pPr>
        <w:spacing w:before="0" w:after="200" w:lineRule="auto" w:line="276"/>
      </w:pPr>
      <w:r>
        <w:rPr>
          <w:b/>
        </w:rPr>
        <w:t xml:space="preserve">Abstract (EN): </w:t>
      </w:r>
      <w:r>
        <w:t>Integrating carbon dioxide (CO</w:t>
      </w:r>
      <w:r>
        <w:rPr>
          <w:vertAlign w:val="subscript"/>
        </w:rPr>
        <w:t>2</w:t>
      </w:r>
      <w:r>
        <w:t>) capture with its direct electrochemical conversion remains a major challenge for sustainable energy technologies. Although amine scrubbing is widely used for CO</w:t>
      </w:r>
      <w:r>
        <w:rPr>
          <w:vertAlign w:val="subscript"/>
        </w:rPr>
        <w:t>2</w:t>
      </w:r>
      <w:r>
        <w:t>capture, its integration with electrochemical reduction is often inefficient due to poor mass transport and limited reactivity of captured CO</w:t>
      </w:r>
      <w:r>
        <w:rPr>
          <w:vertAlign w:val="subscript"/>
        </w:rPr>
        <w:t>2</w:t>
      </w:r>
      <w:r>
        <w:t>species. Here, we report an integrated capture-conversion platform that enables direct electrolysis of amine-captured CO</w:t>
      </w:r>
      <w:r>
        <w:rPr>
          <w:vertAlign w:val="subscript"/>
        </w:rPr>
        <w:t>2</w:t>
      </w:r>
      <w:r>
        <w:t>in liquid carbamate solutions. Screening structurally related amines identifies piperazine (PZ) as an effective capture agent that forms stable, highly concentrated carbamate species. When combined with a nickel-based catalyst and a designed gas-liquid-solid interface, the system enables efficient liquid-phase CO</w:t>
      </w:r>
      <w:r>
        <w:rPr>
          <w:vertAlign w:val="subscript"/>
        </w:rPr>
        <w:t>2</w:t>
      </w:r>
      <w:r>
        <w:t>conversion, achieving up to 60% Faradaic efficiency for carbon monoxide (CO) and providing the first quantitative verification of carbamate participation (~40%). In a scaled electrolyzer (9 cm</w:t>
      </w:r>
      <w:r>
        <w:rPr>
          <w:vertAlign w:val="subscript"/>
        </w:rPr>
        <w:t>2</w:t>
      </w:r>
      <w:r>
        <w:t>), rapid CO</w:t>
      </w:r>
      <w:r>
        <w:rPr>
          <w:vertAlign w:val="subscript"/>
        </w:rPr>
        <w:t>2</w:t>
      </w:r>
      <w:r>
        <w:t>capture and release kinetics enable CO Faradaic efficiencies of 30 to 45% and energy efficiencies of ~15 to 25% under ambient conditions, with stable operation over 150 hours.</w:t>
      </w:r>
    </w:p>
    <w:p>
      <w:pPr>
        <w:spacing w:before="120" w:after="120"/>
      </w:pPr>
      <w:r>
        <w:rPr>
          <w:sz w:val="18"/>
        </w:rPr>
        <w:t>——————————————————————————————————————————————————————————————————————</w:t>
      </w:r>
    </w:p>
    <w:p>
      <w:pPr>
        <w:spacing w:before="160" w:after="40" w:line="240" w:lineRule="auto"/>
      </w:pPr>
      <w:r>
        <w:rPr>
          <w:b/>
        </w:rPr>
        <w:t xml:space="preserve">[12] </w:t>
      </w:r>
      <w:hyperlink r:id="rId194">
        <w:r>
          <w:rPr>
            <w:color w:val="1155CC"/>
            <w:u w:val="single"/>
          </w:rPr>
          <w:t>耐用的CO2-CO-C2+酸碱串联系统</w:t>
        </w:r>
      </w:hyperlink>
    </w:p>
    <w:p>
      <w:pPr>
        <w:spacing w:before="0" w:after="80"/>
      </w:pPr>
      <w:r>
        <w:rPr>
          <w:i/>
          <w:sz w:val="20"/>
        </w:rPr>
        <w:t>EN: Acidic-alkaline tandem system for durable CO2-CO-C2+</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195">
        <w:r>
          <w:rPr>
            <w:color w:val="1155CC"/>
            <w:u w:val="single"/>
          </w:rPr>
          <w:t>10.1126/sciadv.aea2538</w:t>
        </w:r>
      </w:hyperlink>
    </w:p>
    <w:p>
      <w:pPr>
        <w:spacing w:before="0" w:after="120"/>
      </w:pPr>
      <w:r>
        <w:rPr>
          <w:b/>
        </w:rPr>
        <w:t xml:space="preserve">Notes: </w:t>
      </w:r>
      <w:r>
        <w:t>abstract_source=crossref</w:t>
      </w:r>
    </w:p>
    <w:p>
      <w:pPr>
        <w:spacing w:before="0" w:after="80" w:lineRule="auto" w:line="276"/>
      </w:pPr>
      <w:r>
        <w:rPr>
          <w:b/>
        </w:rPr>
        <w:t xml:space="preserve">摘要（ZH）: </w:t>
      </w:r>
      <w:r>
        <w:t>串联二氧化碳还原反应（CO2 RR）生成多碳产品（CO2-CO-C2+）如乙烯是碳增值的关键策略。然而，传统的碱性或中性串联系统由于严重的（生物）碳酸盐形成限制了二氧化碳的利用和稳定性。在此，我们设计了一种耐用的酸碱串联系统，以高效合成C2+产品，特别是乙烯。在酸性CO2 RR步骤中，使用了具有精确控制金属位点距离的催化剂来调节*COOH吸附。通常，使用具有0.5纳米镍位点的催化剂可以在每平方厘米1.4安培的条件下实现99.7±0.4%的一氧化碳法拉第效率（FE），超过了先前报道的金属催化剂。当该催化剂集成到酸碱串联系统中并与碱性一氧化碳电还原耦合时，乙烯和C2+的FE分别达到75.3±1.2%和92.5±1.3%在10安培的条件下，并在400小时内保持稳定。我们的工作为从催化剂和电解槽设计中耐用地将二氧化碳转化为C2+产品提供了解决方案。</w:t>
      </w:r>
    </w:p>
    <w:p>
      <w:pPr>
        <w:spacing w:before="0" w:after="200" w:lineRule="auto" w:line="276"/>
      </w:pPr>
      <w:r>
        <w:rPr>
          <w:b/>
        </w:rPr>
        <w:t xml:space="preserve">Abstract (EN): </w:t>
      </w:r>
      <w:r>
        <w:t>Tandem carbon dioxide reduction reaction (CO</w:t>
      </w:r>
      <w:r>
        <w:rPr>
          <w:vertAlign w:val="subscript"/>
        </w:rPr>
        <w:t>2</w:t>
      </w:r>
      <w:r>
        <w:t>RR) to multicarbon products (CO</w:t>
      </w:r>
      <w:r>
        <w:rPr>
          <w:vertAlign w:val="subscript"/>
        </w:rPr>
        <w:t>2</w:t>
      </w:r>
      <w:r>
        <w:t>-CO-C</w:t>
      </w:r>
      <w:r>
        <w:t xml:space="preserve"> </w:t>
      </w:r>
      <w:r>
        <w:t>2+</w:t>
      </w:r>
      <w:r>
        <w:t xml:space="preserve"> </w:t>
      </w:r>
      <w:r>
        <w:t>) such as ethylene represents a pivotal strategy for carbon valorization. However, conventional alkaline or neutral tandem systems limit the carbon dioxide utilization and stability due to severe (bi)carbonate formation. Here, we design a durable acidic-alkaline tandem system to efficiently synthesize C</w:t>
      </w:r>
      <w:r>
        <w:t xml:space="preserve"> </w:t>
      </w:r>
      <w:r>
        <w:t>2+</w:t>
      </w:r>
      <w:r>
        <w:t xml:space="preserve"> </w:t>
      </w:r>
      <w:r>
        <w:t>products, especially ethylene. In the acidic CO</w:t>
      </w:r>
      <w:r>
        <w:rPr>
          <w:vertAlign w:val="subscript"/>
        </w:rPr>
        <w:t>2</w:t>
      </w:r>
      <w:r>
        <w:t>RR step, a catalyst with precisely controlled metal site distance was used to regulate *COOH adsorption. Typically, a 99.7 ± 0.4% carbon monoxide Faradaic efficiency (FE) at 1.4 amperes per square centimeter can be achieved using a catalyst with 0.5-nanometer nickel sites, surpassing the previously reported metal catalysts. When this catalyst was integrated into the acidic-alkaline tandem system and coupled with the alkaline carbon monoxide electroreduction, the ethylene and C</w:t>
      </w:r>
      <w:r>
        <w:t xml:space="preserve"> </w:t>
      </w:r>
      <w:r>
        <w:t>2+</w:t>
      </w:r>
      <w:r>
        <w:t xml:space="preserve"> </w:t>
      </w:r>
      <w:r>
        <w:t>FE reached 75.3 ± 1.2 and 92.5 ± 1.3% at 10 amperes, respectively, and remained stable for 400 hours. Our work provides solutions for the durable conversion of carbon dioxide to C</w:t>
      </w:r>
      <w:r>
        <w:t xml:space="preserve"> </w:t>
      </w:r>
      <w:r>
        <w:t>2+</w:t>
      </w:r>
      <w:r>
        <w:t xml:space="preserve"> </w:t>
      </w:r>
      <w:r>
        <w:t>products from catalyst and electrolyzer design.</w:t>
      </w:r>
    </w:p>
    <w:p>
      <w:pPr>
        <w:spacing w:before="120" w:after="120"/>
      </w:pPr>
      <w:r>
        <w:rPr>
          <w:sz w:val="18"/>
        </w:rPr>
        <w:t>——————————————————————————————————————————————————————————————————————</w:t>
      </w:r>
    </w:p>
    <w:p>
      <w:pPr>
        <w:spacing w:before="160" w:after="40" w:line="240" w:lineRule="auto"/>
      </w:pPr>
      <w:r>
        <w:rPr>
          <w:b/>
        </w:rPr>
        <w:t xml:space="preserve">[13] </w:t>
      </w:r>
      <w:hyperlink r:id="rId196">
        <w:r>
          <w:rPr>
            <w:color w:val="1155CC"/>
            <w:u w:val="single"/>
          </w:rPr>
          <w:t>[ASAP] 用于CO2还原反应的双金属原子位点催化剂</w:t>
        </w:r>
      </w:hyperlink>
    </w:p>
    <w:p>
      <w:pPr>
        <w:spacing w:before="0" w:after="80"/>
      </w:pPr>
      <w:r>
        <w:rPr>
          <w:i/>
          <w:sz w:val="20"/>
        </w:rPr>
        <w:t>EN: [ASAP] Dual Metal Atomic Site Catalysts for CO2 Reduction Reactions</w:t>
      </w:r>
    </w:p>
    <w:p>
      <w:pPr>
        <w:spacing w:before="0" w:after="120"/>
      </w:pPr>
      <w:r>
        <w:rPr>
          <w:b/>
        </w:rPr>
        <w:t xml:space="preserve">Source: </w:t>
      </w:r>
      <w:r>
        <w:t>Chemical Reviews: Latest Articles (ACS Publications)</w:t>
      </w:r>
      <w:r>
        <w:t xml:space="preserve">    </w:t>
      </w:r>
      <w:r>
        <w:rPr>
          <w:b/>
        </w:rPr>
        <w:t xml:space="preserve">Pub date: </w:t>
      </w:r>
      <w:r>
        <w:t>2026-05-13 16:32:55+00:00</w:t>
      </w:r>
      <w:r>
        <w:t xml:space="preserve">    </w:t>
      </w:r>
      <w:r>
        <w:rPr>
          <w:b/>
        </w:rPr>
        <w:t xml:space="preserve">DOI: </w:t>
      </w:r>
      <w:hyperlink r:id="rId197">
        <w:r>
          <w:rPr>
            <w:color w:val="1155CC"/>
            <w:u w:val="single"/>
          </w:rPr>
          <w:t>10.1021/acs.chemrev.5c00513</w:t>
        </w:r>
      </w:hyperlink>
    </w:p>
    <w:p>
      <w:pPr>
        <w:spacing w:before="0" w:after="120"/>
      </w:pPr>
      <w:r>
        <w:rPr>
          <w:b/>
        </w:rPr>
        <w:t xml:space="preserve">Notes: </w:t>
      </w:r>
      <w:r>
        <w:t>abstract_source=pubmed</w:t>
      </w:r>
    </w:p>
    <w:p>
      <w:pPr>
        <w:spacing w:before="0" w:after="80" w:lineRule="auto" w:line="276"/>
      </w:pPr>
      <w:r>
        <w:rPr>
          <w:b/>
        </w:rPr>
        <w:t xml:space="preserve">摘要（ZH）: </w:t>
      </w:r>
      <w:r>
        <w:t>高效催化剂在CO2还原中的开发仍然是向碳中和和可持续能源系统过渡的关键挑战。双金属原子位点（DMAS）催化剂作为一种变革性的材料类别出现，由于两个金属中心之间的协同作用，在某些情况下有可能超越传统的单原子催化剂。这种双位点配置允许对几何结构、电子结构、中间体的增强吸附和改进的催化动力学进行微调，为高选择性和高效的CO2转化提供了新的机会。尽管取得了显著进展，但对DMAS催化剂的基本性质和催化行为的全面理解仍然不够，限制了其更广泛的应用。本文系统总结了DMAS催化剂在CO2还原中的最新进展，包括其结构分类、筛选策略、基材材料，并进一步阐明了其在不同CO2转化途径（包括电催化、光催化、热催化和其他新兴催化系统）中的机制作用和性能变化。我们强调了控制DMAS催化剂催化活性和选择性的结构-性能关系，讨论了现有的局限性，并概述了未来的研究方向，重点是合理的催化剂设计、原位表征和可扩展的合成。通过整合理论见解和实际考虑，本文旨在推进</w:t>
      </w:r>
    </w:p>
    <w:p>
      <w:pPr>
        <w:spacing w:before="0" w:after="200" w:lineRule="auto" w:line="276"/>
      </w:pPr>
      <w:r>
        <w:rPr>
          <w:b/>
        </w:rPr>
        <w:t xml:space="preserve">Abstract (EN): </w:t>
      </w:r>
      <w:r>
        <w:t>The development of efficient catalysts for CO2 reduction remains a key challenge in the transition toward carbon neutrality and sustainable energy systems. Dual metal atomic site (DMAS) catalysts have emerged as a transformative class of materials, with the potential to surpass traditional single-atom catalysts in a certain circumstance due to the synergistic interplay between two metal centers. This dual site configuration allows for fine-tuning of the geometries, electronic structure, enhanced adsorption of intermediates, and improved catalytic kinetics, offering new opportunities for highly selective and efficient CO2 conversion. Despite significant progress, a comprehensive understanding of the fundamental properties and catalytic behavior of DMAS catalysts remains underdeveloped, limiting their broader application. This review systematically summarizes recent advances in DMAS catalysts for CO2 reduction, encompassing their structural classification, screening strategies, substrate materials, and further elucidates their mechanistic roles and performance variations across diverse CO2 conversion pathways, including electrocatalysis, photocatalysis, thermal catalysis, and other emerging catalytic systems. We highlight the structure-performance relationships governing catalytic activity and selectivity of DMAS catalysts, discuss existing limitations and outline future research directions with a focus on rational catalyst design, operando characterization, and scalable synthesis. By integrating theoretical insights and practical considerations, this review aims to advance the development of DMAS catalysts for sustainable CO2 conversion technologies.</w:t>
      </w:r>
    </w:p>
    <w:p>
      <w:pPr>
        <w:spacing w:before="120" w:after="120"/>
      </w:pPr>
      <w:r>
        <w:rPr>
          <w:sz w:val="18"/>
        </w:rPr>
        <w:t>——————————————————————————————————————————————————————————————————————</w:t>
      </w:r>
    </w:p>
    <w:p>
      <w:pPr>
        <w:spacing w:before="160" w:after="40" w:line="240" w:lineRule="auto"/>
      </w:pPr>
      <w:r>
        <w:rPr>
          <w:b/>
        </w:rPr>
        <w:t xml:space="preserve">[14] </w:t>
      </w:r>
      <w:hyperlink r:id="rId198">
        <w:r>
          <w:rPr>
            <w:color w:val="1155CC"/>
            <w:u w:val="single"/>
          </w:rPr>
          <w:t>[ASAP] 单原子合金簇上的光热协同催化CO2甲烷化</w:t>
        </w:r>
      </w:hyperlink>
    </w:p>
    <w:p>
      <w:pPr>
        <w:spacing w:before="0" w:after="80"/>
      </w:pPr>
      <w:r>
        <w:rPr>
          <w:i/>
          <w:sz w:val="20"/>
        </w:rPr>
        <w:t>EN: [ASAP] Photo-Thermal Cocatalytic CO2 Methanation over Single-Atom Alloy Clusters</w:t>
      </w:r>
    </w:p>
    <w:p>
      <w:pPr>
        <w:spacing w:before="0" w:after="120"/>
      </w:pPr>
      <w:r>
        <w:rPr>
          <w:b/>
        </w:rPr>
        <w:t xml:space="preserve">Source: </w:t>
      </w:r>
      <w:r>
        <w:t>Journal of the American Chemical Society: Latest Articles (ACS Publications)</w:t>
      </w:r>
      <w:r>
        <w:t xml:space="preserve">    </w:t>
      </w:r>
      <w:r>
        <w:rPr>
          <w:b/>
        </w:rPr>
        <w:t xml:space="preserve">Pub date: </w:t>
      </w:r>
      <w:r>
        <w:t>2026-05-13 16:39:59+00:00</w:t>
      </w:r>
      <w:r>
        <w:t xml:space="preserve">    </w:t>
      </w:r>
      <w:r>
        <w:rPr>
          <w:b/>
        </w:rPr>
        <w:t xml:space="preserve">DOI: </w:t>
      </w:r>
      <w:hyperlink r:id="rId199">
        <w:r>
          <w:rPr>
            <w:color w:val="1155CC"/>
            <w:u w:val="single"/>
          </w:rPr>
          <w:t>10.1021/jacs.6c03975</w:t>
        </w:r>
      </w:hyperlink>
    </w:p>
    <w:p>
      <w:pPr>
        <w:spacing w:before="0" w:after="120"/>
      </w:pPr>
      <w:r>
        <w:rPr>
          <w:b/>
        </w:rPr>
        <w:t xml:space="preserve">Notes: </w:t>
      </w:r>
      <w:r>
        <w:t>abstract_source=pubmed</w:t>
      </w:r>
    </w:p>
    <w:p>
      <w:pPr>
        <w:spacing w:before="0" w:after="80" w:lineRule="auto" w:line="276"/>
      </w:pPr>
      <w:r>
        <w:rPr>
          <w:b/>
        </w:rPr>
        <w:t xml:space="preserve">摘要（ZH）: </w:t>
      </w:r>
      <w:r>
        <w:t>单原子合金（SAA）催化剂在调节CO2还原性能方面表现出巨大潜力。然而，在支撑体上精确构建SAA仍然存在巨大挑战。在此，通过客体金属屏障策略，报道了M1 M2-SAA（M1 M2 = Pt1Ni, Pd1Ni, Pd1Co）精确固定在二维卟啉金属有机框架（2D-Ni-PCN-222）的Zr6O8簇上。所得的Pt1Ni-SAA/2D-Ni-PCN-222在大气压（1 atm CO2/H2）下150°C的光热催化CO2加氢中表现出高反应效率，CH4的生产速率为1206.5 μmol·gcat-1·h-1（287 mmol·gPt-1·h-1），选择性大于99%。机制研究揭示了2D-Ni-PCN-222和Pt1Ni-SAA在CH4生产中的协同催化作用，其中2D-Ni-PCN-222中的Zr6O8簇负责CO2的吸附和还原为CO，而Pt1Ni-SAA促进了CO到CH4的顺序加氢。第一性原理分子动力学模拟进一步证明了从Pt1Ni-SAA到相邻Zr6O8簇的氢溢流，这同时增强了Zr6O8簇位点上CO2还原为CO的动力学和整体CH4生产效率。</w:t>
      </w:r>
    </w:p>
    <w:p>
      <w:pPr>
        <w:spacing w:before="0" w:after="200" w:lineRule="auto" w:line="276"/>
      </w:pPr>
      <w:r>
        <w:rPr>
          <w:b/>
        </w:rPr>
        <w:t xml:space="preserve">Abstract (EN): </w:t>
      </w:r>
      <w:r>
        <w:t>Single-atom alloy (SAA) catalysts have exhibited great potential in modulating CO2 reduction performance. However, there still exist huge challenges in the precise construction of SAA on a support. Herein, the precise immobilization of M1 M2-SAA (M1 M2 = Pt1Ni, Pd1Ni, Pd1Co) onto the Zr6O8 cluster of a 2D porphyrinic metal-organic framework (2D-Ni-PCN-222) was reported through a guest-metal barrier strategy. The resultant Pt1Ni-SAA/2D-Ni-PCN-222 displayed high reaction efficiency in photothermal catalytic CO2 hydrogenation under atmospheric pressure (1 atm CO2/H2) at 150 °C, giving rise to a CH4 production rate of 1206.5 μmol·gcat-1·h-1 (287 mmol·gPt-1·h-1) with larger than 99% selectivity. Mechanism studies revealed a synergistic catalysis between the 2D-Ni-PCN-222 and Pt1Ni-SAA in CH4 production, where the Zr6O8 cluster in 2D-Ni-PCN-222 was responsible for CO2 adsorption and reduction to CO, while Pt1Ni-SAA promoted the sequential hydrogenation of CO to CH4. Ab initio molecular dynamic simulations further demonstrated the hydrogen spillover from Pt1Ni-SAA to the adjacent Zr6O8 cluster, which simultaneously enhanced the kinetics of CO2 reduction to CO at Zr6O8 cluster sites and the overall CH4 production efficiency.</w:t>
      </w:r>
    </w:p>
    <w:p>
      <w:pPr>
        <w:spacing w:before="120" w:after="120"/>
      </w:pPr>
      <w:r>
        <w:rPr>
          <w:sz w:val="18"/>
        </w:rPr>
        <w:t>——————————————————————————————————————————————————————————————————————</w:t>
      </w:r>
    </w:p>
    <w:p>
      <w:pPr>
        <w:spacing w:before="160" w:after="40" w:line="240" w:lineRule="auto"/>
      </w:pPr>
      <w:r>
        <w:rPr>
          <w:b/>
        </w:rPr>
        <w:t xml:space="preserve">[15] </w:t>
      </w:r>
      <w:hyperlink r:id="rId200">
        <w:r>
          <w:rPr>
            <w:color w:val="1155CC"/>
            <w:u w:val="single"/>
          </w:rPr>
          <w:t>通过集成CO2吸收和再生实现高效稳定的电化学碳捕获</w:t>
        </w:r>
      </w:hyperlink>
    </w:p>
    <w:p>
      <w:pPr>
        <w:spacing w:before="0" w:after="80"/>
      </w:pPr>
      <w:r>
        <w:rPr>
          <w:i/>
          <w:sz w:val="20"/>
        </w:rPr>
        <w:t>EN: Efficient and Stable Electrochemical Carbon Capture via Integrated CO2 Absorption and Regeneration</w:t>
      </w:r>
    </w:p>
    <w:p>
      <w:pPr>
        <w:spacing w:before="0" w:after="120"/>
      </w:pPr>
      <w:r>
        <w:rPr>
          <w:b/>
        </w:rPr>
        <w:t xml:space="preserve">Source: </w:t>
      </w:r>
      <w:r>
        <w:t>RSC - Energy Environ. Sci. latest articles</w:t>
      </w:r>
      <w:r>
        <w:t xml:space="preserve">    </w:t>
      </w:r>
      <w:r>
        <w:rPr>
          <w:b/>
        </w:rPr>
        <w:t xml:space="preserve">Pub date: </w:t>
      </w:r>
      <w:r>
        <w:t>2026-05-13 23:00:00+00:00</w:t>
      </w:r>
    </w:p>
    <w:p>
      <w:pPr>
        <w:spacing w:before="0" w:after="120"/>
      </w:pPr>
      <w:r>
        <w:rPr>
          <w:b/>
        </w:rPr>
        <w:t xml:space="preserve">Notes: </w:t>
      </w:r>
      <w:r>
        <w:t>abstract_source=rsc_html</w:t>
      </w:r>
    </w:p>
    <w:p>
      <w:pPr>
        <w:spacing w:before="0" w:after="80" w:lineRule="auto" w:line="276"/>
      </w:pPr>
      <w:r>
        <w:rPr>
          <w:b/>
        </w:rPr>
        <w:t xml:space="preserve">摘要（ZH）: </w:t>
      </w:r>
      <w:r>
        <w:t>电化学电池中的碳捕获通常依赖于两个电极处的局部pH差异，这导致高pH过电位和高能耗。在此，我们将CO2吸收和原位CO2/吸附剂再生步骤集成到单个电化学反应器中，以降低能耗、简化工艺设计并提高反应器稳定性。通过将碳源直接送入阴极室，同时从（生物）碳酸盐溶液中进行CO2和吸附剂再生电解，我们成功展示了电池内碳捕获和局部pH升高的缓解，有效降低了pH过电位并提高了电子效率。我们的系统主要以碳酸氢盐的形式捕获CO2，仅需约48 kJ mol-1 CO2用于起始捕获，在100 mA cm-2时每mol CO2约需180 kJ。这一策略提供了高吸附剂利用效率、改进的电子利用率和降低的能耗，使得在50 mA cm-2下稳定的碳捕获操作（3.5% CO2浓度输入）超过1,000小时，阳离子传输效率保持在80%以上。</w:t>
      </w:r>
    </w:p>
    <w:p>
      <w:pPr>
        <w:spacing w:before="0" w:after="200" w:lineRule="auto" w:line="276"/>
      </w:pPr>
      <w:r>
        <w:rPr>
          <w:b/>
        </w:rPr>
        <w:t xml:space="preserve">Abstract (EN): </w:t>
      </w:r>
      <w:r>
        <w:t>Carbon capture in electrochemical cells generally relies on the local pH differences at the two electrodes, which results in high pH overpotentials and high energy consumption. Here, we integrated CO2 absorption and in-situ CO2/sorbent regeneration steps in a single electrochemical reactor for reduced energy consumption, simplified process design, and improved reactor stability. By directly feeding carbon source into the cathode chamber while performing CO2 and sorbent regeneration electrolysis from (bi)carbonate solutions, we successfully demonstrated an in-cell carbon capture and mitigation of local pH elevation, which effectively reduces the pH overpotential and enhances the electron efficiency. Our system captures CO2 predominantly in the form of bicarbonate, requiring only ~48 kJ mol-1 CO2 for onset capture and ~180 kJ per mol CO2 at 100 mA cm-2. This strategy delivers high sorbent utilization efficiency, improved electron utilization, and reduced energy consumption, enabling stable carbon capture operation (3.5% CO2 concentration input) at 50 mA cm-2 for over 1,000 hours, with a cation transport efficiency maintained above 80%.</w:t>
      </w:r>
    </w:p>
    <w:p>
      <w:pPr>
        <w:spacing w:before="120" w:after="120"/>
      </w:pPr>
      <w:r>
        <w:rPr>
          <w:sz w:val="18"/>
        </w:rPr>
        <w:t>——————————————————————————————————————————————————————————————————————</w:t>
      </w:r>
    </w:p>
    <w:p>
      <w:pPr>
        <w:spacing w:before="160" w:after="40" w:line="240" w:lineRule="auto"/>
      </w:pPr>
      <w:r>
        <w:rPr>
          <w:b/>
        </w:rPr>
        <w:t xml:space="preserve">[16] </w:t>
      </w:r>
      <w:hyperlink r:id="rId201">
        <w:r>
          <w:rPr>
            <w:color w:val="1155CC"/>
            <w:u w:val="single"/>
          </w:rPr>
          <w:t>在CO2和生物产品之间架起桥梁的改革</w:t>
        </w:r>
      </w:hyperlink>
    </w:p>
    <w:p>
      <w:pPr>
        <w:spacing w:before="0" w:after="80"/>
      </w:pPr>
      <w:r>
        <w:rPr>
          <w:i/>
          <w:sz w:val="20"/>
        </w:rPr>
        <w:t>EN: Reforming a bridge between CO2 and bioproducts</w:t>
      </w:r>
    </w:p>
    <w:p>
      <w:pPr>
        <w:spacing w:before="0" w:after="120"/>
      </w:pPr>
      <w:r>
        <w:rPr>
          <w:b/>
        </w:rPr>
        <w:t xml:space="preserve">Source: </w:t>
      </w:r>
      <w:r>
        <w:t>Nature Chemical Engineering</w:t>
      </w:r>
      <w:r>
        <w:t xml:space="preserve">    </w:t>
      </w:r>
      <w:r>
        <w:rPr>
          <w:b/>
        </w:rPr>
        <w:t xml:space="preserve">Pub date: </w:t>
      </w:r>
      <w:r>
        <w:t>2026-05-14 00:00:00+00:00</w:t>
      </w:r>
      <w:r>
        <w:t xml:space="preserve">    </w:t>
      </w:r>
      <w:r>
        <w:rPr>
          <w:b/>
        </w:rPr>
        <w:t xml:space="preserve">DOI: </w:t>
      </w:r>
      <w:hyperlink r:id="rId202">
        <w:r>
          <w:rPr>
            <w:color w:val="1155CC"/>
            <w:u w:val="single"/>
          </w:rPr>
          <w:t>10.1038/s44286-026-00393-0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【海底采矿】</w:t>
      </w:r>
    </w:p>
    <w:p>
      <w:pPr>
        <w:spacing w:before="160" w:after="40" w:line="240" w:lineRule="auto"/>
      </w:pPr>
      <w:r>
        <w:rPr>
          <w:b/>
        </w:rPr>
        <w:t xml:space="preserve">[1] </w:t>
      </w:r>
      <w:hyperlink r:id="rId203">
        <w:r>
          <w:rPr>
            <w:color w:val="1155CC"/>
            <w:u w:val="single"/>
          </w:rPr>
          <w:t>快速去新组装动物-微生物生物过滤器以减轻海底甲烷泄漏</w:t>
        </w:r>
      </w:hyperlink>
    </w:p>
    <w:p>
      <w:pPr>
        <w:spacing w:before="0" w:after="80"/>
      </w:pPr>
      <w:r>
        <w:rPr>
          <w:i/>
          <w:sz w:val="20"/>
        </w:rPr>
        <w:t>EN: Rapid de novo assembly of animal-microbe biofilter to mitigate seabed methane leakage</w:t>
      </w:r>
    </w:p>
    <w:p>
      <w:pPr>
        <w:spacing w:before="0" w:after="120"/>
      </w:pPr>
      <w:r>
        <w:rPr>
          <w:b/>
        </w:rPr>
        <w:t xml:space="preserve">Source: </w:t>
      </w:r>
      <w:r>
        <w:t>National Science Review Advance Access</w:t>
      </w:r>
      <w:r>
        <w:t xml:space="preserve">    </w:t>
      </w:r>
      <w:r>
        <w:rPr>
          <w:b/>
        </w:rPr>
        <w:t xml:space="preserve">Pub date: </w:t>
      </w:r>
      <w:r>
        <w:t>2026-05-14 00:00:00+00:00</w:t>
      </w:r>
      <w:r>
        <w:t xml:space="preserve">    </w:t>
      </w:r>
      <w:r>
        <w:rPr>
          <w:b/>
        </w:rPr>
        <w:t xml:space="preserve">DOI: </w:t>
      </w:r>
      <w:hyperlink r:id="rId204">
        <w:r>
          <w:rPr>
            <w:color w:val="1155CC"/>
            <w:u w:val="single"/>
          </w:rPr>
          <w:t>10.1093/nsr/nwag266</w:t>
        </w:r>
      </w:hyperlink>
    </w:p>
    <w:p>
      <w:pPr>
        <w:spacing w:before="0" w:after="120"/>
      </w:pPr>
      <w:r>
        <w:rPr>
          <w:b/>
        </w:rPr>
        <w:t xml:space="preserve">Notes: </w:t>
      </w:r>
      <w:r>
        <w:t>abstract_source=rss_oup</w:t>
      </w:r>
    </w:p>
    <w:p>
      <w:pPr>
        <w:spacing w:before="0" w:after="80" w:lineRule="auto" w:line="276"/>
      </w:pPr>
      <w:r>
        <w:rPr>
          <w:b/>
        </w:rPr>
        <w:t xml:space="preserve">摘要（ZH）: </w:t>
      </w:r>
      <w:r>
        <w:t>人为和气候扰动威胁到气体水合物的稳定性，并可能从其巨大的海底储层中释放甲烷。然而，深海生态系统的反应仍然知之甚少。我们对人为诱导的甲烷渗漏进行了多年的原位监测，揭示了在1-2年内甲烷消耗生态系统的异常快速、从头建立，随后迅速演替至自然成熟的渗漏。综合生物地球化学和分子分析揭示了好氧甲烷氧化菌（Methyloprofundus）、厌氧甲烷氧化菌（ANME-2e, ANME-3）和机会性动物在海床上进行&gt;50厘米深度的生物扰动的意外平行增殖。在这个强烈混合的区域内，活跃的动物-微生物相互作用通过复杂的碳、氮和硫的氧化还原耦合维持了快速的甲烷去除（30-60 mmol/m2/天）。我们的研究表明，突然的甲烷泄漏可以比之前估计的更快地形成一个有效的动物-微生物‘甲烷生物过滤器’，为海底自然缓解能力和极限提供了新的见解，这对于在海床甲烷流量增加的情况下进行风险评估和气候预测至关重要。</w:t>
      </w:r>
    </w:p>
    <w:p>
      <w:pPr>
        <w:spacing w:before="0" w:after="200" w:lineRule="auto" w:line="276"/>
      </w:pPr>
      <w:r>
        <w:rPr>
          <w:b/>
        </w:rPr>
        <w:t xml:space="preserve">Abstract (EN): </w:t>
      </w:r>
      <w:r>
        <w:t>Anthropogenic and climatic perturbations threaten to destabilize gas hydrates and release methane from its vast subseafloor reservoir. Yet the deep-sea ecosystem responses remain poorly understood. Our multi-year, in situ monitoring of a human-induced methane seep unveiled an exceptionally fast, de novo establishment of methane-consuming ecosystem within 1–2 years, followed by a rapid succession toward natural mature seeps. Integrated biogeochemical and molecular analyses revealed an unexpectedly parallel proliferation of aerobic methanotrophs (Methyloprofundus), anaerobic methanotrophs (ANME-2e, ANME-3), and opportunistic fauna bioturbating the seabed to &gt;50 cm depths. Within this intensively mixed zone, active animal-microbe interactions sustained rapid methane removal (30–60 mmol/m2/day) through intricate carbon, nitrogen, and sulfur redox coupling. Our work demonstrates that abrupt methane leakage can form an effective animal-microbe ‘methane biofilter’ far quicker than previously estimated, producing new insights into benthic natural mitigation capacity and limits that are critical for risk assessments and climate projections under increasing seabed methane efflux.</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05">
        <w:r>
          <w:rPr>
            <w:color w:val="1155CC"/>
            <w:u w:val="single"/>
          </w:rPr>
          <w:t>混合塑料废料直接升级为液体烷烃</w:t>
        </w:r>
      </w:hyperlink>
    </w:p>
    <w:p>
      <w:pPr>
        <w:spacing w:before="0" w:after="80"/>
      </w:pPr>
      <w:r>
        <w:rPr>
          <w:i/>
          <w:sz w:val="20"/>
        </w:rPr>
        <w:t>EN: Direct upcycling of mixed plastic waste into liquid alkanes</w:t>
      </w:r>
    </w:p>
    <w:p>
      <w:pPr>
        <w:spacing w:before="0" w:after="120"/>
      </w:pPr>
      <w:r>
        <w:rPr>
          <w:b/>
        </w:rPr>
        <w:t xml:space="preserve">Source: </w:t>
      </w:r>
      <w:r>
        <w:t>RSC - Energy Environ. Sci. latest articles</w:t>
      </w:r>
      <w:r>
        <w:t xml:space="preserve">    </w:t>
      </w:r>
      <w:r>
        <w:rPr>
          <w:b/>
        </w:rPr>
        <w:t xml:space="preserve">Pub date: </w:t>
      </w:r>
      <w:r>
        <w:t>2026-05-10 23:00:00+00:00</w:t>
      </w:r>
    </w:p>
    <w:p>
      <w:pPr>
        <w:spacing w:before="0" w:after="120"/>
      </w:pPr>
      <w:r>
        <w:rPr>
          <w:b/>
        </w:rPr>
        <w:t xml:space="preserve">Notes: </w:t>
      </w:r>
      <w:r>
        <w:t>abstract_source=rsc_html</w:t>
      </w:r>
    </w:p>
    <w:p>
      <w:pPr>
        <w:spacing w:before="0" w:after="80" w:lineRule="auto" w:line="276"/>
      </w:pPr>
      <w:r>
        <w:rPr>
          <w:b/>
        </w:rPr>
        <w:t xml:space="preserve">摘要（ZH）: </w:t>
      </w:r>
      <w:r>
        <w:t>废弃混合塑料直接升级为单一用途的增值产品是一个非常理想的目标。然而，不同塑料的物理和化学性质的显著差异，以及组分之间的相互毒化效应，可能会阻碍在温和条件下激活和断裂混合塑料中的各种化学键。在此，我们首次报道了在250°C下，在无溶剂条件下，使用Ru/CeO2 + Re/CeO2混合催化剂直接氢解由聚烯烃和含氧塑料组成的混合塑料为液体烷烃。混合塑料无需预处理，所得液体烷烃可用作运输燃料，无需复杂的分离过程。这消除了在过程中分离不同产品类型的挑战。与传统的Ru催化剂相比，Ru/CeO2 + Re/CeO2的独特性能源于其有效消除含氧物种的毒化效应及其显著增强的C-C和C-O键断裂能力。总体而言，与传统的单一塑料转化路径不同，该过程为混合塑料废物的直接回收提供了一种可持续且具有成本效益的解决方案，从而为推进循环塑料经济提供了一种可行的方法。</w:t>
      </w:r>
    </w:p>
    <w:p>
      <w:pPr>
        <w:spacing w:before="0" w:after="200" w:lineRule="auto" w:line="276"/>
      </w:pPr>
      <w:r>
        <w:rPr>
          <w:b/>
        </w:rPr>
        <w:t xml:space="preserve">Abstract (EN): </w:t>
      </w:r>
      <w:r>
        <w:t>Direct upcycling of waste mixed plastics into single-purpose, value-added products is a highly desirable goal. However, the significant variations in the physical and chemical properties of different plastics, as well as the mutual poisoning effects between components, may hinder the activation and cleavage of various chemical bonds within mixed plastics under mild conditions. Here, we report for the first time the direct hydrogenolysis of mixed plastics comprising polyolefins and oxygen-containing plastics into liquid alkanes under solvent-free conditions at 250 °C on Ru/CeO2 + Re/CeO2 blend catalysts. The mixed plastics require no pretreatment, and the resulting liquid alkanes can be used as transportation fuel without the need for complex separation processes. This eliminates the challenge of separating different product types during the process. Compared to conventional Ru catalysts, the unique performance of the Ru/CeO2 + Re/CeO2 arises from its effective elimination of poisoning effects by oxygen-containing species and its significantly enhanced ability to cleave C-C and C-O bonds. Overall, unlike conventional single-plastic conversion pathways, this process offers a sustainable and cost-effective solution for the direct recycling of mixed plastic waste, thereby providing a viable approach for advancing a circular plastics economy.</w:t>
      </w:r>
    </w:p>
    <w:p>
      <w:pPr>
        <w:spacing w:before="120" w:after="120"/>
      </w:pPr>
      <w:r>
        <w:rPr>
          <w:sz w:val="18"/>
        </w:rPr>
        <w:t>——————————————————————————————————————————————————————————————————————</w:t>
      </w:r>
    </w:p>
    <w:p>
      <w:pPr>
        <w:spacing w:before="160" w:after="40" w:line="240" w:lineRule="auto"/>
      </w:pPr>
      <w:r>
        <w:rPr>
          <w:b/>
        </w:rPr>
        <w:t xml:space="preserve">[2] </w:t>
      </w:r>
      <w:hyperlink r:id="rId206">
        <w:r>
          <w:rPr>
            <w:color w:val="1155CC"/>
            <w:u w:val="single"/>
          </w:rPr>
          <w:t>通过酚类离子液体实现低温聚对苯二甲酸乙二醇酯的升级回收</w:t>
        </w:r>
      </w:hyperlink>
    </w:p>
    <w:p>
      <w:pPr>
        <w:spacing w:before="0" w:after="80"/>
      </w:pPr>
      <w:r>
        <w:rPr>
          <w:i/>
          <w:sz w:val="20"/>
        </w:rPr>
        <w:t>EN: Low-temperature polyethylene terephthalate upcycling by phenolic ionic liquids</w:t>
      </w:r>
    </w:p>
    <w:p>
      <w:pPr>
        <w:spacing w:before="0" w:after="120"/>
      </w:pPr>
      <w:r>
        <w:rPr>
          <w:b/>
        </w:rPr>
        <w:t xml:space="preserve">Source: </w:t>
      </w:r>
      <w:r>
        <w:t>Nature Sustainability</w:t>
      </w:r>
      <w:r>
        <w:t xml:space="preserve">    </w:t>
      </w:r>
      <w:r>
        <w:rPr>
          <w:b/>
        </w:rPr>
        <w:t xml:space="preserve">Pub date: </w:t>
      </w:r>
      <w:r>
        <w:t>2026-05-11 00:00:00+00:00</w:t>
      </w:r>
      <w:r>
        <w:t xml:space="preserve">    </w:t>
      </w:r>
      <w:r>
        <w:rPr>
          <w:b/>
        </w:rPr>
        <w:t xml:space="preserve">DOI: </w:t>
      </w:r>
      <w:hyperlink r:id="rId207">
        <w:r>
          <w:rPr>
            <w:color w:val="1155CC"/>
            <w:u w:val="single"/>
          </w:rPr>
          <w:t>10.1038/s41893-026-01832-9</w:t>
        </w:r>
      </w:hyperlink>
    </w:p>
    <w:p>
      <w:pPr>
        <w:spacing w:before="0" w:after="120"/>
      </w:pPr>
      <w:r>
        <w:rPr>
          <w:b/>
        </w:rPr>
        <w:t xml:space="preserve">Notes: </w:t>
      </w:r>
      <w:r>
        <w:t>abstract_source=nature_html</w:t>
      </w:r>
    </w:p>
    <w:p>
      <w:pPr>
        <w:spacing w:before="0" w:after="80" w:lineRule="auto" w:line="276"/>
      </w:pPr>
      <w:r>
        <w:rPr>
          <w:b/>
        </w:rPr>
        <w:t xml:space="preserve">摘要（ZH）: </w:t>
      </w:r>
      <w:r>
        <w:t>将寿命终结的聚对苯二甲酸乙二醇酯（PET）升级为有价值的化学品对于实现循环经济至关重要。然而，在实践中面临许多挑战，如苛刻的操作条件和需要下游加工的低质量产品的产生。我们在此开发了一种酚类离子液体介导的工艺，能够在70°C下在各种亲核试剂存在下将PET完全转化为有价值的单体。这主要是由于酚类阴离子与PET主链上的苯环之间的强π‒π相互作用以及酚类阴离子与亲核试剂之间的相互作用。100克混合的实际PET废塑料的解聚以93.1%的高二甲基对苯二甲酸酯产率实现。此外，获得的PET氨解单体可以进一步与二氧化碳（CO2）共聚合以合成聚脲，从而消除了进一步分离和纯化过程的需求。总体而言，这项工作不仅为塑料升级过程设计提供了见解，还提出了一种将PET和CO2共同升级为有价值材料的可行策略，为可持续塑料废物管理和循环经济铺平了道路。</w:t>
      </w:r>
    </w:p>
    <w:p>
      <w:pPr>
        <w:spacing w:before="0" w:after="200" w:lineRule="auto" w:line="276"/>
      </w:pPr>
      <w:r>
        <w:rPr>
          <w:b/>
        </w:rPr>
        <w:t xml:space="preserve">Abstract (EN): </w:t>
      </w:r>
      <w:r>
        <w:t>Upcycling end-of-life polyethylene terephthalate (PET) to valuable chemicals is crucial for achieving circular economy. However, in practice it faces many challenges, such as harsh operation conditions and the generation of lower-quality products needing down-processing. Here we develop a phenolic ionic liquids-mediated process that is capable of complete PET conversion into valuable monomers at 70 °C in the presence of various nucleophiles. This is achieved primarily owing to the strong π‒π interactions between the phenolic anion and benzene rings on the PET main chains and the interactions between the phenolic anion and nucleophiles. The depolymerization of 100 g mixed real-life PET waste plastics was achieved with a high dimethyl terephthalate yield of 93.1%. In addition, the obtained PET ammonolysis monomers can be further copolymerized with carbon dioxide (CO2) to synthesize polyurea, thereby eliminating the requirement for further separation and purification processes. Overall, this work not only offers insights into plastic upcycling process design but also presents a viable strategy for co-upcycling PET and CO2 into valuable materials, paving the way to sustainable plastic waste management and circular economy.</w:t>
      </w:r>
    </w:p>
    <w:p>
      <w:pPr>
        <w:spacing w:before="120" w:after="120"/>
      </w:pPr>
      <w:r>
        <w:rPr>
          <w:sz w:val="18"/>
        </w:rPr>
        <w:t>——————————————————————————————————————————————————————————————————————</w:t>
      </w:r>
    </w:p>
    <w:p>
      <w:pPr>
        <w:spacing w:before="160" w:after="40" w:line="240" w:lineRule="auto"/>
      </w:pPr>
      <w:r>
        <w:rPr>
          <w:b/>
        </w:rPr>
        <w:t xml:space="preserve">[3] </w:t>
      </w:r>
      <w:hyperlink r:id="rId208">
        <w:r>
          <w:rPr>
            <w:color w:val="1155CC"/>
            <w:u w:val="single"/>
          </w:rPr>
          <w:t>塑料废物回收和升级的全景视图：多样塑料和多路径的异质催化策略</w:t>
        </w:r>
      </w:hyperlink>
    </w:p>
    <w:p>
      <w:pPr>
        <w:spacing w:before="0" w:after="80"/>
      </w:pPr>
      <w:r>
        <w:rPr>
          <w:i/>
          <w:sz w:val="20"/>
        </w:rPr>
        <w:t>EN: A Panoramic View on Plastic Waste Recycling and Upcycling: Heterogeneous Catalytic Strategies for Diverse Plastics and Multiple Pathways</w:t>
      </w:r>
    </w:p>
    <w:p>
      <w:pPr>
        <w:spacing w:before="0" w:after="120"/>
      </w:pPr>
      <w:r>
        <w:rPr>
          <w:b/>
        </w:rPr>
        <w:t xml:space="preserve">Source: </w:t>
      </w:r>
      <w:r>
        <w:t>Wiley: Advanced Materials: Table of Contents</w:t>
      </w:r>
      <w:r>
        <w:t xml:space="preserve">    </w:t>
      </w:r>
      <w:r>
        <w:rPr>
          <w:b/>
        </w:rPr>
        <w:t xml:space="preserve">Pub date: </w:t>
      </w:r>
      <w:r>
        <w:t>2026-05-12 07:25:28+00:00</w:t>
      </w:r>
      <w:r>
        <w:t xml:space="preserve">    </w:t>
      </w:r>
      <w:r>
        <w:rPr>
          <w:b/>
        </w:rPr>
        <w:t xml:space="preserve">DOI: </w:t>
      </w:r>
      <w:hyperlink r:id="rId209">
        <w:r>
          <w:rPr>
            <w:color w:val="1155CC"/>
            <w:u w:val="single"/>
          </w:rPr>
          <w:t>10.1002/adma.202521912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成本低、用途广泛和实用性强，塑料已成为现代社会不可或缺的一部分。然而，其快速生产和有限的使用寿命导致了大量塑料废物的积累，对公共健康、环境和生态平衡构成严重威胁。异相催化因其高效和低分离成本，已成为塑料废物增值回收的关键策略。本综述系统总结了将废塑料转化为高价值化学品和功能材料的异相催化策略的最新进展。它详细分类了商业塑料及其应用，同时分析了塑料升级回收的关键效率指标。探讨了各种异相催化方法，包括热催化、光催化、电催化、光热催化、光电催化、焦耳加热、微波辅助催化和球磨法在转化策略、资源利用和催化机制方面的应用。此外，综述还考察了基本反应路径，如C─H键活化和C─C/C─O键断裂。最后，基于当前研究和理论见解，讨论了异相催化塑料升级回收的未来方向，包括催化剂开发、可降解聚合物合成、机制研究和商业可行性评估。本综述旨在通过先进催化提供解决塑料污染的新视角。</w:t>
      </w:r>
    </w:p>
    <w:p>
      <w:pPr>
        <w:spacing w:before="0" w:after="200" w:lineRule="auto" w:line="276"/>
      </w:pPr>
      <w:r>
        <w:rPr>
          <w:b/>
        </w:rPr>
        <w:t xml:space="preserve">Abstract (EN): </w:t>
      </w:r>
      <w:r>
        <w:t>Plastics have become integral to modern society due to their low cost, versatility, and practicality. However, their rapid production and limited lifespan have led to the accumulation of vast plastic waste, posing severe threats to public health, the environment, and ecological balance. Heterogeneous catalysis has emerged as a key strategy for the value‐added recycling of plastic waste due to its high efficiency and low separation costs. This review systematically summarizes recent advancements in heterogeneous catalytic strategies for converting waste plastics into high‐value chemicals and functional materials. It provides a detailed classification of commercial plastics and their applications while analyzing key efficiency metrics for plastic upcycling. Various heterogeneous catalytic approaches, including thermal catalysis, photocatalysis, electrocatalysis, photothermal catalysis, photoelectrocatalysis, joule heating, microwave‐assisted catalysis, and ball milling are explored in terms of transformation strategies, resource utilization, and catalytic mechanisms. Additionally, the review examines fundamental reaction pathways, such as C─H bond activation and C─C/C─O bond cleavage. Finally, based on current research and theoretical insights, future directions for heterogeneous catalytic plastic upcycling are discussed, including catalyst development, degradable polymer synthesis, mechanistic investigations, and commercial viability assessments. This review aims to provide new perspectives on addressing plastic pollution through advanced catalytic technologies.</w:t>
      </w:r>
    </w:p>
    <w:p>
      <w:pPr>
        <w:spacing w:before="120" w:after="120"/>
      </w:pPr>
      <w:r>
        <w:rPr>
          <w:sz w:val="18"/>
        </w:rPr>
        <w:t>——————————————————————————————————————————————————————————————————————</w:t>
      </w:r>
    </w:p>
    <w:p>
      <w:pPr>
        <w:spacing w:before="160" w:after="40" w:line="240" w:lineRule="auto"/>
      </w:pPr>
      <w:r>
        <w:rPr>
          <w:b/>
        </w:rPr>
        <w:t xml:space="preserve">[4] </w:t>
      </w:r>
      <w:hyperlink r:id="rId210">
        <w:r>
          <w:rPr>
            <w:color w:val="1155CC"/>
            <w:u w:val="single"/>
          </w:rPr>
          <w:t>应对塑料污染挑战的开创性塑料颗粒足迹概念</w:t>
        </w:r>
      </w:hyperlink>
    </w:p>
    <w:p>
      <w:pPr>
        <w:spacing w:before="0" w:after="80"/>
      </w:pPr>
      <w:r>
        <w:rPr>
          <w:i/>
          <w:sz w:val="20"/>
        </w:rPr>
        <w:t>EN: A pioneering plastic particle footprint concept for addressing the challenges posed by plastic pollution</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211">
        <w:r>
          <w:rPr>
            <w:color w:val="1155CC"/>
            <w:u w:val="single"/>
          </w:rPr>
          <w:t>10.1126/sciadv.aec1418</w:t>
        </w:r>
      </w:hyperlink>
    </w:p>
    <w:p>
      <w:pPr>
        <w:spacing w:before="0" w:after="120"/>
      </w:pPr>
      <w:r>
        <w:rPr>
          <w:b/>
        </w:rPr>
        <w:t xml:space="preserve">Notes: </w:t>
      </w:r>
      <w:r>
        <w:t>abstract_source=crossref</w:t>
      </w:r>
    </w:p>
    <w:p>
      <w:pPr>
        <w:spacing w:before="0" w:after="80" w:lineRule="auto" w:line="276"/>
      </w:pPr>
      <w:r>
        <w:rPr>
          <w:b/>
        </w:rPr>
        <w:t xml:space="preserve">摘要（ZH）: </w:t>
      </w:r>
      <w:r>
        <w:t>持久的塑料微粒和纳米粒子(MNP)污染对全球健康构成严重威胁。然而，它们通常不能在传统的生命周期评估(LCA)中被考虑，这削弱了决策能力。为了避免等待LCA所需的关于MNP命运和影响的共识，开发了一种创新框架，以保守地估算塑料颗粒足迹(PPF)，即物品塑料生命周期中的总MNP排放，直至非常长期的命运。将PPF作为基本流与其他指标一起报告显示出提高权衡替代方案收益的能力。将计算应用于四种日常物品——水壶、板条箱、饮料容器和T恤——彻底改变了其中三种碳足迹接近的最佳材料选择。这也引发了权衡问题，例如：使用可重复使用的塑料板条箱代替木板条箱节省的280克温室气体排放是否值得21克额外的MNP污染？</w:t>
      </w:r>
    </w:p>
    <w:p>
      <w:pPr>
        <w:spacing w:before="0" w:after="200" w:lineRule="auto" w:line="276"/>
      </w:pPr>
      <w:r>
        <w:rPr>
          <w:b/>
        </w:rPr>
        <w:t xml:space="preserve">Abstract (EN): </w:t>
      </w:r>
      <w:r>
        <w:t>Persistent plastic micro- and nanoparticle (MNP) pollution poses a serious threat to global health. Yet they typically cannot be considered in conventional life cycle assessments (LCAs), which weakens decision-making. To avoid waiting for consensus on the MNPs’ fate and impacts required by LCA, an innovative framework has been developed to conservatively estimate the plastic particle footprint (PPF), i.e., the total MNP emissions during the plastic’s lifetime of an item, up to the very long-term fate. Reporting the PPF as an elementary flow alongside other indicators shows to improve the ability to weigh up the alternatives’ benefits. Applying the calculation to four everyday items—kettles, crates, beverage containers, and T-shirts—radically changes the best material option for the three of them whose carbon footprints are close. This also raises trade-off questions such as: Are the 280 grams of greenhouse gas emissions saved by using a reusable plastic crate instead of a wood crate worth the 21 grams of additional MNP pollution?</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212">
        <w:r>
          <w:rPr>
            <w:color w:val="1155CC"/>
            <w:u w:val="single"/>
          </w:rPr>
          <w:t>推进混合量子神经网络用于交流最优潮流</w:t>
        </w:r>
      </w:hyperlink>
    </w:p>
    <w:p>
      <w:pPr>
        <w:spacing w:before="0" w:after="80"/>
      </w:pPr>
      <w:r>
        <w:rPr>
          <w:i/>
          <w:sz w:val="20"/>
        </w:rPr>
        <w:t>EN: Advancing hybrid quantum neural network for alternating current optimal power flow</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13">
        <w:r>
          <w:rPr>
            <w:color w:val="1155CC"/>
            <w:u w:val="single"/>
          </w:rPr>
          <w:t>利用卫星影像绘制农村市场地图并高频监测其活动</w:t>
        </w:r>
      </w:hyperlink>
    </w:p>
    <w:p>
      <w:pPr>
        <w:spacing w:before="0" w:after="80"/>
      </w:pPr>
      <w:r>
        <w:rPr>
          <w:i/>
          <w:sz w:val="20"/>
        </w:rPr>
        <w:t>EN: Using satellite imagery to map rural marketplaces and monitor their activity at high frequency</w:t>
      </w:r>
    </w:p>
    <w:p>
      <w:pPr>
        <w:spacing w:before="0" w:after="120"/>
      </w:pPr>
      <w:r>
        <w:rPr>
          <w:b/>
        </w:rPr>
        <w:t xml:space="preserve">Source: </w:t>
      </w:r>
      <w:r>
        <w:t>Nature Communications</w:t>
      </w:r>
      <w:r>
        <w:t xml:space="preserve">    </w:t>
      </w:r>
      <w:r>
        <w:rPr>
          <w:b/>
        </w:rPr>
        <w:t xml:space="preserve">Pub date: </w:t>
      </w:r>
      <w:r>
        <w:t>2026-05-09 00:00:00+00:00</w:t>
      </w:r>
      <w:r>
        <w:t xml:space="preserve">    </w:t>
      </w:r>
      <w:r>
        <w:rPr>
          <w:b/>
        </w:rPr>
        <w:t xml:space="preserve">DOI: </w:t>
      </w:r>
      <w:hyperlink r:id="rId214">
        <w:r>
          <w:rPr>
            <w:color w:val="1155CC"/>
            <w:u w:val="single"/>
          </w:rPr>
          <w:t>10.1038/s41467-026-72865-z</w:t>
        </w:r>
      </w:hyperlink>
    </w:p>
    <w:p>
      <w:pPr>
        <w:spacing w:before="0" w:after="120"/>
      </w:pPr>
      <w:r>
        <w:rPr>
          <w:b/>
        </w:rPr>
        <w:t xml:space="preserve">Notes: </w:t>
      </w:r>
      <w:r>
        <w:t>abstract_source=nature_html</w:t>
      </w:r>
    </w:p>
    <w:p>
      <w:pPr>
        <w:spacing w:before="0" w:after="80" w:lineRule="auto" w:line="276"/>
      </w:pPr>
      <w:r>
        <w:rPr>
          <w:b/>
        </w:rPr>
        <w:t xml:space="preserve">摘要（ZH）: </w:t>
      </w:r>
      <w:r>
        <w:t>在许多低收入和中等收入国家的农村地区，买卖双方的每周集会是市场经济最明显的表现形式。识别和追踪这些市场可以为数据稀缺环境中的经济活动提供见解。然而，由于这些市场是非正式的，并且分散在通常偏远的地区，系统性数据稀缺。我们开发、测试并应用了一种方法，该方法利用卫星图像中的独特时间模式来检测周期性市场。使用来自肯尼亚、马拉维和莫桑比克的二手数据，我们首先确认我们以高灵敏度和特异性检测市场。然后，我们在埃塞俄比亚绘制了1,776个市场，并在2017年至2024年间以每周频率追踪其活动。市场活动遵循季节性农业周期，并对天气和冲突冲击作出反应。一旦确定了位置，该方法可以自动化以高频率追踪市场活动，从而在其他高频数据有限的情况下检测变化的条件。</w:t>
      </w:r>
    </w:p>
    <w:p>
      <w:pPr>
        <w:spacing w:before="0" w:after="200" w:lineRule="auto" w:line="276"/>
      </w:pPr>
      <w:r>
        <w:rPr>
          <w:b/>
        </w:rPr>
        <w:t xml:space="preserve">Abstract (EN): </w:t>
      </w:r>
      <w:r>
        <w:t>In many rural areas of low- and middle-income countries, weekly gatherings of buyers and sellers are the most tangible manifestation of the market economy. Identifying and tracking these markets could provide insights into economic activity in data-scarce settings. However, because these markets are informal and dispersed across often-remote regions, systematic data are sparse. We develop, test, and apply a method that leverages distinctive temporal patterns in satellite imagery to detect periodic markets. Using secondary data from Kenya, Malawi, and Mozambique, we first confirm that we detect markets with high sensitivity and specificity. We then map 1,776 markets in Ethiopia and track their activity at up-to-weekly frequency between 2017 and 2024. Market activity follows seasonal agricultural cycles and responds to weather and conflict shocks. Once locations are identified, the method can be automated to track market activity at high frequency, allowing detection of changing conditions where other high-frequency data are limited.</w:t>
      </w:r>
    </w:p>
    <w:p>
      <w:pPr>
        <w:spacing w:before="120" w:after="120"/>
      </w:pPr>
      <w:r>
        <w:rPr>
          <w:sz w:val="18"/>
        </w:rPr>
        <w:t>——————————————————————————————————————————————————————————————————————</w:t>
      </w:r>
    </w:p>
    <w:p>
      <w:pPr>
        <w:spacing w:before="160" w:after="40" w:line="240" w:lineRule="auto"/>
      </w:pPr>
      <w:r>
        <w:rPr>
          <w:b/>
        </w:rPr>
        <w:t xml:space="preserve">[3] </w:t>
      </w:r>
      <w:hyperlink r:id="rId215">
        <w:r>
          <w:rPr>
            <w:color w:val="1155CC"/>
            <w:u w:val="single"/>
          </w:rPr>
          <w:t>大型语言模型表现出对动物的物种偏见</w:t>
        </w:r>
      </w:hyperlink>
    </w:p>
    <w:p>
      <w:pPr>
        <w:spacing w:before="0" w:after="80"/>
      </w:pPr>
      <w:r>
        <w:rPr>
          <w:i/>
          <w:sz w:val="20"/>
        </w:rPr>
        <w:t>EN: Large language models exhibit speciesist bias against animals</w:t>
      </w:r>
    </w:p>
    <w:p>
      <w:pPr>
        <w:spacing w:before="0" w:after="120"/>
      </w:pPr>
      <w:r>
        <w:rPr>
          <w:b/>
        </w:rPr>
        <w:t xml:space="preserve">Source: </w:t>
      </w:r>
      <w:r>
        <w:t>Nature Communications</w:t>
      </w:r>
      <w:r>
        <w:t xml:space="preserve">    </w:t>
      </w:r>
      <w:r>
        <w:rPr>
          <w:b/>
        </w:rPr>
        <w:t xml:space="preserve">Pub date: </w:t>
      </w:r>
      <w:r>
        <w:t>2026-05-09 00:00:00+00:00</w:t>
      </w:r>
      <w:r>
        <w:t xml:space="preserve">    </w:t>
      </w:r>
      <w:r>
        <w:rPr>
          <w:b/>
        </w:rPr>
        <w:t xml:space="preserve">DOI: </w:t>
      </w:r>
      <w:hyperlink r:id="rId216">
        <w:r>
          <w:rPr>
            <w:color w:val="1155CC"/>
            <w:u w:val="single"/>
          </w:rPr>
          <w:t>10.1038/s41467-026-72297-9</w:t>
        </w:r>
      </w:hyperlink>
    </w:p>
    <w:p>
      <w:pPr>
        <w:spacing w:before="0" w:after="120"/>
      </w:pPr>
      <w:r>
        <w:rPr>
          <w:b/>
        </w:rPr>
        <w:t xml:space="preserve">Notes: </w:t>
      </w:r>
      <w:r>
        <w:t>abstract_source=nature_html</w:t>
      </w:r>
    </w:p>
    <w:p>
      <w:pPr>
        <w:spacing w:before="0" w:after="80" w:lineRule="auto" w:line="276"/>
      </w:pPr>
      <w:r>
        <w:rPr>
          <w:b/>
        </w:rPr>
        <w:t xml:space="preserve">摘要（ZH）: </w:t>
      </w:r>
      <w:r>
        <w:t>我们研究大型语言模型（LLMs）是否表现出物种歧视偏见——基于物种成员身份的歧视——以及它们如何评价非人类动物。我们使用三种范式：SpeciesismBench，这是我们开发的一个包含1009项的基准，用于评估物种歧视性陈述的检测和伦理分类；已建立的心理测量比较模型和人类的反应；以及测试物种歧视性合理化的文本生成任务。LLMs可靠地检测到物种歧视性陈述，但通常将其分类为道德上可接受。在心理测量中，LLMs比人类更少明确地回应动物不重要，但在具体困境中更强烈地优先考虑拯救一个人类而不是多个动物，这种偏好在当人类和动物在认知能力上匹配时消失。在文本生成中，LLM的反应反复地将对农场动物的伤害正常化，而拒绝对非农场动物这样做。这些发现表明，LLMs编码了动物剥削的文化规范，建议AI公平框架应包括非人类道德主体。</w:t>
      </w:r>
    </w:p>
    <w:p>
      <w:pPr>
        <w:spacing w:before="0" w:after="200" w:lineRule="auto" w:line="276"/>
      </w:pPr>
      <w:r>
        <w:rPr>
          <w:b/>
        </w:rPr>
        <w:t xml:space="preserve">Abstract (EN): </w:t>
      </w:r>
      <w:r>
        <w:t>We investigate whether large language models (LLMs) exhibit speciesist bias—discrimination based on species membership—and how they value non-human animals. We use three paradigms: SpeciesismBench, a 1009-item benchmark we developed to assess detection and ethical classification of speciesist statements; established psychological measures comparing model and human responses; and text-generation tasks testing for speciesist rationalizations. LLMs reliably detected speciesist statements but often classified them as morally acceptable. On psychological measures, LLMs less frequently than people explicitly respond that animals matter less, yet more strongly prioritized saving one human over multiple animals in concrete dilemmas, a preference that disappeared when humans and animals were matched on cognitive capacity. In text generation, LLM responses repeatedly normalized harm toward farmed animals while refusing to do so for non-farmed animals. These findings show that LLMs encode cultural norms of animal exploitation, suggesting AI fairness frameworks should include non-human moral patients.</w:t>
      </w:r>
    </w:p>
    <w:p>
      <w:pPr>
        <w:spacing w:before="120" w:after="120"/>
      </w:pPr>
      <w:r>
        <w:rPr>
          <w:sz w:val="18"/>
        </w:rPr>
        <w:t>——————————————————————————————————————————————————————————————————————</w:t>
      </w:r>
    </w:p>
    <w:p>
      <w:pPr>
        <w:spacing w:before="160" w:after="40" w:line="240" w:lineRule="auto"/>
      </w:pPr>
      <w:r>
        <w:rPr>
          <w:b/>
        </w:rPr>
        <w:t xml:space="preserve">[4] </w:t>
      </w:r>
      <w:hyperlink r:id="rId217">
        <w:r>
          <w:rPr>
            <w:color w:val="1155CC"/>
            <w:u w:val="single"/>
          </w:rPr>
          <w:t>重新定义活性位点：当支撑物成为中心舞台</w:t>
        </w:r>
      </w:hyperlink>
    </w:p>
    <w:p>
      <w:pPr>
        <w:spacing w:before="0" w:after="80"/>
      </w:pPr>
      <w:r>
        <w:rPr>
          <w:i/>
          <w:sz w:val="20"/>
        </w:rPr>
        <w:t>EN: Redefining the active site: when the support takes center stage</w:t>
      </w:r>
    </w:p>
    <w:p>
      <w:pPr>
        <w:spacing w:before="0" w:after="120"/>
      </w:pPr>
      <w:r>
        <w:rPr>
          <w:b/>
        </w:rPr>
        <w:t xml:space="preserve">Source: </w:t>
      </w:r>
      <w:r>
        <w:t>National Science Review Advance Access</w:t>
      </w:r>
      <w:r>
        <w:t xml:space="preserve">    </w:t>
      </w:r>
      <w:r>
        <w:rPr>
          <w:b/>
        </w:rPr>
        <w:t xml:space="preserve">Pub date: </w:t>
      </w:r>
      <w:r>
        <w:t>2026-05-09 00:00:00+00:00</w:t>
      </w:r>
      <w:r>
        <w:t xml:space="preserve">    </w:t>
      </w:r>
      <w:r>
        <w:rPr>
          <w:b/>
        </w:rPr>
        <w:t xml:space="preserve">DOI: </w:t>
      </w:r>
      <w:hyperlink r:id="rId218">
        <w:r>
          <w:rPr>
            <w:color w:val="1155CC"/>
            <w:u w:val="single"/>
          </w:rPr>
          <w:t>10.1093/nsr/nwag264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19">
        <w:r>
          <w:rPr>
            <w:color w:val="1155CC"/>
            <w:u w:val="single"/>
          </w:rPr>
          <w:t>抗PD-1联合nab-紫杉醇和贝伐单抗用于未知原发癌（Fudan CUP-002）的二线治疗：一项II期试验</w:t>
        </w:r>
      </w:hyperlink>
    </w:p>
    <w:p>
      <w:pPr>
        <w:spacing w:before="0" w:after="80"/>
      </w:pPr>
      <w:r>
        <w:rPr>
          <w:i/>
          <w:sz w:val="20"/>
        </w:rPr>
        <w:t>EN: Anti-PD-1 plus nab-paclitaxel and bevacizumab for second-line treatment of cancer of unknown primary (Fudan CUP-002): a phase II trial</w:t>
      </w:r>
    </w:p>
    <w:p>
      <w:pPr>
        <w:spacing w:before="0" w:after="120"/>
      </w:pPr>
      <w:r>
        <w:rPr>
          <w:b/>
        </w:rPr>
        <w:t xml:space="preserve">Source: </w:t>
      </w:r>
      <w:r>
        <w:t>Nature Communications</w:t>
      </w:r>
      <w:r>
        <w:t xml:space="preserve">    </w:t>
      </w:r>
      <w:r>
        <w:rPr>
          <w:b/>
        </w:rPr>
        <w:t xml:space="preserve">Pub date: </w:t>
      </w:r>
      <w:r>
        <w:t>2026-05-09 00:00:00+00:00</w:t>
      </w:r>
      <w:r>
        <w:t xml:space="preserve">    </w:t>
      </w:r>
      <w:r>
        <w:rPr>
          <w:b/>
        </w:rPr>
        <w:t xml:space="preserve">DOI: </w:t>
      </w:r>
      <w:hyperlink r:id="rId220">
        <w:r>
          <w:rPr>
            <w:color w:val="1155CC"/>
            <w:u w:val="single"/>
          </w:rPr>
          <w:t>10.1038/s41467-026-72745-6</w:t>
        </w:r>
      </w:hyperlink>
    </w:p>
    <w:p>
      <w:pPr>
        <w:spacing w:before="0" w:after="120"/>
      </w:pPr>
      <w:r>
        <w:rPr>
          <w:b/>
        </w:rPr>
        <w:t xml:space="preserve">Notes: </w:t>
      </w:r>
      <w:r>
        <w:t>abstract_source=nature_html</w:t>
      </w:r>
    </w:p>
    <w:p>
      <w:pPr>
        <w:spacing w:before="0" w:after="80" w:lineRule="auto" w:line="276"/>
      </w:pPr>
      <w:r>
        <w:rPr>
          <w:b/>
        </w:rPr>
        <w:t xml:space="preserve">摘要（ZH）: </w:t>
      </w:r>
      <w:r>
        <w:t>复旦CUP-002研究（ClinicalTrials.gov标识符：NCT04848597）是一项研究者发起的前瞻性试验，旨在评估抗PD-1抗体联合白蛋白结合型紫杉醇和贝伐单抗作为未知原发癌（CUP）二线治疗的疗效和安全性。在2021年6月2日至2024年4月19日期间，共招募了48名合格患者。在数据截止时（2025年1月10日），中位随访时间为27.1个月（95% CI, 20.2至37.2）。客观缓解率（ORR）为54.2%（26/48；95% CI, 40.3%至67.4%），疾病控制率（DCR）为95.8%（46/48；95% CI, 86.0%至98.9%）。中位无进展生存期（PFS）为13.1个月（95% CI, 8.0至19.6），而中位总生存期（OS）为25.1个月（95% CI, 14.6至29.5）。任何级别的治疗相关不良事件（TRAEs）发生在46名患者中（95.8%）。探索性分析确定了系统性嗜酸性粒细胞计数作为CUP二线治疗反应和生存结果的预后生物标志物。然而，目前的实验系统无法提供研究CUP治疗机制所需的已建立细胞系或动物模型。我们的研究表明，抗PD-1抗体加白蛋白结合型紫杉醇和贝伐单抗在CUP患者的二线治疗中是有效且耐受良好的。试验注册：ClinicalTrials.gov标识符：NCT04848597</w:t>
      </w:r>
    </w:p>
    <w:p>
      <w:pPr>
        <w:spacing w:before="0" w:after="200" w:lineRule="auto" w:line="276"/>
      </w:pPr>
      <w:r>
        <w:rPr>
          <w:b/>
        </w:rPr>
        <w:t xml:space="preserve">Abstract (EN): </w:t>
      </w:r>
      <w:r>
        <w:t>Fudan CUP-002 study (ClinicalTrials.gov identifier: NCT04848597), an investigator-initiated prospective trial, was designed to evaluate the efficacy and safety of an anti-PD-1 antibody in combination with nab-paclitaxel and bevacizumab as a second-line treatment for cancer of unknown primary (CUP). Between June 2, 2021, and April 19, 2024, 48 eligible patients were enrolled. At data cutoff (January 10, 2025), the median follow-up was 27.1 months (95% CI, 20.2 to 37.2). The objective response rate (ORR) was 54.2% (26/48; 95% CI, 40.3% to 67.4%), and the disease control rate (DCR) was 95.8% (46/48; 95% CI, 86.0% to 98.9%). The median progression-free survival (PFS) was 13.1 months (95% CI, 8.0 to 19.6), while the median overall survival (OS) was 25.1 months (95% CI, 14.6 to 29.5). Treatment-related adverse events (TRAEs) of any grade occurred in 46 patients (95.8%). The exploratory analysis identified systemic eosinophil counts as a prognostic biomarker for treatment response and survival outcomes in second-line setting for CUP. However, current experimental systems are unable to provide the established cell lines or animal models needed to investigate therapeutic mechanisms for CUP. Our present study demonstrated that an anti-PD-1 antibody plus nab-paclitaxel and bevacizumab was effective and well-tolerated in the second-line treatment for patients with CUP.Trial registration: ClinicalTrials.gov identifier: NCT04848597</w:t>
      </w:r>
    </w:p>
    <w:p>
      <w:pPr>
        <w:spacing w:before="120" w:after="120"/>
      </w:pPr>
      <w:r>
        <w:rPr>
          <w:sz w:val="18"/>
        </w:rPr>
        <w:t>——————————————————————————————————————————————————————————————————————</w:t>
      </w:r>
    </w:p>
    <w:p>
      <w:pPr>
        <w:spacing w:before="160" w:after="40" w:line="240" w:lineRule="auto"/>
      </w:pPr>
      <w:r>
        <w:rPr>
          <w:b/>
        </w:rPr>
        <w:t xml:space="preserve">[6] </w:t>
      </w:r>
      <w:hyperlink r:id="rId221">
        <w:r>
          <w:rPr>
            <w:color w:val="1155CC"/>
            <w:u w:val="single"/>
          </w:rPr>
          <w:t>可回收的双Z型钙钛矿/g-C3N4异质结实现光氧化还原镍催化的C(sp2)–C(sp3)交叉电亲核偶联</w:t>
        </w:r>
      </w:hyperlink>
    </w:p>
    <w:p>
      <w:pPr>
        <w:spacing w:before="0" w:after="80"/>
      </w:pPr>
      <w:r>
        <w:rPr>
          <w:i/>
          <w:sz w:val="20"/>
        </w:rPr>
        <w:t>EN: Recyclable dual Z-scheme perovskite/g-C3N4 heterojunction enables photoredox nickel-catalyzed C(sp2)–C(sp3) cross-electrophile coupling</w:t>
      </w:r>
    </w:p>
    <w:p>
      <w:pPr>
        <w:spacing w:before="0" w:after="120"/>
      </w:pPr>
      <w:r>
        <w:rPr>
          <w:b/>
        </w:rPr>
        <w:t xml:space="preserve">Source: </w:t>
      </w:r>
      <w:r>
        <w:t>Nature Communications</w:t>
      </w:r>
      <w:r>
        <w:t xml:space="preserve">    </w:t>
      </w:r>
      <w:r>
        <w:rPr>
          <w:b/>
        </w:rPr>
        <w:t xml:space="preserve">Pub date: </w:t>
      </w:r>
      <w:r>
        <w:t>2026-05-09 00:00:00+00:00</w:t>
      </w:r>
      <w:r>
        <w:t xml:space="preserve">    </w:t>
      </w:r>
      <w:r>
        <w:rPr>
          <w:b/>
        </w:rPr>
        <w:t xml:space="preserve">DOI: </w:t>
      </w:r>
      <w:hyperlink r:id="rId222">
        <w:r>
          <w:rPr>
            <w:color w:val="1155CC"/>
            <w:u w:val="single"/>
          </w:rPr>
          <w:t>10.1038/s41467-026-72420-w</w:t>
        </w:r>
      </w:hyperlink>
    </w:p>
    <w:p>
      <w:pPr>
        <w:spacing w:before="0" w:after="120"/>
      </w:pPr>
      <w:r>
        <w:rPr>
          <w:b/>
        </w:rPr>
        <w:t xml:space="preserve">Notes: </w:t>
      </w:r>
      <w:r>
        <w:t>abstract_source=nature_html</w:t>
      </w:r>
    </w:p>
    <w:p>
      <w:pPr>
        <w:spacing w:before="0" w:after="80" w:lineRule="auto" w:line="276"/>
      </w:pPr>
      <w:r>
        <w:rPr>
          <w:b/>
        </w:rPr>
        <w:t xml:space="preserve">摘要（ZH）: </w:t>
      </w:r>
      <w:r>
        <w:t>镍催化的交叉电亲核偶联提供了一种高效且具有成本效益的策略，用于构建C(sp2)–C(sp3)键，这对于在制药和农化合成中多样化分子结构至关重要。然而，传统方法通常需要化学计量的金属还原剂，这带来了安全风险、反应不稳定性和环境问题。为规避这些限制，将镍催化与光氧化还原催化相结合已成为一种有前途的替代方案。这一方法的核心是开发高效、易于制备和可回收的光催化剂，能够在温和条件下驱动反应。在这项工作中，我们展示了一种可回收的LaFeO3/LaCoO3/g-C3N4异质结。阶梯带结构和双Z-方案载流子迁移路径通过高效的界面电荷转移协同增加氧化还原电位并延长光生载流子的寿命，从而显著提高光催化性能。利用这种异质结，我们开发了一种镍/光氧化还原双催化的芳基碘化物与烷基卤化物之间的交叉电亲核偶联，获得了高达98%的目标产物产率。</w:t>
      </w:r>
    </w:p>
    <w:p>
      <w:pPr>
        <w:spacing w:before="0" w:after="200" w:lineRule="auto" w:line="276"/>
      </w:pPr>
      <w:r>
        <w:rPr>
          <w:b/>
        </w:rPr>
        <w:t xml:space="preserve">Abstract (EN): </w:t>
      </w:r>
      <w:r>
        <w:t>Nickel-catalyzed cross-electrophile coupling provides an efficient and cost-effective strategy for constructing C(sp2)–C(sp3) bonds, a pivotal transformation for diversifying molecular architectures in pharmaceutical and agrochemical synthesis. However, conventional methodologies usually require stoichiometric metal reductants, which pose safety risks, reaction instability, and environmental concerns. To circumvent these limitations, merging nickel catalysis with photoredox catalysis has emerged as a promising alternative. Central to this approach is to develop highly efficient, easy-to-prepare and recyclable photocatalysts, which can drive the reaction under mild conditions. In this work, we present a recyclable LaFeO3/LaCoO3/g-C3N4 heterojunction. The stepped band structure and dual Z-scheme carrier migration paths significantly enhance photocatalytic performance by synergistically increasing redox potentials and extending the lifetime of photogenerated charge carriers through efficient interfacial charge transfer. Leveraging this heterojunction, we have developed a nickel/photoredox dual-catalyzed cross-electrophile coupling between aryl iodides and alkyl halides, affording the desired products with up to 98% yields.</w:t>
      </w:r>
    </w:p>
    <w:p>
      <w:pPr>
        <w:spacing w:before="120" w:after="120"/>
      </w:pPr>
      <w:r>
        <w:rPr>
          <w:sz w:val="18"/>
        </w:rPr>
        <w:t>——————————————————————————————————————————————————————————————————————</w:t>
      </w:r>
    </w:p>
    <w:p>
      <w:pPr>
        <w:spacing w:before="160" w:after="40" w:line="240" w:lineRule="auto"/>
      </w:pPr>
      <w:r>
        <w:rPr>
          <w:b/>
        </w:rPr>
        <w:t xml:space="preserve">[7] </w:t>
      </w:r>
      <w:hyperlink r:id="rId223">
        <w:r>
          <w:rPr>
            <w:color w:val="1155CC"/>
            <w:u w:val="single"/>
          </w:rPr>
          <w:t>城市内部不平等的普遍缩放定律</w:t>
        </w:r>
      </w:hyperlink>
    </w:p>
    <w:p>
      <w:pPr>
        <w:spacing w:before="0" w:after="80"/>
      </w:pPr>
      <w:r>
        <w:rPr>
          <w:i/>
          <w:sz w:val="20"/>
        </w:rPr>
        <w:t>EN: A universal scaling law of intra-urban inequality</w:t>
      </w:r>
    </w:p>
    <w:p>
      <w:pPr>
        <w:spacing w:before="0" w:after="120"/>
      </w:pPr>
      <w:r>
        <w:rPr>
          <w:b/>
        </w:rPr>
        <w:t xml:space="preserve">Source: </w:t>
      </w:r>
      <w:r>
        <w:t>Nature Communications</w:t>
      </w:r>
      <w:r>
        <w:t xml:space="preserve">    </w:t>
      </w:r>
      <w:r>
        <w:rPr>
          <w:b/>
        </w:rPr>
        <w:t xml:space="preserve">Pub date: </w:t>
      </w:r>
      <w:r>
        <w:t>2026-05-09 00:00:00+00:00</w:t>
      </w:r>
      <w:r>
        <w:t xml:space="preserve">    </w:t>
      </w:r>
      <w:r>
        <w:rPr>
          <w:b/>
        </w:rPr>
        <w:t xml:space="preserve">DOI: </w:t>
      </w:r>
      <w:hyperlink r:id="rId224">
        <w:r>
          <w:rPr>
            <w:color w:val="1155CC"/>
            <w:u w:val="single"/>
          </w:rPr>
          <w:t>10.1038/s41467-026-73015-1</w:t>
        </w:r>
      </w:hyperlink>
    </w:p>
    <w:p>
      <w:pPr>
        <w:spacing w:before="0" w:after="120"/>
      </w:pPr>
      <w:r>
        <w:rPr>
          <w:b/>
        </w:rPr>
        <w:t xml:space="preserve">Notes: </w:t>
      </w:r>
      <w:r>
        <w:t>abstract_source=nature_html</w:t>
      </w:r>
    </w:p>
    <w:p>
      <w:pPr>
        <w:spacing w:before="0" w:after="80" w:lineRule="auto" w:line="276"/>
      </w:pPr>
      <w:r>
        <w:rPr>
          <w:b/>
        </w:rPr>
        <w:t xml:space="preserve">摘要（ZH）: </w:t>
      </w:r>
      <w:r>
        <w:t>大规模城市群带来经济利益，但往往伴随着显著的环境和社会差距。虽然城市整体属性遵循可预测的缩放定律，但城市内部不平等如何随城市规模变化仍不清楚。为弥补这一差距，我们利用多源卫星数据分析了全球超过11,000个城市中心，以量化热暴露、绿地和经济活动的不平等。在此，我们展示了所有三个维度都随着城市人口规模遵循超线性缩放定律。具体而言，城市人口翻倍与约8-9%的不平等基尼系数增加相关。此外，这些缩放关系显著受到国家社会经济发展和背景气候的调节：绿地和经济不平等在低收入国家表现出更陡峭的缩放，而热不平等在干旱气候中最为明显。因此，实现公平的城市发展需要有针对性的干预，而不是依赖被动的规模效应。</w:t>
      </w:r>
    </w:p>
    <w:p>
      <w:pPr>
        <w:spacing w:before="0" w:after="200" w:lineRule="auto" w:line="276"/>
      </w:pPr>
      <w:r>
        <w:rPr>
          <w:b/>
        </w:rPr>
        <w:t xml:space="preserve">Abstract (EN): </w:t>
      </w:r>
      <w:r>
        <w:t>Large-scale urban agglomeration yields economic benefits but often coincides with pronounced environmental and social disparities. While aggregate urban attributes follow predictable scaling laws, how intra-urban inequality scales with city size remains unclear. To bridge this gap, we analyze over 11,000 global urban centers using multi-source satellite data to quantify inequalities in thermal exposure, green space, and economic activity. Here we show that all three dimensions follow super-linear scaling laws with city population size. Specifically, a doubling of city population is associated with an approximately 8-9% higher inequality Gini coefficient. Furthermore, these scaling relationships are significantly modulated by national socioeconomic development and background climate: green space and economic inequalities exhibit steeper scaling in low-income nations, whereas thermal inequality scales most acutely in arid climates. Consequently, achieving equitable urban development requires targeted interventions rather than relying on passive scale effects.</w:t>
      </w:r>
    </w:p>
    <w:p>
      <w:pPr>
        <w:spacing w:before="120" w:after="120"/>
      </w:pPr>
      <w:r>
        <w:rPr>
          <w:sz w:val="18"/>
        </w:rPr>
        <w:t>——————————————————————————————————————————————————————————————————————</w:t>
      </w:r>
    </w:p>
    <w:p>
      <w:pPr>
        <w:spacing w:before="160" w:after="40" w:line="240" w:lineRule="auto"/>
      </w:pPr>
      <w:r>
        <w:rPr>
          <w:b/>
        </w:rPr>
        <w:t xml:space="preserve">[8] </w:t>
      </w:r>
      <w:hyperlink r:id="rId225">
        <w:r>
          <w:rPr>
            <w:color w:val="1155CC"/>
            <w:u w:val="single"/>
          </w:rPr>
          <w:t>由于自然通风的模型预测控制，测量到的电力使用减少用于制冷</w:t>
        </w:r>
      </w:hyperlink>
    </w:p>
    <w:p>
      <w:pPr>
        <w:spacing w:before="0" w:after="80"/>
      </w:pPr>
      <w:r>
        <w:rPr>
          <w:i/>
          <w:sz w:val="20"/>
        </w:rPr>
        <w:t>EN: Measured reductions in electricity use for cooling due to model predictive control of natural ventilation</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26">
        <w:r>
          <w:rPr>
            <w:color w:val="1155CC"/>
            <w:u w:val="single"/>
          </w:rPr>
          <w:t>优化长远目标：能源系统优化路径中的方法学挑战</w:t>
        </w:r>
      </w:hyperlink>
    </w:p>
    <w:p>
      <w:pPr>
        <w:spacing w:before="0" w:after="80"/>
      </w:pPr>
      <w:r>
        <w:rPr>
          <w:i/>
          <w:sz w:val="20"/>
        </w:rPr>
        <w:t>EN: Optimising for the long game: methodological challenges in energy system optimisation pathways</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27">
        <w:r>
          <w:rPr>
            <w:color w:val="1155CC"/>
            <w:u w:val="single"/>
          </w:rPr>
          <w:t>在一个分裂的世界中能源贫困的趋同：来自非经合组织国家的多维证据</w:t>
        </w:r>
      </w:hyperlink>
    </w:p>
    <w:p>
      <w:pPr>
        <w:spacing w:before="0" w:after="80"/>
      </w:pPr>
      <w:r>
        <w:rPr>
          <w:i/>
          <w:sz w:val="20"/>
        </w:rPr>
        <w:t>EN: Energy poverty convergence in a fragmented world: Multidimensional evidence from non-OECD countries</w:t>
      </w:r>
    </w:p>
    <w:p>
      <w:pPr>
        <w:spacing w:before="0" w:after="120"/>
      </w:pPr>
      <w:r>
        <w:rPr>
          <w:b/>
        </w:rPr>
        <w:t xml:space="preserve">Source: </w:t>
      </w:r>
      <w:r>
        <w:t>ScienceDirect Publication: Energy Policy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28">
        <w:r>
          <w:rPr>
            <w:color w:val="1155CC"/>
            <w:u w:val="single"/>
          </w:rPr>
          <w:t>快速且公正的太阳能过渡的治理挑战</w:t>
        </w:r>
      </w:hyperlink>
    </w:p>
    <w:p>
      <w:pPr>
        <w:spacing w:before="0" w:after="80"/>
      </w:pPr>
      <w:r>
        <w:rPr>
          <w:i/>
          <w:sz w:val="20"/>
        </w:rPr>
        <w:t>EN: Governance challenges for a rapid and just solar energy transition</w:t>
      </w:r>
    </w:p>
    <w:p>
      <w:pPr>
        <w:spacing w:before="0" w:after="120"/>
      </w:pPr>
      <w:r>
        <w:rPr>
          <w:b/>
        </w:rPr>
        <w:t xml:space="preserve">Source: </w:t>
      </w:r>
      <w:r>
        <w:t>ScienceDirect Publication: Energy Policy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29">
        <w:r>
          <w:rPr>
            <w:color w:val="1155CC"/>
            <w:u w:val="single"/>
          </w:rPr>
          <w:t>基于阻抗建模的锂离子电池锂沉积在线检测</w:t>
        </w:r>
      </w:hyperlink>
    </w:p>
    <w:p>
      <w:pPr>
        <w:spacing w:before="0" w:after="80"/>
      </w:pPr>
      <w:r>
        <w:rPr>
          <w:i/>
          <w:sz w:val="20"/>
        </w:rPr>
        <w:t>EN: Impedance modeling-based online detection of lithium plating in lithium-ion batteries</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30">
        <w:r>
          <w:rPr>
            <w:color w:val="1155CC"/>
            <w:u w:val="single"/>
          </w:rPr>
          <w:t>通过控制共同设计推进风力涡轮机：一项综合性综述</w:t>
        </w:r>
      </w:hyperlink>
    </w:p>
    <w:p>
      <w:pPr>
        <w:spacing w:before="0" w:after="80"/>
      </w:pPr>
      <w:r>
        <w:rPr>
          <w:i/>
          <w:sz w:val="20"/>
        </w:rPr>
        <w:t>EN: Advancing wind turbines through control co-design: An integrative review</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31">
        <w:r>
          <w:rPr>
            <w:color w:val="1155CC"/>
            <w:u w:val="single"/>
          </w:rPr>
          <w:t>跟踪超快质子转移中的相干振动和振动运动</w:t>
        </w:r>
      </w:hyperlink>
    </w:p>
    <w:p>
      <w:pPr>
        <w:spacing w:before="0" w:after="80"/>
      </w:pPr>
      <w:r>
        <w:rPr>
          <w:i/>
          <w:sz w:val="20"/>
        </w:rPr>
        <w:t>EN: Tracking coherent vibronic and vibrational motions in ultrafast proton transfer</w:t>
      </w:r>
    </w:p>
    <w:p>
      <w:pPr>
        <w:spacing w:before="0" w:after="120"/>
      </w:pPr>
      <w:r>
        <w:rPr>
          <w:b/>
        </w:rPr>
        <w:t xml:space="preserve">Source: </w:t>
      </w:r>
      <w:r>
        <w:t>Nature Communications</w:t>
      </w:r>
      <w:r>
        <w:t xml:space="preserve">    </w:t>
      </w:r>
      <w:r>
        <w:rPr>
          <w:b/>
        </w:rPr>
        <w:t xml:space="preserve">Pub date: </w:t>
      </w:r>
      <w:r>
        <w:t>2026-05-09 00:00:00+00:00</w:t>
      </w:r>
      <w:r>
        <w:t xml:space="preserve">    </w:t>
      </w:r>
      <w:r>
        <w:rPr>
          <w:b/>
        </w:rPr>
        <w:t xml:space="preserve">DOI: </w:t>
      </w:r>
      <w:hyperlink r:id="rId232">
        <w:r>
          <w:rPr>
            <w:color w:val="1155CC"/>
            <w:u w:val="single"/>
          </w:rPr>
          <w:t>10.1038/s41467-026-72661-9</w:t>
        </w:r>
      </w:hyperlink>
    </w:p>
    <w:p>
      <w:pPr>
        <w:spacing w:before="0" w:after="120"/>
      </w:pPr>
      <w:r>
        <w:rPr>
          <w:b/>
        </w:rPr>
        <w:t xml:space="preserve">Notes: </w:t>
      </w:r>
      <w:r>
        <w:t>abstract_source=nature_html</w:t>
      </w:r>
    </w:p>
    <w:p>
      <w:pPr>
        <w:spacing w:before="0" w:after="80" w:lineRule="auto" w:line="276"/>
      </w:pPr>
      <w:r>
        <w:rPr>
          <w:b/>
        </w:rPr>
        <w:t xml:space="preserve">摘要（ZH）: </w:t>
      </w:r>
      <w:r>
        <w:t>几十年来，对激发态分子内质子转移系统的理论和实验研究表明，电子-振动（vibronic）耦合在超快质子转移反应中起着重要作用。然而，这一化学反应中参与的原子运动尚未被直接观察到。观察这些快速质子转移过程的挑战在于同时探测电子和振动自由度。解决这些挑战需要先进的光谱技术，这些技术能够以飞秒时间分辨率提供多维（电子和振动）结构信息。在此，我们使用多维电子-振动光谱直接观察驱动非绝热激发态质子转移过程的vibronic运动，研究对象为10-羟基苯并[h]喹啉。我们测量了高频和低频振动之间的相互作用，绘制了质子转移轨迹在两个vibronic耦合的电子态上的映射。我们的研究使得在质子转移期间和之后观察到vibronic相干性转移、结构重排和分子内振动再分配成为可能。</w:t>
      </w:r>
    </w:p>
    <w:p>
      <w:pPr>
        <w:spacing w:before="0" w:after="200" w:lineRule="auto" w:line="276"/>
      </w:pPr>
      <w:r>
        <w:rPr>
          <w:b/>
        </w:rPr>
        <w:t xml:space="preserve">Abstract (EN): </w:t>
      </w:r>
      <w:r>
        <w:t>Decades of theoretical and experimental work on excited-state intramolecular proton transfer systems indicate that electronic-vibrational (vibronic) coupling plays a significant role in ultrafast proton transfer reactions. However, the participating atomic motions of this chemical reaction have yet to be directly observed. The challenge in observing these rapid proton transfer processes lies in simultaneously probing both the electronic and vibrational degrees of freedom. Addressing these challenges requires advanced spectroscopic techniques that provide multidimensional (electronic and vibrational) structural information with femtosecond time resolution. Here, we use multidimensional electronic-vibrational spectroscopy to directly observe the vibronic motions driving the non-adiabatic excited-state proton transfer process in 10-hydroxybenzo[h]quinoline. We measure the interplay between high and low-frequency vibrations, mapping the proton transfer trajectory on two vibronically coupled electronic states. Our study enables the observation of vibronic coherence transfer, structural rearrangements, and intramolecular vibrational redistribution during and following proton transfer.</w:t>
      </w:r>
    </w:p>
    <w:p>
      <w:pPr>
        <w:spacing w:before="120" w:after="120"/>
      </w:pPr>
      <w:r>
        <w:rPr>
          <w:sz w:val="18"/>
        </w:rPr>
        <w:t>——————————————————————————————————————————————————————————————————————</w:t>
      </w:r>
    </w:p>
    <w:p>
      <w:pPr>
        <w:spacing w:before="160" w:after="40" w:line="240" w:lineRule="auto"/>
      </w:pPr>
      <w:r>
        <w:rPr>
          <w:b/>
        </w:rPr>
        <w:t xml:space="preserve">[15] </w:t>
      </w:r>
      <w:hyperlink r:id="rId233">
        <w:r>
          <w:rPr>
            <w:color w:val="1155CC"/>
            <w:u w:val="single"/>
          </w:rPr>
          <w:t>基于流致振动的能量收集技术综述</w:t>
        </w:r>
      </w:hyperlink>
    </w:p>
    <w:p>
      <w:pPr>
        <w:spacing w:before="0" w:after="80"/>
      </w:pPr>
      <w:r>
        <w:rPr>
          <w:i/>
          <w:sz w:val="20"/>
        </w:rPr>
        <w:t>EN: A review of energy harvesting techniques based on flow-induced vibrations</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34">
        <w:r>
          <w:rPr>
            <w:color w:val="1155CC"/>
            <w:u w:val="single"/>
          </w:rPr>
          <w:t>用于数据中心操作的稳健机器学习建模的时间因果特征选择</w:t>
        </w:r>
      </w:hyperlink>
    </w:p>
    <w:p>
      <w:pPr>
        <w:spacing w:before="0" w:after="80"/>
      </w:pPr>
      <w:r>
        <w:rPr>
          <w:i/>
          <w:sz w:val="20"/>
        </w:rPr>
        <w:t>EN: Temporal causal feature selection for robust machine learning modelling of data center operations</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35">
        <w:r>
          <w:rPr>
            <w:color w:val="1155CC"/>
            <w:u w:val="single"/>
          </w:rPr>
          <w:t>具有联合机会约束的偏远矿区多能源系统的双层多目标随机优化</w:t>
        </w:r>
      </w:hyperlink>
    </w:p>
    <w:p>
      <w:pPr>
        <w:spacing w:before="0" w:after="80"/>
      </w:pPr>
      <w:r>
        <w:rPr>
          <w:i/>
          <w:sz w:val="20"/>
        </w:rPr>
        <w:t>EN: Bi-level multi-objective stochastic optimization of multi-energy systems in remote mining areas with joint chance constraints</w:t>
      </w:r>
    </w:p>
    <w:p>
      <w:pPr>
        <w:spacing w:before="0" w:after="120"/>
      </w:pPr>
      <w:r>
        <w:rPr>
          <w:b/>
        </w:rPr>
        <w:t xml:space="preserve">Source: </w:t>
      </w:r>
      <w:r>
        <w:t>ScienceDirect Publication: Applied Energy</w:t>
      </w:r>
      <w:r>
        <w:t xml:space="preserve">    </w:t>
      </w:r>
      <w:r>
        <w:rPr>
          <w:b/>
        </w:rPr>
        <w:t xml:space="preserve">Pub date: </w:t>
      </w:r>
      <w:r>
        <w:t>2026-05-09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36">
        <w:r>
          <w:rPr>
            <w:color w:val="1155CC"/>
            <w:u w:val="single"/>
          </w:rPr>
          <w:t>二维共价有机框架膜：多尺度设计与前瞻性展望</w:t>
        </w:r>
      </w:hyperlink>
    </w:p>
    <w:p>
      <w:pPr>
        <w:spacing w:before="0" w:after="80"/>
      </w:pPr>
      <w:r>
        <w:rPr>
          <w:i/>
          <w:sz w:val="20"/>
        </w:rPr>
        <w:t>EN: Two‐Dimensional Covalent Organic Framework Membranes: Multi‐Scale Design and Forward‐Looking Perspectives</w:t>
      </w:r>
    </w:p>
    <w:p>
      <w:pPr>
        <w:spacing w:before="0" w:after="120"/>
      </w:pPr>
      <w:r>
        <w:rPr>
          <w:b/>
        </w:rPr>
        <w:t xml:space="preserve">Source: </w:t>
      </w:r>
      <w:r>
        <w:t>Wiley: Advanced Materials: Table of Contents</w:t>
      </w:r>
      <w:r>
        <w:t xml:space="preserve">    </w:t>
      </w:r>
      <w:r>
        <w:rPr>
          <w:b/>
        </w:rPr>
        <w:t xml:space="preserve">Pub date: </w:t>
      </w:r>
      <w:r>
        <w:t>2026-05-09 06:00:20+00:00</w:t>
      </w:r>
      <w:r>
        <w:t xml:space="preserve">    </w:t>
      </w:r>
      <w:r>
        <w:rPr>
          <w:b/>
        </w:rPr>
        <w:t xml:space="preserve">DOI: </w:t>
      </w:r>
      <w:hyperlink r:id="rId237">
        <w:r>
          <w:rPr>
            <w:color w:val="1155CC"/>
            <w:u w:val="single"/>
          </w:rPr>
          <w:t>10.1002/adma.73336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二维共价有机框架（2D COF）因其定义明确的纳米通道、卓越的结构设计性、高稳定性和多样的合成途径，作为膜材料的新兴平台而受到广泛关注。本综述旨在建立一个多尺度设计框架，以加速2D COF膜的发展。首先，我们系统地讨论了从分子尺度的单体设计、结晶度控制、传输通道工程、堆叠调制到宏观膜加工的工程原理。其次，我们总结并强调了2D COF膜在各种与分离相关的应用中的最新进展，包括气体分离、液体净化、离子筛分以及能量存储和转换。最后，我们识别出关键的科学和技术挑战，并提出了一条将实验室创新与工业部署相结合的路线图。所概述的多尺度设计原则和前瞻性视角预计将指导2D COF膜在多样化的环境和能源应用中的合理发展。</w:t>
      </w:r>
    </w:p>
    <w:p>
      <w:pPr>
        <w:spacing w:before="0" w:after="200" w:lineRule="auto" w:line="276"/>
      </w:pPr>
      <w:r>
        <w:rPr>
          <w:b/>
        </w:rPr>
        <w:t xml:space="preserve">Abstract (EN): </w:t>
      </w:r>
      <w:r>
        <w:t>Two‐dimensional covalent organic frameworks (2D COF) are attracting considerable attention as an emerging platform for membrane materials due to their well‐defined nanochannels, exceptional structural designability, high stability, and versatile synthesis routes. This review aims to establish a multiscale design framework to accelerate the advancement of 2D COF membranes. First, we systematically discuss engineering principles ranging from molecular‐scale monomer design, crystallinity control, transport‐channel engineering, and stacking modulation to macroscopic membrane processing. Second, we summarize and highlight recent progress in 2D COF membranes for various separation‐related applications, including gas separation, liquid purification, ion sieving, and energy storage and conversion. Finally, we identify key scientific and technological challenges and propose a roadmap to bridge laboratory innovations with industrial deployment. The outlined multiscale design principles and forward‐looking perspectives are expected to guide the rational development of 2D COF membranes for diverse environmental and energy applications.</w:t>
      </w:r>
    </w:p>
    <w:p>
      <w:pPr>
        <w:spacing w:before="120" w:after="120"/>
      </w:pPr>
      <w:r>
        <w:rPr>
          <w:sz w:val="18"/>
        </w:rPr>
        <w:t>——————————————————————————————————————————————————————————————————————</w:t>
      </w:r>
    </w:p>
    <w:p>
      <w:pPr>
        <w:spacing w:before="160" w:after="40" w:line="240" w:lineRule="auto"/>
      </w:pPr>
      <w:r>
        <w:rPr>
          <w:b/>
        </w:rPr>
        <w:t xml:space="preserve">[19] </w:t>
      </w:r>
      <w:hyperlink r:id="rId238">
        <w:r>
          <w:rPr>
            <w:color w:val="1155CC"/>
            <w:u w:val="single"/>
          </w:rPr>
          <w:t>通过稳定和肥大软骨类器官的空间图案化同步骨软骨再生过程</w:t>
        </w:r>
      </w:hyperlink>
    </w:p>
    <w:p>
      <w:pPr>
        <w:spacing w:before="0" w:after="80"/>
      </w:pPr>
      <w:r>
        <w:rPr>
          <w:i/>
          <w:sz w:val="20"/>
        </w:rPr>
        <w:t>EN: Synchronizing the Osteochondral Regeneration Process through Spatial Patterning of Stable and Hypertrophic Cartilage Organoids</w:t>
      </w:r>
    </w:p>
    <w:p>
      <w:pPr>
        <w:spacing w:before="0" w:after="120"/>
      </w:pPr>
      <w:r>
        <w:rPr>
          <w:b/>
        </w:rPr>
        <w:t xml:space="preserve">Source: </w:t>
      </w:r>
      <w:r>
        <w:t>Wiley: Advanced Materials: Table of Contents</w:t>
      </w:r>
      <w:r>
        <w:t xml:space="preserve">    </w:t>
      </w:r>
      <w:r>
        <w:rPr>
          <w:b/>
        </w:rPr>
        <w:t xml:space="preserve">Pub date: </w:t>
      </w:r>
      <w:r>
        <w:t>2026-05-09 06:02:31+00:00</w:t>
      </w:r>
      <w:r>
        <w:t xml:space="preserve">    </w:t>
      </w:r>
      <w:r>
        <w:rPr>
          <w:b/>
        </w:rPr>
        <w:t xml:space="preserve">DOI: </w:t>
      </w:r>
      <w:hyperlink r:id="rId239">
        <w:r>
          <w:rPr>
            <w:color w:val="1155CC"/>
            <w:u w:val="single"/>
          </w:rPr>
          <w:t>10.1002/adma.202516189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修复深层骨软骨缺损在临床上仍然具有挑战性，因为关节软骨本身无法自我修复，并且需要集成但又不同的关节软骨和软骨下骨再生。在此，我们提出了一种无支架的模块化策略，空间生物组装诱导多能干细胞（iPSC）衍生的软骨细胞（iChon）类器官与人类骨膜衍生细胞（hPDC）类器官，以工程化分区骨软骨组装体。所得的iChon+hPDC组装体表现出固有的空间组织，形成软骨样和骨样区域，并具有中间界面，无需外源支架。体外表征证实了层状富含糖胺聚糖的软骨和富含胶原I的骨相关域，界面连续性通过自我导向的基质组织出现。植入全厚度骨软骨缺损后，iChon+hPDC组装体促进了强大的透明软骨样修复，支持软骨下骨形成，并伴随持续的修复/重塑，并部分重新建立了胶原纤维各向异性。蛋白质水平的映射进一步支持了表面相关的软骨表型和深层室中的重塑相关特征。转录组分析揭示了互补的生物学程序，iChon显示出稳定软骨调节和细胞外基质重塑能力的特征，而hPDC显示出与软骨内骨化相关的短暂肥大程序。这项工作提供了一个无支架的</w:t>
      </w:r>
    </w:p>
    <w:p>
      <w:pPr>
        <w:spacing w:before="0" w:after="200" w:lineRule="auto" w:line="276"/>
      </w:pPr>
      <w:r>
        <w:rPr>
          <w:b/>
        </w:rPr>
        <w:t xml:space="preserve">Abstract (EN): </w:t>
      </w:r>
      <w:r>
        <w:t>Repairing deep osteochondral defects remains clinically challenging due to the intrinsic inability of articular cartilage to self‐repair and the need for integrated yet distinct regeneration of articular cartilage and subchondral bone. Here, we present a scaffold‐free, modular strategy that spatially bioassembles induced pluripotent stem cell (iPSC)‐derived chondrocytes (iChon) organoids with human periosteum‐derived cell (hPDC) organoids to engineer zonated osteochondral assembloids. The resulting iChon+hPDC assembloids exhibit intrinsic spatial organization, forming chondral‐ and osteo‐like zones with an intermediate interface without exogenous scaffolds. In vitro characterization confirmed layered glycosaminoglycan‐rich cartilage and collagen I‐rich osteo‐associated domains, with interface continuity emerging through self‐directed matrix organization. Upon implantation into full‐thickness osteochondral defects, iChon+hPDC assembloids promoted robust hyaline‐like cartilage repair, supported subchondral bone formation with ongoing repair/remodeling, and partially reestablished collagen fiber anisotropy. Protein‐level mapping further supported a surface‐associated cartilage phenotype and remodeling‐associated signatures in the deep compartment. Transcriptomic profiling revealed complementary biological programs, with iChon showing features suggestive of stable cartilage regulation and extracellular‐matrix remodeling competence, and hPDC showing a transient hypertrophic program associated with endochondral ossification. This work provides a scaffold‐free design framework for engineering zonated osteochondral implants through spatial assembly of lineage‐specific organoid modules, with translational potential for future osteochondral repair strategies.</w:t>
      </w:r>
    </w:p>
    <w:p>
      <w:pPr>
        <w:spacing w:before="120" w:after="120"/>
      </w:pPr>
      <w:r>
        <w:rPr>
          <w:sz w:val="18"/>
        </w:rPr>
        <w:t>——————————————————————————————————————————————————————————————————————</w:t>
      </w:r>
    </w:p>
    <w:p>
      <w:pPr>
        <w:spacing w:before="160" w:after="40" w:line="240" w:lineRule="auto"/>
      </w:pPr>
      <w:r>
        <w:rPr>
          <w:b/>
        </w:rPr>
        <w:t xml:space="preserve">[20] </w:t>
      </w:r>
      <w:hyperlink r:id="rId240">
        <w:r>
          <w:rPr>
            <w:color w:val="1155CC"/>
            <w:u w:val="single"/>
          </w:rPr>
          <w:t>基于有机发光晶体管的新窄带显示技术</w:t>
        </w:r>
      </w:hyperlink>
    </w:p>
    <w:p>
      <w:pPr>
        <w:spacing w:before="0" w:after="80"/>
      </w:pPr>
      <w:r>
        <w:rPr>
          <w:i/>
          <w:sz w:val="20"/>
        </w:rPr>
        <w:t>EN: A New Narrow‐Band Display Technology Based on Organic Light‐Emitting Transistors</w:t>
      </w:r>
    </w:p>
    <w:p>
      <w:pPr>
        <w:spacing w:before="0" w:after="120"/>
      </w:pPr>
      <w:r>
        <w:rPr>
          <w:b/>
        </w:rPr>
        <w:t xml:space="preserve">Source: </w:t>
      </w:r>
      <w:r>
        <w:t>Wiley: Advanced Materials: Table of Contents</w:t>
      </w:r>
      <w:r>
        <w:t xml:space="preserve">    </w:t>
      </w:r>
      <w:r>
        <w:rPr>
          <w:b/>
        </w:rPr>
        <w:t xml:space="preserve">Pub date: </w:t>
      </w:r>
      <w:r>
        <w:t>2026-05-09 06:04:40+00:00</w:t>
      </w:r>
      <w:r>
        <w:t xml:space="preserve">    </w:t>
      </w:r>
      <w:r>
        <w:rPr>
          <w:b/>
        </w:rPr>
        <w:t xml:space="preserve">DOI: </w:t>
      </w:r>
      <w:hyperlink r:id="rId241">
        <w:r>
          <w:rPr>
            <w:color w:val="1155CC"/>
            <w:u w:val="single"/>
          </w:rPr>
          <w:t>10.1002/adma.73319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新型窄带显示技术对于下一代高清显示器至关重要。有机发光晶体管（OLETs）集成了有机场效应晶体管（OFET）的电流放大功能和有机发光二极管（OLED）的发光功能于单一设备中，成为一种具有简化电路和降低功耗的有前景的显示技术。在过去的二十年中，OLET器件架构、效率和多功能应用方面取得了实质性进展。特别是，新型横向区域发射OLETs，具有堆叠的OFET-OLED架构，内在形成了一个微腔，为有效的光谱窄化提供了巨大潜力。在这篇展望中，我们总结了OLET领域的这些令人印象深刻的进展，特别强调了基于横向堆叠器件几何的窄带发射OLETs。我们进一步讨论了同时提高效率和光谱窄化的前瞻性策略，从而推动OLETs向实用的高清、低功耗显示应用迈进。</w:t>
      </w:r>
    </w:p>
    <w:p>
      <w:pPr>
        <w:spacing w:before="0" w:after="200" w:lineRule="auto" w:line="276"/>
      </w:pPr>
      <w:r>
        <w:rPr>
          <w:b/>
        </w:rPr>
        <w:t xml:space="preserve">Abstract (EN): </w:t>
      </w:r>
      <w:r>
        <w:t>Developing new narrow‐band display technology is crucial for next‐generation high‐definition displays. Organic light‐emitting transistors (OLETs), which integrate dual functionalities of current amplification from organic field‐effect transistor (OFET) and light emission from organic light‐emitting diode (OLED) within a single device, have emerged as a promising display technology with simplified circuitry and reducing power consumption. Over the past two decades, substantial progress has been achieved in OLET device architectures, efficiencies, and multifunctional applications. In particular, new lateral area‐emission OLETs, featuring a stacked OFET‐OLED architecture, intrinsically form a microcavity that offers great potential for effective spectral narrowing. In this Perspective, we summarize these impressive advances in the OLET field with a specific emphasis on narrow‐band‐emission OLETs based on laterally stacked device geometry. We further discuss prospective strategies for simultaneously enhancing efficiency and spectral narrowing, thereby advancing OLETs toward practical high‐definition, low‐power display applications.</w:t>
      </w:r>
    </w:p>
    <w:p>
      <w:pPr>
        <w:spacing w:before="120" w:after="120"/>
      </w:pPr>
      <w:r>
        <w:rPr>
          <w:sz w:val="18"/>
        </w:rPr>
        <w:t>——————————————————————————————————————————————————————————————————————</w:t>
      </w:r>
    </w:p>
    <w:p>
      <w:pPr>
        <w:spacing w:before="160" w:after="40" w:line="240" w:lineRule="auto"/>
      </w:pPr>
      <w:r>
        <w:rPr>
          <w:b/>
        </w:rPr>
        <w:t xml:space="preserve">[21] </w:t>
      </w:r>
      <w:hyperlink r:id="rId242">
        <w:r>
          <w:rPr>
            <w:color w:val="1155CC"/>
            <w:u w:val="single"/>
          </w:rPr>
          <w:t>利用激基复合物发射光谱大规模确定无序小分子有机半导体的前沿轨道能量</w:t>
        </w:r>
      </w:hyperlink>
    </w:p>
    <w:p>
      <w:pPr>
        <w:spacing w:before="0" w:after="80"/>
      </w:pPr>
      <w:r>
        <w:rPr>
          <w:i/>
          <w:sz w:val="20"/>
        </w:rPr>
        <w:t>EN: Large‐Scale Determination of Frontier Orbital Energies of Disordered Small‐Molecule Organic Semiconductors Using Exciplex Emission Spectra</w:t>
      </w:r>
    </w:p>
    <w:p>
      <w:pPr>
        <w:spacing w:before="0" w:after="120"/>
      </w:pPr>
      <w:r>
        <w:rPr>
          <w:b/>
        </w:rPr>
        <w:t xml:space="preserve">Source: </w:t>
      </w:r>
      <w:r>
        <w:t>Wiley: Advanced Materials: Table of Contents</w:t>
      </w:r>
      <w:r>
        <w:t xml:space="preserve">    </w:t>
      </w:r>
      <w:r>
        <w:rPr>
          <w:b/>
        </w:rPr>
        <w:t xml:space="preserve">Pub date: </w:t>
      </w:r>
      <w:r>
        <w:t>2026-05-09 06:07:32+00:00</w:t>
      </w:r>
      <w:r>
        <w:t xml:space="preserve">    </w:t>
      </w:r>
      <w:r>
        <w:rPr>
          <w:b/>
        </w:rPr>
        <w:t xml:space="preserve">DOI: </w:t>
      </w:r>
      <w:hyperlink r:id="rId243">
        <w:r>
          <w:rPr>
            <w:color w:val="1155CC"/>
            <w:u w:val="single"/>
          </w:rPr>
          <w:t>10.1002/adma.73113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准确了解用于光电设备（如有机发光二极管）中的结构无序小分子有机半导体的前沿轨道能量是合理提高其性能的必要条件。在此，我们展示了这些能量可以通过1:1组成比的供体:受体混合物的光致发光光谱峰值能量来高度准确地推导，这些混合物显示出来自分子间电荷转移态（激基复合物）的发射。这种“激基复合物数据库方法”（EDBM）应用于超过160个供体和180个受体，使用了超过550个光谱。关键发现是有效的激基复合物结合能在可用数据库中显示出惊人的小变动。其平均值为1.0 eV，被认为由于激基复合物扩散、激基复合物-振子耦合和斯托克斯位移导致的光谱红移而大于绝热值。数据库高度冗余，允许获得优于0.1 eV的相对精度。使用研究透彻的材料的前沿轨道能量进行校准，得出与光谱数据比较的精确绝对值。该方法简单快速，可以很容易地应用于新材料，从而为预测设备模拟提供准确的基础。</w:t>
      </w:r>
    </w:p>
    <w:p>
      <w:pPr>
        <w:spacing w:before="0" w:after="200" w:lineRule="auto" w:line="276"/>
      </w:pPr>
      <w:r>
        <w:rPr>
          <w:b/>
        </w:rPr>
        <w:t xml:space="preserve">Abstract (EN): </w:t>
      </w:r>
      <w:r>
        <w:t>Accurately knowing the frontier orbital energies of the structurally disordered small‐molecule organic semiconductors that are used in optoelectronic devices such as organic light‐emitting diodes is required to rationally improve their performance. Here, we show that these energies can be deduced with a large accuracy from the peak energies of photoluminescence spectra of donor:acceptor blends with a 1:1 composition ratio, showing emission from intermolecular charge‐transfer states (exciplexes). This “exciplex data base method” (EDBM) is applied to more than 160 donors and 180 acceptors, using more than 550 spectra. The key finding is that the effective exciplex binding energy shows a surprisingly small variation within the available database. Its average value of 1.0 eV is argued to be larger than the adiabatic value due to spectral redshifts as a result of exciplex diffusion, exciplex‐vibron coupling and a Stokes shift. The database is highly redundant, and allows obtaining relative accuracies better than 0.1 eV. Calibration using the frontier orbital energies of well‐studied materials leads to precise absolute values, as deduced from a comparison with spectroscopic data. The method is easy and fast, can be readily applied to novel materials, and provides thereby an accurate basis for predictive device simulations.</w:t>
      </w:r>
    </w:p>
    <w:p>
      <w:pPr>
        <w:spacing w:before="120" w:after="120"/>
      </w:pPr>
      <w:r>
        <w:rPr>
          <w:sz w:val="18"/>
        </w:rPr>
        <w:t>——————————————————————————————————————————————————————————————————————</w:t>
      </w:r>
    </w:p>
    <w:p>
      <w:pPr>
        <w:spacing w:before="160" w:after="40" w:line="240" w:lineRule="auto"/>
      </w:pPr>
      <w:r>
        <w:rPr>
          <w:b/>
        </w:rPr>
        <w:t xml:space="preserve">[22] </w:t>
      </w:r>
      <w:hyperlink r:id="rId244">
        <w:r>
          <w:rPr>
            <w:color w:val="1155CC"/>
            <w:u w:val="single"/>
          </w:rPr>
          <w:t>[ASAP] 用于直接测量生物分子动力学的时间分辨原生质谱</w:t>
        </w:r>
      </w:hyperlink>
    </w:p>
    <w:p>
      <w:pPr>
        <w:spacing w:before="0" w:after="80"/>
      </w:pPr>
      <w:r>
        <w:rPr>
          <w:i/>
          <w:sz w:val="20"/>
        </w:rPr>
        <w:t>EN: [ASAP] Time-Resolved Native Mass Spectrometry for Direct Measurement of Biomolecular Kinetics</w:t>
      </w:r>
    </w:p>
    <w:p>
      <w:pPr>
        <w:spacing w:before="0" w:after="120"/>
      </w:pPr>
      <w:r>
        <w:rPr>
          <w:b/>
        </w:rPr>
        <w:t xml:space="preserve">Source: </w:t>
      </w:r>
      <w:r>
        <w:t>Journal of the American Chemical Society: Latest Articles (ACS Publications)</w:t>
      </w:r>
      <w:r>
        <w:t xml:space="preserve">    </w:t>
      </w:r>
      <w:r>
        <w:rPr>
          <w:b/>
        </w:rPr>
        <w:t xml:space="preserve">Pub date: </w:t>
      </w:r>
      <w:r>
        <w:t>2026-05-09 13:02:51+00:00</w:t>
      </w:r>
      <w:r>
        <w:t xml:space="preserve">    </w:t>
      </w:r>
      <w:r>
        <w:rPr>
          <w:b/>
        </w:rPr>
        <w:t xml:space="preserve">DOI: </w:t>
      </w:r>
      <w:hyperlink r:id="rId245">
        <w:r>
          <w:rPr>
            <w:color w:val="1155CC"/>
            <w:u w:val="single"/>
          </w:rPr>
          <w:t>10.1021/jacs.5c21842</w:t>
        </w:r>
      </w:hyperlink>
    </w:p>
    <w:p>
      <w:pPr>
        <w:spacing w:before="0" w:after="120"/>
      </w:pPr>
      <w:r>
        <w:rPr>
          <w:b/>
        </w:rPr>
        <w:t xml:space="preserve">Notes: </w:t>
      </w:r>
      <w:r>
        <w:t>abstract_source=openalex</w:t>
      </w:r>
    </w:p>
    <w:p>
      <w:pPr>
        <w:spacing w:before="0" w:after="80" w:lineRule="auto" w:line="276"/>
      </w:pPr>
      <w:r>
        <w:rPr>
          <w:b/>
        </w:rPr>
        <w:t xml:space="preserve">摘要（ZH）: </w:t>
      </w:r>
      <w:r>
        <w:t>生物分子相互作用的功能结果取决于蛋白质及其结合伙伴（从小分子到其他蛋白质）之间的结合和解离动力学，这对于理解协同作用、变构效应和药物作用至关重要。然而，现有的动力学方法，如表面等离子体共振和生物层干涉技术（BLI），需要对一个结合伙伴进行固定或标记，且通常是间接测量。在此，我们介绍了一种变革性的时间分辨原生质谱（MS）方法，该方法能够在几分钟内使用仅皮摩尔量的样品直接、无标记、无固定地量化多样相互作用中的生物分子动力学。我们使用已知系统对该方法进行了基准测试，并获得了与BLI测量一致的动力学参数。我们进一步展示了时间分辨原生质谱在量化蛋白质-小分子相互作用动力学中的实用性，包括涉及不可逆抑制剂的相互作用。通过实时捕捉生物分子相互作用的结合和解离，时间分辨原生质谱克服了传统动力学测定的长期限制，将原生质谱从静态技术转变为探测生物分子动力学和机制的动态定量工具，这些机制是治疗发现的基础。</w:t>
      </w:r>
    </w:p>
    <w:p>
      <w:pPr>
        <w:spacing w:before="0" w:after="200" w:lineRule="auto" w:line="276"/>
      </w:pPr>
      <w:r>
        <w:rPr>
          <w:b/>
        </w:rPr>
        <w:t xml:space="preserve">Abstract (EN): </w:t>
      </w:r>
      <w:r>
        <w:t>The functional outcomes of biomolecular interactions depend on the kinetics of association and dissociation between proteins and their binding partners, ranging from small molecules to other proteins, and are fundamental to understanding cooperativity, allostery, and drug action. However, existing kinetic methods, such as surface plasmon resonance and biolayer interferometry (BLI), require immobilization or labeling of one binding partner and are often indirect measurements. Here, we introduce a transformative time-resolved native mass spectrometry (MS) approach that enables direct, label-free, and immobilization-free quantification of biomolecular kinetics across diverse interactions within minutes using only picomolar sample amounts. We benchmarked the approach using well-characterized systems and obtained kinetic parameters that agreed with those measured by BLI. We further demonstrate the utility of time-resolved native MS in quantifying the kinetics of protein–small-molecule interactions, including those involving an irreversible inhibitor. By capturing the association and dissociation of biomolecular interactions in real time, time-resolved native MS overcomes longstanding limitations of conventional kinetic assays and transforms native MS from a static technique to a dynamic, quantitative tool for probing biomolecular kinetics and mechanisms that underpin therapeutic discovery.</w:t>
      </w:r>
    </w:p>
    <w:p>
      <w:pPr>
        <w:spacing w:before="120" w:after="120"/>
      </w:pPr>
      <w:r>
        <w:rPr>
          <w:sz w:val="18"/>
        </w:rPr>
        <w:t>——————————————————————————————————————————————————————————————————————</w:t>
      </w:r>
    </w:p>
    <w:p>
      <w:pPr>
        <w:spacing w:before="160" w:after="40" w:line="240" w:lineRule="auto"/>
      </w:pPr>
      <w:r>
        <w:rPr>
          <w:b/>
        </w:rPr>
        <w:t xml:space="preserve">[23] </w:t>
      </w:r>
      <w:hyperlink r:id="rId246">
        <w:r>
          <w:rPr>
            <w:color w:val="1155CC"/>
            <w:u w:val="single"/>
          </w:rPr>
          <w:t>“通过选择性掺杂六铁氧体实现超宽带微波吸收的双磁共振”一文的更正</w:t>
        </w:r>
      </w:hyperlink>
    </w:p>
    <w:p>
      <w:pPr>
        <w:spacing w:before="0" w:after="80"/>
      </w:pPr>
      <w:r>
        <w:rPr>
          <w:i/>
          <w:sz w:val="20"/>
        </w:rPr>
        <w:t>EN: Correction to “Dual Magnetic Resonances From Site‐Selective Doping of Hexaferrite Yielding Ultrabroadband Microwave Absorption”</w:t>
      </w:r>
    </w:p>
    <w:p>
      <w:pPr>
        <w:spacing w:before="0" w:after="120"/>
      </w:pPr>
      <w:r>
        <w:rPr>
          <w:b/>
        </w:rPr>
        <w:t xml:space="preserve">Source: </w:t>
      </w:r>
      <w:r>
        <w:t>Wiley: Advanced Materials: Table of Contents</w:t>
      </w:r>
      <w:r>
        <w:t xml:space="preserve">    </w:t>
      </w:r>
      <w:r>
        <w:rPr>
          <w:b/>
        </w:rPr>
        <w:t xml:space="preserve">Pub date: </w:t>
      </w:r>
      <w:r>
        <w:t>2026-05-09 14:00:59+00:00</w:t>
      </w:r>
      <w:r>
        <w:t xml:space="preserve">    </w:t>
      </w:r>
      <w:r>
        <w:rPr>
          <w:b/>
        </w:rPr>
        <w:t xml:space="preserve">DOI: </w:t>
      </w:r>
      <w:hyperlink r:id="rId247">
        <w:r>
          <w:rPr>
            <w:color w:val="1155CC"/>
            <w:u w:val="single"/>
          </w:rPr>
          <w:t>10.1002/adma.73310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248">
        <w:r>
          <w:rPr>
            <w:color w:val="1155CC"/>
            <w:u w:val="single"/>
          </w:rPr>
          <w:t>通过化学气相沉积相位锁定生长超导超薄单斜WS2单晶</w:t>
        </w:r>
      </w:hyperlink>
    </w:p>
    <w:p>
      <w:pPr>
        <w:spacing w:before="0" w:after="80"/>
      </w:pPr>
      <w:r>
        <w:rPr>
          <w:i/>
          <w:sz w:val="20"/>
        </w:rPr>
        <w:t>EN: Phase‐Locked Growth of Superconducting Ultrathin Monoclinic WS2 Single Crystals via Chemical Vapor Deposition</w:t>
      </w:r>
    </w:p>
    <w:p>
      <w:pPr>
        <w:spacing w:before="0" w:after="120"/>
      </w:pPr>
      <w:r>
        <w:rPr>
          <w:b/>
        </w:rPr>
        <w:t xml:space="preserve">Source: </w:t>
      </w:r>
      <w:r>
        <w:t>Wiley: Advanced Materials: Table of Contents</w:t>
      </w:r>
      <w:r>
        <w:t xml:space="preserve">    </w:t>
      </w:r>
      <w:r>
        <w:rPr>
          <w:b/>
        </w:rPr>
        <w:t xml:space="preserve">Pub date: </w:t>
      </w:r>
      <w:r>
        <w:t>2026-05-09 14:02:15+00:00</w:t>
      </w:r>
      <w:r>
        <w:t xml:space="preserve">    </w:t>
      </w:r>
      <w:r>
        <w:rPr>
          <w:b/>
        </w:rPr>
        <w:t xml:space="preserve">DOI: </w:t>
      </w:r>
      <w:hyperlink r:id="rId249">
        <w:r>
          <w:rPr>
            <w:color w:val="1155CC"/>
            <w:u w:val="single"/>
          </w:rPr>
          <w:t>10.1002/adma.202523699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二维（2D）WS</w:t>
      </w:r>
      <w:r>
        <w:rPr>
          <w:vertAlign w:val="subscript"/>
        </w:rPr>
        <w:t>2</w:t>
      </w:r>
      <w:r>
        <w:t>在非常规单斜（2</w:t>
      </w:r>
      <w:r>
        <w:t xml:space="preserve"> </w:t>
      </w:r>
      <w:r>
        <w:t>M</w:t>
      </w:r>
      <w:r>
        <w:t xml:space="preserve"> </w:t>
      </w:r>
      <w:r>
        <w:t>）相中显示出在剥离样品中发现的显著量子现象。然而，这种亚稳相的高形成能量阻碍了直接合成。在此，我们首次通过一步化学气相沉积（CVD）实现了2M WS</w:t>
      </w:r>
      <w:r>
        <w:rPr>
          <w:vertAlign w:val="subscript"/>
        </w:rPr>
        <w:t>2</w:t>
      </w:r>
      <w:r>
        <w:t>单晶的相锁定生长。通过使用K</w:t>
      </w:r>
      <w:r>
        <w:rPr>
          <w:vertAlign w:val="subscript"/>
        </w:rPr>
        <w:t>2</w:t>
      </w:r>
      <w:r>
        <w:t>WS</w:t>
      </w:r>
      <w:r>
        <w:rPr>
          <w:vertAlign w:val="subscript"/>
        </w:rPr>
        <w:t>4</w:t>
      </w:r>
      <w:r>
        <w:t>作为前体建立生长相图，我们选择性地合成了2D 2M WS</w:t>
      </w:r>
      <w:r>
        <w:rPr>
          <w:vertAlign w:val="subscript"/>
        </w:rPr>
        <w:t>2</w:t>
      </w:r>
      <w:r>
        <w:t>，并通过理论计算阐明了驱动2M相稳定化而非竞争的T</w:t>
      </w:r>
      <w:r>
        <w:t xml:space="preserve"> </w:t>
      </w:r>
      <w:r>
        <w:t>d</w:t>
      </w:r>
      <w:r>
        <w:t xml:space="preserve"> </w:t>
      </w:r>
      <w:r>
        <w:t>相的机制。使用拉曼光谱、X射线光电子能谱（XPS）和扫描透射电子显微镜（STEM）的综合表征揭示了合成的2D晶体的高相纯度、明显的面内各向异性和优越的动态稳定性。值得注意的是，所得的超薄2M WS</w:t>
      </w:r>
      <w:r>
        <w:rPr>
          <w:vertAlign w:val="subscript"/>
        </w:rPr>
        <w:t>2</w:t>
      </w:r>
      <w:r>
        <w:t>表现出厚度依赖的2D超导性，临界温度高达约8.6 K。显著的是，磁传输测量显示2M WS</w:t>
      </w:r>
      <w:r>
        <w:rPr>
          <w:vertAlign w:val="subscript"/>
        </w:rPr>
        <w:t>2</w:t>
      </w:r>
      <w:r>
        <w:t>的面内上临界场远超保利极限。这表明存在</w:t>
      </w:r>
    </w:p>
    <w:p>
      <w:pPr>
        <w:spacing w:before="0" w:after="200" w:lineRule="auto" w:line="276"/>
      </w:pPr>
      <w:r>
        <w:rPr>
          <w:b/>
        </w:rPr>
        <w:t xml:space="preserve">Abstract (EN): </w:t>
      </w:r>
      <w:r>
        <w:t>Two‐dimensional (2D) WS</w:t>
      </w:r>
      <w:r>
        <w:rPr>
          <w:vertAlign w:val="subscript"/>
        </w:rPr>
        <w:t>2</w:t>
      </w:r>
      <w:r>
        <w:t>in the unconventional monoclinic (2</w:t>
      </w:r>
      <w:r>
        <w:t xml:space="preserve"> </w:t>
      </w:r>
      <w:r>
        <w:t>M</w:t>
      </w:r>
      <w:r>
        <w:t xml:space="preserve"> </w:t>
      </w:r>
      <w:r>
        <w:t>) phase displays a remarkable array of quantum phenomena discovered in exfoliated samples. However, the high formation energy of this metastable phase hinders the direct synthesis. Here, for the first time, we realized the phase‐locked growth of 2M WS</w:t>
      </w:r>
      <w:r>
        <w:rPr>
          <w:vertAlign w:val="subscript"/>
        </w:rPr>
        <w:t>2</w:t>
      </w:r>
      <w:r>
        <w:t>single crystals via a one‐step chemical vapor deposition (CVD). By establishing the growth phase diagram using K</w:t>
      </w:r>
      <w:r>
        <w:rPr>
          <w:vertAlign w:val="subscript"/>
        </w:rPr>
        <w:t>2</w:t>
      </w:r>
      <w:r>
        <w:t>WS</w:t>
      </w:r>
      <w:r>
        <w:rPr>
          <w:vertAlign w:val="subscript"/>
        </w:rPr>
        <w:t>4</w:t>
      </w:r>
      <w:r>
        <w:t>as precursor, we selectively synthesized 2D 2M WS</w:t>
      </w:r>
      <w:r>
        <w:rPr>
          <w:vertAlign w:val="subscript"/>
        </w:rPr>
        <w:t>2</w:t>
      </w:r>
      <w:r>
        <w:t>and, through theoretical calculations, elucidated the mechanism driving the stabilization of the 2M phase over the competing T</w:t>
      </w:r>
      <w:r>
        <w:t xml:space="preserve"> </w:t>
      </w:r>
      <w:r>
        <w:t>d</w:t>
      </w:r>
      <w:r>
        <w:t xml:space="preserve"> </w:t>
      </w:r>
      <w:r>
        <w:t>phase. Comprehensive characterization using Raman spectroscopy, X‐ray photoelectron spectroscopy (XPS), and scanning transmission electron microscopy (STEM) revealed high‐phase‐purity, distinct in‐plane anisotropy, and superior dynamics stability of the synthesized 2D crystals. Notably, the resulting ultrathin 2M WS</w:t>
      </w:r>
      <w:r>
        <w:rPr>
          <w:vertAlign w:val="subscript"/>
        </w:rPr>
        <w:t>2</w:t>
      </w:r>
      <w:r>
        <w:t>exhibits thickness‐dependent 2D superconductivity with onset critical temperatures up to ∼8.6 K. Remarkably, magnetotransport measurements reveal that the in‐plane upper critical field of 2M WS</w:t>
      </w:r>
      <w:r>
        <w:rPr>
          <w:vertAlign w:val="subscript"/>
        </w:rPr>
        <w:t>2</w:t>
      </w:r>
      <w:r>
        <w:t>far exceeds the Pauli limit. This indicates the presence of strong spin–orbit‐parity coupled superconducting mechanisms and demonstrates crystalline quality comparable to that of mechanically exfoliated samples. This work establishes a scalable bottom‐up synthesis for 2D metastable WS</w:t>
      </w:r>
      <w:r>
        <w:rPr>
          <w:vertAlign w:val="subscript"/>
        </w:rPr>
        <w:t>2</w:t>
      </w:r>
      <w:r>
        <w:t>, paving the way for exploring atomic‐scale quantum phenomena in this unconventional phase.</w:t>
      </w:r>
    </w:p>
    <w:p>
      <w:pPr>
        <w:spacing w:before="120" w:after="120"/>
      </w:pPr>
      <w:r>
        <w:rPr>
          <w:sz w:val="18"/>
        </w:rPr>
        <w:t>——————————————————————————————————————————————————————————————————————</w:t>
      </w:r>
    </w:p>
    <w:p>
      <w:pPr>
        <w:spacing w:before="160" w:after="40" w:line="240" w:lineRule="auto"/>
      </w:pPr>
      <w:r>
        <w:rPr>
          <w:b/>
        </w:rPr>
        <w:t xml:space="preserve">[25] </w:t>
      </w:r>
      <w:hyperlink r:id="rId250">
        <w:r>
          <w:rPr>
            <w:color w:val="1155CC"/>
            <w:u w:val="single"/>
          </w:rPr>
          <w:t>全固态、铁电梯度掺杂可重构二碲化钼器件</w:t>
        </w:r>
      </w:hyperlink>
    </w:p>
    <w:p>
      <w:pPr>
        <w:spacing w:before="0" w:after="80"/>
      </w:pPr>
      <w:r>
        <w:rPr>
          <w:i/>
          <w:sz w:val="20"/>
        </w:rPr>
        <w:t>EN: All‐Solid‐State, Ferroelectric‐Graded‐Doping Reconfigurable Molybdenum Ditelluride Devices</w:t>
      </w:r>
    </w:p>
    <w:p>
      <w:pPr>
        <w:spacing w:before="0" w:after="120"/>
      </w:pPr>
      <w:r>
        <w:rPr>
          <w:b/>
        </w:rPr>
        <w:t xml:space="preserve">Source: </w:t>
      </w:r>
      <w:r>
        <w:t>Wiley: Advanced Materials: Table of Contents</w:t>
      </w:r>
      <w:r>
        <w:t xml:space="preserve">    </w:t>
      </w:r>
      <w:r>
        <w:rPr>
          <w:b/>
        </w:rPr>
        <w:t xml:space="preserve">Pub date: </w:t>
      </w:r>
      <w:r>
        <w:t>2026-05-09 14:03:33+00:00</w:t>
      </w:r>
      <w:r>
        <w:t xml:space="preserve">    </w:t>
      </w:r>
      <w:r>
        <w:rPr>
          <w:b/>
        </w:rPr>
        <w:t xml:space="preserve">DOI: </w:t>
      </w:r>
      <w:hyperlink r:id="rId251">
        <w:r>
          <w:rPr>
            <w:color w:val="1155CC"/>
            <w:u w:val="single"/>
          </w:rPr>
          <w:t>10.1002/adma.73338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二维材料的可重构器件在后摩尔时代提供了一种引人注目的方法来推进系统集成和功能性。全固态设计提高了可重构器件的可靠性和可扩展性。然而，在简单的全固态配置中实现多功能可重构性仍然是一个重大挑战。在这项工作中，我们通过铁电梯度掺杂（FeGD）策略来开发一种全固态二维可重构器件，具有结构简单和功能丰富的特点。该器件结合了聚（偏氟乙烯-三氟乙烯）（P(VDF-TrFE)）铁电层与二维双极性MoTe</w:t>
      </w:r>
      <w:r>
        <w:rPr>
          <w:vertAlign w:val="subscript"/>
        </w:rPr>
        <w:t>2</w:t>
      </w:r>
      <w:r>
        <w:t>通道，实现了在单一门结构中集成12种不同的可重构功能。这些功能包括非易失性存储操作、神经形态计算能力（包括同突触和异突触可塑性）以及多种内存逻辑操作。该器件表现出卓越的性能指标，实现了亚毫秒的重构速度（&lt;1 ms）、长达10</w:t>
      </w:r>
      <w:r>
        <w:rPr>
          <w:vertAlign w:val="subscript"/>
        </w:rPr>
        <w:t>7</w:t>
      </w:r>
      <w:r>
        <w:t>秒的延迟时间和超过10</w:t>
      </w:r>
      <w:r>
        <w:rPr>
          <w:vertAlign w:val="subscript"/>
        </w:rPr>
        <w:t>6</w:t>
      </w:r>
      <w:r>
        <w:t>的非易失性存储操作的开/关比，以及基本逻辑操作（NAND、AND、OR和NOR）中超过10</w:t>
      </w:r>
      <w:r>
        <w:rPr>
          <w:vertAlign w:val="subscript"/>
        </w:rPr>
        <w:t>3</w:t>
      </w:r>
      <w:r>
        <w:t>的开/关比。</w:t>
      </w:r>
    </w:p>
    <w:p>
      <w:pPr>
        <w:spacing w:before="0" w:after="200" w:lineRule="auto" w:line="276"/>
      </w:pPr>
      <w:r>
        <w:rPr>
          <w:b/>
        </w:rPr>
        <w:t xml:space="preserve">Abstract (EN): </w:t>
      </w:r>
      <w:r>
        <w:t>2D material‐based reconfigurable devices present a compelling approach to advancing system integration and functionality in the post‐Moore era. The all‐solid‐state design offers enhanced reliability and scalability of reconfigurable devices. However, realizing multifunctional reconfigurability in simple all‐solid‐state configurations remains a significant challenge. In this work, we address this challenge through a ferroelectric‐graded‐doping (FeGD) strategy to develop an all‐solid‐state 2D reconfigurable device featuring both structural simplicity and functional richness. The device incorporates a poly(vinylidene fluoride‐trifluoroethylene) (P(VDF‐TrFE)) ferroelectric layer coupled with a 2D ambipolar MoTe</w:t>
      </w:r>
      <w:r>
        <w:rPr>
          <w:vertAlign w:val="subscript"/>
        </w:rPr>
        <w:t>2</w:t>
      </w:r>
      <w:r>
        <w:t>channel, enabling the integration of 12 distinct reconfigurable functionalities within a single‐gate device structure. These functionalities span nonvolatile memory operations, neuromorphic computing capabilities including both homosynaptic and heterosynaptic plasticity, as well as multiple in‐memory logic operations. The device demonstrates exceptional performance metrics, achieving a sub‐millisecond reconfiguration speed (&amp;lt;1 ms), an extended retention time up to 10</w:t>
      </w:r>
      <w:r>
        <w:rPr>
          <w:vertAlign w:val="subscript"/>
        </w:rPr>
        <w:t>7</w:t>
      </w:r>
      <w:r>
        <w:t>s and outstanding on/off ratio exceeding 10</w:t>
      </w:r>
      <w:r>
        <w:rPr>
          <w:vertAlign w:val="subscript"/>
        </w:rPr>
        <w:t>6</w:t>
      </w:r>
      <w:r>
        <w:t>for nonvolatile memory operations, and large on/off ratios higher than 10</w:t>
      </w:r>
      <w:r>
        <w:rPr>
          <w:vertAlign w:val="subscript"/>
        </w:rPr>
        <w:t>3</w:t>
      </w:r>
      <w:r>
        <w:t>for fundamental logic operations (NAND, AND, OR, and NOR) and even more complex logic functions (IMP, RIMP, NIMP, and RNIMP), thereby establishing a versatile platform for next‐generation reconfigurable electronics.</w:t>
      </w:r>
    </w:p>
    <w:p>
      <w:pPr>
        <w:spacing w:before="120" w:after="120"/>
      </w:pPr>
      <w:r>
        <w:rPr>
          <w:sz w:val="18"/>
        </w:rPr>
        <w:t>——————————————————————————————————————————————————————————————————————</w:t>
      </w:r>
    </w:p>
    <w:p>
      <w:pPr>
        <w:spacing w:before="160" w:after="40" w:line="240" w:lineRule="auto"/>
      </w:pPr>
      <w:r>
        <w:rPr>
          <w:b/>
        </w:rPr>
        <w:t xml:space="preserve">[26] </w:t>
      </w:r>
      <w:hyperlink r:id="rId252">
        <w:r>
          <w:rPr>
            <w:color w:val="1155CC"/>
            <w:u w:val="single"/>
          </w:rPr>
          <w:t>具有自愈合、粘附和离子热电特性的多功能弹性超分子水凝胶，用于柔性传感和能量收集</w:t>
        </w:r>
      </w:hyperlink>
    </w:p>
    <w:p>
      <w:pPr>
        <w:spacing w:before="0" w:after="80"/>
      </w:pPr>
      <w:r>
        <w:rPr>
          <w:i/>
          <w:sz w:val="20"/>
        </w:rPr>
        <w:t>EN: Multifunctional Elastic Supramolecular Hydrogels with Self‐Healing, Adhesive, and Ionic Thermoelectric Property for Flexible Sensing and Energy Harvesting</w:t>
      </w:r>
    </w:p>
    <w:p>
      <w:pPr>
        <w:spacing w:before="0" w:after="120"/>
      </w:pPr>
      <w:r>
        <w:rPr>
          <w:b/>
        </w:rPr>
        <w:t xml:space="preserve">Source: </w:t>
      </w:r>
      <w:r>
        <w:t>Wiley: Advanced Materials: Table of Contents</w:t>
      </w:r>
      <w:r>
        <w:t xml:space="preserve">    </w:t>
      </w:r>
      <w:r>
        <w:rPr>
          <w:b/>
        </w:rPr>
        <w:t xml:space="preserve">Pub date: </w:t>
      </w:r>
      <w:r>
        <w:t>2026-05-09 15:23:59+00:00</w:t>
      </w:r>
      <w:r>
        <w:t xml:space="preserve">    </w:t>
      </w:r>
      <w:r>
        <w:rPr>
          <w:b/>
        </w:rPr>
        <w:t xml:space="preserve">DOI: </w:t>
      </w:r>
      <w:hyperlink r:id="rId253">
        <w:r>
          <w:rPr>
            <w:color w:val="1155CC"/>
            <w:u w:val="single"/>
          </w:rPr>
          <w:t>10.1002/adma.73341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集成机械强度、强粘附性和可靠能量转换的超分子水凝胶在下一代软电子中备受追捧。在此，我们展示了一种通过协同主客体相互作用、氢键和静电相互作用构建的透明、超拉伸离子水凝胶。该动态网络表现出卓越的机械性能（2173%应变，340 kPa强度，2.88 MJ m</w:t>
      </w:r>
      <w:r>
        <w:t xml:space="preserve"> </w:t>
      </w:r>
      <w:r>
        <w:t>−</w:t>
      </w:r>
      <w:r>
        <w:rPr>
          <w:vertAlign w:val="subscript"/>
        </w:rPr>
        <w:t>3</w:t>
      </w:r>
      <w:r>
        <w:t>韧性）、快速自愈、广基材粘附和强抗菌活性。水凝胶作为一种灵敏的应变传感器，具有稳定的多模式运动检测功能。它还作为一种高效电极用于摩擦电和基于液滴的能量收集，为商业LED供电。值得注意的是，该材料表现出高p型离子热电响应，实现了2.95 mV K</w:t>
      </w:r>
      <w:r>
        <w:t xml:space="preserve"> </w:t>
      </w:r>
      <w:r>
        <w:t>−</w:t>
      </w:r>
      <w:r>
        <w:rPr>
          <w:vertAlign w:val="subscript"/>
        </w:rPr>
        <w:t>1</w:t>
      </w:r>
      <w:r>
        <w:t>的Seebeck系数，并在模块化离子热电电容器中实现了高达14.3 mV/K的可扩展热电压输出。这项工作为集成软电子提供了一个多功能材料平台，具有同时的机械、传感和能量收集功能。</w:t>
      </w:r>
    </w:p>
    <w:p>
      <w:pPr>
        <w:spacing w:before="0" w:after="200" w:lineRule="auto" w:line="276"/>
      </w:pPr>
      <w:r>
        <w:rPr>
          <w:b/>
        </w:rPr>
        <w:t xml:space="preserve">Abstract (EN): </w:t>
      </w:r>
      <w:r>
        <w:t>Supramolecular hydrogels capable of integrating mechanical robustness, strong adhesion, and reliable energy conversion remain highly sought for next‐generation soft electronics. Here, we present a transparent, ultra‐stretchable ionic hydrogel constructed through synergistic host–guest interaction, hydrogen bonding, and electrostatic interactions. The dynamic network exhibits outstanding mechanical performance (2173% strain, 340 kPa strength, 2.88 MJ m</w:t>
      </w:r>
      <w:r>
        <w:t xml:space="preserve"> </w:t>
      </w:r>
      <w:r>
        <w:t>−</w:t>
      </w:r>
      <w:r>
        <w:rPr>
          <w:vertAlign w:val="subscript"/>
        </w:rPr>
        <w:t>3</w:t>
      </w:r>
      <w:r>
        <w:t>toughness), rapid self‐healing, broad‐substrate adhesion, and potent antibacterial activity. The hydrogel functions as a sensitive strain sensor with stable, multimodal motion detection. It further serves as an efficient electrode for both triboelectric and droplet‐based energy harvesting, powering commercial LEDs. Notably, the material exhibits a high p‐type ionic thermoelectric response, achieving a Seebeck coefficient of 2.95 mV K</w:t>
      </w:r>
      <w:r>
        <w:t xml:space="preserve"> </w:t>
      </w:r>
      <w:r>
        <w:t>−</w:t>
      </w:r>
      <w:r>
        <w:rPr>
          <w:vertAlign w:val="subscript"/>
        </w:rPr>
        <w:t>1</w:t>
      </w:r>
      <w:r>
        <w:t>and scalable thermovoltage output up to 14.3 mV/K in modular ionic thermoelectric capacitors. This work provides a versatile materials platform toward integrated soft electronics with simultaneous mechanical, sensing, and energy harvesting functionalities.</w:t>
      </w:r>
    </w:p>
    <w:p>
      <w:pPr>
        <w:spacing w:before="120" w:after="120"/>
      </w:pPr>
      <w:r>
        <w:rPr>
          <w:sz w:val="18"/>
        </w:rPr>
        <w:t>——————————————————————————————————————————————————————————————————————</w:t>
      </w:r>
    </w:p>
    <w:p>
      <w:pPr>
        <w:spacing w:before="160" w:after="40" w:line="240" w:lineRule="auto"/>
      </w:pPr>
      <w:r>
        <w:rPr>
          <w:b/>
        </w:rPr>
        <w:t xml:space="preserve">[27] </w:t>
      </w:r>
      <w:hyperlink r:id="rId254">
        <w:r>
          <w:rPr>
            <w:color w:val="1155CC"/>
            <w:u w:val="single"/>
          </w:rPr>
          <w:t>分级介观尺度捕获控制超分子聚合中的路径选择</w:t>
        </w:r>
      </w:hyperlink>
    </w:p>
    <w:p>
      <w:pPr>
        <w:spacing w:before="0" w:after="80"/>
      </w:pPr>
      <w:r>
        <w:rPr>
          <w:i/>
          <w:sz w:val="20"/>
        </w:rPr>
        <w:t>EN: Hierarchical Mesoscale Trapping Controls Pathway Selection in Supramolecular Polymerization</w:t>
      </w:r>
    </w:p>
    <w:p>
      <w:pPr>
        <w:spacing w:before="0" w:after="120"/>
      </w:pPr>
      <w:r>
        <w:rPr>
          <w:b/>
        </w:rPr>
        <w:t xml:space="preserve">Source: </w:t>
      </w:r>
      <w:r>
        <w:t>Wiley: Angewandte Chemie International Edition: Table of Contents</w:t>
      </w:r>
      <w:r>
        <w:t xml:space="preserve">    </w:t>
      </w:r>
      <w:r>
        <w:rPr>
          <w:b/>
        </w:rPr>
        <w:t xml:space="preserve">Pub date: </w:t>
      </w:r>
      <w:r>
        <w:t>2026-05-09 16:01:43+00:00</w:t>
      </w:r>
      <w:r>
        <w:t xml:space="preserve">    </w:t>
      </w:r>
      <w:r>
        <w:rPr>
          <w:b/>
        </w:rPr>
        <w:t xml:space="preserve">DOI: </w:t>
      </w:r>
      <w:hyperlink r:id="rId255">
        <w:r>
          <w:rPr>
            <w:color w:val="1155CC"/>
            <w:u w:val="single"/>
          </w:rPr>
          <w:t>10.1002/anie.7258562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分子聚合通常通过竞争的动力学和热力学途径进行，导致途径复杂性，这决定了超分子材料的结构和功能。虽然途径选择通常以分子堆积来解释，但分子尺度之外的组织潜在调控作用仍然很大程度上未被探索。在此，我们展示了分级介观聚集可以控制超分子聚合过程中的途径选择。一种供体-受体二氰基苯乙烯衍生物形成两个主要聚集体，在浓缩条件下进一步组装成介观结构。时间分辨小角X射线散射结合光谱揭示了介观簇暂时捕获亚稳态组装体，从而延迟其转化为热力学上更有利的纤维。升高温度使其能够逃离这种介观陷阱，直接切换组装途径。这些发现将介观捕获识别为超分子聚合中的一种新兴动力学调控机制。</w:t>
      </w:r>
    </w:p>
    <w:p>
      <w:pPr>
        <w:spacing w:before="0" w:after="200" w:lineRule="auto" w:line="276"/>
      </w:pPr>
      <w:r>
        <w:rPr>
          <w:b/>
        </w:rPr>
        <w:t xml:space="preserve">Abstract (EN): </w:t>
      </w:r>
      <w:r>
        <w:t>Supramolecular polymerization often proceeds through competing kinetic and thermodynamic pathways, giving rise to pathway complexity that governs the structure and function of supramolecular materials. While pathway selection is typically interpreted in terms of molecular packing, the potential regulatory role of organization beyond the molecular scale remains largely unexplored. Here we demonstrate that hierarchical mesoscale aggregation can control pathway selection during supramolecular polymerization. A donor–acceptor dicyanostilbene derivative forms two primary aggregates that further assemble into mesoscale structures under concentrated conditions. Time‐resolved small‐angle x‐ray scattering combined with spectroscopy reveals that mesoscale clusters transiently trap metastable assemblies, thereby delaying their conversion into thermodynamically favored fibers. Increasing temperature enables escape from this mesoscale trap, directly switching the assembly pathway. These findings identify mesoscale trapping as an emergent kinetic regulatory mechanism in supramolecular polymerization.</w:t>
      </w:r>
    </w:p>
    <w:p>
      <w:pPr>
        <w:spacing w:before="120" w:after="120"/>
      </w:pPr>
      <w:r>
        <w:rPr>
          <w:sz w:val="18"/>
        </w:rPr>
        <w:t>——————————————————————————————————————————————————————————————————————</w:t>
      </w:r>
    </w:p>
    <w:p>
      <w:pPr>
        <w:spacing w:before="160" w:after="40" w:line="240" w:lineRule="auto"/>
      </w:pPr>
      <w:r>
        <w:rPr>
          <w:b/>
        </w:rPr>
        <w:t xml:space="preserve">[28] </w:t>
      </w:r>
      <w:hyperlink r:id="rId256">
        <w:r>
          <w:rPr>
            <w:color w:val="1155CC"/>
            <w:u w:val="single"/>
          </w:rPr>
          <w:t>通过可逆结构相变在Sb3+掺杂的卤化镉中实现激发态路径切换</w:t>
        </w:r>
      </w:hyperlink>
    </w:p>
    <w:p>
      <w:pPr>
        <w:spacing w:before="0" w:after="80"/>
      </w:pPr>
      <w:r>
        <w:rPr>
          <w:i/>
          <w:sz w:val="20"/>
        </w:rPr>
        <w:t>EN: Excited‐State Pathway Switching via Reversible Structural Phase Transitions in Sb3+‐Doped Cadmium Halides</w:t>
      </w:r>
    </w:p>
    <w:p>
      <w:pPr>
        <w:spacing w:before="0" w:after="120"/>
      </w:pPr>
      <w:r>
        <w:rPr>
          <w:b/>
        </w:rPr>
        <w:t xml:space="preserve">Source: </w:t>
      </w:r>
      <w:r>
        <w:t>Wiley: Angewandte Chemie International Edition: Table of Contents</w:t>
      </w:r>
      <w:r>
        <w:t xml:space="preserve">    </w:t>
      </w:r>
      <w:r>
        <w:rPr>
          <w:b/>
        </w:rPr>
        <w:t xml:space="preserve">Pub date: </w:t>
      </w:r>
      <w:r>
        <w:t>2026-05-09 16:02:19+00:00</w:t>
      </w:r>
      <w:r>
        <w:t xml:space="preserve">    </w:t>
      </w:r>
      <w:r>
        <w:rPr>
          <w:b/>
        </w:rPr>
        <w:t xml:space="preserve">DOI: </w:t>
      </w:r>
      <w:hyperlink r:id="rId257">
        <w:r>
          <w:rPr>
            <w:color w:val="1155CC"/>
            <w:u w:val="single"/>
          </w:rPr>
          <w:t>10.1002/anie.9627340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在刺激响应光子应用中，可逆控制结构相变和发光仍然是有机-无机杂化金属卤化物的关键挑战。在此，我们报告了两种新的零维（0D）Cd基金属卤化物，（DFPD）</w:t>
      </w:r>
      <w:r>
        <w:rPr>
          <w:vertAlign w:val="subscript"/>
        </w:rPr>
        <w:t>6</w:t>
      </w:r>
      <w:r>
        <w:t>CdCl</w:t>
      </w:r>
      <w:r>
        <w:rPr>
          <w:vertAlign w:val="subscript"/>
        </w:rPr>
        <w:t>8</w:t>
      </w:r>
      <w:r>
        <w:t>和（DFPD）</w:t>
      </w:r>
      <w:r>
        <w:rPr>
          <w:vertAlign w:val="subscript"/>
        </w:rPr>
        <w:t>2</w:t>
      </w:r>
      <w:r>
        <w:t>CdCl</w:t>
      </w:r>
      <w:r>
        <w:rPr>
          <w:vertAlign w:val="subscript"/>
        </w:rPr>
        <w:t>4</w:t>
      </w:r>
      <w:r>
        <w:t>·H</w:t>
      </w:r>
      <w:r>
        <w:rPr>
          <w:vertAlign w:val="subscript"/>
        </w:rPr>
        <w:t>2</w:t>
      </w:r>
      <w:r>
        <w:t>O（DFPD</w:t>
      </w:r>
      <w:r>
        <w:t xml:space="preserve"> </w:t>
      </w:r>
      <w:r>
        <w:t>+</w:t>
      </w:r>
      <w:r>
        <w:t xml:space="preserve"> </w:t>
      </w:r>
      <w:r>
        <w:t>= 4,4-二氟哌啶），其中Sb</w:t>
      </w:r>
      <w:r>
        <w:t xml:space="preserve"> </w:t>
      </w:r>
      <w:r>
        <w:t>3+</w:t>
      </w:r>
      <w:r>
        <w:t xml:space="preserve"> </w:t>
      </w:r>
      <w:r>
        <w:t>掺杂使得发光行为由配位几何形状控制。结合光谱研究和理论计算揭示，Sb</w:t>
      </w:r>
      <w:r>
        <w:t xml:space="preserve"> </w:t>
      </w:r>
      <w:r>
        <w:t>3+</w:t>
      </w:r>
      <w:r>
        <w:t xml:space="preserve"> </w:t>
      </w:r>
      <w:r>
        <w:t>掺杂的（DFPD）</w:t>
      </w:r>
      <w:r>
        <w:rPr>
          <w:vertAlign w:val="subscript"/>
        </w:rPr>
        <w:t>6</w:t>
      </w:r>
      <w:r>
        <w:t>CdCl</w:t>
      </w:r>
      <w:r>
        <w:rPr>
          <w:vertAlign w:val="subscript"/>
        </w:rPr>
        <w:t>8</w:t>
      </w:r>
      <w:r>
        <w:t>表现出由于三重态自陷激子（</w:t>
      </w:r>
      <w:r>
        <w:rPr>
          <w:vertAlign w:val="subscript"/>
        </w:rPr>
        <w:t>3</w:t>
      </w:r>
      <w:r>
        <w:t>STE）发射导致的大斯托克斯位移的黄色发光，而Sb</w:t>
      </w:r>
      <w:r>
        <w:t xml:space="preserve"> </w:t>
      </w:r>
      <w:r>
        <w:t>3+</w:t>
      </w:r>
      <w:r>
        <w:t xml:space="preserve"> </w:t>
      </w:r>
      <w:r>
        <w:t>掺杂的（DFPD）</w:t>
      </w:r>
      <w:r>
        <w:rPr>
          <w:vertAlign w:val="subscript"/>
        </w:rPr>
        <w:t>2</w:t>
      </w:r>
      <w:r>
        <w:t>CdCl</w:t>
      </w:r>
      <w:r>
        <w:rPr>
          <w:vertAlign w:val="subscript"/>
        </w:rPr>
        <w:t>4</w:t>
      </w:r>
      <w:r>
        <w:t>·H</w:t>
      </w:r>
      <w:r>
        <w:rPr>
          <w:vertAlign w:val="subscript"/>
        </w:rPr>
        <w:t>2</w:t>
      </w:r>
      <w:r>
        <w:t>O由于竞争的单重态STE（</w:t>
      </w:r>
      <w:r>
        <w:rPr>
          <w:vertAlign w:val="subscript"/>
        </w:rPr>
        <w:t>1</w:t>
      </w:r>
      <w:r>
        <w:t>STE）和</w:t>
      </w:r>
      <w:r>
        <w:rPr>
          <w:vertAlign w:val="subscript"/>
        </w:rPr>
        <w:t>3</w:t>
      </w:r>
      <w:r>
        <w:t>STE状态显示出激发依赖的发光。这种对比源于不同的Cd–Cl配位环境（八面体与四面体）。</w:t>
      </w:r>
    </w:p>
    <w:p>
      <w:pPr>
        <w:spacing w:before="0" w:after="200" w:lineRule="auto" w:line="276"/>
      </w:pPr>
      <w:r>
        <w:rPr>
          <w:b/>
        </w:rPr>
        <w:t xml:space="preserve">Abstract (EN): </w:t>
      </w:r>
      <w:r>
        <w:t>Reversible control of structural phase transitions and luminescence remains a key challenge in organic–inorganic hybrid metal halides for stimuli‐responsive photonic applications. Here, we report two new zero‐dimensional (0D) Cd‐based metal halides, (DFPD)</w:t>
      </w:r>
      <w:r>
        <w:rPr>
          <w:vertAlign w:val="subscript"/>
        </w:rPr>
        <w:t>6</w:t>
      </w:r>
      <w:r>
        <w:t>CdCl</w:t>
      </w:r>
      <w:r>
        <w:rPr>
          <w:vertAlign w:val="subscript"/>
        </w:rPr>
        <w:t>8</w:t>
      </w:r>
      <w:r>
        <w:t>and (DFPD)</w:t>
      </w:r>
      <w:r>
        <w:rPr>
          <w:vertAlign w:val="subscript"/>
        </w:rPr>
        <w:t>2</w:t>
      </w:r>
      <w:r>
        <w:t>CdCl</w:t>
      </w:r>
      <w:r>
        <w:rPr>
          <w:vertAlign w:val="subscript"/>
        </w:rPr>
        <w:t>4</w:t>
      </w:r>
      <w:r>
        <w:t>·H</w:t>
      </w:r>
      <w:r>
        <w:rPr>
          <w:vertAlign w:val="subscript"/>
        </w:rPr>
        <w:t>2</w:t>
      </w:r>
      <w:r>
        <w:t>O (DFPD</w:t>
      </w:r>
      <w:r>
        <w:t xml:space="preserve"> </w:t>
      </w:r>
      <w:r>
        <w:t>+</w:t>
      </w:r>
      <w:r>
        <w:t xml:space="preserve"> </w:t>
      </w:r>
      <w:r>
        <w:t>= 4,4‐difluoropiperidine), in which Sb</w:t>
      </w:r>
      <w:r>
        <w:t xml:space="preserve"> </w:t>
      </w:r>
      <w:r>
        <w:t>3+</w:t>
      </w:r>
      <w:r>
        <w:t xml:space="preserve"> </w:t>
      </w:r>
      <w:r>
        <w:t>doping enables distinct emission behaviors governed by coordination geometry. Combined spectroscopic studies and theoretical calculations reveal that Sb</w:t>
      </w:r>
      <w:r>
        <w:t xml:space="preserve"> </w:t>
      </w:r>
      <w:r>
        <w:t>3+</w:t>
      </w:r>
      <w:r>
        <w:t xml:space="preserve"> </w:t>
      </w:r>
      <w:r>
        <w:t>‐doped (DFPD)</w:t>
      </w:r>
      <w:r>
        <w:rPr>
          <w:vertAlign w:val="subscript"/>
        </w:rPr>
        <w:t>6</w:t>
      </w:r>
      <w:r>
        <w:t>CdCl</w:t>
      </w:r>
      <w:r>
        <w:rPr>
          <w:vertAlign w:val="subscript"/>
        </w:rPr>
        <w:t>8</w:t>
      </w:r>
      <w:r>
        <w:t>exhibits yellow emission with a large Stokes shift arising from triplet self‐trapped exciton (</w:t>
      </w:r>
      <w:r>
        <w:rPr>
          <w:vertAlign w:val="subscript"/>
        </w:rPr>
        <w:t>3</w:t>
      </w:r>
      <w:r>
        <w:t>STE) emission, whereas Sb</w:t>
      </w:r>
      <w:r>
        <w:t xml:space="preserve"> </w:t>
      </w:r>
      <w:r>
        <w:t>3+</w:t>
      </w:r>
      <w:r>
        <w:t xml:space="preserve"> </w:t>
      </w:r>
      <w:r>
        <w:t>‐doped (DFPD)</w:t>
      </w:r>
      <w:r>
        <w:rPr>
          <w:vertAlign w:val="subscript"/>
        </w:rPr>
        <w:t>2</w:t>
      </w:r>
      <w:r>
        <w:t>CdCl</w:t>
      </w:r>
      <w:r>
        <w:rPr>
          <w:vertAlign w:val="subscript"/>
        </w:rPr>
        <w:t>4</w:t>
      </w:r>
      <w:r>
        <w:t>·H</w:t>
      </w:r>
      <w:r>
        <w:rPr>
          <w:vertAlign w:val="subscript"/>
        </w:rPr>
        <w:t>2</w:t>
      </w:r>
      <w:r>
        <w:t>O displays excitation‐dependent emission due to competing singlet STE (</w:t>
      </w:r>
      <w:r>
        <w:rPr>
          <w:vertAlign w:val="subscript"/>
        </w:rPr>
        <w:t>1</w:t>
      </w:r>
      <w:r>
        <w:t>STE) and</w:t>
      </w:r>
      <w:r>
        <w:rPr>
          <w:vertAlign w:val="subscript"/>
        </w:rPr>
        <w:t>3</w:t>
      </w:r>
      <w:r>
        <w:t>STE states. This contrast originates from the different Cd–Cl coordination environments (octahedral vs. tetrahedral), which modulate the energy levels and transition dipole moments. Importantly, hydrochloric acid (HCl) and 4,4‐difluoropiperidine induce fully reversible interconversion between the two structures, allowing dynamic switching between yellow and deep‐orange emission. Based on this reversible luminescence, we further demonstrated applications in dynamic anti‐counterfeiting and multilevel information encryption. This work establishes a coordination‐structure‐driven strategy for programmable emission in 0D hybrid metal halides.</w:t>
      </w:r>
    </w:p>
    <w:p>
      <w:pPr>
        <w:spacing w:before="120" w:after="120"/>
      </w:pPr>
      <w:r>
        <w:rPr>
          <w:sz w:val="18"/>
        </w:rPr>
        <w:t>——————————————————————————————————————————————————————————————————————</w:t>
      </w:r>
    </w:p>
    <w:p>
      <w:pPr>
        <w:spacing w:before="160" w:after="40" w:line="240" w:lineRule="auto"/>
      </w:pPr>
      <w:r>
        <w:rPr>
          <w:b/>
        </w:rPr>
        <w:t xml:space="preserve">[29] </w:t>
      </w:r>
      <w:hyperlink r:id="rId258">
        <w:r>
          <w:rPr>
            <w:color w:val="1155CC"/>
            <w:u w:val="single"/>
          </w:rPr>
          <w:t>从机制到催化剂：通过肟途径直接电合成甘氨酸的集成催化剂</w:t>
        </w:r>
      </w:hyperlink>
    </w:p>
    <w:p>
      <w:pPr>
        <w:spacing w:before="0" w:after="80"/>
      </w:pPr>
      <w:r>
        <w:rPr>
          <w:i/>
          <w:sz w:val="20"/>
        </w:rPr>
        <w:t>EN: From Mechanism to Catalyst: Integrated Catalysts for Direct Electrosynthesis of Glycine Through an Oxime Pathway</w:t>
      </w:r>
    </w:p>
    <w:p>
      <w:pPr>
        <w:spacing w:before="0" w:after="120"/>
      </w:pPr>
      <w:r>
        <w:rPr>
          <w:b/>
        </w:rPr>
        <w:t xml:space="preserve">Source: </w:t>
      </w:r>
      <w:r>
        <w:t>Wiley: Angewandte Chemie International Edition: Table of Contents</w:t>
      </w:r>
      <w:r>
        <w:t xml:space="preserve">    </w:t>
      </w:r>
      <w:r>
        <w:rPr>
          <w:b/>
        </w:rPr>
        <w:t xml:space="preserve">Pub date: </w:t>
      </w:r>
      <w:r>
        <w:t>2026-05-09 16:03:54+00:00</w:t>
      </w:r>
      <w:r>
        <w:t xml:space="preserve">    </w:t>
      </w:r>
      <w:r>
        <w:rPr>
          <w:b/>
        </w:rPr>
        <w:t xml:space="preserve">DOI: </w:t>
      </w:r>
      <w:hyperlink r:id="rId259">
        <w:r>
          <w:rPr>
            <w:color w:val="1155CC"/>
            <w:u w:val="single"/>
          </w:rPr>
          <w:t>10.1002/anie.9293384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草酸 (H2C2O4) 和羟胺 (NH2OH) 电催化合成甘氨酸涉及复杂的多步路径，包括C–N偶联和多步选择性质子化，使得合理的催化剂设计成为一大挑战。在这项工作中，通过结合恒电位密度泛函理论 (DFT)，揭示了在Pb表面上从H2C2O4和NH2OH形成羟基乙醛肟 (GAO) 的反应机制，以及其在Cu表面上进一步还原为甘氨酸的过程。基于这些机制见解，我们提出了一套设计集成双位点催化剂的标准，该催化剂能够催化GAO的形成和选择性质子化为甘氨酸。在理论筛选出的集成Pt1 (Ir1, Ru1)/Pb(100) 单原子催化剂中，实验合成了Pt1/Pb催化剂，展示了其在甘氨酸生产中的高活性。这项研究将基础机制理解与复杂多步电合成的实际催化剂开发相结合。</w:t>
      </w:r>
    </w:p>
    <w:p>
      <w:pPr>
        <w:spacing w:before="0" w:after="200" w:lineRule="auto" w:line="276"/>
      </w:pPr>
      <w:r>
        <w:rPr>
          <w:b/>
        </w:rPr>
        <w:t xml:space="preserve">Abstract (EN): </w:t>
      </w:r>
      <w:r>
        <w:t>The electrocatalytic synthesis of glycine from oxalic acid (H</w:t>
      </w:r>
      <w:r>
        <w:rPr>
          <w:vertAlign w:val="subscript"/>
        </w:rPr>
        <w:t>2</w:t>
      </w:r>
      <w:r>
        <w:t>C</w:t>
      </w:r>
      <w:r>
        <w:rPr>
          <w:vertAlign w:val="subscript"/>
        </w:rPr>
        <w:t>2</w:t>
      </w:r>
      <w:r>
        <w:t>O</w:t>
      </w:r>
      <w:r>
        <w:rPr>
          <w:vertAlign w:val="subscript"/>
        </w:rPr>
        <w:t>4</w:t>
      </w:r>
      <w:r>
        <w:t>) and hydroxylamine (NH</w:t>
      </w:r>
      <w:r>
        <w:rPr>
          <w:vertAlign w:val="subscript"/>
        </w:rPr>
        <w:t>2</w:t>
      </w:r>
      <w:r>
        <w:t>OH) involves a complex multi‐step pathway comprising C–N coupling and multi‐step selective protonation, making rational catalyst design a major challenge. In this work, by combining constant‐potential density functional theory (DFT), the reaction mechanisms for the formation of glyoxylic oxime (GAO) from H</w:t>
      </w:r>
      <w:r>
        <w:rPr>
          <w:vertAlign w:val="subscript"/>
        </w:rPr>
        <w:t>2</w:t>
      </w:r>
      <w:r>
        <w:t>C</w:t>
      </w:r>
      <w:r>
        <w:rPr>
          <w:vertAlign w:val="subscript"/>
        </w:rPr>
        <w:t>2</w:t>
      </w:r>
      <w:r>
        <w:t>O</w:t>
      </w:r>
      <w:r>
        <w:rPr>
          <w:vertAlign w:val="subscript"/>
        </w:rPr>
        <w:t>4</w:t>
      </w:r>
      <w:r>
        <w:t>and NH</w:t>
      </w:r>
      <w:r>
        <w:rPr>
          <w:vertAlign w:val="subscript"/>
        </w:rPr>
        <w:t>2</w:t>
      </w:r>
      <w:r>
        <w:t>OH on Pb surfaces, and its subsequent reduction to glycine on Cu surfaces are revealed. Guided by these mechanistic insights, we propose a set of criteria for designing integrated dual‐site catalysts capable of catalyzing both GAO formation and selective protonation to glycine. Among the theoretically screened out integrated Pt</w:t>
      </w:r>
      <w:r>
        <w:rPr>
          <w:vertAlign w:val="subscript"/>
        </w:rPr>
        <w:t>1</w:t>
      </w:r>
      <w:r>
        <w:t>(Ir</w:t>
      </w:r>
      <w:r>
        <w:rPr>
          <w:vertAlign w:val="subscript"/>
        </w:rPr>
        <w:t>1</w:t>
      </w:r>
      <w:r>
        <w:t>, Ru</w:t>
      </w:r>
      <w:r>
        <w:rPr>
          <w:vertAlign w:val="subscript"/>
        </w:rPr>
        <w:t>1</w:t>
      </w:r>
      <w:r>
        <w:t>)/Pb(100) single atom catalysts, Pt</w:t>
      </w:r>
      <w:r>
        <w:rPr>
          <w:vertAlign w:val="subscript"/>
        </w:rPr>
        <w:t>1</w:t>
      </w:r>
      <w:r>
        <w:t>/Pb catalyst is synthesized experimentally, demonstrating high activity for glycine production. This study bridges fundamental mechanistic understanding with practical catalyst development for complex multi‐step electrosynthesis.</w:t>
      </w:r>
    </w:p>
    <w:p>
      <w:pPr>
        <w:spacing w:before="120" w:after="120"/>
      </w:pPr>
      <w:r>
        <w:rPr>
          <w:sz w:val="18"/>
        </w:rPr>
        <w:t>——————————————————————————————————————————————————————————————————————</w:t>
      </w:r>
    </w:p>
    <w:p>
      <w:pPr>
        <w:spacing w:before="160" w:after="40" w:line="240" w:lineRule="auto"/>
      </w:pPr>
      <w:r>
        <w:rPr>
          <w:b/>
        </w:rPr>
        <w:t xml:space="preserve">[30] </w:t>
      </w:r>
      <w:hyperlink r:id="rId260">
        <w:r>
          <w:rPr>
            <w:color w:val="1155CC"/>
            <w:u w:val="single"/>
          </w:rPr>
          <w:t>表面选择性合成sp2/sp杂化异手性三角形纳米环</w:t>
        </w:r>
      </w:hyperlink>
    </w:p>
    <w:p>
      <w:pPr>
        <w:spacing w:before="0" w:after="80"/>
      </w:pPr>
      <w:r>
        <w:rPr>
          <w:i/>
          <w:sz w:val="20"/>
        </w:rPr>
        <w:t>EN: Highly Selective On‐Surface Synthesis of sp2/sp‐Hybridized Heterochiral Triangular Nanorings</w:t>
      </w:r>
    </w:p>
    <w:p>
      <w:pPr>
        <w:spacing w:before="0" w:after="120"/>
      </w:pPr>
      <w:r>
        <w:rPr>
          <w:b/>
        </w:rPr>
        <w:t xml:space="preserve">Source: </w:t>
      </w:r>
      <w:r>
        <w:t>Wiley: Angewandte Chemie International Edition: Table of Contents</w:t>
      </w:r>
      <w:r>
        <w:t xml:space="preserve">    </w:t>
      </w:r>
      <w:r>
        <w:rPr>
          <w:b/>
        </w:rPr>
        <w:t xml:space="preserve">Pub date: </w:t>
      </w:r>
      <w:r>
        <w:t>2026-05-09 16:05:54+00:00</w:t>
      </w:r>
      <w:r>
        <w:t xml:space="preserve">    </w:t>
      </w:r>
      <w:r>
        <w:rPr>
          <w:b/>
        </w:rPr>
        <w:t xml:space="preserve">DOI: </w:t>
      </w:r>
      <w:hyperlink r:id="rId261">
        <w:r>
          <w:rPr>
            <w:color w:val="1155CC"/>
            <w:u w:val="single"/>
          </w:rPr>
          <w:t>10.1002/anie.6649441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表面合成拓扑独特的碳纳米结构的核心挑战在于精确和选择性地构建三角形纳米环。从前手性前体同时实现所需的手性和sp2/sp杂化状态是关键，但极其困难。在此，我们设计了一种具有聚集诱导发光特性的非对称α-氰基苯乙烯衍生物作为前手性构建块，通过控制基底和热导向策略实现确定性路径选择，允许在Ag(111)上有目标地形成具有定义的sp2和sp杂化的异手性纳米环。在443 K的热Ag(111)表面上直接热沉积驱动高度选择性的环三聚化，产生离散的sp2杂化异手性三角形纳米环。随后的退火引发消除反应，将这些环转化为其sp杂化的类似物，同时保持手性。相反，室温沉积和后退火主要产生线性链。通过扫描隧道显微镜 (STM)、键分辨STM、同步辐射光电子能谱 (SRPES) 和密度泛函理论 (DFT) 计算明确表征了结构演变和选择性反应机制。这项工作建立了一种精确合成手性三角形纳米环的新策略。</w:t>
      </w:r>
    </w:p>
    <w:p>
      <w:pPr>
        <w:spacing w:before="0" w:after="200" w:lineRule="auto" w:line="276"/>
      </w:pPr>
      <w:r>
        <w:rPr>
          <w:b/>
        </w:rPr>
        <w:t xml:space="preserve">Abstract (EN): </w:t>
      </w:r>
      <w:r>
        <w:t>A central challenge in on‐surface synthesis of topologically unique carbon nanostructures lies in the precise and selective construction of triangular nanorings. Achieving the resulting chirality and the sp</w:t>
      </w:r>
      <w:r>
        <w:rPr>
          <w:vertAlign w:val="subscript"/>
        </w:rPr>
        <w:t>2</w:t>
      </w:r>
      <w:r>
        <w:t>/sp‐hybridized state simultaneously from prochiral precursors is critical, yet immensely difficult. Here, we design an asymmetric α‑cyanostilbene derivative with aggregation‑induced emission properties as a prochiral building block to achieve deterministic pathway selection through controlling the substrate‐ and thermal‐directed strategy, allowing for the targeted formation of heterochiral nanorings with defined sp</w:t>
      </w:r>
      <w:r>
        <w:rPr>
          <w:vertAlign w:val="subscript"/>
        </w:rPr>
        <w:t>2</w:t>
      </w:r>
      <w:r>
        <w:t>‐ and sp‐hybridization on Ag(111). Direct thermal deposition onto a hot Ag(111) surface at 443 K drives a highly selective cyclotrimerization, yielding discrete sp</w:t>
      </w:r>
      <w:r>
        <w:rPr>
          <w:vertAlign w:val="subscript"/>
        </w:rPr>
        <w:t>2</w:t>
      </w:r>
      <w:r>
        <w:t>‐hybridized heterochiral triangular nanorings. Subsequent annealing induces an elimination reaction, converting these rings into their sp‐hybridized analogues while preserving chirality. In contrast, room‐temperature deposition and postannealing predominantly produces linear chains. The structural evolution and selective reaction mechanisms are unequivocally characterized by scanning tunneling microscopy (STM), bond‐resolution STM, synchrotron radiation photoemission spectroscopy (SRPES), and density functional theory (DFT) calculations. This work establishes a novel strategy for the precise synthesis of chiral triangular nanorings, revealing the critical role of surface‐mediated conformational control and dynamic covalent bonding in determining product topology and chirality.</w:t>
      </w:r>
    </w:p>
    <w:p>
      <w:pPr>
        <w:spacing w:before="120" w:after="120"/>
      </w:pPr>
      <w:r>
        <w:rPr>
          <w:sz w:val="18"/>
        </w:rPr>
        <w:t>——————————————————————————————————————————————————————————————————————</w:t>
      </w:r>
    </w:p>
    <w:p>
      <w:pPr>
        <w:spacing w:before="160" w:after="40" w:line="240" w:lineRule="auto"/>
      </w:pPr>
      <w:r>
        <w:rPr>
          <w:b/>
        </w:rPr>
        <w:t xml:space="preserve">[31] </w:t>
      </w:r>
      <w:hyperlink r:id="rId262">
        <w:r>
          <w:rPr>
            <w:color w:val="1155CC"/>
            <w:u w:val="single"/>
          </w:rPr>
          <w:t>用于可调响应性多孔有机笼组装的动态共价自由基重组</w:t>
        </w:r>
      </w:hyperlink>
    </w:p>
    <w:p>
      <w:pPr>
        <w:spacing w:before="0" w:after="80"/>
      </w:pPr>
      <w:r>
        <w:rPr>
          <w:i/>
          <w:sz w:val="20"/>
        </w:rPr>
        <w:t>EN: Dynamic Covalent Radical Recombination for the Assembly of Tuneable Responsive Porous Organic Cages</w:t>
      </w:r>
    </w:p>
    <w:p>
      <w:pPr>
        <w:spacing w:before="0" w:after="120"/>
      </w:pPr>
      <w:r>
        <w:rPr>
          <w:b/>
        </w:rPr>
        <w:t xml:space="preserve">Source: </w:t>
      </w:r>
      <w:r>
        <w:t>Wiley: Angewandte Chemie International Edition: Table of Contents</w:t>
      </w:r>
      <w:r>
        <w:t xml:space="preserve">    </w:t>
      </w:r>
      <w:r>
        <w:rPr>
          <w:b/>
        </w:rPr>
        <w:t xml:space="preserve">Pub date: </w:t>
      </w:r>
      <w:r>
        <w:t>2026-05-09 16:07:31+00:00</w:t>
      </w:r>
      <w:r>
        <w:t xml:space="preserve">    </w:t>
      </w:r>
      <w:r>
        <w:rPr>
          <w:b/>
        </w:rPr>
        <w:t xml:space="preserve">DOI: </w:t>
      </w:r>
      <w:hyperlink r:id="rId263">
        <w:r>
          <w:rPr>
            <w:color w:val="1155CC"/>
            <w:u w:val="single"/>
          </w:rPr>
          <w:t>10.1002/anie.7638565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自由基重组构建离散有机笼提供了一种强大但未充分探索的途径，用于刺激响应的C─C连接分子结构。在此，我们引入芳基二氰甲基自由基动态共价化学作为一种通用策略，用于控制多孔有机笼的组装。单一取代基的系统变化控制自由基和σ键的稳定性以及笼的几何形状，从而实现对笼拓扑和响应性的精确、取代基依赖的控制。硫苯氧基取代的单体S选择性地以99%的产率形成离散的Tri2二聚体，而N-甲基苯胺取代的类似物N则以83%的产率形成四面体Tri4四聚体。N4具有永久孔隙率和对CO2和H2相对于CH4和N2的显著选择性，这通过气体吸附实验得到证实，源于狭窄的孔径和强烈的主客体相互作用。两个笼都表现出可逆的机械和热变色行为。此外，结合高度</w:t>
      </w:r>
    </w:p>
    <w:p>
      <w:pPr>
        <w:spacing w:before="0" w:after="200" w:lineRule="auto" w:line="276"/>
      </w:pPr>
      <w:r>
        <w:rPr>
          <w:b/>
        </w:rPr>
        <w:t xml:space="preserve">Abstract (EN): </w:t>
      </w:r>
      <w:r>
        <w:t>The construction of discrete organic cages via radical recombination offers a powerful yet underexplored route toward</w:t>
      </w:r>
      <w:r>
        <w:t xml:space="preserve"> </w:t>
      </w:r>
      <w:r>
        <w:t>stimuli</w:t>
      </w:r>
      <w:r>
        <w:t xml:space="preserve"> </w:t>
      </w:r>
      <w:r>
        <w:t>‐responsive, C─C‐linked molecular architectures. Here, we introduce aryldicyanomethyl radical dynamic covalent chemistry as a general strategy for the controlled assembly of porous organic cages. Systematic variation of a single substituent governs both radical and σ‐bond stability as well as the resulting cage geometry, enabling precise, substituent‐dependent control over cage topology and responsiveness. A thiophenoxy‐substituted monomer</w:t>
      </w:r>
      <w:r>
        <w:t xml:space="preserve"> </w:t>
      </w:r>
      <w:r>
        <w:t>S</w:t>
      </w:r>
      <w:r>
        <w:t xml:space="preserve"> </w:t>
      </w:r>
      <w:r>
        <w:t>selectively affords a discrete Tri</w:t>
      </w:r>
      <w:r>
        <w:rPr>
          <w:vertAlign w:val="subscript"/>
        </w:rPr>
        <w:t>2</w:t>
      </w:r>
      <w:r>
        <w:t>dimer in 99% yield, whereas the</w:t>
      </w:r>
      <w:r>
        <w:t xml:space="preserve"> </w:t>
      </w:r>
      <w:r>
        <w:t>N</w:t>
      </w:r>
      <w:r>
        <w:t xml:space="preserve"> </w:t>
      </w:r>
      <w:r>
        <w:t>‐methylaniline‐substituted analogue</w:t>
      </w:r>
      <w:r>
        <w:t xml:space="preserve"> </w:t>
      </w:r>
      <w:r>
        <w:t>N</w:t>
      </w:r>
      <w:r>
        <w:t xml:space="preserve"> </w:t>
      </w:r>
      <w:r>
        <w:t>forms the tetrahedral Tri</w:t>
      </w:r>
      <w:r>
        <w:rPr>
          <w:vertAlign w:val="subscript"/>
        </w:rPr>
        <w:t>4</w:t>
      </w:r>
      <w:r>
        <w:t>tetramer in 83% yield.</w:t>
      </w:r>
      <w:r>
        <w:t xml:space="preserve"> </w:t>
      </w:r>
      <w:r>
        <w:t>N</w:t>
      </w:r>
      <w:r>
        <w:rPr>
          <w:vertAlign w:val="subscript"/>
        </w:rPr>
        <w:t>4</w:t>
      </w:r>
      <w:r>
        <w:t xml:space="preserve"> </w:t>
      </w:r>
      <w:r>
        <w:t>possesses permanent porosity and pronounced selectivity for CO</w:t>
      </w:r>
      <w:r>
        <w:rPr>
          <w:vertAlign w:val="subscript"/>
        </w:rPr>
        <w:t>2</w:t>
      </w:r>
      <w:r>
        <w:t>and H</w:t>
      </w:r>
      <w:r>
        <w:rPr>
          <w:vertAlign w:val="subscript"/>
        </w:rPr>
        <w:t>2</w:t>
      </w:r>
      <w:r>
        <w:t>over CH</w:t>
      </w:r>
      <w:r>
        <w:rPr>
          <w:vertAlign w:val="subscript"/>
        </w:rPr>
        <w:t>4</w:t>
      </w:r>
      <w:r>
        <w:t>and N</w:t>
      </w:r>
      <w:r>
        <w:rPr>
          <w:vertAlign w:val="subscript"/>
        </w:rPr>
        <w:t>2</w:t>
      </w:r>
      <w:r>
        <w:t>, as confirmed by gas sorption experiments, arising from narrow pore apertures and strong host–guest interactions. Both cages display reversible mechano‐ and thermochromic behaviour. Moreover, the combination of a highly dynamic bond formation process with three‐dimensional preorganisation of the cage enables efficient self‐healing, which is markedly accelerated upon exposure to THF vapour. Collectively, these results establish radical recombination as an unexplored dynamic covalent motif for the synthesis of responsive organic cage architectures, enabling substituent‐dependent fine‐tuning of topology, stability, and material function through simple substituent modification.</w:t>
      </w:r>
    </w:p>
    <w:p>
      <w:pPr>
        <w:spacing w:before="120" w:after="120"/>
      </w:pPr>
      <w:r>
        <w:rPr>
          <w:sz w:val="18"/>
        </w:rPr>
        <w:t>——————————————————————————————————————————————————————————————————————</w:t>
      </w:r>
    </w:p>
    <w:p>
      <w:pPr>
        <w:spacing w:before="160" w:after="40" w:line="240" w:lineRule="auto"/>
      </w:pPr>
      <w:r>
        <w:rPr>
          <w:b/>
        </w:rPr>
        <w:t xml:space="preserve">[32] </w:t>
      </w:r>
      <w:hyperlink r:id="rId264">
        <w:r>
          <w:rPr>
            <w:color w:val="1155CC"/>
            <w:u w:val="single"/>
          </w:rPr>
          <w:t>“在有机半导体界面上通过最小能量驱动力增强电子转移”一文的更正</w:t>
        </w:r>
      </w:hyperlink>
    </w:p>
    <w:p>
      <w:pPr>
        <w:spacing w:before="0" w:after="80"/>
      </w:pPr>
      <w:r>
        <w:rPr>
          <w:i/>
          <w:sz w:val="20"/>
        </w:rPr>
        <w:t>EN: Correction to “Electron Transfer Enhanced by a Minimal Energetic Driving Force at the Organic‐Semiconductor Interface”</w:t>
      </w:r>
    </w:p>
    <w:p>
      <w:pPr>
        <w:spacing w:before="0" w:after="120"/>
      </w:pPr>
      <w:r>
        <w:rPr>
          <w:b/>
        </w:rPr>
        <w:t xml:space="preserve">Source: </w:t>
      </w:r>
      <w:r>
        <w:t>Wiley: Angewandte Chemie International Edition: Table of Contents</w:t>
      </w:r>
      <w:r>
        <w:t xml:space="preserve">    </w:t>
      </w:r>
      <w:r>
        <w:rPr>
          <w:b/>
        </w:rPr>
        <w:t xml:space="preserve">Pub date: </w:t>
      </w:r>
      <w:r>
        <w:t>2026-05-09 16:10:03+00:00</w:t>
      </w:r>
      <w:r>
        <w:t xml:space="preserve">    </w:t>
      </w:r>
      <w:r>
        <w:rPr>
          <w:b/>
        </w:rPr>
        <w:t xml:space="preserve">DOI: </w:t>
      </w:r>
      <w:hyperlink r:id="rId265">
        <w:r>
          <w:rPr>
            <w:color w:val="1155CC"/>
            <w:u w:val="single"/>
          </w:rPr>
          <w:t>10.1002/anie.4364552</w:t>
        </w:r>
      </w:hyperlink>
    </w:p>
    <w:p>
      <w:pPr>
        <w:spacing w:before="0" w:after="120"/>
      </w:pPr>
      <w:r>
        <w:rPr>
          <w:b/>
        </w:rPr>
        <w:t xml:space="preserve">Notes: </w:t>
      </w:r>
      <w:r>
        <w:t>abstract_source=openalex</w:t>
      </w:r>
    </w:p>
    <w:p>
      <w:pPr>
        <w:spacing w:before="0" w:after="80" w:lineRule="auto" w:line="276"/>
      </w:pPr>
      <w:r>
        <w:rPr>
          <w:b/>
        </w:rPr>
        <w:t xml:space="preserve">摘要（ZH）: </w:t>
      </w:r>
      <w:r>
        <w:t>H. Iwasaki, K. Fujimoto, K. Banno 等，《Angewandte Chemie International Edition》63 (2024): e202407368. https://doi.org/10.1002/anie.202407368 在上述文章中，作者希望更正外部量子效率（EQE）计算中发现的错误。具体来说，错误源于在光谱数据数值积分中使用的波长间隔（nm）的选择。在原始手稿中，波长间隔被认为是1.4 nm，对应于光谱仪声明的仪器光谱分辨率。然而，获取的光谱数据的实际波长间隔为0.57–0.60 nm。在使用此数据间隔作为波长间隔重新评估计算后，我们发现更正后的值大约是先前报告值的七分之三。通过与使用基于积分球的EQE测量系统获得的独立校准测量进行比较，定量验证了更正后的计算程序。因此，作者将用基于验证程序的新图3a, b, c, f，图4d，图5d，图S4，表S4，图S11和图S12替换原始的图3a, b, c, f，图4d，图5d，图S4，表S4，图S11和图S12。更正后的图3a, b, c, f 更正后的图4d 更正后的图5d 更正后的图S4，表S4，图S11和图S12列在最新版本的补充信息中。需要注意的是，这一更正</w:t>
      </w:r>
    </w:p>
    <w:p>
      <w:pPr>
        <w:spacing w:before="0" w:after="200" w:lineRule="auto" w:line="276"/>
      </w:pPr>
      <w:r>
        <w:rPr>
          <w:b/>
        </w:rPr>
        <w:t xml:space="preserve">Abstract (EN): </w:t>
      </w:r>
      <w:r>
        <w:t>H. Iwasaki, K. Fujimoto, K. Banno, et al., Angewandte Chemie International Edition 63 (2024): e202407368. https://doi.org/10.1002/anie.202407368 In the above article, the authors would like to correct an error identified in the calculation of the external quantum efficiency (EQE). Specifically, the error originates from the choice of wavelength interval (nm) used in the numerical integration of spectral data. In the original manuscript, the wavelength interval was taken to be 1.4 nm, corresponding to the stated instrumental spectral resolution of the spectrometer. However, the actual wavelength interval of the acquired spectral data was 0.57–0.60 nm. After re-evaluating the calculation using this data interval as the wavelength interval, we found that the corrected values are approximately three-sevenths of those reported previously. The corrected calculation procedure was quantitatively validated by comparison with independently calibrated measurements obtained using an EQE measurement system based on an integrating sphere. The authors are therefore replacing the original Figure 3a, b, c, f, Figure 4d, Figure 5d, Figure S4, Table S4, Figure S11, and Figure S12 in the Supporting Information with the new Figure 3a, b, c, f, Figure 4d, Figure 5d, Figure S4, Table S4, Figure S11, and Figure S12 below, which are based on the verified procedure. Corrected Figure 3a, b, c, f Corrected Figure 4d Corrected Figure 5d The corrected Figure S4, Table S4, Figure S11, and Figure S12 are listed in the latest version of the Supporting Information. It is important to note that this correction only applies to the absolute values. All relative comparisons between materials and experimental conditions remain unchanged, as they are scaled uniformly. Therefore, this correction does not affect the main claim of the original paper, electron transfer at the interface enhanced by a minimal energetic driving force (0.1 eV) based on Marcus theory. The corrected highest EQE of the undoped device among all 45 combinations is 0.34% in the PCAN/PhE device. The corrected maximum EQE of the optimized device with fluorescent dopant in this study is 1.70%, which is larger than the previous report of blue upconversion (UC)-organic light-emitting diode (OLED) (1.37%). We apologize for this error. Please note: The publisher is not responsible for the content or functionality of any supporting information supplied by the authors. Any queries (other than missing content) should be directed to the corresponding author for the article.</w:t>
      </w:r>
    </w:p>
    <w:p>
      <w:pPr>
        <w:spacing w:before="120" w:after="120"/>
      </w:pPr>
      <w:r>
        <w:rPr>
          <w:sz w:val="18"/>
        </w:rPr>
        <w:t>——————————————————————————————————————————————————————————————————————</w:t>
      </w:r>
    </w:p>
    <w:p>
      <w:pPr>
        <w:spacing w:before="160" w:after="40" w:line="240" w:lineRule="auto"/>
      </w:pPr>
      <w:r>
        <w:rPr>
          <w:b/>
        </w:rPr>
        <w:t xml:space="preserve">[33] </w:t>
      </w:r>
      <w:hyperlink r:id="rId266">
        <w:r>
          <w:rPr>
            <w:color w:val="1155CC"/>
            <w:u w:val="single"/>
          </w:rPr>
          <w:t>用于工业规模阴离子交换膜水电解的加速质子转移通道以突破活性和稳定性的瓶颈</w:t>
        </w:r>
      </w:hyperlink>
    </w:p>
    <w:p>
      <w:pPr>
        <w:spacing w:before="0" w:after="80"/>
      </w:pPr>
      <w:r>
        <w:rPr>
          <w:i/>
          <w:sz w:val="20"/>
        </w:rPr>
        <w:t>EN: Accelerated Proton Transfer Channel for Breaking the Bottlenecks of Activity and Stability at Industrial‐Scale Anion Exchange Membrane Water Electrolysis</w:t>
      </w:r>
    </w:p>
    <w:p>
      <w:pPr>
        <w:spacing w:before="0" w:after="120"/>
      </w:pPr>
      <w:r>
        <w:rPr>
          <w:b/>
        </w:rPr>
        <w:t xml:space="preserve">Source: </w:t>
      </w:r>
      <w:r>
        <w:t>Wiley: Angewandte Chemie International Edition: Table of Contents</w:t>
      </w:r>
      <w:r>
        <w:t xml:space="preserve">    </w:t>
      </w:r>
      <w:r>
        <w:rPr>
          <w:b/>
        </w:rPr>
        <w:t xml:space="preserve">Pub date: </w:t>
      </w:r>
      <w:r>
        <w:t>2026-05-09 16:11:45+00:00</w:t>
      </w:r>
      <w:r>
        <w:t xml:space="preserve">    </w:t>
      </w:r>
      <w:r>
        <w:rPr>
          <w:b/>
        </w:rPr>
        <w:t xml:space="preserve">DOI: </w:t>
      </w:r>
      <w:hyperlink r:id="rId267">
        <w:r>
          <w:rPr>
            <w:color w:val="1155CC"/>
            <w:u w:val="single"/>
          </w:rPr>
          <w:t>10.1002/anie.1084711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镍铁基氧化物是有前景的碱性氧析出反应（OER）电催化剂，但由于复杂的合成和金属浸出问题，其在阴离子交换膜（AEM）水电解中的实际应用在大面积膜电极组件（MEA）和稳定性方面仍然具有挑战性。在此，一种可扩展的NiFeV</w:t>
      </w:r>
      <w:r>
        <w:t xml:space="preserve"> </w:t>
      </w:r>
      <w:r>
        <w:t>0.5</w:t>
      </w:r>
      <w:r>
        <w:t xml:space="preserve"> </w:t>
      </w:r>
      <w:r>
        <w:t>O电催化剂实现了数十克的单批生产，并通过催化剂涂层膜（CCM）方法促进了100 cm</w:t>
      </w:r>
      <w:r>
        <w:rPr>
          <w:vertAlign w:val="subscript"/>
        </w:rPr>
        <w:t>2</w:t>
      </w:r>
      <w:r>
        <w:t>MEA的制造。使用各种原位表征方法，我们跟踪了OER中间体，并识别出VO</w:t>
      </w:r>
      <w:r>
        <w:t xml:space="preserve"> </w:t>
      </w:r>
      <w:r>
        <w:t>x</w:t>
      </w:r>
      <w:r>
        <w:t xml:space="preserve"> </w:t>
      </w:r>
      <w:r>
        <w:t>−</w:t>
      </w:r>
      <w:r>
        <w:t>物种的动态浸出和再吸附。我们开创了一种使用IrO</w:t>
      </w:r>
      <w:r>
        <w:t xml:space="preserve"> </w:t>
      </w:r>
      <w:r>
        <w:t>x</w:t>
      </w:r>
      <w:r>
        <w:t xml:space="preserve"> </w:t>
      </w:r>
      <w:r>
        <w:t>pH传感探针的原位旋转环盘电极（RRDE）方法，该方法绘制了界面酸度，并证明这些物种通过氢键加速的质子转移通道将局部pH提高了1.8个单位。实验和计算分析表明，再吸附的VO</w:t>
      </w:r>
      <w:r>
        <w:t xml:space="preserve"> </w:t>
      </w:r>
      <w:r>
        <w:t>x</w:t>
      </w:r>
      <w:r>
        <w:t xml:space="preserve"> </w:t>
      </w:r>
      <w:r>
        <w:t>−</w:t>
      </w:r>
      <w:r>
        <w:t>物种通过定向的Fe─O─V键锚定，与传统的NiFeO相比，抑制了铁的浸出八倍。值得注意的是，当克级合成的NiFeV</w:t>
      </w:r>
      <w:r>
        <w:t xml:space="preserve"> </w:t>
      </w:r>
      <w:r>
        <w:t>0.5</w:t>
      </w:r>
      <w:r>
        <w:t xml:space="preserve"> </w:t>
      </w:r>
      <w:r>
        <w:t>O作为实际AEM水电解器的阳极催化剂应用时，它提供了3.0 A c</w:t>
      </w:r>
    </w:p>
    <w:p>
      <w:pPr>
        <w:spacing w:before="0" w:after="200" w:lineRule="auto" w:line="276"/>
      </w:pPr>
      <w:r>
        <w:rPr>
          <w:b/>
        </w:rPr>
        <w:t xml:space="preserve">Abstract (EN): </w:t>
      </w:r>
      <w:r>
        <w:t>Nickel‐iron‐based oxides are promising alkaline oxygen evolution reaction (OER) electrocatalysts, yet their practical implementation in anion exchange membrane (AEM) water electrolysis remains challenging for large‐area membrane‐electrode assembly (MEA) and stability due to complex synthesis and metal leaching issues. Herein, a scalable NiFeV</w:t>
      </w:r>
      <w:r>
        <w:t xml:space="preserve"> </w:t>
      </w:r>
      <w:r>
        <w:t>0.5</w:t>
      </w:r>
      <w:r>
        <w:t xml:space="preserve"> </w:t>
      </w:r>
      <w:r>
        <w:t>O electrocatalyst achieves the single‐batch production of tens of grams and facilitates the fabrication of a 100 cm</w:t>
      </w:r>
      <w:r>
        <w:rPr>
          <w:vertAlign w:val="subscript"/>
        </w:rPr>
        <w:t>2</w:t>
      </w:r>
      <w:r>
        <w:t>MEA using the catalyst‐coated membrane (CCM) approach. Using various in situ characterization methods, we track the OER intermediates and identify the dynamic leaching and readsorption of VO</w:t>
      </w:r>
      <w:r>
        <w:t xml:space="preserve"> </w:t>
      </w:r>
      <w:r>
        <w:t>x</w:t>
      </w:r>
      <w:r>
        <w:t xml:space="preserve"> </w:t>
      </w:r>
      <w:r>
        <w:t>−</w:t>
      </w:r>
      <w:r>
        <w:t>species. We pioneer an operando rotating ring‐disk electrode (RRDE) methodology with IrO</w:t>
      </w:r>
      <w:r>
        <w:t xml:space="preserve"> </w:t>
      </w:r>
      <w:r>
        <w:t>x</w:t>
      </w:r>
      <w:r>
        <w:t xml:space="preserve"> </w:t>
      </w:r>
      <w:r>
        <w:t>pH‐sensing probes, which maps the interfacial acidity and demonstrates that these species elevate the local pH by 1.8 units via a hydrogen‐bond‐accelerated proton transfer channel. Experimental and computational analyses reveal that the readsorbed VO</w:t>
      </w:r>
      <w:r>
        <w:t xml:space="preserve"> </w:t>
      </w:r>
      <w:r>
        <w:t>x</w:t>
      </w:r>
      <w:r>
        <w:t xml:space="preserve"> </w:t>
      </w:r>
      <w:r>
        <w:t>−</w:t>
      </w:r>
      <w:r>
        <w:t>species are anchored via directional Fe─O─V bonds, suppressing Fe leaching by eight‐fold compared to conventional NiFeO. Notably, when the gram‐scale synthesized NiFeV</w:t>
      </w:r>
      <w:r>
        <w:t xml:space="preserve"> </w:t>
      </w:r>
      <w:r>
        <w:t>0.5</w:t>
      </w:r>
      <w:r>
        <w:t xml:space="preserve"> </w:t>
      </w:r>
      <w:r>
        <w:t>O is applied as an anode catalyst in a practical AEM water electrolyzer, it delivers 3.0 A cm</w:t>
      </w:r>
      <w:r>
        <w:t xml:space="preserve"> </w:t>
      </w:r>
      <w:r>
        <w:t>−2</w:t>
      </w:r>
      <w:r>
        <w:t xml:space="preserve"> </w:t>
      </w:r>
      <w:r>
        <w:t>at a cell voltage of 1.88 V and exhibits remarkable stability at 1 A cm</w:t>
      </w:r>
      <w:r>
        <w:t xml:space="preserve"> </w:t>
      </w:r>
      <w:r>
        <w:t>−2</w:t>
      </w:r>
      <w:r>
        <w:t xml:space="preserve"> </w:t>
      </w:r>
      <w:r>
        <w:t>over 500 h with a low decay rate of 0.12 mV h</w:t>
      </w:r>
      <w:r>
        <w:t xml:space="preserve"> </w:t>
      </w:r>
      <w:r>
        <w:t>−1</w:t>
      </w:r>
      <w:r>
        <w:t xml:space="preserve"> </w:t>
      </w:r>
      <w:r>
        <w:t>.</w:t>
      </w:r>
    </w:p>
    <w:p>
      <w:pPr>
        <w:spacing w:before="120" w:after="120"/>
      </w:pPr>
      <w:r>
        <w:rPr>
          <w:sz w:val="18"/>
        </w:rPr>
        <w:t>——————————————————————————————————————————————————————————————————————</w:t>
      </w:r>
    </w:p>
    <w:p>
      <w:pPr>
        <w:spacing w:before="160" w:after="40" w:line="240" w:lineRule="auto"/>
      </w:pPr>
      <w:r>
        <w:rPr>
          <w:b/>
        </w:rPr>
        <w:t xml:space="preserve">[34] </w:t>
      </w:r>
      <w:hyperlink r:id="rId268">
        <w:r>
          <w:rPr>
            <w:color w:val="1155CC"/>
            <w:u w:val="single"/>
          </w:rPr>
          <w:t>工程高性能BiVO4基光阳极用于光电化学水分解</w:t>
        </w:r>
      </w:hyperlink>
    </w:p>
    <w:p>
      <w:pPr>
        <w:spacing w:before="0" w:after="80"/>
      </w:pPr>
      <w:r>
        <w:rPr>
          <w:i/>
          <w:sz w:val="20"/>
        </w:rPr>
        <w:t>EN: Engineering high-performance BiVO4-based Photoanodes for Photoelectrochemical water splitting</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269">
        <w:r>
          <w:rPr>
            <w:color w:val="1155CC"/>
            <w:u w:val="single"/>
          </w:rPr>
          <w:t>DER集群的聚合频率支持可行区域：一种物理启发的状态空间变换方法</w:t>
        </w:r>
      </w:hyperlink>
    </w:p>
    <w:p>
      <w:pPr>
        <w:spacing w:before="0" w:after="80"/>
      </w:pPr>
      <w:r>
        <w:rPr>
          <w:i/>
          <w:sz w:val="20"/>
        </w:rPr>
        <w:t>EN: Aggregated frequency support feasible region ofDER cluster: A physics-informed state space transformation method</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270">
        <w:r>
          <w:rPr>
            <w:color w:val="1155CC"/>
            <w:u w:val="single"/>
          </w:rPr>
          <w:t>男男性行为者口服暴露前预防的HIV预防药理学标志物</w:t>
        </w:r>
      </w:hyperlink>
    </w:p>
    <w:p>
      <w:pPr>
        <w:spacing w:before="0" w:after="80"/>
      </w:pPr>
      <w:r>
        <w:rPr>
          <w:i/>
          <w:sz w:val="20"/>
        </w:rPr>
        <w:t>EN: Pharmacological markers of HIV prevention for oral pre-exposure prophylaxis in men who have sex with men</w:t>
      </w:r>
    </w:p>
    <w:p>
      <w:pPr>
        <w:spacing w:before="0" w:after="120"/>
      </w:pPr>
      <w:r>
        <w:rPr>
          <w:b/>
        </w:rPr>
        <w:t xml:space="preserve">Source: </w:t>
      </w:r>
      <w:r>
        <w:t>Nature Communications</w:t>
      </w:r>
      <w:r>
        <w:t xml:space="preserve">    </w:t>
      </w:r>
      <w:r>
        <w:rPr>
          <w:b/>
        </w:rPr>
        <w:t xml:space="preserve">Pub date: </w:t>
      </w:r>
      <w:r>
        <w:t>2026-05-10 00:00:00+00:00</w:t>
      </w:r>
      <w:r>
        <w:t xml:space="preserve">    </w:t>
      </w:r>
      <w:r>
        <w:rPr>
          <w:b/>
        </w:rPr>
        <w:t xml:space="preserve">DOI: </w:t>
      </w:r>
      <w:hyperlink r:id="rId271">
        <w:r>
          <w:rPr>
            <w:color w:val="1155CC"/>
            <w:u w:val="single"/>
          </w:rPr>
          <w:t>10.1038/s41467-026-72907-6</w:t>
        </w:r>
      </w:hyperlink>
    </w:p>
    <w:p>
      <w:pPr>
        <w:spacing w:before="0" w:after="120"/>
      </w:pPr>
      <w:r>
        <w:rPr>
          <w:b/>
        </w:rPr>
        <w:t xml:space="preserve">Notes: </w:t>
      </w:r>
      <w:r>
        <w:t>abstract_source=nature_html</w:t>
      </w:r>
    </w:p>
    <w:p>
      <w:pPr>
        <w:spacing w:before="0" w:after="80" w:lineRule="auto" w:line="276"/>
      </w:pPr>
      <w:r>
        <w:rPr>
          <w:b/>
        </w:rPr>
        <w:t xml:space="preserve">摘要（ZH）: </w:t>
      </w:r>
      <w:r>
        <w:t>人类免疫缺陷病毒（HIV）在2024年感染了大约110万人。目前没有有效的疫苗或治愈方法，资源有限的环境中资金削减威胁到治疗的可及性。因此，成本效益高且广泛可用的预防策略，如口服恩曲他滨/富马酸替诺福韦酯暴露前预防（FTC/TDF-PrEP），是必不可少的。当前的PrEP指南在顺性别女性和与男性发生性行为的男性（MSM）之间有所不同，基于阴道与直肠暴露部位的组织水平药代动力学（PK）的机制差异。为了测试这些机制假设，我们使用主要的FTC/TDF-PrEP试验数据来确定在MSM中使用PrEP的有效性。我们在机制模型中独立预测有效性，利用不同的PK矩阵，模拟每个临床试验，参考依从性数据，并将预测与临床有效性估计进行比较。通过这种综合方法，五个试验中的两个（HPTN 083，DISCOVER）提供了足够的统计能力，得出结论认为直肠组织药代动力学不能预测MSM中的PrEP有效性。相反，基于PBMC的预测与临床PrEP有效性一致，并支持在MSM中按需使用口服PrEP的适用性。当将我们的发现与最近关于女性适用药代动力学标志物的结果结合时，我们的工作表明顺性别女性和MSM的依从性要求可能没有差异。</w:t>
      </w:r>
    </w:p>
    <w:p>
      <w:pPr>
        <w:spacing w:before="0" w:after="200" w:lineRule="auto" w:line="276"/>
      </w:pPr>
      <w:r>
        <w:rPr>
          <w:b/>
        </w:rPr>
        <w:t xml:space="preserve">Abstract (EN): </w:t>
      </w:r>
      <w:r>
        <w:t>The human immunodeficiency virus (HIV) infected approximately 1.1 million individuals in 2024. There is no effective vaccine or cure, and funding cuts in resource-limited settings threaten treatment access. Cost-effective and widely available prevention strategies, such as oral emtricitabine/tenofovir disoproxil fumarate pre-exposure prophylaxis (FTC/TDF-PrEP), are therefore essential. Current PrEP guidelines differ between cisgender women and men who have sex with men (MSM), based on mechanistic differences in tissue-level pharmacokinetics (PK) at vaginal vs. colorectal exposure sites. To test these mechanistic hypothesis, we use data from major FTC/TDF-PrEP trials to establish PrEP efficacy when used in MSM. We independently predict efficacy utilizing different PK-matrices in a mechanistic model, simulate each clinical trial informed by adherence data and compare the predictions with clinical efficacy estimates. With this combined approach, two of the five trials (HPTN 083, DISCOVER) yield sufficient statistical power to conclude that rectal tissue pharmacokinetics do not predict PrEP efficacy in MSM. In contrast, PBMC-based predictions agree with clinical PrEP efficacy and support the suitability of on-demand use of oral PrEP in MSM. When combining our findings with recent results on suitable pharmacokinetic markers in women, our work suggests that adherence requirements for cisgender women and MSM may not differ.</w:t>
      </w:r>
    </w:p>
    <w:p>
      <w:pPr>
        <w:spacing w:before="120" w:after="120"/>
      </w:pPr>
      <w:r>
        <w:rPr>
          <w:sz w:val="18"/>
        </w:rPr>
        <w:t>——————————————————————————————————————————————————————————————————————</w:t>
      </w:r>
    </w:p>
    <w:p>
      <w:pPr>
        <w:spacing w:before="160" w:after="40" w:line="240" w:lineRule="auto"/>
      </w:pPr>
      <w:r>
        <w:rPr>
          <w:b/>
        </w:rPr>
        <w:t xml:space="preserve">[37] </w:t>
      </w:r>
      <w:hyperlink r:id="rId272">
        <w:r>
          <w:rPr>
            <w:color w:val="1155CC"/>
            <w:u w:val="single"/>
          </w:rPr>
          <w:t>使用并联和变速操作的泵作为涡轮机建模混合太阳能抽水蓄能系统</w:t>
        </w:r>
      </w:hyperlink>
    </w:p>
    <w:p>
      <w:pPr>
        <w:spacing w:before="0" w:after="80"/>
      </w:pPr>
      <w:r>
        <w:rPr>
          <w:i/>
          <w:sz w:val="20"/>
        </w:rPr>
        <w:t>EN: Modelling a hybrid solar-pumped storage system using pump-as-turbine in parallel and variable speed operation</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273">
        <w:r>
          <w:rPr>
            <w:color w:val="1155CC"/>
            <w:u w:val="single"/>
          </w:rPr>
          <w:t>通过微电网形成实现弹性配电系统：一种安全的分层混合强化学习方法</w:t>
        </w:r>
      </w:hyperlink>
    </w:p>
    <w:p>
      <w:pPr>
        <w:spacing w:before="0" w:after="80"/>
      </w:pPr>
      <w:r>
        <w:rPr>
          <w:i/>
          <w:sz w:val="20"/>
        </w:rPr>
        <w:t>EN: Toward resilient distribution system via microgrid formation: A safe hierarchical hybrid reinforcement learning approach</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274">
        <w:r>
          <w:rPr>
            <w:color w:val="1155CC"/>
            <w:u w:val="single"/>
          </w:rPr>
          <w:t>通过级联多端口传输连接的混合电力系统的分层分区容量规划方法：一个案例研究</w:t>
        </w:r>
      </w:hyperlink>
    </w:p>
    <w:p>
      <w:pPr>
        <w:spacing w:before="0" w:after="80"/>
      </w:pPr>
      <w:r>
        <w:rPr>
          <w:i/>
          <w:sz w:val="20"/>
        </w:rPr>
        <w:t>EN: A hierarchical-zoned capacity planning methodology for hybrid power systems connected via cascade multi-terminals transmission: a case study</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275">
        <w:r>
          <w:rPr>
            <w:color w:val="1155CC"/>
            <w:u w:val="single"/>
          </w:rPr>
          <w:t>考虑云服务器和社会保障福利的城市绿色智能能源社区中分布式大数据预测的攻击感知区块链隐私保护协同政策</w:t>
        </w:r>
      </w:hyperlink>
    </w:p>
    <w:p>
      <w:pPr>
        <w:spacing w:before="0" w:after="80"/>
      </w:pPr>
      <w:r>
        <w:rPr>
          <w:i/>
          <w:sz w:val="20"/>
        </w:rPr>
        <w:t>EN: Attack-aware blockchain-based privacy-preserving synergy policy for distributed big data prediction in city green smart energy community considering cloud server and social-security welfare</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276">
        <w:r>
          <w:rPr>
            <w:color w:val="1155CC"/>
            <w:u w:val="single"/>
          </w:rPr>
          <w:t>设计与能源系统的桥梁：离网住房中建筑代理的一体化框架</w:t>
        </w:r>
      </w:hyperlink>
    </w:p>
    <w:p>
      <w:pPr>
        <w:spacing w:before="0" w:after="80"/>
      </w:pPr>
      <w:r>
        <w:rPr>
          <w:i/>
          <w:sz w:val="20"/>
        </w:rPr>
        <w:t>EN: Bridging design and energy systems: An integrated framework for architectural agency in off-grid housing</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277">
        <w:r>
          <w:rPr>
            <w:color w:val="1155CC"/>
            <w:u w:val="single"/>
          </w:rPr>
          <w:t>两部制电价下的储能优化：基于协作博弈论规划和深度强化学习的运行框架</w:t>
        </w:r>
      </w:hyperlink>
    </w:p>
    <w:p>
      <w:pPr>
        <w:spacing w:before="0" w:after="80"/>
      </w:pPr>
      <w:r>
        <w:rPr>
          <w:i/>
          <w:sz w:val="20"/>
        </w:rPr>
        <w:t>EN: Energy storage optimization under two-part tariff: A collaborative game-theoretic planning and deep reinforcement learning-based operation framework</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278">
        <w:r>
          <w:rPr>
            <w:color w:val="1155CC"/>
            <w:u w:val="single"/>
          </w:rPr>
          <w:t>改进的聚类-多模态特征分解用于多时间尺度终端电压表征、边缘计算性能评估和大容量电池在储能电站中的退役预测</w:t>
        </w:r>
      </w:hyperlink>
    </w:p>
    <w:p>
      <w:pPr>
        <w:spacing w:before="0" w:after="80"/>
      </w:pPr>
      <w:r>
        <w:rPr>
          <w:i/>
          <w:sz w:val="20"/>
        </w:rPr>
        <w:t>EN: Improved clustering-multimodal feature decomposition for multi-time scale terminal voltage characterization, edge computing performance evaluation, and retirement prediction of large-capacity batteries in energy storage power stations</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279">
        <w:r>
          <w:rPr>
            <w:color w:val="1155CC"/>
            <w:u w:val="single"/>
          </w:rPr>
          <w:t>用于去中心化能源系统中气候感知数字孪生的物理启发机器学习框架</w:t>
        </w:r>
      </w:hyperlink>
    </w:p>
    <w:p>
      <w:pPr>
        <w:spacing w:before="0" w:after="80"/>
      </w:pPr>
      <w:r>
        <w:rPr>
          <w:i/>
          <w:sz w:val="20"/>
        </w:rPr>
        <w:t>EN: A physics-informed machine learning framework for climate-aware digital twins in decentralised energy systems</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280">
        <w:r>
          <w:rPr>
            <w:color w:val="1155CC"/>
            <w:u w:val="single"/>
          </w:rPr>
          <w:t>扩散MRI中累积量级数的几何</w:t>
        </w:r>
      </w:hyperlink>
    </w:p>
    <w:p>
      <w:pPr>
        <w:spacing w:before="0" w:after="80"/>
      </w:pPr>
      <w:r>
        <w:rPr>
          <w:i/>
          <w:sz w:val="20"/>
        </w:rPr>
        <w:t>EN: Geometry of the cumulant series in diffusion MRI</w:t>
      </w:r>
    </w:p>
    <w:p>
      <w:pPr>
        <w:spacing w:before="0" w:after="120"/>
      </w:pPr>
      <w:r>
        <w:rPr>
          <w:b/>
        </w:rPr>
        <w:t xml:space="preserve">Source: </w:t>
      </w:r>
      <w:r>
        <w:t>Nature Communications</w:t>
      </w:r>
      <w:r>
        <w:t xml:space="preserve">    </w:t>
      </w:r>
      <w:r>
        <w:rPr>
          <w:b/>
        </w:rPr>
        <w:t xml:space="preserve">Pub date: </w:t>
      </w:r>
      <w:r>
        <w:t>2026-05-10 00:00:00+00:00</w:t>
      </w:r>
      <w:r>
        <w:t xml:space="preserve">    </w:t>
      </w:r>
      <w:r>
        <w:rPr>
          <w:b/>
        </w:rPr>
        <w:t xml:space="preserve">DOI: </w:t>
      </w:r>
      <w:hyperlink r:id="rId281">
        <w:r>
          <w:rPr>
            <w:color w:val="1155CC"/>
            <w:u w:val="single"/>
          </w:rPr>
          <w:t>10.1038/s41467-026-70018-w</w:t>
        </w:r>
      </w:hyperlink>
    </w:p>
    <w:p>
      <w:pPr>
        <w:spacing w:before="0" w:after="120"/>
      </w:pPr>
      <w:r>
        <w:rPr>
          <w:b/>
        </w:rPr>
        <w:t xml:space="preserve">Notes: </w:t>
      </w:r>
      <w:r>
        <w:t>abstract_source=nature_html</w:t>
      </w:r>
    </w:p>
    <w:p>
      <w:pPr>
        <w:spacing w:before="0" w:after="80" w:lineRule="auto" w:line="276"/>
      </w:pPr>
      <w:r>
        <w:rPr>
          <w:b/>
        </w:rPr>
        <w:t xml:space="preserve">摘要（ZH）: </w:t>
      </w:r>
      <w:r>
        <w:t>水扩散导致扩散MRI（dMRI）对细胞水平组织结构的微米级敏感性。精准医学和定量成像依赖于揭示dMRI的信息内容并建立其简约的硬件独立指纹。基于旋转SO(3)对称性，我们研究了dMRI信号的几何结构及其采集的拓扑，识别不可约分量和累积张量的一整套不变量，并将其与组织特性相关联。包括所有峰度不变量提高了在1189名受试者队列中的多发性硬化症分类。我们设计了基于二十面体顶点的最短采集，以便在1-2分钟内确定全脑中最常用的不变量。通过具有确定对称性的标量不变量图表示dMRI将支持病理、发育和衰老的机器学习分类器，而快速协议将使先进的dMRI转化为临床。</w:t>
      </w:r>
    </w:p>
    <w:p>
      <w:pPr>
        <w:spacing w:before="0" w:after="200" w:lineRule="auto" w:line="276"/>
      </w:pPr>
      <w:r>
        <w:rPr>
          <w:b/>
        </w:rPr>
        <w:t xml:space="preserve">Abstract (EN): </w:t>
      </w:r>
      <w:r>
        <w:t>Water diffusion gives rise to micron-scale sensitivity of diffusion MRI (dMRI) to cellular-level tissue structure. Precision medicine and quantitative imaging depend on uncovering the information content of dMRI and establishing its parsimonious hardware-independent fingerprint. Based on the rotational SO(3) symmetry, we study the geometry of the dMRI signal and the topology of its acquisition, identify irreducible components and a full set of invariants for the cumulant tensors, and relate them to tissue properties. Including all kurtosis invariants improves multiple sclerosis classification in a cohort of 1189 subjects. We design the shortest acquisitions based on icosahedral vertices to determine the most used invariants in only 1–2 minutes for whole brain. Representing dMRI via scalar invariant maps with definite symmetries will underpin machine learning classifiers of pathology, development, and aging, while fast protocols will enable translation of advanced dMRI into clinic.</w:t>
      </w:r>
    </w:p>
    <w:p>
      <w:pPr>
        <w:spacing w:before="120" w:after="120"/>
      </w:pPr>
      <w:r>
        <w:rPr>
          <w:sz w:val="18"/>
        </w:rPr>
        <w:t>——————————————————————————————————————————————————————————————————————</w:t>
      </w:r>
    </w:p>
    <w:p>
      <w:pPr>
        <w:spacing w:before="160" w:after="40" w:line="240" w:lineRule="auto"/>
      </w:pPr>
      <w:r>
        <w:rPr>
          <w:b/>
        </w:rPr>
        <w:t xml:space="preserve">[46] </w:t>
      </w:r>
      <w:hyperlink r:id="rId282">
        <w:r>
          <w:rPr>
            <w:color w:val="1155CC"/>
            <w:u w:val="single"/>
          </w:rPr>
          <w:t>可再生合成液化石油气在长期能源转型路径中的系统级技术经济建模</w:t>
        </w:r>
      </w:hyperlink>
    </w:p>
    <w:p>
      <w:pPr>
        <w:spacing w:before="0" w:after="80"/>
      </w:pPr>
      <w:r>
        <w:rPr>
          <w:i/>
          <w:sz w:val="20"/>
        </w:rPr>
        <w:t>EN: System-level techno-economic modeling of renewable synthetic LPG in long-term energy transition pathways</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283">
        <w:r>
          <w:rPr>
            <w:color w:val="1155CC"/>
            <w:u w:val="single"/>
          </w:rPr>
          <w:t>在1.5°C全球变暖水平下中国煤电资产搁浅的预测</w:t>
        </w:r>
      </w:hyperlink>
    </w:p>
    <w:p>
      <w:pPr>
        <w:spacing w:before="0" w:after="80"/>
      </w:pPr>
      <w:r>
        <w:rPr>
          <w:i/>
          <w:sz w:val="20"/>
        </w:rPr>
        <w:t>EN: Projection of stranded coal power assets in China under the 1.5 °C global warming level</w:t>
      </w:r>
    </w:p>
    <w:p>
      <w:pPr>
        <w:spacing w:before="0" w:after="120"/>
      </w:pPr>
      <w:r>
        <w:rPr>
          <w:b/>
        </w:rPr>
        <w:t xml:space="preserve">Source: </w:t>
      </w:r>
      <w:r>
        <w:t>ScienceDirect Publication: Applied Energy</w:t>
      </w:r>
      <w:r>
        <w:t xml:space="preserve">    </w:t>
      </w:r>
      <w:r>
        <w:rPr>
          <w:b/>
        </w:rPr>
        <w:t xml:space="preserve">Pub date: </w:t>
      </w:r>
      <w:r>
        <w:t>2026-05-10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284">
        <w:r>
          <w:rPr>
            <w:color w:val="1155CC"/>
            <w:u w:val="single"/>
          </w:rPr>
          <w:t>[ASAP] 通过光足迹离子迁移质谱揭示光酶脂肪酸光脱羧酶的光诱导构象变化机制</w:t>
        </w:r>
      </w:hyperlink>
    </w:p>
    <w:p>
      <w:pPr>
        <w:spacing w:before="0" w:after="80"/>
      </w:pPr>
      <w:r>
        <w:rPr>
          <w:i/>
          <w:sz w:val="20"/>
        </w:rPr>
        <w:t>EN: [ASAP] Mechanism of Photoinduced Conformational Changes in the Photoenzyme Fatty Acid Photodecarboxylase Revealed by Light- Footprinting Ion Mobility Mass Spectrometry</w:t>
      </w:r>
    </w:p>
    <w:p>
      <w:pPr>
        <w:spacing w:before="0" w:after="120"/>
      </w:pPr>
      <w:r>
        <w:rPr>
          <w:b/>
        </w:rPr>
        <w:t xml:space="preserve">Source: </w:t>
      </w:r>
      <w:r>
        <w:t>Journal of the American Chemical Society: Latest Articles (ACS Publications)</w:t>
      </w:r>
      <w:r>
        <w:t xml:space="preserve">    </w:t>
      </w:r>
      <w:r>
        <w:rPr>
          <w:b/>
        </w:rPr>
        <w:t xml:space="preserve">Pub date: </w:t>
      </w:r>
      <w:r>
        <w:t>2026-05-10 16:36:13+00:00</w:t>
      </w:r>
      <w:r>
        <w:t xml:space="preserve">    </w:t>
      </w:r>
      <w:r>
        <w:rPr>
          <w:b/>
        </w:rPr>
        <w:t xml:space="preserve">DOI: </w:t>
      </w:r>
      <w:hyperlink r:id="rId285">
        <w:r>
          <w:rPr>
            <w:color w:val="1155CC"/>
            <w:u w:val="single"/>
          </w:rPr>
          <w:t>10.1021/jacs.5c18659</w:t>
        </w:r>
      </w:hyperlink>
    </w:p>
    <w:p>
      <w:pPr>
        <w:spacing w:before="0" w:after="120"/>
      </w:pPr>
      <w:r>
        <w:rPr>
          <w:b/>
        </w:rPr>
        <w:t xml:space="preserve">Notes: </w:t>
      </w:r>
      <w:r>
        <w:t>abstract_source=pubmed</w:t>
      </w:r>
    </w:p>
    <w:p>
      <w:pPr>
        <w:spacing w:before="0" w:after="80" w:lineRule="auto" w:line="276"/>
      </w:pPr>
      <w:r>
        <w:rPr>
          <w:b/>
        </w:rPr>
        <w:t xml:space="preserve">摘要（ZH）: </w:t>
      </w:r>
      <w:r>
        <w:t>脂肪酸光脱羧酶（FAP）在照射下将脂肪酸转化为碳氢化合物，是少数具有生物燃料生产潜力的天然光酶之一，尽管光灭活仍然是工业应用的主要障碍。在此，我们采用光足迹离子迁移质谱（IM-MS），结合补充的生物物理方法，研究FAP在照射下的构象变化和稳定性。FAP的质谱揭示了蛋白质的四种主要形式：在黑暗中，FAP始终与黄素腺嘌呤二核苷酸（FAD）辅因子和最多两个内源性脂肪酸底物结合；在照射下，这些非共价物种被释放，产生apo形式。离子迁移数据表明FAP在照射下发生构象变化，同时伴随光灭活。碰撞截面分布揭示了脂肪酸结合对蛋白质构象和光活性的影响：FAP在照射下采用扩展构象，光活性逐渐降低。使用碰撞激活IMS（aIMS）检查了apo-FAP和holo-FAP的展开，显示照射使holo-FAP的天然构象不稳定。使用IM-MS数据的多变量分析识别了特征FAP类似物和FAD片段，区分了黑暗和照射状态。使用光足迹IM-MS分析每种蛋白质形式，揭示了在构象水平上发生的生产性和非生产性FAP光循环事件。这项研究提供了一种新的实验方法。</w:t>
      </w:r>
    </w:p>
    <w:p>
      <w:pPr>
        <w:spacing w:before="0" w:after="200" w:lineRule="auto" w:line="276"/>
      </w:pPr>
      <w:r>
        <w:rPr>
          <w:b/>
        </w:rPr>
        <w:t xml:space="preserve">Abstract (EN): </w:t>
      </w:r>
      <w:r>
        <w:t>Fatty acid photodecarboxylase (FAP) converts fatty acids to hydrocarbons upon irradiation and is one of the few natural photoenzymes with potential for biofuel production, although photoinactivation remains a major barrier for industrial applications. Here, we employ light footprinting ion mobility mass spectrometry (IM-MS), together with complementary biophysical approaches, to investigate the conformational changes and stability of FAP upon irradiation. Mass spectra of FAP reveal four major forms of the protein: in the dark, FAP is always bound to the flavin adenine dinucleotide (FAD) cofactor and up to two endogenous fatty acid substrates; upon irradiation, these noncovalent species are released producing the apo form. Ion mobility data show an irradiation-induced conformational change in FAP concomitant with photoinactivation. Collision cross-section distributions reveal the effect of fatty acid binding on the conformation and photoactivity of the protein: FAP adopts extended conformations under irradiation and a gradual decrease in photoactivity. The unfolding of both apo-FAP and holo-FAP was examined using collisionally activated IMS (aIMS), which shows irradiation destabilizes the native conformations of holo-FAP. Multivariate analysis using IM-MS data identified characteristic FAP analogues and FAD fragments, distinguishing dark and irradiated states. Analysis of each protein form with light footprinting IM-MS reveals events occurring during the productive and nonproductive FAP photocycles at the conformation levels. This study provides a new experimental approach for investigating photocatalytic and photoinactivation processes and highlights the complex conformational dynamics required for efficient photocatalysis, which is crucial for understanding catalytic mechanisms and guiding future protein engineering and design.</w:t>
      </w:r>
    </w:p>
    <w:p>
      <w:pPr>
        <w:spacing w:before="120" w:after="120"/>
      </w:pPr>
      <w:r>
        <w:rPr>
          <w:sz w:val="18"/>
        </w:rPr>
        <w:t>——————————————————————————————————————————————————————————————————————</w:t>
      </w:r>
    </w:p>
    <w:p>
      <w:pPr>
        <w:spacing w:before="160" w:after="40" w:line="240" w:lineRule="auto"/>
      </w:pPr>
      <w:r>
        <w:rPr>
          <w:b/>
        </w:rPr>
        <w:t xml:space="preserve">[49] </w:t>
      </w:r>
      <w:hyperlink r:id="rId286">
        <w:r>
          <w:rPr>
            <w:color w:val="1155CC"/>
            <w:u w:val="single"/>
          </w:rPr>
          <w:t>[ASAP] TagC-RED: 一种用于深层组织生物偶联的红外触发逆烯反应</w:t>
        </w:r>
      </w:hyperlink>
    </w:p>
    <w:p>
      <w:pPr>
        <w:spacing w:before="0" w:after="80"/>
      </w:pPr>
      <w:r>
        <w:rPr>
          <w:i/>
          <w:sz w:val="20"/>
        </w:rPr>
        <w:t>EN: [ASAP] TagC-RED: An Infrared-Triggered Retro-Ene Reaction for Deep-Tissue Bioconjugation</w:t>
      </w:r>
    </w:p>
    <w:p>
      <w:pPr>
        <w:spacing w:before="0" w:after="120"/>
      </w:pPr>
      <w:r>
        <w:rPr>
          <w:b/>
        </w:rPr>
        <w:t xml:space="preserve">Source: </w:t>
      </w:r>
      <w:r>
        <w:t>Journal of the American Chemical Society: Latest Articles (ACS Publications)</w:t>
      </w:r>
      <w:r>
        <w:t xml:space="preserve">    </w:t>
      </w:r>
      <w:r>
        <w:rPr>
          <w:b/>
        </w:rPr>
        <w:t xml:space="preserve">Pub date: </w:t>
      </w:r>
      <w:r>
        <w:t>2026-05-10 16:36:41+00:00</w:t>
      </w:r>
      <w:r>
        <w:t xml:space="preserve">    </w:t>
      </w:r>
      <w:r>
        <w:rPr>
          <w:b/>
        </w:rPr>
        <w:t xml:space="preserve">DOI: </w:t>
      </w:r>
      <w:hyperlink r:id="rId287">
        <w:r>
          <w:rPr>
            <w:color w:val="1155CC"/>
            <w:u w:val="single"/>
          </w:rPr>
          <w:t>10.1021/jacs.6c01581</w:t>
        </w:r>
      </w:hyperlink>
    </w:p>
    <w:p>
      <w:pPr>
        <w:spacing w:before="0" w:after="120"/>
      </w:pPr>
      <w:r>
        <w:rPr>
          <w:b/>
        </w:rPr>
        <w:t xml:space="preserve">Notes: </w:t>
      </w:r>
      <w:r>
        <w:t>abstract_source=pubmed</w:t>
      </w:r>
    </w:p>
    <w:p>
      <w:pPr>
        <w:spacing w:before="0" w:after="80" w:lineRule="auto" w:line="276"/>
      </w:pPr>
      <w:r>
        <w:rPr>
          <w:b/>
        </w:rPr>
        <w:t xml:space="preserve">摘要（ZH）: </w:t>
      </w:r>
      <w:r>
        <w:t>生物偶联反应对于在天然环境中探测生物分子是不可或缺的。光激活生物偶联提供了时空控制；然而，当前的方法面临显著的限制，包括需要非典型官能团、细胞毒性重金属催化剂以及高能紫外或可见光（λ &lt; 800 nm），这些限制了组织穿透并增加了光毒性风险。对此，我们引入了TagC-RED，这是一种重氮化合物的逆烯型σ迁移重排，用于通过红外光（λ &gt; 1000 nm）激活的半胱氨酸特异性生物偶联。TagC-RED是定量的、快速的、无催化剂的，具有深层组织穿透能力，能够在细胞内和体内进行强有力的标记。机制研究和DFT计算表明，TagC-RED通过形成电子供体-受体（EDA）复合物激活，该复合物允许IR辐射并经历逐步的逆烯反应。TagC-RED作为体内化学生物学和诊断创新的平台具有显著潜力。</w:t>
      </w:r>
    </w:p>
    <w:p>
      <w:pPr>
        <w:spacing w:before="0" w:after="200" w:lineRule="auto" w:line="276"/>
      </w:pPr>
      <w:r>
        <w:rPr>
          <w:b/>
        </w:rPr>
        <w:t xml:space="preserve">Abstract (EN): </w:t>
      </w:r>
      <w:r>
        <w:t>Bioconjugation reactions are indispensable for probing biomolecules in their native environments. Photoactivatable bioconjugation offers spatiotemporal control; however, current methods face significant limitations, including the requirement for noncanonical functional groups, cytotoxic heavy-metal catalysts, and high-energy UV or visible light (λ &lt; 800 nm), which restrict tissue penetration and increase phototoxicity risks. In response, we introduce TagC-RED, a Retro-Ene type sigmatropic rearrangement of Diazonium compounds for Cysteine-specific bioconjugation activated by infrared light (λ &gt; 1000 nm). TagC-RED is quantitative, rapid, and catalyst-free, with deep tissue penetration, enabling robust labeling intracellularly and in vivo. Mechanistic studies and DFT calculations show that TagC-RED activates through the formation of an electron donor-acceptor (EDA) complex that enables IR irradiation and undergoes a stepwise retro-ene reaction. TagC-RED holds significant potential as a platform for in vivo chemical biology and diagnostic innovation.</w:t>
      </w:r>
    </w:p>
    <w:p>
      <w:pPr>
        <w:spacing w:before="120" w:after="120"/>
      </w:pPr>
      <w:r>
        <w:rPr>
          <w:sz w:val="18"/>
        </w:rPr>
        <w:t>——————————————————————————————————————————————————————————————————————</w:t>
      </w:r>
    </w:p>
    <w:p>
      <w:pPr>
        <w:spacing w:before="160" w:after="40" w:line="240" w:lineRule="auto"/>
      </w:pPr>
      <w:r>
        <w:rPr>
          <w:b/>
        </w:rPr>
        <w:t xml:space="preserve">[50] </w:t>
      </w:r>
      <w:hyperlink r:id="rId288">
        <w:r>
          <w:rPr>
            <w:color w:val="1155CC"/>
            <w:u w:val="single"/>
          </w:rPr>
          <w:t>[ASAP] 非酶促MGO糖化SRSF2驱动RNA错误剪接</w:t>
        </w:r>
      </w:hyperlink>
    </w:p>
    <w:p>
      <w:pPr>
        <w:spacing w:before="0" w:after="80"/>
      </w:pPr>
      <w:r>
        <w:rPr>
          <w:i/>
          <w:sz w:val="20"/>
        </w:rPr>
        <w:t>EN: [ASAP] Non-Enzymatic MGO-Glycation of SRSF2 Drives RNA Mis-Splicing</w:t>
      </w:r>
    </w:p>
    <w:p>
      <w:pPr>
        <w:spacing w:before="0" w:after="120"/>
      </w:pPr>
      <w:r>
        <w:rPr>
          <w:b/>
        </w:rPr>
        <w:t xml:space="preserve">Source: </w:t>
      </w:r>
      <w:r>
        <w:t>Journal of the American Chemical Society: Latest Articles (ACS Publications)</w:t>
      </w:r>
      <w:r>
        <w:t xml:space="preserve">    </w:t>
      </w:r>
      <w:r>
        <w:rPr>
          <w:b/>
        </w:rPr>
        <w:t xml:space="preserve">Pub date: </w:t>
      </w:r>
      <w:r>
        <w:t>2026-05-10 18:07:36+00:00</w:t>
      </w:r>
      <w:r>
        <w:t xml:space="preserve">    </w:t>
      </w:r>
      <w:r>
        <w:rPr>
          <w:b/>
        </w:rPr>
        <w:t xml:space="preserve">DOI: </w:t>
      </w:r>
      <w:hyperlink r:id="rId289">
        <w:r>
          <w:rPr>
            <w:color w:val="1155CC"/>
            <w:u w:val="single"/>
          </w:rPr>
          <w:t>10.1021/jacs.5c20726</w:t>
        </w:r>
      </w:hyperlink>
    </w:p>
    <w:p>
      <w:pPr>
        <w:spacing w:before="0" w:after="120"/>
      </w:pPr>
      <w:r>
        <w:rPr>
          <w:b/>
        </w:rPr>
        <w:t xml:space="preserve">Notes: </w:t>
      </w:r>
      <w:r>
        <w:t>abstract_source=pubmed</w:t>
      </w:r>
    </w:p>
    <w:p>
      <w:pPr>
        <w:spacing w:before="0" w:after="80" w:lineRule="auto" w:line="276"/>
      </w:pPr>
      <w:r>
        <w:rPr>
          <w:b/>
        </w:rPr>
        <w:t xml:space="preserve">摘要（ZH）: </w:t>
      </w:r>
      <w:r>
        <w:t>甲基乙二醛（MGO）是糖酵解的反应性代谢副产物，已显示在高糖酵解细胞如癌细胞中积累。MGO与蛋白质反应形成共价加合物，这一过程称为糖基化，MGO-糖基化已与氧化应激、糖尿病、癌症、神经退行性疾病和炎症相关。尽管已经报道了几种MGO-糖基化的蛋白质靶标及其与疾病的联系，但我们对可能导致疾病进展的MGO-糖基化靶标的完整理解仍然缺乏。在此，我们采用定量化学蛋白质组学分析方法，使用炔基功能化的MGO探针（AlkMG）绘制MGO的蛋白质组范围靶标。在这些条件下，共发现494种蛋白质被糖基化，其中许多参与RNA加工途径。聚焦于丝氨酸/精氨酸丰富的剪接因子2（SRSF2），我们确定了位点并表征了MGO衍生修饰对其功能的影响。SRSF2的位点特异性糖基化的生物物理建模识别了糖基化后使天然蛋白质-RNA复合物不稳定的残基，我们通过RNA下拉实验进行了验证。重要的是，我们发现这些糖基化事件削弱了SRSF2的RNA结合并改变了RNA剪接，模拟了一种复发性白血病致癌SRSF2突变P95H。总体而言，我们的研究将糖基化解析为剪接因子的真实、位点特异性调节PTM，并首次提供了MGO介导的细胞内错误剪接的证据，提示MGO-糖基化与疾病之间的新机制联系。</w:t>
      </w:r>
    </w:p>
    <w:p>
      <w:pPr>
        <w:spacing w:before="0" w:after="200" w:lineRule="auto" w:line="276"/>
      </w:pPr>
      <w:r>
        <w:rPr>
          <w:b/>
        </w:rPr>
        <w:t xml:space="preserve">Abstract (EN): </w:t>
      </w:r>
      <w:r>
        <w:t>Methylglyoxal (MGO) is a reactive metabolic byproduct of glycolysis shown to accumulate in highly glycolytic cells such as cancer cells. MGO reacts with proteins to form covalent adducts in a process termed glycation, and MGO-glycation has been linked to oxidative stress, diabetes, cancer, neurodegenerative diseases, and inflammation. Although several protein targets of MGO-glycation and their link to disease have been reported, we lack a complete understanding of MGO-glycation targets that may underlie disease progression. Here, we take a quantitative chemoproteomic profiling approach with an alkyne-functionalized MGO probe (AlkMG) to map the proteome-wide targets of MGO. A total of 494 proteins were found to be glycated under these conditions, many of which are involved in RNA processing pathways. Focusing on the serine/arginine-rich splicing factor 2 (SRSF2), we determined the sites and characterized the role that MGO-derived modifications have on its function. Biophysical modeling of site-specific glycation of SRSF2 identified residues that destabilize the native protein-RNA complex upon glycation, which we corroborated experimentally by RNA pulldown. Importantly, we found that these glycation events attenuate SRSF2's RNA binding and alter RNA splicing, phenocopying a recurrent leukemia oncogenic SRSF2 mutation, P95H. Collectively, our study resolves glycation as a bona fide, site-specific regulatory PTM for a splicing factor and provides the first evidence for MGO-mediated mis-splicing in living cells, suggesting a new mechanistic link between MGO-glycation and disease.</w:t>
      </w:r>
    </w:p>
    <w:p>
      <w:pPr>
        <w:spacing w:before="120" w:after="120"/>
      </w:pPr>
      <w:r>
        <w:rPr>
          <w:sz w:val="18"/>
        </w:rPr>
        <w:t>——————————————————————————————————————————————————————————————————————</w:t>
      </w:r>
    </w:p>
    <w:p>
      <w:pPr>
        <w:spacing w:before="160" w:after="40" w:line="240" w:lineRule="auto"/>
      </w:pPr>
      <w:r>
        <w:rPr>
          <w:b/>
        </w:rPr>
        <w:t xml:space="preserve">[51] </w:t>
      </w:r>
      <w:hyperlink r:id="rId290">
        <w:r>
          <w:rPr>
            <w:color w:val="1155CC"/>
            <w:u w:val="single"/>
          </w:rPr>
          <w:t>超薄二维无机材料的表面和界面原子工程用于小分子光催化</w:t>
        </w:r>
      </w:hyperlink>
    </w:p>
    <w:p>
      <w:pPr>
        <w:spacing w:before="0" w:after="80"/>
      </w:pPr>
      <w:r>
        <w:rPr>
          <w:i/>
          <w:sz w:val="20"/>
        </w:rPr>
        <w:t>EN: Surface and interface atomic engineering of ultrathin 2D inorganic materials for small molecule photocatalysis</w:t>
      </w:r>
    </w:p>
    <w:p>
      <w:pPr>
        <w:spacing w:before="0" w:after="120"/>
      </w:pPr>
      <w:r>
        <w:rPr>
          <w:b/>
        </w:rPr>
        <w:t xml:space="preserve">Source: </w:t>
      </w:r>
      <w:r>
        <w:t>RSC - Chem. Soc. Rev. latest articles</w:t>
      </w:r>
      <w:r>
        <w:t xml:space="preserve">    </w:t>
      </w:r>
      <w:r>
        <w:rPr>
          <w:b/>
        </w:rPr>
        <w:t xml:space="preserve">Pub date: </w:t>
      </w:r>
      <w:r>
        <w:t>2026-05-10 23:00:00+00:00</w:t>
      </w:r>
    </w:p>
    <w:p>
      <w:pPr>
        <w:spacing w:before="0" w:after="120"/>
      </w:pPr>
      <w:r>
        <w:rPr>
          <w:b/>
        </w:rPr>
        <w:t xml:space="preserve">Notes: </w:t>
      </w:r>
      <w:r>
        <w:t>abstract_source=rsc_html</w:t>
      </w:r>
    </w:p>
    <w:p>
      <w:pPr>
        <w:spacing w:before="0" w:after="80" w:lineRule="auto" w:line="276"/>
      </w:pPr>
      <w:r>
        <w:rPr>
          <w:b/>
        </w:rPr>
        <w:t xml:space="preserve">摘要（ZH）: </w:t>
      </w:r>
      <w:r>
        <w:t>超薄二维（2D）无机材料因其极高的比表面积和可调的电子结构而成为推进小分子光催化的理想平台。然而，原始2D材料的固有局限性——如刚性的能带结构和催化惰性的表面位点——常常限制其实际光催化效率。因此，战略性的原子级修饰变得至关重要，以释放其全部潜力。本综述系统地将超薄2D材料的修饰策略分类为两种互补的范式：表面原子工程，专注于电荷定位和活性位点优化，以及界面原子工程，促进定向电荷转移和异质结启用的载流子分离。通过理论模拟和先进实验技术的协同结合，我们首先阐明了这些方法如何精确调整超薄2D材料的电子景观。然后，我们批判性地审视了它们对四种关键光催化小分子转化的活性和选择性的影响：H2O分解、CO2还原、烷烃转化和N2固定，提供了克服反应特定瓶颈的战略见解。此外，我们强调了在工作条件下建立结构-活性关联的最先进的原位表征方法。展望未来，我们概述了该领域的变革性前景，包括大数据辅助的表面/界面设计。</w:t>
      </w:r>
    </w:p>
    <w:p>
      <w:pPr>
        <w:spacing w:before="0" w:after="200" w:lineRule="auto" w:line="276"/>
      </w:pPr>
      <w:r>
        <w:rPr>
          <w:b/>
        </w:rPr>
        <w:t xml:space="preserve">Abstract (EN): </w:t>
      </w:r>
      <w:r>
        <w:t>Ultrathin two-dimensional (2D) inorganic materials, characterized by their exceptionally high specific surface areas and tunable electronic structures, have emerged as ideal platforms for advancing small-molecule photocatalysis. Yet, the intrinsic limitations of pristine 2D materials – such as rigid band structures and catalytically inert surface sites – often restrict their practical photocatalytic efficiency. Strategic atomic-level modification therefore becomes imperative to unlock their full potential. This review systematically classifies modification strategies for ultrathin 2D materials into two complementary paradigms: surface atomic engineering, which focuses on charge localization and active-site optimization, and interface atomic engineering, which facilitates directional charge transfer and heterojunction-enabled carrier separation. Through a synergistic combination of theoretical simulations and advanced experimental techniques, we first elucidate how these approaches precisely tailor the electronic landscapes of ultrathin 2D materials. We then critically examine their impact on the activity and selectivity of four key photocatalytic small-molecule transformations: H2O splitting, CO2 reduction, alkane conversion, and N2 fixation, offering strategic insights for overcoming reaction-specific bottlenecks. Furthermore, we highlight state-of-the-art in situ characterization methods that establish structure–activity correlations under working conditions. Looking forward, we outline transformative prospects in the field, including big-data-assisted design of surface/interface architectures, next-generation multiscale simulation frameworks, and scalable flow-reactor technologies. These pathways aim not only to deepen the fundamental understanding of photocatalytic mechanisms, but also to accelerate the transition of ultrathin 2D photocatalysts from laboratory innovation toward real-world solar-fuel and chemical production.</w:t>
      </w:r>
    </w:p>
    <w:p>
      <w:pPr>
        <w:spacing w:before="120" w:after="120"/>
      </w:pPr>
      <w:r>
        <w:rPr>
          <w:sz w:val="18"/>
        </w:rPr>
        <w:t>——————————————————————————————————————————————————————————————————————</w:t>
      </w:r>
    </w:p>
    <w:p>
      <w:pPr>
        <w:spacing w:before="160" w:after="40" w:line="240" w:lineRule="auto"/>
      </w:pPr>
      <w:r>
        <w:rPr>
          <w:b/>
        </w:rPr>
        <w:t xml:space="preserve">[52] </w:t>
      </w:r>
      <w:hyperlink r:id="rId291">
        <w:r>
          <w:rPr>
            <w:color w:val="1155CC"/>
            <w:u w:val="single"/>
          </w:rPr>
          <w:t>具有期待已久性能的碳纳米管超塑性材料</w:t>
        </w:r>
      </w:hyperlink>
    </w:p>
    <w:p>
      <w:pPr>
        <w:spacing w:before="0" w:after="80"/>
      </w:pPr>
      <w:r>
        <w:rPr>
          <w:i/>
          <w:sz w:val="20"/>
        </w:rPr>
        <w:t>EN: Carbon nanotube superplastic with long-awaited performance</w:t>
      </w:r>
    </w:p>
    <w:p>
      <w:pPr>
        <w:spacing w:before="0" w:after="120"/>
      </w:pPr>
      <w:r>
        <w:rPr>
          <w:b/>
        </w:rPr>
        <w:t xml:space="preserve">Source: </w:t>
      </w:r>
      <w:r>
        <w:t>National Science Review Advance Access</w:t>
      </w:r>
      <w:r>
        <w:t xml:space="preserve">    </w:t>
      </w:r>
      <w:r>
        <w:rPr>
          <w:b/>
        </w:rPr>
        <w:t xml:space="preserve">Pub date: </w:t>
      </w:r>
      <w:r>
        <w:t>2026-05-11 00:00:00+00:00</w:t>
      </w:r>
      <w:r>
        <w:t xml:space="preserve">    </w:t>
      </w:r>
      <w:r>
        <w:rPr>
          <w:b/>
        </w:rPr>
        <w:t xml:space="preserve">DOI: </w:t>
      </w:r>
      <w:hyperlink r:id="rId292">
        <w:r>
          <w:rPr>
            <w:color w:val="1155CC"/>
            <w:u w:val="single"/>
          </w:rPr>
          <w:t>10.1093/nsr/nwag271</w:t>
        </w:r>
      </w:hyperlink>
    </w:p>
    <w:p>
      <w:pPr>
        <w:spacing w:before="0" w:after="120"/>
      </w:pPr>
      <w:r>
        <w:rPr>
          <w:b/>
        </w:rPr>
        <w:t xml:space="preserve">Notes: </w:t>
      </w:r>
      <w:r>
        <w:t>abstract_source=rss_oup</w:t>
      </w:r>
    </w:p>
    <w:p>
      <w:pPr>
        <w:spacing w:before="0" w:after="80" w:lineRule="auto" w:line="276"/>
      </w:pPr>
      <w:r>
        <w:rPr>
          <w:b/>
        </w:rPr>
        <w:t xml:space="preserve">摘要（ZH）: </w:t>
      </w:r>
      <w:r>
        <w:t>塑料在日常生活中被广泛使用。它们重量轻，易于加工成不同形状，但通常不是良好的热和电导体，这限制了它们在许多领域的应用。改变塑料性能的一种方法是加入添加剂。例如，引入碳纳米管（CNT）可以提高聚合物的热和电导率。然而，传统方法通常需要苛刻的预处理，这会降低材料的固有高导电性。因此，这些获得的CNT-聚合物复合材料的性能通常远低于预期。</w:t>
      </w:r>
    </w:p>
    <w:p>
      <w:pPr>
        <w:spacing w:before="0" w:after="200" w:lineRule="auto" w:line="276"/>
      </w:pPr>
      <w:r>
        <w:rPr>
          <w:b/>
        </w:rPr>
        <w:t xml:space="preserve">Abstract (EN): </w:t>
      </w:r>
      <w:r>
        <w:t>Plastics are widely used in daily life. They are light, easy to fabricate into different shapes, but usually not good conductors for heat and electricity, which had limited their application of many fields. One way to alter the properties of a plastic involves the incorporation of an additive phase. For example, introducing carbon nanotube (CNT) can improve the thermal and electric conductivity of a polymer. However, conventional methods usually need harsh pretreatments, which deteriorates the intrinsic high conductance of the materials. As a result, the properties of these obtained CNT-polymer composites are usually way less than expectation.</w:t>
      </w:r>
    </w:p>
    <w:p>
      <w:pPr>
        <w:spacing w:before="120" w:after="120"/>
      </w:pPr>
      <w:r>
        <w:rPr>
          <w:sz w:val="18"/>
        </w:rPr>
        <w:t>——————————————————————————————————————————————————————————————————————</w:t>
      </w:r>
    </w:p>
    <w:p>
      <w:pPr>
        <w:spacing w:before="160" w:after="40" w:line="240" w:lineRule="auto"/>
      </w:pPr>
      <w:r>
        <w:rPr>
          <w:b/>
        </w:rPr>
        <w:t xml:space="preserve">[53] </w:t>
      </w:r>
      <w:hyperlink r:id="rId293">
        <w:r>
          <w:rPr>
            <w:color w:val="1155CC"/>
            <w:u w:val="single"/>
          </w:rPr>
          <w:t>用于机器人控制的脑机接口</w:t>
        </w:r>
      </w:hyperlink>
    </w:p>
    <w:p>
      <w:pPr>
        <w:spacing w:before="0" w:after="80"/>
      </w:pPr>
      <w:r>
        <w:rPr>
          <w:i/>
          <w:sz w:val="20"/>
        </w:rPr>
        <w:t>EN: Brain-computer interfaces for robotic control</w:t>
      </w:r>
    </w:p>
    <w:p>
      <w:pPr>
        <w:spacing w:before="0" w:after="120"/>
      </w:pPr>
      <w:r>
        <w:rPr>
          <w:b/>
        </w:rPr>
        <w:t xml:space="preserve">Source: </w:t>
      </w:r>
      <w:r>
        <w:t>National Science Review Advance Access</w:t>
      </w:r>
      <w:r>
        <w:t xml:space="preserve">    </w:t>
      </w:r>
      <w:r>
        <w:rPr>
          <w:b/>
        </w:rPr>
        <w:t xml:space="preserve">Pub date: </w:t>
      </w:r>
      <w:r>
        <w:t>2026-05-11 00:00:00+00:00</w:t>
      </w:r>
      <w:r>
        <w:t xml:space="preserve">    </w:t>
      </w:r>
      <w:r>
        <w:rPr>
          <w:b/>
        </w:rPr>
        <w:t xml:space="preserve">DOI: </w:t>
      </w:r>
      <w:hyperlink r:id="rId294">
        <w:r>
          <w:rPr>
            <w:color w:val="1155CC"/>
            <w:u w:val="single"/>
          </w:rPr>
          <w:t>10.1093/nsr/nwag269</w:t>
        </w:r>
      </w:hyperlink>
    </w:p>
    <w:p>
      <w:pPr>
        <w:spacing w:before="0" w:after="120"/>
      </w:pPr>
      <w:r>
        <w:rPr>
          <w:b/>
        </w:rPr>
        <w:t xml:space="preserve">Notes: </w:t>
      </w:r>
      <w:r>
        <w:t>abstract_source=crossref</w:t>
      </w:r>
    </w:p>
    <w:p>
      <w:pPr>
        <w:spacing w:before="0" w:after="80" w:lineRule="auto" w:line="276"/>
      </w:pPr>
      <w:r>
        <w:rPr>
          <w:b/>
        </w:rPr>
        <w:t xml:space="preserve">摘要（ZH）: </w:t>
      </w:r>
      <w:r>
        <w:t>神经解码算法和人机智能的持续进步预计将进一步增强基于BCI的机器人系统。</w:t>
      </w:r>
    </w:p>
    <w:p>
      <w:pPr>
        <w:spacing w:before="0" w:after="200" w:lineRule="auto" w:line="276"/>
      </w:pPr>
      <w:r>
        <w:rPr>
          <w:b/>
        </w:rPr>
        <w:t xml:space="preserve">Abstract (EN): </w:t>
      </w:r>
      <w:r>
        <w:t>Continued advances in neural decoding algorithms and humanâ€“machine intelligence are expected to further enhance BCI-based robotic systems.</w:t>
      </w:r>
    </w:p>
    <w:p>
      <w:pPr>
        <w:spacing w:before="120" w:after="120"/>
      </w:pPr>
      <w:r>
        <w:rPr>
          <w:sz w:val="18"/>
        </w:rPr>
        <w:t>——————————————————————————————————————————————————————————————————————</w:t>
      </w:r>
    </w:p>
    <w:p>
      <w:pPr>
        <w:spacing w:before="160" w:after="40" w:line="240" w:lineRule="auto"/>
      </w:pPr>
      <w:r>
        <w:rPr>
          <w:b/>
        </w:rPr>
        <w:t xml:space="preserve">[54] </w:t>
      </w:r>
      <w:hyperlink r:id="rId295">
        <w:r>
          <w:rPr>
            <w:color w:val="1155CC"/>
            <w:u w:val="single"/>
          </w:rPr>
          <w:t>在固体氧化物电解池中原位析出RuFe/La0.6Sr0.4Fe0.95Ru0.05O3-δ界面用于直接和乙烷强化的CO2电解</w:t>
        </w:r>
      </w:hyperlink>
    </w:p>
    <w:p>
      <w:pPr>
        <w:spacing w:before="0" w:after="80"/>
      </w:pPr>
      <w:r>
        <w:rPr>
          <w:i/>
          <w:sz w:val="20"/>
        </w:rPr>
        <w:t>EN: In situ exsolving RuFe/La0.6Sr0.4Fe0.95Ru0.05O3-δ interfaces for direct and ethane-intensified CO2 electrolysis in solid oxide electrolysis cells</w:t>
      </w:r>
    </w:p>
    <w:p>
      <w:pPr>
        <w:spacing w:before="0" w:after="120"/>
      </w:pPr>
      <w:r>
        <w:rPr>
          <w:b/>
        </w:rPr>
        <w:t xml:space="preserve">Source: </w:t>
      </w:r>
      <w:r>
        <w:t>National Science Review Advance Access</w:t>
      </w:r>
      <w:r>
        <w:t xml:space="preserve">    </w:t>
      </w:r>
      <w:r>
        <w:rPr>
          <w:b/>
        </w:rPr>
        <w:t xml:space="preserve">Pub date: </w:t>
      </w:r>
      <w:r>
        <w:t>2026-05-11 00:00:00+00:00</w:t>
      </w:r>
      <w:r>
        <w:t xml:space="preserve">    </w:t>
      </w:r>
      <w:r>
        <w:rPr>
          <w:b/>
        </w:rPr>
        <w:t xml:space="preserve">DOI: </w:t>
      </w:r>
      <w:hyperlink r:id="rId296">
        <w:r>
          <w:rPr>
            <w:color w:val="1155CC"/>
            <w:u w:val="single"/>
          </w:rPr>
          <w:t>10.1093/nsr/nwag265</w:t>
        </w:r>
      </w:hyperlink>
    </w:p>
    <w:p>
      <w:pPr>
        <w:spacing w:before="0" w:after="120"/>
      </w:pPr>
      <w:r>
        <w:rPr>
          <w:b/>
        </w:rPr>
        <w:t xml:space="preserve">Notes: </w:t>
      </w:r>
      <w:r>
        <w:t>abstract_source=rss_oup</w:t>
      </w:r>
    </w:p>
    <w:p>
      <w:pPr>
        <w:spacing w:before="0" w:after="80" w:lineRule="auto" w:line="276"/>
      </w:pPr>
      <w:r>
        <w:rPr>
          <w:b/>
        </w:rPr>
        <w:t xml:space="preserve">摘要（ZH）: </w:t>
      </w:r>
      <w:r>
        <w:t>在固体氧化物电解池（SOECs）中进行CO2电解为可再生能源存储和碳循环提供了希望。然而，目前SOECs中使用的催化剂表现出不错的电化学性能，但CO2转化率有限。在此，揭示了锚定在La0.6Sr0.4Fe0.95Ru0.05O3-δ钙钛矿（RuFe/LSFRu）上的受限RuFe纳米颗粒的原位析出过程，并且使用RuFe/LSFRu作为阴极的SOEC在直接CO2电解中显示出2.75 A cm−2的电流密度和83.4%的CO2转化率。此外，采用RuFe/LSFRu阴极的乙烷强化SOEC通过将干乙烷重整过程与逆水煤气变换和电解反应相结合，实现了超过95%的乙烷和CO2转化率（CO2/C2H6 = 4）和0.91 L h−1 cm−2的合成气产量。原位电化学漫反射红外傅里叶变换光谱和密度泛函理论计算揭示了在电‘驱动力’下OH*物种分解产生H2对提高H2选择性和CO2转化率至关重要。这些结果突显了RuFe/LSFRu作为直接和乙烷强化CO2电解中双功能催化剂的优越性。</w:t>
      </w:r>
    </w:p>
    <w:p>
      <w:pPr>
        <w:spacing w:before="0" w:after="200" w:lineRule="auto" w:line="276"/>
      </w:pPr>
      <w:r>
        <w:rPr>
          <w:b/>
        </w:rPr>
        <w:t xml:space="preserve">Abstract (EN): </w:t>
      </w:r>
      <w:r>
        <w:t>CO2 electrolysis in solid oxide electrolysis cells (SOECs) holds promise for renewable energy storage and carbon recycling. However, current catalysts used in SOECs show decent electrochemical performance but limited CO2 conversion. Here, in situ exsolution process of the confined RuFe nanoparticles anchored on La0.6Sr0.4Fe0.95Ru0.05O3-δ perovskite (RuFe/LSFRu) was revealed, and SOEC using RuFe/LSFRu as cathode shows a current density of 2.75 A cm−2 and a CO2 conversion of 83.4% for direct CO2 electrolysis. Furthermore, the ethane-intensified SOEC employing RuFe/LSFRu cathode achieves ethane and CO2 conversion of over 95% (CO2/C2H6 = 4) and syngas production of 0.91 L h−1 cm−2 by integrating dry ethane reforming process with the reverse water-gas shift and electrolysis reactions. In situ electrochemical diffuse reflectance infrared Fourier transform spectroscopy and density functional theory calculations reveal that the decomposition of OH* species to produce H2 under the electric ‘driving force’ is crucial to the increase in H2 selectivity and CO2 conversion. These results highlight the superiority of RuFe/LSFRu as bi-functional catalyst for direct and ethane-intensified CO2 electrolysis in SOECs.</w:t>
      </w:r>
    </w:p>
    <w:p>
      <w:pPr>
        <w:spacing w:before="120" w:after="120"/>
      </w:pPr>
      <w:r>
        <w:rPr>
          <w:sz w:val="18"/>
        </w:rPr>
        <w:t>——————————————————————————————————————————————————————————————————————</w:t>
      </w:r>
    </w:p>
    <w:p>
      <w:pPr>
        <w:spacing w:before="160" w:after="40" w:line="240" w:lineRule="auto"/>
      </w:pPr>
      <w:r>
        <w:rPr>
          <w:b/>
        </w:rPr>
        <w:t xml:space="preserve">[55] </w:t>
      </w:r>
      <w:hyperlink r:id="rId297">
        <w:r>
          <w:rPr>
            <w:color w:val="1155CC"/>
            <w:u w:val="single"/>
          </w:rPr>
          <w:t>巨型地图揭示全球数千个城市成功的绿色政策</w:t>
        </w:r>
      </w:hyperlink>
    </w:p>
    <w:p>
      <w:pPr>
        <w:spacing w:before="0" w:after="80"/>
      </w:pPr>
      <w:r>
        <w:rPr>
          <w:i/>
          <w:sz w:val="20"/>
        </w:rPr>
        <w:t>EN: Giant map reveals thousands of cities worldwide with successful green policies</w:t>
      </w:r>
    </w:p>
    <w:p>
      <w:pPr>
        <w:spacing w:before="0" w:after="120"/>
      </w:pPr>
      <w:r>
        <w:rPr>
          <w:b/>
        </w:rPr>
        <w:t xml:space="preserve">Source: </w:t>
      </w:r>
      <w:r>
        <w:t>Nature</w:t>
      </w:r>
      <w:r>
        <w:t xml:space="preserve">    </w:t>
      </w:r>
      <w:r>
        <w:rPr>
          <w:b/>
        </w:rPr>
        <w:t xml:space="preserve">Pub date: </w:t>
      </w:r>
      <w:r>
        <w:t>2026-05-11 00:00:00+00:00</w:t>
      </w:r>
      <w:r>
        <w:t xml:space="preserve">    </w:t>
      </w:r>
      <w:r>
        <w:rPr>
          <w:b/>
        </w:rPr>
        <w:t xml:space="preserve">DOI: </w:t>
      </w:r>
      <w:hyperlink r:id="rId298">
        <w:r>
          <w:rPr>
            <w:color w:val="1155CC"/>
            <w:u w:val="single"/>
          </w:rPr>
          <w:t>10.1038/d41586-026-01491-y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299">
        <w:r>
          <w:rPr>
            <w:color w:val="1155CC"/>
            <w:u w:val="single"/>
          </w:rPr>
          <w:t>汉坦病毒爆发暴露了关于疾病传播方式的不确定性</w:t>
        </w:r>
      </w:hyperlink>
    </w:p>
    <w:p>
      <w:pPr>
        <w:spacing w:before="0" w:after="80"/>
      </w:pPr>
      <w:r>
        <w:rPr>
          <w:i/>
          <w:sz w:val="20"/>
        </w:rPr>
        <w:t>EN: Hantavirus outbreak exposes uncertainty about how disease spreads</w:t>
      </w:r>
    </w:p>
    <w:p>
      <w:pPr>
        <w:spacing w:before="0" w:after="120"/>
      </w:pPr>
      <w:r>
        <w:rPr>
          <w:b/>
        </w:rPr>
        <w:t xml:space="preserve">Source: </w:t>
      </w:r>
      <w:r>
        <w:t>Nature</w:t>
      </w:r>
      <w:r>
        <w:t xml:space="preserve">    </w:t>
      </w:r>
      <w:r>
        <w:rPr>
          <w:b/>
        </w:rPr>
        <w:t xml:space="preserve">Pub date: </w:t>
      </w:r>
      <w:r>
        <w:t>2026-05-11 00:00:00+00:00</w:t>
      </w:r>
      <w:r>
        <w:t xml:space="preserve">    </w:t>
      </w:r>
      <w:r>
        <w:rPr>
          <w:b/>
        </w:rPr>
        <w:t xml:space="preserve">DOI: </w:t>
      </w:r>
      <w:hyperlink r:id="rId300">
        <w:r>
          <w:rPr>
            <w:color w:val="1155CC"/>
            <w:u w:val="single"/>
          </w:rPr>
          <w:t>10.1038/d41586-026-01512-w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301">
        <w:r>
          <w:rPr>
            <w:color w:val="1155CC"/>
            <w:u w:val="single"/>
          </w:rPr>
          <w:t>最好的。一天。曾经。科学中的美好一天是什么样的？</w:t>
        </w:r>
      </w:hyperlink>
    </w:p>
    <w:p>
      <w:pPr>
        <w:spacing w:before="0" w:after="80"/>
      </w:pPr>
      <w:r>
        <w:rPr>
          <w:i/>
          <w:sz w:val="20"/>
        </w:rPr>
        <w:t>EN: Best. Day. Ever. What does a good day in science look like?</w:t>
      </w:r>
    </w:p>
    <w:p>
      <w:pPr>
        <w:spacing w:before="0" w:after="120"/>
      </w:pPr>
      <w:r>
        <w:rPr>
          <w:b/>
        </w:rPr>
        <w:t xml:space="preserve">Source: </w:t>
      </w:r>
      <w:r>
        <w:t>Nature</w:t>
      </w:r>
      <w:r>
        <w:t xml:space="preserve">    </w:t>
      </w:r>
      <w:r>
        <w:rPr>
          <w:b/>
        </w:rPr>
        <w:t xml:space="preserve">Pub date: </w:t>
      </w:r>
      <w:r>
        <w:t>2026-05-11 00:00:00+00:00</w:t>
      </w:r>
      <w:r>
        <w:t xml:space="preserve">    </w:t>
      </w:r>
      <w:r>
        <w:rPr>
          <w:b/>
        </w:rPr>
        <w:t xml:space="preserve">DOI: </w:t>
      </w:r>
      <w:hyperlink r:id="rId302">
        <w:r>
          <w:rPr>
            <w:color w:val="1155CC"/>
            <w:u w:val="single"/>
          </w:rPr>
          <w:t>10.1038/d41586-026-01479-8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303">
        <w:r>
          <w:rPr>
            <w:color w:val="1155CC"/>
            <w:u w:val="single"/>
          </w:rPr>
          <w:t>爱思唯尔诉Meta：首个科学出版商因抓取研究论文提起诉讼</w:t>
        </w:r>
      </w:hyperlink>
    </w:p>
    <w:p>
      <w:pPr>
        <w:spacing w:before="0" w:after="80"/>
      </w:pPr>
      <w:r>
        <w:rPr>
          <w:i/>
          <w:sz w:val="20"/>
        </w:rPr>
        <w:t>EN: Elsevier vs Meta: first science publisher sues over scraped research papers</w:t>
      </w:r>
    </w:p>
    <w:p>
      <w:pPr>
        <w:spacing w:before="0" w:after="120"/>
      </w:pPr>
      <w:r>
        <w:rPr>
          <w:b/>
        </w:rPr>
        <w:t xml:space="preserve">Source: </w:t>
      </w:r>
      <w:r>
        <w:t>Nature</w:t>
      </w:r>
      <w:r>
        <w:t xml:space="preserve">    </w:t>
      </w:r>
      <w:r>
        <w:rPr>
          <w:b/>
        </w:rPr>
        <w:t xml:space="preserve">Pub date: </w:t>
      </w:r>
      <w:r>
        <w:t>2026-05-11 00:00:00+00:00</w:t>
      </w:r>
      <w:r>
        <w:t xml:space="preserve">    </w:t>
      </w:r>
      <w:r>
        <w:rPr>
          <w:b/>
        </w:rPr>
        <w:t xml:space="preserve">DOI: </w:t>
      </w:r>
      <w:hyperlink r:id="rId304">
        <w:r>
          <w:rPr>
            <w:color w:val="1155CC"/>
            <w:u w:val="single"/>
          </w:rPr>
          <w:t>10.1038/d41586-026-01481-0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305">
        <w:r>
          <w:rPr>
            <w:color w:val="1155CC"/>
            <w:u w:val="single"/>
          </w:rPr>
          <w:t>睡眠悖论：为什么人类在需要大量睡眠时却睡得如此之少？</w:t>
        </w:r>
      </w:hyperlink>
    </w:p>
    <w:p>
      <w:pPr>
        <w:spacing w:before="0" w:after="80"/>
      </w:pPr>
      <w:r>
        <w:rPr>
          <w:i/>
          <w:sz w:val="20"/>
        </w:rPr>
        <w:t>EN: The sleep paradox: why do humans sleep so little when we need it so much?</w:t>
      </w:r>
    </w:p>
    <w:p>
      <w:pPr>
        <w:spacing w:before="0" w:after="120"/>
      </w:pPr>
      <w:r>
        <w:rPr>
          <w:b/>
        </w:rPr>
        <w:t xml:space="preserve">Source: </w:t>
      </w:r>
      <w:r>
        <w:t>Nature</w:t>
      </w:r>
      <w:r>
        <w:t xml:space="preserve">    </w:t>
      </w:r>
      <w:r>
        <w:rPr>
          <w:b/>
        </w:rPr>
        <w:t xml:space="preserve">Pub date: </w:t>
      </w:r>
      <w:r>
        <w:t>2026-05-11 00:00:00+00:00</w:t>
      </w:r>
      <w:r>
        <w:t xml:space="preserve">    </w:t>
      </w:r>
      <w:r>
        <w:rPr>
          <w:b/>
        </w:rPr>
        <w:t xml:space="preserve">DOI: </w:t>
      </w:r>
      <w:hyperlink r:id="rId306">
        <w:r>
          <w:rPr>
            <w:color w:val="1155CC"/>
            <w:u w:val="single"/>
          </w:rPr>
          <w:t>10.1038/d41586-026-01478-9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307">
        <w:r>
          <w:rPr>
            <w:color w:val="1155CC"/>
            <w:u w:val="single"/>
          </w:rPr>
          <w:t>音频长读：空气中充满了DNA——科学家正在利用它做什么</w:t>
        </w:r>
      </w:hyperlink>
    </w:p>
    <w:p>
      <w:pPr>
        <w:spacing w:before="0" w:after="80"/>
      </w:pPr>
      <w:r>
        <w:rPr>
          <w:i/>
          <w:sz w:val="20"/>
        </w:rPr>
        <w:t>EN: Audio long read: The air is full of DNA — here’s what scientists are using it for</w:t>
      </w:r>
    </w:p>
    <w:p>
      <w:pPr>
        <w:spacing w:before="0" w:after="120"/>
      </w:pPr>
      <w:r>
        <w:rPr>
          <w:b/>
        </w:rPr>
        <w:t xml:space="preserve">Source: </w:t>
      </w:r>
      <w:r>
        <w:t>Nature</w:t>
      </w:r>
      <w:r>
        <w:t xml:space="preserve">    </w:t>
      </w:r>
      <w:r>
        <w:rPr>
          <w:b/>
        </w:rPr>
        <w:t xml:space="preserve">Pub date: </w:t>
      </w:r>
      <w:r>
        <w:t>2026-05-11 00:00:00+00:00</w:t>
      </w:r>
      <w:r>
        <w:t xml:space="preserve">    </w:t>
      </w:r>
      <w:r>
        <w:rPr>
          <w:b/>
        </w:rPr>
        <w:t xml:space="preserve">DOI: </w:t>
      </w:r>
      <w:hyperlink r:id="rId308">
        <w:r>
          <w:rPr>
            <w:color w:val="1155CC"/>
            <w:u w:val="single"/>
          </w:rPr>
          <w:t>10.1038/d41586-026-01522-8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 </w:t>
      </w:r>
      <w:hyperlink r:id="rId309">
        <w:r>
          <w:rPr>
            <w:color w:val="1155CC"/>
            <w:u w:val="single"/>
          </w:rPr>
          <w:t>一种中性σ0π2卡宾通过σ面途径实现氢活化</w:t>
        </w:r>
      </w:hyperlink>
    </w:p>
    <w:p>
      <w:pPr>
        <w:spacing w:before="0" w:after="80"/>
      </w:pPr>
      <w:r>
        <w:rPr>
          <w:i/>
          <w:sz w:val="20"/>
        </w:rPr>
        <w:t>EN: A neutral σ0π2 carbene enabling hydrogen activation via a σ-face pathway</w:t>
      </w:r>
    </w:p>
    <w:p>
      <w:pPr>
        <w:spacing w:before="0" w:after="120"/>
      </w:pPr>
      <w:r>
        <w:rPr>
          <w:b/>
        </w:rPr>
        <w:t xml:space="preserve">Source: </w:t>
      </w:r>
      <w:r>
        <w:t>Nature Chemistry</w:t>
      </w:r>
      <w:r>
        <w:t xml:space="preserve">    </w:t>
      </w:r>
      <w:r>
        <w:rPr>
          <w:b/>
        </w:rPr>
        <w:t xml:space="preserve">Pub date: </w:t>
      </w:r>
      <w:r>
        <w:t>2026-05-11 00:00:00+00:00</w:t>
      </w:r>
      <w:r>
        <w:t xml:space="preserve">    </w:t>
      </w:r>
      <w:r>
        <w:rPr>
          <w:b/>
        </w:rPr>
        <w:t xml:space="preserve">DOI: </w:t>
      </w:r>
      <w:hyperlink r:id="rId310">
        <w:r>
          <w:rPr>
            <w:color w:val="1155CC"/>
            <w:u w:val="single"/>
          </w:rPr>
          <w:t>10.1038/s41557-026-02147-0</w:t>
        </w:r>
      </w:hyperlink>
    </w:p>
    <w:p>
      <w:pPr>
        <w:spacing w:before="0" w:after="120"/>
      </w:pPr>
      <w:r>
        <w:rPr>
          <w:b/>
        </w:rPr>
        <w:t xml:space="preserve">Notes: </w:t>
      </w:r>
      <w:r>
        <w:t>abstract_source=nature_html</w:t>
      </w:r>
    </w:p>
    <w:p>
      <w:pPr>
        <w:spacing w:before="0" w:after="80" w:lineRule="auto" w:line="276"/>
      </w:pPr>
      <w:r>
        <w:rPr>
          <w:b/>
        </w:rPr>
        <w:t xml:space="preserve">摘要（ZH）: </w:t>
      </w:r>
      <w:r>
        <w:t>基态σ0π2卡宾是低价碳中最少探索和理解的类别之一。已知的可分离σ0π2卡宾实例主要限于阳离子化合物。我们在此报告了一种中性σ0π2卡宾的合成，即一种具有平面RhP2C环的铑二磷卡宾。与传统σ2π0卡宾通过轨道对称性限制的亲核性驱动、π面、非最小运动轨迹的小分子活化形成鲜明对比，这种中性σ0π2卡宾在环境条件下通过σ面途径裂解H2。计算揭示了一个由电亲性驱动的早期过渡态，其特征是卡宾框架的重组最小化和协同但不同步的H–H断裂以形成两个C–H键。这些发现表明，稳定的卡宾可以通过σ面途径实现小分子活化，并加深我们对低价碳化学中电子结构与反应性相关性的理解。此图像的替代文本可能是使用AI生成的。</w:t>
      </w:r>
    </w:p>
    <w:p>
      <w:pPr>
        <w:spacing w:before="0" w:after="200" w:lineRule="auto" w:line="276"/>
      </w:pPr>
      <w:r>
        <w:rPr>
          <w:b/>
        </w:rPr>
        <w:t xml:space="preserve">Abstract (EN): </w:t>
      </w:r>
      <w:r>
        <w:t>Ground-state σ0π2 carbenes are among the least explored and least understood classes of low-valent carbon. Known examples of isolable σ0π2 carbenes remain largely limited to cationic compounds. Here we report the synthesis of a neutral σ0π2 carbene, namely a rhodadiphosphinocarbene featuring a planar RhP2C ring. In sharp contrast to small-molecule activation by conventional σ2π0 carbenes, which typically proceeds via nucleophilicity-driven, π-face, non-least-motion trajectories mandated by orbital-symmetry constraints, this neutral σ0π2 carbene cleaves H2 under ambient conditions via a σ-face pathway. Computations reveal an electrophilicity-driven early transition state characterized by minimal reorganization of the carbene framework and a concerted yet asynchronous H–H scission to form two C–H bonds. These findings show that a stable carbene can enable small-molecule activation through a σ-face pathway and deepen our understanding of electronic structure–reactivity correlations in low-valent carbon chemistry.The alternative text for this image may have been generated using AI.</w:t>
      </w:r>
    </w:p>
    <w:p>
      <w:pPr>
        <w:spacing w:before="120" w:after="120"/>
      </w:pPr>
      <w:r>
        <w:rPr>
          <w:sz w:val="18"/>
        </w:rPr>
        <w:t>——————————————————————————————————————————————————————————————————————</w:t>
      </w:r>
    </w:p>
    <w:p>
      <w:pPr>
        <w:spacing w:before="160" w:after="40" w:line="240" w:lineRule="auto"/>
      </w:pPr>
      <w:r>
        <w:rPr>
          <w:b/>
        </w:rPr>
        <w:t xml:space="preserve">[62] </w:t>
      </w:r>
      <w:hyperlink r:id="rId311">
        <w:r>
          <w:rPr>
            <w:color w:val="1155CC"/>
            <w:u w:val="single"/>
          </w:rPr>
          <w:t>基于忆阻器的高精度模拟计算在人工智能中的策略</w:t>
        </w:r>
      </w:hyperlink>
    </w:p>
    <w:p>
      <w:pPr>
        <w:spacing w:before="0" w:after="80"/>
      </w:pPr>
      <w:r>
        <w:rPr>
          <w:i/>
          <w:sz w:val="20"/>
        </w:rPr>
        <w:t>EN: Strategies of high-accuracy memristor-based analogue computing in memory for artificial intelligence</w:t>
      </w:r>
    </w:p>
    <w:p>
      <w:pPr>
        <w:spacing w:before="0" w:after="120"/>
      </w:pPr>
      <w:r>
        <w:rPr>
          <w:b/>
        </w:rPr>
        <w:t xml:space="preserve">Source: </w:t>
      </w:r>
      <w:r>
        <w:t>Nature Materials</w:t>
      </w:r>
      <w:r>
        <w:t xml:space="preserve">    </w:t>
      </w:r>
      <w:r>
        <w:rPr>
          <w:b/>
        </w:rPr>
        <w:t xml:space="preserve">Pub date: </w:t>
      </w:r>
      <w:r>
        <w:t>2026-05-11 00:00:00+00:00</w:t>
      </w:r>
      <w:r>
        <w:t xml:space="preserve">    </w:t>
      </w:r>
      <w:r>
        <w:rPr>
          <w:b/>
        </w:rPr>
        <w:t xml:space="preserve">DOI: </w:t>
      </w:r>
      <w:hyperlink r:id="rId312">
        <w:r>
          <w:rPr>
            <w:color w:val="1155CC"/>
            <w:u w:val="single"/>
          </w:rPr>
          <w:t>10.1038/s41563-026-02600-y</w:t>
        </w:r>
      </w:hyperlink>
    </w:p>
    <w:p>
      <w:pPr>
        <w:spacing w:before="0" w:after="120"/>
      </w:pPr>
      <w:r>
        <w:rPr>
          <w:b/>
        </w:rPr>
        <w:t xml:space="preserve">Notes: </w:t>
      </w:r>
      <w:r>
        <w:t>abstract_source=nature_html</w:t>
      </w:r>
    </w:p>
    <w:p>
      <w:pPr>
        <w:spacing w:before="0" w:after="80" w:lineRule="auto" w:line="276"/>
      </w:pPr>
      <w:r>
        <w:rPr>
          <w:b/>
        </w:rPr>
        <w:t xml:space="preserve">摘要（ZH）: </w:t>
      </w:r>
      <w:r>
        <w:t>基于忆阻器的模拟存储计算（CIM）为数据密集型应用（如人工智能）提供了革命性的能效和计算能力提升。然而，由于模拟计算对噪声敏感的特性以及设备和电路级别的非理想特性，通常难以同时实现高精度，这不可避免地导致计算错误。尽管在设备工程和硬件-算法协同优化方面取得了进展以减轻误差和寄生效应，但许多这些进展无意中导致硬件或能耗开销，削弱了模拟CIM的核心优势。本综述剖析了从忆阻器设备和阵列到系统架构和算法的CIM层次结构中的计算误差来源，并评估了最小化这些误差的策略。我们强调了材料和设备创新、阵列级技术以及算法-架构协同设计框架，以实现高精度模拟CIM。通过剖析计算精度与实施成本之间的权衡，本综述为将基于忆阻器的模拟CIM技术从概念验证原型转化为大规模部署以加速下一代人工智能绘制了路线图。</w:t>
      </w:r>
    </w:p>
    <w:p>
      <w:pPr>
        <w:spacing w:before="0" w:after="200" w:lineRule="auto" w:line="276"/>
      </w:pPr>
      <w:r>
        <w:rPr>
          <w:b/>
        </w:rPr>
        <w:t xml:space="preserve">Abstract (EN): </w:t>
      </w:r>
      <w:r>
        <w:t>Memristor-based analogue computing in memory (CIM) offers revolutionary gains in energy efficiency and computing power for data-intensive applications such as artificial intelligence. However, it typically struggles with achieving high accuracy at the same time, owing to the noise-sensitive nature of analogue computing and the non-ideal characteristics at the device and circuit levels that inevitably result in computing errors. Although progress has been made in device engineering and hardware–algorithm co-optimization to mitigate the error and parasitic effects, many of these advances inadvertently incur a hardware or energy consumption overhead, undermining the core benefits of analogue CIM. This Review dissects the computing error sources across the CIM hierarchy from the memristor device and array to the system architecture and algorithm, and evaluates the strategies to minimize those errors. We highlight the material and device innovations, array-level techniques and algorithm–architecture co-design frameworks towards high-accuracy analogue CIM. By dissecting the trade-off between computing accuracy and implementation cost, this Review draws a roadmap for translating memristor-based analogue CIM technology from proof-of-concept prototypes to large-scale deployment for accelerating next-generation artificial intelligence.</w:t>
      </w:r>
    </w:p>
    <w:p>
      <w:pPr>
        <w:spacing w:before="120" w:after="120"/>
      </w:pPr>
      <w:r>
        <w:rPr>
          <w:sz w:val="18"/>
        </w:rPr>
        <w:t>——————————————————————————————————————————————————————————————————————</w:t>
      </w:r>
    </w:p>
    <w:p>
      <w:pPr>
        <w:spacing w:before="160" w:after="40" w:line="240" w:lineRule="auto"/>
      </w:pPr>
      <w:r>
        <w:rPr>
          <w:b/>
        </w:rPr>
        <w:t xml:space="preserve">[63] </w:t>
      </w:r>
      <w:hyperlink r:id="rId313">
        <w:r>
          <w:rPr>
            <w:color w:val="1155CC"/>
            <w:u w:val="single"/>
          </w:rPr>
          <w:t>稻鱼共养减少血吸虫病风险并增加产量和收入</w:t>
        </w:r>
      </w:hyperlink>
    </w:p>
    <w:p>
      <w:pPr>
        <w:spacing w:before="0" w:after="80"/>
      </w:pPr>
      <w:r>
        <w:rPr>
          <w:i/>
          <w:sz w:val="20"/>
        </w:rPr>
        <w:t>EN: Rice–fish co-culturing reduces schistosomiasis risk and increases yields and incomes</w:t>
      </w:r>
    </w:p>
    <w:p>
      <w:pPr>
        <w:spacing w:before="0" w:after="120"/>
      </w:pPr>
      <w:r>
        <w:rPr>
          <w:b/>
        </w:rPr>
        <w:t xml:space="preserve">Source: </w:t>
      </w:r>
      <w:r>
        <w:t>Nature Sustainability</w:t>
      </w:r>
      <w:r>
        <w:t xml:space="preserve">    </w:t>
      </w:r>
      <w:r>
        <w:rPr>
          <w:b/>
        </w:rPr>
        <w:t xml:space="preserve">Pub date: </w:t>
      </w:r>
      <w:r>
        <w:t>2026-05-11 00:00:00+00:00</w:t>
      </w:r>
      <w:r>
        <w:t xml:space="preserve">    </w:t>
      </w:r>
      <w:r>
        <w:rPr>
          <w:b/>
        </w:rPr>
        <w:t xml:space="preserve">DOI: </w:t>
      </w:r>
      <w:hyperlink r:id="rId314">
        <w:r>
          <w:rPr>
            <w:color w:val="1155CC"/>
            <w:u w:val="single"/>
          </w:rPr>
          <w:t>10.1038/s41893-026-01833-8</w:t>
        </w:r>
      </w:hyperlink>
    </w:p>
    <w:p>
      <w:pPr>
        <w:spacing w:before="0" w:after="120"/>
      </w:pPr>
      <w:r>
        <w:rPr>
          <w:b/>
        </w:rPr>
        <w:t xml:space="preserve">Notes: </w:t>
      </w:r>
      <w:r>
        <w:t>abstract_source=nature_html</w:t>
      </w:r>
    </w:p>
    <w:p>
      <w:pPr>
        <w:spacing w:before="0" w:after="80" w:lineRule="auto" w:line="276"/>
      </w:pPr>
      <w:r>
        <w:rPr>
          <w:b/>
        </w:rPr>
        <w:t xml:space="preserve">摘要（ZH）: </w:t>
      </w:r>
      <w:r>
        <w:t>全球有超过1.4亿个家庭种植水稻。然而，水稻生产导致了行星边界的超越，如淡水使用和生物地球化学流动。此外，水稻种植家庭可能面临感染血吸虫病的风险增加，这是一种由淡水螺传播的寄生虫病，助长了贫困和疾病的循环。在此，我们使用来自塞内加尔北部农村405个家庭的数据，显示水稻种植家庭的儿童比非种植家庭的同龄人有更高的曼氏血吸虫病患病率和埃及血吸虫病强度。为了解决这一环境健康挑战，我们将本地尼罗罗非鱼（Oreochromis niloticus）和非洲骨舌鱼（Heterotis niloticus）引入稻田。鱼类繁衍良好，抑制了昆虫和蜗牛害虫，改善了土壤养分，并将水稻产量提高了超过25%，净收益为每公顷每年1,805至3,415美元（收益成本比为7.42）。因此，低投入的稻鱼共养提供了一种可持续的行星健康解决方案，同时改善了农业成果和农村生计，并降低了疾病传播风险。</w:t>
      </w:r>
    </w:p>
    <w:p>
      <w:pPr>
        <w:spacing w:before="0" w:after="200" w:lineRule="auto" w:line="276"/>
      </w:pPr>
      <w:r>
        <w:rPr>
          <w:b/>
        </w:rPr>
        <w:t xml:space="preserve">Abstract (EN): </w:t>
      </w:r>
      <w:r>
        <w:t>Over 140 million households cultivate rice worldwide. However, rice production contributes to exceedance of planetary boundaries, such as freshwater use and biogeochemical flows. In addition, rice-farming families may face increased risk of contracting schistosomiasis, a parasitic disease transmitted by freshwater snails that contributes to reinforcing cycles of poverty and disease. Here, using data from 405 households in rural northern Senegal, we show that children in rice-farming households had higher Schistosoma mansoni prevalence and Schistosoma haematobium intensities than non-farming peers. To address this environmental health challenge, we integrated native Nile tilapia (Oreochromis niloticus) and African bonytongue (Heterotis niloticus) into rice fields. The fish thrived, suppressed insects and snail pests, improved soil nutrients and boosted rice yields by &gt;25% with a net benefit of US$1,805–3,415 ha−1 yr−1 (a benefit-to-cost ratio of 7.42). Hence, low-input rice–fish co-culturing offers a sustainable planetary health solution that simultaneously improves agricultural outcomes and rural livelihoods while reducing disease transmission risks.</w:t>
      </w:r>
    </w:p>
    <w:p>
      <w:pPr>
        <w:spacing w:before="120" w:after="120"/>
      </w:pPr>
      <w:r>
        <w:rPr>
          <w:sz w:val="18"/>
        </w:rPr>
        <w:t>——————————————————————————————————————————————————————————————————————</w:t>
      </w:r>
    </w:p>
    <w:p>
      <w:pPr>
        <w:spacing w:before="160" w:after="40" w:line="240" w:lineRule="auto"/>
      </w:pPr>
      <w:r>
        <w:rPr>
          <w:b/>
        </w:rPr>
        <w:t xml:space="preserve">[64] </w:t>
      </w:r>
      <w:hyperlink r:id="rId315">
        <w:r>
          <w:rPr>
            <w:color w:val="1155CC"/>
            <w:u w:val="single"/>
          </w:rPr>
          <w:t>澳大利亚气候行动的评估治理</w:t>
        </w:r>
      </w:hyperlink>
    </w:p>
    <w:p>
      <w:pPr>
        <w:spacing w:before="0" w:after="80"/>
      </w:pPr>
      <w:r>
        <w:rPr>
          <w:i/>
          <w:sz w:val="20"/>
        </w:rPr>
        <w:t>EN: Evaluative governance for climate action in Australia</w:t>
      </w:r>
    </w:p>
    <w:p>
      <w:pPr>
        <w:spacing w:before="0" w:after="120"/>
      </w:pPr>
      <w:r>
        <w:rPr>
          <w:b/>
        </w:rPr>
        <w:t xml:space="preserve">Source: </w:t>
      </w:r>
      <w:r>
        <w:t>Nature Sustainability</w:t>
      </w:r>
      <w:r>
        <w:t xml:space="preserve">    </w:t>
      </w:r>
      <w:r>
        <w:rPr>
          <w:b/>
        </w:rPr>
        <w:t xml:space="preserve">Pub date: </w:t>
      </w:r>
      <w:r>
        <w:t>2026-05-11 00:00:00+00:00</w:t>
      </w:r>
      <w:r>
        <w:t xml:space="preserve">    </w:t>
      </w:r>
      <w:r>
        <w:rPr>
          <w:b/>
        </w:rPr>
        <w:t xml:space="preserve">DOI: </w:t>
      </w:r>
      <w:hyperlink r:id="rId316">
        <w:r>
          <w:rPr>
            <w:color w:val="1155CC"/>
            <w:u w:val="single"/>
          </w:rPr>
          <w:t>10.1038/s41893-026-01814-x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 </w:t>
      </w:r>
      <w:hyperlink r:id="rId317">
        <w:r>
          <w:rPr>
            <w:color w:val="1155CC"/>
            <w:u w:val="single"/>
          </w:rPr>
          <w:t>废水中磷的重生</w:t>
        </w:r>
      </w:hyperlink>
    </w:p>
    <w:p>
      <w:pPr>
        <w:spacing w:before="0" w:after="80"/>
      </w:pPr>
      <w:r>
        <w:rPr>
          <w:i/>
          <w:sz w:val="20"/>
        </w:rPr>
        <w:t>EN: Rebirth of phosphorus in wastewater</w:t>
      </w:r>
    </w:p>
    <w:p>
      <w:pPr>
        <w:spacing w:before="0" w:after="120"/>
      </w:pPr>
      <w:r>
        <w:rPr>
          <w:b/>
        </w:rPr>
        <w:t xml:space="preserve">Source: </w:t>
      </w:r>
      <w:r>
        <w:t>Nature Sustainability</w:t>
      </w:r>
      <w:r>
        <w:t xml:space="preserve">    </w:t>
      </w:r>
      <w:r>
        <w:rPr>
          <w:b/>
        </w:rPr>
        <w:t xml:space="preserve">Pub date: </w:t>
      </w:r>
      <w:r>
        <w:t>2026-05-11 00:00:00+00:00</w:t>
      </w:r>
      <w:r>
        <w:t xml:space="preserve">    </w:t>
      </w:r>
      <w:r>
        <w:rPr>
          <w:b/>
        </w:rPr>
        <w:t xml:space="preserve">DOI: </w:t>
      </w:r>
      <w:hyperlink r:id="rId318">
        <w:r>
          <w:rPr>
            <w:color w:val="1155CC"/>
            <w:u w:val="single"/>
          </w:rPr>
          <w:t>10.1038/s41893-026-01775-1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 </w:t>
      </w:r>
      <w:hyperlink r:id="rId319">
        <w:r>
          <w:rPr>
            <w:color w:val="1155CC"/>
            <w:u w:val="single"/>
          </w:rPr>
          <w:t>作者更正：S-亚硝基谷胱甘肽还原酶GSNOR通过去亚硝基化Beclin-1促进脂肪组织变白，从而推动与年龄相关的肥胖</w:t>
        </w:r>
      </w:hyperlink>
    </w:p>
    <w:p>
      <w:pPr>
        <w:spacing w:before="0" w:after="80"/>
      </w:pPr>
      <w:r>
        <w:rPr>
          <w:i/>
          <w:sz w:val="20"/>
        </w:rPr>
        <w:t>EN: Author Correction: S-nitrosoglutathione reductase GSNOR drives age-related obesity by promoting adipose tissue whitening through de-nitrosation of Beclin-1</w:t>
      </w:r>
    </w:p>
    <w:p>
      <w:pPr>
        <w:spacing w:before="0" w:after="120"/>
      </w:pPr>
      <w:r>
        <w:rPr>
          <w:b/>
        </w:rPr>
        <w:t xml:space="preserve">Source: </w:t>
      </w:r>
      <w:r>
        <w:t>Nature Communications</w:t>
      </w:r>
      <w:r>
        <w:t xml:space="preserve">    </w:t>
      </w:r>
      <w:r>
        <w:rPr>
          <w:b/>
        </w:rPr>
        <w:t xml:space="preserve">Pub date: </w:t>
      </w:r>
      <w:r>
        <w:t>2026-05-11 00:00:00+00:00</w:t>
      </w:r>
      <w:r>
        <w:t xml:space="preserve">    </w:t>
      </w:r>
      <w:r>
        <w:rPr>
          <w:b/>
        </w:rPr>
        <w:t xml:space="preserve">DOI: </w:t>
      </w:r>
      <w:hyperlink r:id="rId320">
        <w:r>
          <w:rPr>
            <w:color w:val="1155CC"/>
            <w:u w:val="single"/>
          </w:rPr>
          <w:t>10.1038/s41467-026-73041-z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321">
        <w:r>
          <w:rPr>
            <w:color w:val="1155CC"/>
            <w:u w:val="single"/>
          </w:rPr>
          <w:t>用于光催化整体水分解的一体化助催化剂</w:t>
        </w:r>
      </w:hyperlink>
    </w:p>
    <w:p>
      <w:pPr>
        <w:spacing w:before="0" w:after="80"/>
      </w:pPr>
      <w:r>
        <w:rPr>
          <w:i/>
          <w:sz w:val="20"/>
        </w:rPr>
        <w:t>EN: All-in-one cocatalyst for photocatalytic overall water splitting</w:t>
      </w:r>
    </w:p>
    <w:p>
      <w:pPr>
        <w:spacing w:before="0" w:after="120"/>
      </w:pPr>
      <w:r>
        <w:rPr>
          <w:b/>
        </w:rPr>
        <w:t xml:space="preserve">Source: </w:t>
      </w:r>
      <w:r>
        <w:t>Nature Chemistry</w:t>
      </w:r>
      <w:r>
        <w:t xml:space="preserve">    </w:t>
      </w:r>
      <w:r>
        <w:rPr>
          <w:b/>
        </w:rPr>
        <w:t xml:space="preserve">Pub date: </w:t>
      </w:r>
      <w:r>
        <w:t>2026-05-11 00:00:00+00:00</w:t>
      </w:r>
      <w:r>
        <w:t xml:space="preserve">    </w:t>
      </w:r>
      <w:r>
        <w:rPr>
          <w:b/>
        </w:rPr>
        <w:t xml:space="preserve">DOI: </w:t>
      </w:r>
      <w:hyperlink r:id="rId322">
        <w:r>
          <w:rPr>
            <w:color w:val="1155CC"/>
            <w:u w:val="single"/>
          </w:rPr>
          <w:t>10.1038/s41557-026-02143-4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 </w:t>
      </w:r>
      <w:hyperlink r:id="rId323">
        <w:r>
          <w:rPr>
            <w:color w:val="1155CC"/>
            <w:u w:val="single"/>
          </w:rPr>
          <w:t>出版商更正：在火星Neretva Vallis中与氧化还原有机相互作用共存的强镍富集</w:t>
        </w:r>
      </w:hyperlink>
    </w:p>
    <w:p>
      <w:pPr>
        <w:spacing w:before="0" w:after="80"/>
      </w:pPr>
      <w:r>
        <w:rPr>
          <w:i/>
          <w:sz w:val="20"/>
        </w:rPr>
        <w:t>EN: Publisher Correction: Strong nickel enrichment co-located with redox-organic interactions in Neretva Vallis, Mars</w:t>
      </w:r>
    </w:p>
    <w:p>
      <w:pPr>
        <w:spacing w:before="0" w:after="120"/>
      </w:pPr>
      <w:r>
        <w:rPr>
          <w:b/>
        </w:rPr>
        <w:t xml:space="preserve">Source: </w:t>
      </w:r>
      <w:r>
        <w:t>Nature Communications</w:t>
      </w:r>
      <w:r>
        <w:t xml:space="preserve">    </w:t>
      </w:r>
      <w:r>
        <w:rPr>
          <w:b/>
        </w:rPr>
        <w:t xml:space="preserve">Pub date: </w:t>
      </w:r>
      <w:r>
        <w:t>2026-05-11 00:00:00+00:00</w:t>
      </w:r>
      <w:r>
        <w:t xml:space="preserve">    </w:t>
      </w:r>
      <w:r>
        <w:rPr>
          <w:b/>
        </w:rPr>
        <w:t xml:space="preserve">DOI: </w:t>
      </w:r>
      <w:hyperlink r:id="rId324">
        <w:r>
          <w:rPr>
            <w:color w:val="1155CC"/>
            <w:u w:val="single"/>
          </w:rPr>
          <w:t>10.1038/s41467-026-72826-6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325">
        <w:r>
          <w:rPr>
            <w:color w:val="1155CC"/>
            <w:u w:val="single"/>
          </w:rPr>
          <w:t>电力系统灵活性的协调源-网-荷-储规划：中国的一个案例研究</w:t>
        </w:r>
      </w:hyperlink>
    </w:p>
    <w:p>
      <w:pPr>
        <w:spacing w:before="0" w:after="80"/>
      </w:pPr>
      <w:r>
        <w:rPr>
          <w:i/>
          <w:sz w:val="20"/>
        </w:rPr>
        <w:t>EN: Coordinated source–grid–load–storage planning for power system flexibility: A case study in China</w:t>
      </w:r>
    </w:p>
    <w:p>
      <w:pPr>
        <w:spacing w:before="0" w:after="120"/>
      </w:pPr>
      <w:r>
        <w:rPr>
          <w:b/>
        </w:rPr>
        <w:t xml:space="preserve">Source: </w:t>
      </w:r>
      <w:r>
        <w:t>ScienceDirect Publication: Applied Energy</w:t>
      </w:r>
      <w:r>
        <w:t xml:space="preserve">    </w:t>
      </w:r>
      <w:r>
        <w:rPr>
          <w:b/>
        </w:rPr>
        <w:t xml:space="preserve">Pub date: </w:t>
      </w:r>
      <w:r>
        <w:t>2026-05-11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326">
        <w:r>
          <w:rPr>
            <w:color w:val="1155CC"/>
            <w:u w:val="single"/>
          </w:rPr>
          <w:t>出版商更正：在Rett综合征小鼠模型中，症状前训练减轻了功能缺陷</w:t>
        </w:r>
      </w:hyperlink>
    </w:p>
    <w:p>
      <w:pPr>
        <w:spacing w:before="0" w:after="80"/>
      </w:pPr>
      <w:r>
        <w:rPr>
          <w:i/>
          <w:sz w:val="20"/>
        </w:rPr>
        <w:t>EN: Publisher Correction: Presymptomatic training mitigates functional deficits in a mouse model of Rett syndrome</w:t>
      </w:r>
    </w:p>
    <w:p>
      <w:pPr>
        <w:spacing w:before="0" w:after="120"/>
      </w:pPr>
      <w:r>
        <w:rPr>
          <w:b/>
        </w:rPr>
        <w:t xml:space="preserve">Source: </w:t>
      </w:r>
      <w:r>
        <w:t>Nature</w:t>
      </w:r>
      <w:r>
        <w:t xml:space="preserve">    </w:t>
      </w:r>
      <w:r>
        <w:rPr>
          <w:b/>
        </w:rPr>
        <w:t xml:space="preserve">Pub date: </w:t>
      </w:r>
      <w:r>
        <w:t>2026-05-11 00:00:00+00:00</w:t>
      </w:r>
      <w:r>
        <w:t xml:space="preserve">    </w:t>
      </w:r>
      <w:r>
        <w:rPr>
          <w:b/>
        </w:rPr>
        <w:t xml:space="preserve">DOI: </w:t>
      </w:r>
      <w:hyperlink r:id="rId327">
        <w:r>
          <w:rPr>
            <w:color w:val="1155CC"/>
            <w:u w:val="single"/>
          </w:rPr>
          <w:t>10.1038/s41586-026-10578-5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328">
        <w:r>
          <w:rPr>
            <w:color w:val="1155CC"/>
            <w:u w:val="single"/>
          </w:rPr>
          <w:t>橡树结实在高度破碎、花粉受限的景观中崩溃</w:t>
        </w:r>
      </w:hyperlink>
    </w:p>
    <w:p>
      <w:pPr>
        <w:spacing w:before="0" w:after="80"/>
      </w:pPr>
      <w:r>
        <w:rPr>
          <w:i/>
          <w:sz w:val="20"/>
        </w:rPr>
        <w:t>EN: Oak masting breaks down in a highly fragmented, pollen-limited landscape</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29">
        <w:r>
          <w:rPr>
            <w:color w:val="1155CC"/>
            <w:u w:val="single"/>
          </w:rPr>
          <w:t>10.1073/pnas.2533900123</w:t>
        </w:r>
      </w:hyperlink>
    </w:p>
    <w:p>
      <w:pPr>
        <w:spacing w:before="0" w:after="120"/>
      </w:pPr>
      <w:r>
        <w:rPr>
          <w:b/>
        </w:rPr>
        <w:t xml:space="preserve">Notes: </w:t>
      </w:r>
      <w:r>
        <w:t>abstract_source=crossref</w:t>
      </w:r>
    </w:p>
    <w:p>
      <w:pPr>
        <w:spacing w:before="0" w:after="80" w:lineRule="auto" w:line="276"/>
      </w:pPr>
      <w:r>
        <w:rPr>
          <w:b/>
        </w:rPr>
        <w:t xml:space="preserve">摘要（ZH）: </w:t>
      </w:r>
      <w:r>
        <w:t>大规模结实，即可变且同步的种子产量，在风媒授粉的树木中很常见，而周期性花粉限制被认为是大规模结实过程的重要组成部分。然而，对于孤立树木的大规模种子生产或花粉限制的动态知之甚少。我们在加利福尼亚中央谷地的一个高度碎片化的景观中追踪了山谷橡树（Quercus lobata）11年的种子生产，其中许多树木在500米内没有同种邻居。我们发现，邻居较近的橡树平均产出更多的橡子，而邻居较少的橡树则产出较少。与将大规模结实与授粉联系起来的理论一致，隔离效应在种子产量最高的年份最为明显。虽然个别树木在种子生产上表现出显著的年际变化，但与加利福尼亚州完整的橡树种群相比，我们观察到个体之间的种子生产同步性较低。我们的结果表明，高度碎片化的种群表现出花粉限制的迹象，并且不产生同步的种子作物。碎片化与气候变化一起，是全球变化的一个维度，打断了树木典型的种子生产动态。</w:t>
      </w:r>
    </w:p>
    <w:p>
      <w:pPr>
        <w:spacing w:before="0" w:after="200" w:lineRule="auto" w:line="276"/>
      </w:pPr>
      <w:r>
        <w:rPr>
          <w:b/>
        </w:rPr>
        <w:t xml:space="preserve">Abstract (EN): </w:t>
      </w:r>
      <w:r>
        <w:t>Masting, the production of variable and synchronous seed crops, is common among wind pollinated trees, and periodic pollen limitation is thought to be an important component of the process of masting. However, little is known either about the dynamics of mast seed production or pollen limitation in isolated trees. We tracked seed production of valley oak (</w:t>
      </w:r>
      <w:r>
        <w:t xml:space="preserve"> </w:t>
      </w:r>
      <w:r>
        <w:t>Quercus lobata</w:t>
      </w:r>
      <w:r>
        <w:t xml:space="preserve"> </w:t>
      </w:r>
      <w:r>
        <w:t>) over 11 years in a highly fragmented landscape in California’s Central Valley in which many trees lacked conspecific neighbors within 500 m. We found that oaks with closer neighbors produced more acorns on average than oaks with fewer neighbors. Consistent with theories linking mast seeding and pollination, the isolation effect was most apparent in the highest seed production years. While individual trees showed substantial interannual variation in seed production, we observed little synchrony in seed production among individuals compared to intact oak populations throughout California. Our results indicate that highly fragmented populations suffer signs of pollen limitation and do not produce synchronous seed crops. Fragmentation, alongside climate change, is a dimension of global change that interrupts the typical seed production dynamics of trees.</w:t>
      </w:r>
    </w:p>
    <w:p>
      <w:pPr>
        <w:spacing w:before="120" w:after="120"/>
      </w:pPr>
      <w:r>
        <w:rPr>
          <w:sz w:val="18"/>
        </w:rPr>
        <w:t>——————————————————————————————————————————————————————————————————————</w:t>
      </w:r>
    </w:p>
    <w:p>
      <w:pPr>
        <w:spacing w:before="160" w:after="40" w:line="240" w:lineRule="auto"/>
      </w:pPr>
      <w:r>
        <w:rPr>
          <w:b/>
        </w:rPr>
        <w:t xml:space="preserve">[72] </w:t>
      </w:r>
      <w:hyperlink r:id="rId330">
        <w:r>
          <w:rPr>
            <w:color w:val="1155CC"/>
            <w:u w:val="single"/>
          </w:rPr>
          <w:t>全球和区域气候模式调节武装冲突风险</w:t>
        </w:r>
      </w:hyperlink>
    </w:p>
    <w:p>
      <w:pPr>
        <w:spacing w:before="0" w:after="80"/>
      </w:pPr>
      <w:r>
        <w:rPr>
          <w:i/>
          <w:sz w:val="20"/>
        </w:rPr>
        <w:t>EN: Global and regional climate modes modulate armed conflict risk</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31">
        <w:r>
          <w:rPr>
            <w:color w:val="1155CC"/>
            <w:u w:val="single"/>
          </w:rPr>
          <w:t>10.1073/pnas.2532935123</w:t>
        </w:r>
      </w:hyperlink>
    </w:p>
    <w:p>
      <w:pPr>
        <w:spacing w:before="0" w:after="120"/>
      </w:pPr>
      <w:r>
        <w:rPr>
          <w:b/>
        </w:rPr>
        <w:t xml:space="preserve">Notes: </w:t>
      </w:r>
      <w:r>
        <w:t>abstract_source=crossref</w:t>
      </w:r>
    </w:p>
    <w:p>
      <w:pPr>
        <w:spacing w:before="0" w:after="80" w:lineRule="auto" w:line="276"/>
      </w:pPr>
      <w:r>
        <w:rPr>
          <w:b/>
        </w:rPr>
        <w:t xml:space="preserve">摘要（ZH）: </w:t>
      </w:r>
      <w:r>
        <w:t>由于对干旱、饥荒和洪水的影响，气候变率模式可以塑造社会不稳定的模式。然而，将气候变率与武装冲突联系起来的机制仍然存在争议，尤其是相对于冲突的众多社会政治和经济决定因素。一个关键挑战是大多数研究依赖于粗略的国家级数据，并将气候遥相关视为不变。因此，尚不清楚是否存在选择冲突风险的独特气候危害；冲突是否与气候危害暴露成比例；以及此类关联是否存在于更区域性的气候变率中。在此，我们利用经验建模，使用高分辨率的武装冲突网格数据集和由两个主要气候模式——厄尔尼诺-南方涛动（ENSO）和印度洋偶极子（IOD）——提供的自然实验，阐明系统性水文气候异常如何影响冲突的出现。我们的结果揭示了以下几点：首先，冲突风险在厄尔尼诺期间增加，但与ENSO相关的风险并不随遥相关强度线性增加；而且，阈值行为的证据因空间聚合而异。其次，厄尔尼诺相关的冲突风险增加是通过其干燥的遥相关产生的，湿润遥相关的证据有限。最后，更区域性限制的IOD也影响冲突，正负相位都在强遥相关地区（即非洲之角和东南亚）提高风险。这些结果揭示了</w:t>
      </w:r>
    </w:p>
    <w:p>
      <w:pPr>
        <w:spacing w:before="0" w:after="200" w:lineRule="auto" w:line="276"/>
      </w:pPr>
      <w:r>
        <w:rPr>
          <w:b/>
        </w:rPr>
        <w:t xml:space="preserve">Abstract (EN): </w:t>
      </w:r>
      <w:r>
        <w:t>Because of their impacts on droughts, famines, and floods, modes of climate variability can shape patterns of social instability. Yet the mechanisms linking climate variability to armed conflict remain contested, especially relative to the myriad sociopolitical and economic determinants of conflict. A key challenge is that most studies rely on coarse, state-level data and treat climatic teleconnections as invariant. As such, it is unknown whether there are distinct climate hazards that select for conflict risk; whether conflict scales with climate hazard exposure; and whether such associations exist for more regional forms of climate variability. Here we leverage empirical modeling using a high-resolution gridded dataset of armed conflicts and the natural experiment afforded by two major climate modes—the El Niño–Southern Oscillation (ENSO) and the Indian Ocean Dipole (IOD)—to clarify how systematic hydroclimatic anomalies influence conflict emergence. Our results reveal the following: First, conflict risk heightens during El Niño, but ENSO-associated risk does not scale linearly with teleconnection strength; and, evidence for threshold behavior varies with spatial aggregation. Second, El Niño-related increases in conflict risk arise through its</w:t>
      </w:r>
      <w:r>
        <w:t xml:space="preserve"> </w:t>
      </w:r>
      <w:r>
        <w:t>dry</w:t>
      </w:r>
      <w:r>
        <w:t xml:space="preserve"> </w:t>
      </w:r>
      <w:r>
        <w:t>teleconnections, with limited evidence for wet teleconnections. Finally, the more regionally confined IOD also influences conflict, with both positive and negative phases elevating risk in strongly teleconnected regions, namely the Horn of Africa and Southeast Asia. These results reveal that modes of climate variability can differentially shape conflict risk, offering insight into societies’ vulnerabilities to natural climate fluctuations and, by extension, anthropogenic climate change.</w:t>
      </w:r>
    </w:p>
    <w:p>
      <w:pPr>
        <w:spacing w:before="120" w:after="120"/>
      </w:pPr>
      <w:r>
        <w:rPr>
          <w:sz w:val="18"/>
        </w:rPr>
        <w:t>——————————————————————————————————————————————————————————————————————</w:t>
      </w:r>
    </w:p>
    <w:p>
      <w:pPr>
        <w:spacing w:before="160" w:after="40" w:line="240" w:lineRule="auto"/>
      </w:pPr>
      <w:r>
        <w:rPr>
          <w:b/>
        </w:rPr>
        <w:t xml:space="preserve">[73] </w:t>
      </w:r>
      <w:hyperlink r:id="rId332">
        <w:r>
          <w:rPr>
            <w:color w:val="1155CC"/>
            <w:u w:val="single"/>
          </w:rPr>
          <w:t>来自南非的Swartkrans Paranthropus和Sterkfontein Australopithecus具有不同的运动模式</w:t>
        </w:r>
      </w:hyperlink>
    </w:p>
    <w:p>
      <w:pPr>
        <w:spacing w:before="0" w:after="80"/>
      </w:pPr>
      <w:r>
        <w:rPr>
          <w:i/>
          <w:sz w:val="20"/>
        </w:rPr>
        <w:t>EN: Swartkrans Paranthropus and Sterkfontein Australopithecus from southern Africa had different locomotor repertoires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33">
        <w:r>
          <w:rPr>
            <w:color w:val="1155CC"/>
            <w:u w:val="single"/>
          </w:rPr>
          <w:t>10.1073/pnas.2532193123</w:t>
        </w:r>
      </w:hyperlink>
    </w:p>
    <w:p>
      <w:pPr>
        <w:spacing w:before="0" w:after="120"/>
      </w:pPr>
      <w:r>
        <w:rPr>
          <w:b/>
        </w:rPr>
        <w:t xml:space="preserve">Notes: </w:t>
      </w:r>
      <w:r>
        <w:t>abstract_source=crossref</w:t>
      </w:r>
    </w:p>
    <w:p>
      <w:pPr>
        <w:spacing w:before="0" w:after="80" w:lineRule="auto" w:line="276"/>
      </w:pPr>
      <w:r>
        <w:rPr>
          <w:b/>
        </w:rPr>
        <w:t xml:space="preserve">摘要（ZH）: </w:t>
      </w:r>
      <w:r>
        <w:t>南部非洲的古人类化石传统上归属于</w:t>
      </w:r>
      <w:r>
        <w:t xml:space="preserve"> </w:t>
      </w:r>
      <w:r>
        <w:t>Paranthropus robustus</w:t>
      </w:r>
      <w:r>
        <w:t xml:space="preserve"> </w:t>
      </w:r>
      <w:r>
        <w:t>和</w:t>
      </w:r>
      <w:r>
        <w:t xml:space="preserve"> </w:t>
      </w:r>
      <w:r>
        <w:t>Australopithecus africanus</w:t>
      </w:r>
      <w:r>
        <w:t xml:space="preserve"> </w:t>
      </w:r>
      <w:r>
        <w:t>，它们通过牙齿和颅骨结构彼此区分开来，但它们的后颅解剖结构通常被认为在功能上大致相似（即，陆地双足行走与一定程度的树栖运动）。测试这两个分类群之间相似的运动方式的假设因缺乏可归属于</w:t>
      </w:r>
      <w:r>
        <w:t xml:space="preserve"> </w:t>
      </w:r>
      <w:r>
        <w:t>P. robustus</w:t>
      </w:r>
      <w:r>
        <w:t xml:space="preserve"> </w:t>
      </w:r>
      <w:r>
        <w:t>的后颅化石而变得复杂。在此，我们详细介绍了对最近描述的约1.8百万年前</w:t>
      </w:r>
      <w:r>
        <w:t xml:space="preserve"> </w:t>
      </w:r>
      <w:r>
        <w:t>P. robustus</w:t>
      </w:r>
      <w:r>
        <w:t xml:space="preserve"> </w:t>
      </w:r>
      <w:r>
        <w:t>关节股骨和胫骨的内部骨骼解剖结构的比较研究，表明关节负荷和运动行为的不同模式。我们对髋部的皮质骨和踝、膝、髋关节的松质骨的分析表明，</w:t>
      </w:r>
      <w:r>
        <w:t xml:space="preserve"> </w:t>
      </w:r>
      <w:r>
        <w:t>P</w:t>
      </w:r>
      <w:r>
        <w:t xml:space="preserve"> </w:t>
      </w:r>
      <w:r>
        <w:t>.</w:t>
      </w:r>
      <w:r>
        <w:t xml:space="preserve"> </w:t>
      </w:r>
      <w:r>
        <w:t>robustus</w:t>
      </w:r>
      <w:r>
        <w:t xml:space="preserve"> </w:t>
      </w:r>
      <w:r>
        <w:t>经常采用高频率的踝、膝、髋屈曲，这对于攀爬是必要的，而来自Sterkfontein遗址约3.4百万年前的</w:t>
      </w:r>
      <w:r>
        <w:t xml:space="preserve"> </w:t>
      </w:r>
      <w:r>
        <w:t>Australopithecus</w:t>
      </w:r>
      <w:r>
        <w:t xml:space="preserve"> </w:t>
      </w:r>
      <w:r>
        <w:t>显示出更现代人类样的下肢关节结构模式，与相对更频繁的陆地双足行走一致。这些结果揭示了地质上较年轻的</w:t>
      </w:r>
      <w:r>
        <w:t xml:space="preserve"> </w:t>
      </w:r>
      <w:r>
        <w:t>P</w:t>
      </w:r>
      <w:r>
        <w:t xml:space="preserve"> </w:t>
      </w:r>
      <w:r>
        <w:t>.</w:t>
      </w:r>
      <w:r>
        <w:t xml:space="preserve"> </w:t>
      </w:r>
      <w:r>
        <w:t>robustus</w:t>
      </w:r>
    </w:p>
    <w:p>
      <w:pPr>
        <w:spacing w:before="0" w:after="200" w:lineRule="auto" w:line="276"/>
      </w:pPr>
      <w:r>
        <w:rPr>
          <w:b/>
        </w:rPr>
        <w:t xml:space="preserve">Abstract (EN): </w:t>
      </w:r>
      <w:r>
        <w:t>Southern African hominin fossils traditionally attributed to</w:t>
      </w:r>
      <w:r>
        <w:t xml:space="preserve"> </w:t>
      </w:r>
      <w:r>
        <w:t>Paranthropus robustus</w:t>
      </w:r>
      <w:r>
        <w:t xml:space="preserve"> </w:t>
      </w:r>
      <w:r>
        <w:t>and</w:t>
      </w:r>
      <w:r>
        <w:t xml:space="preserve"> </w:t>
      </w:r>
      <w:r>
        <w:t>Australopithecus africanus</w:t>
      </w:r>
      <w:r>
        <w:t xml:space="preserve"> </w:t>
      </w:r>
      <w:r>
        <w:t>are differentiated from each other by their dentition and cranial architecture, but their postcranial anatomy has typically been regarded functionally as broadly similar (i.e., terrestrial bipedalism with some degree of arboreal locomotion). Testing the hypothesis of a similar locomotor repertoire between these two taxa has been complicated by a lack of postcranial fossils attributable to</w:t>
      </w:r>
      <w:r>
        <w:t xml:space="preserve"> </w:t>
      </w:r>
      <w:r>
        <w:t>P. robustus</w:t>
      </w:r>
      <w:r>
        <w:t xml:space="preserve"> </w:t>
      </w:r>
      <w:r>
        <w:t>. Here, we detail our comparative examination of the internal bone anatomy of a recently described c. 1.8 Ma</w:t>
      </w:r>
      <w:r>
        <w:t xml:space="preserve"> </w:t>
      </w:r>
      <w:r>
        <w:t>P. robustus</w:t>
      </w:r>
      <w:r>
        <w:t xml:space="preserve"> </w:t>
      </w:r>
      <w:r>
        <w:t>articulating femur and tibia, which suggests distinct patterns of joint loading and locomotor behavior. Our analysis of cortical bone in the hip and trabecular bone in the ankle, knee, and hip joints suggests that</w:t>
      </w:r>
      <w:r>
        <w:t xml:space="preserve"> </w:t>
      </w:r>
      <w:r>
        <w:t>P</w:t>
      </w:r>
      <w:r>
        <w:t xml:space="preserve"> </w:t>
      </w:r>
      <w:r>
        <w:t>.</w:t>
      </w:r>
      <w:r>
        <w:t xml:space="preserve"> </w:t>
      </w:r>
      <w:r>
        <w:t>robustus</w:t>
      </w:r>
      <w:r>
        <w:t xml:space="preserve"> </w:t>
      </w:r>
      <w:r>
        <w:t>habitually adopted a high frequency of ankle, knee, and hip flexion, as required for climbing, while</w:t>
      </w:r>
      <w:r>
        <w:t xml:space="preserve"> </w:t>
      </w:r>
      <w:r>
        <w:t>Australopithecus</w:t>
      </w:r>
      <w:r>
        <w:t xml:space="preserve"> </w:t>
      </w:r>
      <w:r>
        <w:t>from a c. 3.4 Ma level at the site of Sterkfontein displays a more modern human-like structural pattern across the lower limb joints consistent with comparatively more frequent terrestrial bipedalism. These results reveal that geologically younger</w:t>
      </w:r>
      <w:r>
        <w:t xml:space="preserve"> </w:t>
      </w:r>
      <w:r>
        <w:t>P</w:t>
      </w:r>
      <w:r>
        <w:t xml:space="preserve"> </w:t>
      </w:r>
      <w:r>
        <w:t>.</w:t>
      </w:r>
      <w:r>
        <w:t xml:space="preserve"> </w:t>
      </w:r>
      <w:r>
        <w:t>robustus</w:t>
      </w:r>
      <w:r>
        <w:t xml:space="preserve"> </w:t>
      </w:r>
      <w:r>
        <w:t>likely used arboreality more frequently than older Sterkfontein</w:t>
      </w:r>
      <w:r>
        <w:t xml:space="preserve"> </w:t>
      </w:r>
      <w:r>
        <w:t>Australopithecus</w:t>
      </w:r>
      <w:r>
        <w:t xml:space="preserve"> </w:t>
      </w:r>
      <w:r>
        <w:t>. Together with differences in masticatory behavior, this line of evidence indicates that these two hominin taxa occupied distinct ecological niches.</w:t>
      </w:r>
    </w:p>
    <w:p>
      <w:pPr>
        <w:spacing w:before="120" w:after="120"/>
      </w:pPr>
      <w:r>
        <w:rPr>
          <w:sz w:val="18"/>
        </w:rPr>
        <w:t>——————————————————————————————————————————————————————————————————————</w:t>
      </w:r>
    </w:p>
    <w:p>
      <w:pPr>
        <w:spacing w:before="160" w:after="40" w:line="240" w:lineRule="auto"/>
      </w:pPr>
      <w:r>
        <w:rPr>
          <w:b/>
        </w:rPr>
        <w:t xml:space="preserve">[74] </w:t>
      </w:r>
      <w:hyperlink r:id="rId334">
        <w:r>
          <w:rPr>
            <w:color w:val="1155CC"/>
            <w:u w:val="single"/>
          </w:rPr>
          <w:t>MHC-I多样性使野兔种群在病毒大流行期间能够快速适应</w:t>
        </w:r>
      </w:hyperlink>
    </w:p>
    <w:p>
      <w:pPr>
        <w:spacing w:before="0" w:after="80"/>
      </w:pPr>
      <w:r>
        <w:rPr>
          <w:i/>
          <w:sz w:val="20"/>
        </w:rPr>
        <w:t>EN: MHC-I diversity enables rapid adaptation during a viral pandemic in wild rabbit populations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35">
        <w:r>
          <w:rPr>
            <w:color w:val="1155CC"/>
            <w:u w:val="single"/>
          </w:rPr>
          <w:t>10.1073/pnas.2532064123</w:t>
        </w:r>
      </w:hyperlink>
    </w:p>
    <w:p>
      <w:pPr>
        <w:spacing w:before="0" w:after="120"/>
      </w:pPr>
      <w:r>
        <w:rPr>
          <w:b/>
        </w:rPr>
        <w:t xml:space="preserve">Notes: </w:t>
      </w:r>
      <w:r>
        <w:t>abstract_source=crossref</w:t>
      </w:r>
    </w:p>
    <w:p>
      <w:pPr>
        <w:spacing w:before="0" w:after="80" w:lineRule="auto" w:line="276"/>
      </w:pPr>
      <w:r>
        <w:rPr>
          <w:b/>
        </w:rPr>
        <w:t xml:space="preserve">摘要（ZH）: </w:t>
      </w:r>
      <w:r>
        <w:t>新兴疾病可能对野生物种产生毁灭性后果，其长期影响取决于宿主进化出抵抗力的能力。在此，我们展示了主要组织相容性复合体（MHC）基因提供了现有的遗传变异，使兔子能够对始于1950年代的粘液瘤病毒大流行做出快速进化反应。通过使用从1865年开始并跨越大流行的历史和现代标本，我们发现了澳大利亚、英国和法国的MHC-I等位基因频率的强烈平行变化，以及特定于种群的信号。这些进化变化预计会改变呈现给T细胞的肽。我们的结果提供了证据，表明在大流行期间，自然种群中的MHC-I受到强烈选择，并且MHC的高多态性可能有助于这些种群的恢复。</w:t>
      </w:r>
    </w:p>
    <w:p>
      <w:pPr>
        <w:spacing w:before="0" w:after="200" w:lineRule="auto" w:line="276"/>
      </w:pPr>
      <w:r>
        <w:rPr>
          <w:b/>
        </w:rPr>
        <w:t xml:space="preserve">Abstract (EN): </w:t>
      </w:r>
      <w:r>
        <w:t>Emerging diseases can have devastating consequences for wild species, with long-term effects depending on the ability of the host to evolve resistance. Here, we show that major histocompatibility complex (MHC) genes provided standing genetic variation that enabled rabbits to mount a rapid evolutionary response to the myxoma virus pandemic that began in the 1950s. Using historical and modern specimens starting in 1865 and spanning the pandemic, we found strong parallel shifts in MHC-I allele frequencies across Australia, Britain, and France, alongside population-specific signals. These evolutionary shifts are predicted to alter the peptides presented to T cells. Our results provide evidence that MHC-I is under strong selection in natural populations during a pandemic and that the high polymorphism of MHC may have contributed to the recovery of these populations.</w:t>
      </w:r>
    </w:p>
    <w:p>
      <w:pPr>
        <w:spacing w:before="120" w:after="120"/>
      </w:pPr>
      <w:r>
        <w:rPr>
          <w:sz w:val="18"/>
        </w:rPr>
        <w:t>——————————————————————————————————————————————————————————————————————</w:t>
      </w:r>
    </w:p>
    <w:p>
      <w:pPr>
        <w:spacing w:before="160" w:after="40" w:line="240" w:lineRule="auto"/>
      </w:pPr>
      <w:r>
        <w:rPr>
          <w:b/>
        </w:rPr>
        <w:t xml:space="preserve">[75] </w:t>
      </w:r>
      <w:hyperlink r:id="rId336">
        <w:r>
          <w:rPr>
            <w:color w:val="1155CC"/>
            <w:u w:val="single"/>
          </w:rPr>
          <w:t>观察胶体凝胶中延迟崩溃的机制：在变强的同时屈服</w:t>
        </w:r>
      </w:hyperlink>
    </w:p>
    <w:p>
      <w:pPr>
        <w:spacing w:before="0" w:after="80"/>
      </w:pPr>
      <w:r>
        <w:rPr>
          <w:i/>
          <w:sz w:val="20"/>
        </w:rPr>
        <w:t>EN: Observing the mechanism of delayed collapse in colloidal gels: Yielding while becoming stronger</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37">
        <w:r>
          <w:rPr>
            <w:color w:val="1155CC"/>
            <w:u w:val="single"/>
          </w:rPr>
          <w:t>10.1073/pnas.2528499123</w:t>
        </w:r>
      </w:hyperlink>
    </w:p>
    <w:p>
      <w:pPr>
        <w:spacing w:before="0" w:after="120"/>
      </w:pPr>
      <w:r>
        <w:rPr>
          <w:b/>
        </w:rPr>
        <w:t xml:space="preserve">Notes: </w:t>
      </w:r>
      <w:r>
        <w:t>abstract_source=crossref</w:t>
      </w:r>
    </w:p>
    <w:p>
      <w:pPr>
        <w:spacing w:before="0" w:after="80" w:lineRule="auto" w:line="276"/>
      </w:pPr>
      <w:r>
        <w:rPr>
          <w:b/>
        </w:rPr>
        <w:t xml:space="preserve">摘要（ZH）: </w:t>
      </w:r>
      <w:r>
        <w:t>胶体凝胶的延迟崩溃是一个令人困惑的问题。尽管胶体-聚合物混合物的平衡行为已被很好地理解，但远离平衡的凝胶的行为却出乎意料地复杂。随着凝胶的老化，由于粗化它们变得更强，但没有表现出其他宏观变化。对于一种强度随时间增加的材料来说，凝胶可能在重力作用下突然发生灾难性崩溃，有时在制备后数周甚至数年。对这种延迟崩溃的理解长期以来一直难以捉摸。在此，我们使用各种技术在不同长度尺度上探测延迟崩溃，从时间推移成像、粒子图像测速和宏观尺度的原位叶片流变学到多尺度共聚焦显微镜，我们用显微级别的细节成像完整样本。获得的见解使我们能够识别延迟崩溃的机制：凝胶顶部的异质性增加导致溶剂丰富材料的液滴，这些液滴比凝胶更密。当达到足够的大小时，这些液滴克服了凝胶的屈服应力，随着它们的下降在凝胶中形成通道。当它们到达凝胶底部时，这些通道随后使溶剂快速流动并导致突然的灾难性崩溃。</w:t>
      </w:r>
    </w:p>
    <w:p>
      <w:pPr>
        <w:spacing w:before="0" w:after="200" w:lineRule="auto" w:line="276"/>
      </w:pPr>
      <w:r>
        <w:rPr>
          <w:b/>
        </w:rPr>
        <w:t xml:space="preserve">Abstract (EN): </w:t>
      </w:r>
      <w:r>
        <w:t>The delayed collapse of colloidal gels is a vexing problem. Although the equilibrium behavior of colloid-polymer mixtures is well understood, that of far-from-equilibrium gels is surprisingly complex. As the gels age, they become stronger due to coarsening but exhibit no other macroscopic change. Quite counterintuitively for a material whose strength increases with time, gels may undergo sudden, catastrophic collapse under gravity, sometimes weeks or even years after preparation. An understanding of such delayed collapse has long remained elusive. Here, we probe delayed collapse using a variety of techniques across a range of length scales, from time-lapse imaging, particle-image velocimetry, and in situ vane rheology at the macroscopic scale to multiscale confocal microscopy, with which we image a complete sample with a microscopic level of detail. The insight obtained enables us to identify a mechanism for delayed collapse: increased heterogeneity at the top of the gel leads to droplets of solvent-rich material which are denser than the gel. Upon reaching a sufficient size, these droplets overcome the yield stress of the gel, creating channels in the gel as they fall. When they reach the bottom of the gel, these channels then enable rapid solvent flow and sudden, catastrophic collapse.</w:t>
      </w:r>
    </w:p>
    <w:p>
      <w:pPr>
        <w:spacing w:before="120" w:after="120"/>
      </w:pPr>
      <w:r>
        <w:rPr>
          <w:sz w:val="18"/>
        </w:rPr>
        <w:t>——————————————————————————————————————————————————————————————————————</w:t>
      </w:r>
    </w:p>
    <w:p>
      <w:pPr>
        <w:spacing w:before="160" w:after="40" w:line="240" w:lineRule="auto"/>
      </w:pPr>
      <w:r>
        <w:rPr>
          <w:b/>
        </w:rPr>
        <w:t xml:space="preserve">[76] </w:t>
      </w:r>
      <w:hyperlink r:id="rId338">
        <w:r>
          <w:rPr>
            <w:color w:val="1155CC"/>
            <w:u w:val="single"/>
          </w:rPr>
          <w:t>温度依赖的反馈驱动南极温度变化模式</w:t>
        </w:r>
      </w:hyperlink>
    </w:p>
    <w:p>
      <w:pPr>
        <w:spacing w:before="0" w:after="80"/>
      </w:pPr>
      <w:r>
        <w:rPr>
          <w:i/>
          <w:sz w:val="20"/>
        </w:rPr>
        <w:t>EN: Temperature-dependent feedbacks drive the pattern of Antarctic temperature change</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39">
        <w:r>
          <w:rPr>
            <w:color w:val="1155CC"/>
            <w:u w:val="single"/>
          </w:rPr>
          <w:t>10.1073/pnas.2513383123</w:t>
        </w:r>
      </w:hyperlink>
    </w:p>
    <w:p>
      <w:pPr>
        <w:spacing w:before="0" w:after="120"/>
      </w:pPr>
      <w:r>
        <w:rPr>
          <w:b/>
        </w:rPr>
        <w:t xml:space="preserve">Notes: </w:t>
      </w:r>
      <w:r>
        <w:t>abstract_source=crossref</w:t>
      </w:r>
    </w:p>
    <w:p>
      <w:pPr>
        <w:spacing w:before="0" w:after="80" w:lineRule="auto" w:line="276"/>
      </w:pPr>
      <w:r>
        <w:rPr>
          <w:b/>
        </w:rPr>
        <w:t xml:space="preserve">摘要（ZH）: </w:t>
      </w:r>
      <w:r>
        <w:t>南极洲是地球气候系统的重要组成部分。在这里，我们研究了南极洲在从千年到轨道的不同时间尺度上的温度变化，使用冰芯水同位素记录的汇编来研究过去4×10^5年。我们识别出一种持续的变化模式，其中南极某地的温度变异性随着其平均地表温度的升高而增加。当整个大陆变暖时，南极洲最温暖的部分变暖更多；当整个大陆变冷时，最温暖的部分变冷更多。这种模式与普朗克响应不一致，普朗克响应是南极温度变化的最简单可能的零假设。然而，温度依赖的反馈解释了温度变化的基本模式。反馈源于温室效应的非线性，仅在南极的寒冷地表温度下显现。这种反馈可能由任何平均能量强迫引发，因此在所有时间尺度上表现出来。温度变化预期模式的局部偏差表明区域强迫，例如冰盖高度的变化。我们重建了西南极洲主要冰分界线在最后一次冰消期的地表高度，发现这一历史得到了支持。</w:t>
      </w:r>
    </w:p>
    <w:p>
      <w:pPr>
        <w:spacing w:before="0" w:after="200" w:lineRule="auto" w:line="276"/>
      </w:pPr>
      <w:r>
        <w:rPr>
          <w:b/>
        </w:rPr>
        <w:t xml:space="preserve">Abstract (EN): </w:t>
      </w:r>
      <w:r>
        <w:t>Antarctica is an important component of the Earth’s climate system. Here we investigate temperature change in Antarctica across a range of timescales, from millennial to orbital, over the last</w:t>
      </w:r>
      <w:r>
        <w:t xml:space="preserve"> </w:t>
      </w:r>
      <w:r>
        <w:rPr>
          <w:vertAlign w:val="subscript"/>
        </w:rPr>
        <w:t>4</w:t>
      </w:r>
      <w:r>
        <w:t>×</w:t>
      </w:r>
      <w:r>
        <w:t xml:space="preserve"> </w:t>
      </w:r>
      <w:r>
        <w:rPr>
          <w:vertAlign w:val="subscript"/>
        </w:rPr>
        <w:t>10</w:t>
      </w:r>
      <w:r>
        <w:rPr>
          <w:vertAlign w:val="subscript"/>
        </w:rPr>
        <w:t>5</w:t>
      </w:r>
      <w:r>
        <w:t xml:space="preserve"> </w:t>
      </w:r>
      <w:r>
        <w:t>y, using a compilation of ice-core water-isotope records. We identify a persistent pattern of change in which the temperature variability of an Antarctic site increases with its mean surface temperature. When the entire continent warms, the warmest parts of Antarctica warm more; when the entire continent cools, the warmest parts cool more. This pattern is inconsistent with the Planck response, the simplest possible null hypothesis for Antarctic temperature change. However, a temperature-dependent feedback explains the fundamental pattern of temperature change. The feedback arises from a nonlinearity of the greenhouse effect, evident only at the cold surface temperatures of the Antarctic. This feedback may be initiated by any mean energetic forcing and thus manifests across all timescales. Local deviations from the expected pattern of temperature change indicate regional forcing such as changes in ice-sheet elevation. We reconstruct the surface elevation of the main ice divide in West Antarctica over the last deglaciation, finding a history that is supported by geological and glaciological evidence and consistent with ice-sheet modeling.</w:t>
      </w:r>
    </w:p>
    <w:p>
      <w:pPr>
        <w:spacing w:before="120" w:after="120"/>
      </w:pPr>
      <w:r>
        <w:rPr>
          <w:sz w:val="18"/>
        </w:rPr>
        <w:t>——————————————————————————————————————————————————————————————————————</w:t>
      </w:r>
    </w:p>
    <w:p>
      <w:pPr>
        <w:spacing w:before="160" w:after="40" w:line="240" w:lineRule="auto"/>
      </w:pPr>
      <w:r>
        <w:rPr>
          <w:b/>
        </w:rPr>
        <w:t xml:space="preserve">[77] </w:t>
      </w:r>
      <w:hyperlink r:id="rId340">
        <w:r>
          <w:rPr>
            <w:color w:val="1155CC"/>
            <w:u w:val="single"/>
          </w:rPr>
          <w:t>伴侣介导的自噬通过调节葡萄糖代谢酶的蛋白质稳态保护视网膜光感受器免于退化</w:t>
        </w:r>
      </w:hyperlink>
    </w:p>
    <w:p>
      <w:pPr>
        <w:spacing w:before="0" w:after="80"/>
      </w:pPr>
      <w:r>
        <w:rPr>
          <w:i/>
          <w:sz w:val="20"/>
        </w:rPr>
        <w:t>EN: Chaperone-mediated autophagy protects against retinal photoreceptor degeneration by modulating proteostasis of glucose metabolism enzymes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41">
        <w:r>
          <w:rPr>
            <w:color w:val="1155CC"/>
            <w:u w:val="single"/>
          </w:rPr>
          <w:t>10.1073/pnas.2527503123</w:t>
        </w:r>
      </w:hyperlink>
    </w:p>
    <w:p>
      <w:pPr>
        <w:spacing w:before="0" w:after="120"/>
      </w:pPr>
      <w:r>
        <w:rPr>
          <w:b/>
        </w:rPr>
        <w:t xml:space="preserve">Notes: </w:t>
      </w:r>
      <w:r>
        <w:t>abstract_source=crossref</w:t>
      </w:r>
    </w:p>
    <w:p>
      <w:pPr>
        <w:spacing w:before="0" w:after="80" w:lineRule="auto" w:line="276"/>
      </w:pPr>
      <w:r>
        <w:rPr>
          <w:b/>
        </w:rPr>
        <w:t xml:space="preserve">摘要（ZH）: </w:t>
      </w:r>
      <w:r>
        <w:t>蛋白质稳态缺陷是衰老细胞和组织的标志。在蛋白质稳态网络的不同组成部分中，本研究中我们专注于一种选择性自噬形式，称为伴侣介导的自噬（CMA），并着手了解其在视网膜中的生理作用。使用缺乏CMA的小鼠[溶酶体相关膜蛋白2A（Lamp2A）敲除]，我们发现CMA阻断导致视觉功能受损、视网膜蛋白质稳态改变和光感受器细胞死亡。相反，过表达人类LAMP2A的小鼠显示出对化学诱导的光感受器退化的更高抵抗力和较慢的视觉功能下降。我们发现，通过药理激活CMA也能对视网膜退化产生类似的保护作用。为了开始阐明CMA在视网膜中保护作用的机制，我们使用比较蛋白质组学，发现CMA缺陷视网膜中与葡萄糖代谢相关的酶水平升高，这种现象在老年小鼠视网膜中也观察到。总体而言，我们的结果强调了CMA在视网膜中的细胞保护作用，部分通过对参与葡萄糖代谢的酶的蛋白质稳态调节，并支持通过药理上调CMA以对抗视网膜退化的可行性。</w:t>
      </w:r>
    </w:p>
    <w:p>
      <w:pPr>
        <w:spacing w:before="0" w:after="200" w:lineRule="auto" w:line="276"/>
      </w:pPr>
      <w:r>
        <w:rPr>
          <w:b/>
        </w:rPr>
        <w:t xml:space="preserve">Abstract (EN): </w:t>
      </w:r>
      <w:r>
        <w:t>Defective proteostasis is a hallmark of aging cells and tissues. Among the different components of the proteostasis network, in this study, we focus on a selective form of autophagy known as chaperone-mediated autophagy (CMA), and we set out to understand its physiological role in the retina. Using mice deficient for CMA [knockout for lysosome-associated membrane protein type 2A (</w:t>
      </w:r>
      <w:r>
        <w:t xml:space="preserve"> </w:t>
      </w:r>
      <w:r>
        <w:t>Lamp2A</w:t>
      </w:r>
      <w:r>
        <w:t xml:space="preserve"> </w:t>
      </w:r>
      <w:r>
        <w:t>)], we have found that CMA blockade leads to impaired visual function, altered retinal proteostasis, and photoreceptor cell death. Conversely, mice that overexpress human</w:t>
      </w:r>
      <w:r>
        <w:t xml:space="preserve"> </w:t>
      </w:r>
      <w:r>
        <w:t>LAMP2A</w:t>
      </w:r>
      <w:r>
        <w:t xml:space="preserve"> </w:t>
      </w:r>
      <w:r>
        <w:t>show higher resistance to chemically induced photoreceptor degeneration and slower visual function decline. We found a similar protective effect against retinal degeneration upon pharmacological activation of CMA. To start elucidating the mechanisms behind CMA’s protective role in the retina, we used comparative proteomics and found elevated levels of enzymes related with glucose metabolism in CMA-deficient retinas that phenocopy those observed in old mice retinas. Overall, our results highlight a cytoprotective role for CMA in retina, in part through proteostatic regulation of enzymes involved in glucose metabolism, and support the feasibility of pharmacologically upregulating CMA against retinal degeneration.</w:t>
      </w:r>
    </w:p>
    <w:p>
      <w:pPr>
        <w:spacing w:before="120" w:after="120"/>
      </w:pPr>
      <w:r>
        <w:rPr>
          <w:sz w:val="18"/>
        </w:rPr>
        <w:t>——————————————————————————————————————————————————————————————————————</w:t>
      </w:r>
    </w:p>
    <w:p>
      <w:pPr>
        <w:spacing w:before="160" w:after="40" w:line="240" w:lineRule="auto"/>
      </w:pPr>
      <w:r>
        <w:rPr>
          <w:b/>
        </w:rPr>
        <w:t xml:space="preserve">[78] </w:t>
      </w:r>
      <w:hyperlink r:id="rId342">
        <w:r>
          <w:rPr>
            <w:color w:val="1155CC"/>
            <w:u w:val="single"/>
          </w:rPr>
          <w:t>滑膜成纤维细胞在芯片模型的急性损伤中调节内皮激活</w:t>
        </w:r>
      </w:hyperlink>
    </w:p>
    <w:p>
      <w:pPr>
        <w:spacing w:before="0" w:after="80"/>
      </w:pPr>
      <w:r>
        <w:rPr>
          <w:i/>
          <w:sz w:val="20"/>
        </w:rPr>
        <w:t>EN: Synovial fibroblasts modulate endothelial activation in an acute injury-on-a-chip model</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43">
        <w:r>
          <w:rPr>
            <w:color w:val="1155CC"/>
            <w:u w:val="single"/>
          </w:rPr>
          <w:t>10.1073/pnas.2524677123</w:t>
        </w:r>
      </w:hyperlink>
    </w:p>
    <w:p>
      <w:pPr>
        <w:spacing w:before="0" w:after="120"/>
      </w:pPr>
      <w:r>
        <w:rPr>
          <w:b/>
        </w:rPr>
        <w:t xml:space="preserve">Notes: </w:t>
      </w:r>
      <w:r>
        <w:t>abstract_source=crossref</w:t>
      </w:r>
    </w:p>
    <w:p>
      <w:pPr>
        <w:spacing w:before="0" w:after="80" w:lineRule="auto" w:line="276"/>
      </w:pPr>
      <w:r>
        <w:rPr>
          <w:b/>
        </w:rPr>
        <w:t xml:space="preserve">摘要（ZH）: </w:t>
      </w:r>
      <w:r>
        <w:t>大多数遭受急性关节损伤的患者会发展为退行性关节病或骨关节炎（OA）。动物模型为OA治疗的设计提供了信息；然而，没有一种疾病修饰疗法成功转化为人类患者。因此，强烈的动机是开发人源化的体外平台，以填补损伤后疾病进展知识的关键空白。在这里，我们开发了一种急性损伤芯片模型，模拟滑膜，这是一种与OA进展有关的血管化关节内衬组织，并被认为是关节疾病的关键驱动因素。我们应用这种基于芯片的系统来研究内皮细胞（衬在工程化血管上）与嵌入在细胞外基质水凝胶中的滑膜成纤维细胞之间的串扰。我们的数据表明，滑膜成纤维细胞不是引发疾病，而是在急性炎症（即白细胞介素-1β）存在下试图支持和维持血管功能。这种知识可能为OA治疗提供新的靶点，防止患者从关节损伤进展到疾病。</w:t>
      </w:r>
    </w:p>
    <w:p>
      <w:pPr>
        <w:spacing w:before="0" w:after="200" w:lineRule="auto" w:line="276"/>
      </w:pPr>
      <w:r>
        <w:rPr>
          <w:b/>
        </w:rPr>
        <w:t xml:space="preserve">Abstract (EN): </w:t>
      </w:r>
      <w:r>
        <w:t>Most patients who sustain an acute joint injury develop degenerative joint disease or osteoarthritis (OA). Animal models have informed the design of OA therapeutics; however, no disease-modifying therapy has successfully translated to human patients. Thus, there is a strong motivation to develop humanized in vitro platforms to fill a critical gap in knowledge of disease progression postinjury. Here, we develop an acute injury-on-a-chip model of the synovium, a vascularized, joint-lining tissue that has been implicated in OA progression and as a key driver of joint disease. We apply this chip-based system to investigate the crosstalk between endothelial cells, lining an engineered vessel, and synovial fibroblasts, embedded within an extracellular matrix hydrogel. Our data indicate that synovial fibroblasts, rather than initiating disease, attempt to support and maintain vascular function in the presence of acute inflammation (i.e., interleukin-1β). Such knowledge may provide new targets for OA therapeutics, preventing the progression from joint injury to disease in patients.</w:t>
      </w:r>
    </w:p>
    <w:p>
      <w:pPr>
        <w:spacing w:before="120" w:after="120"/>
      </w:pPr>
      <w:r>
        <w:rPr>
          <w:sz w:val="18"/>
        </w:rPr>
        <w:t>——————————————————————————————————————————————————————————————————————</w:t>
      </w:r>
    </w:p>
    <w:p>
      <w:pPr>
        <w:spacing w:before="160" w:after="40" w:line="240" w:lineRule="auto"/>
      </w:pPr>
      <w:r>
        <w:rPr>
          <w:b/>
        </w:rPr>
        <w:t xml:space="preserve">[79] </w:t>
      </w:r>
      <w:hyperlink r:id="rId344">
        <w:r>
          <w:rPr>
            <w:color w:val="1155CC"/>
            <w:u w:val="single"/>
          </w:rPr>
          <w:t>回复张：因果识别、社交网络与生物老化</w:t>
        </w:r>
      </w:hyperlink>
    </w:p>
    <w:p>
      <w:pPr>
        <w:spacing w:before="0" w:after="80"/>
      </w:pPr>
      <w:r>
        <w:rPr>
          <w:i/>
          <w:sz w:val="20"/>
        </w:rPr>
        <w:t>EN: Reply to Zhang: Causal identification, social networks, and biological aging</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45">
        <w:r>
          <w:rPr>
            <w:color w:val="1155CC"/>
            <w:u w:val="single"/>
          </w:rPr>
          <w:t>10.1073/pnas.2611082123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 </w:t>
      </w:r>
      <w:hyperlink r:id="rId346">
        <w:r>
          <w:rPr>
            <w:color w:val="1155CC"/>
            <w:u w:val="single"/>
          </w:rPr>
          <w:t>光谱映射揭示麻醉脑状态与睡眠和昏迷的相似性</w:t>
        </w:r>
      </w:hyperlink>
    </w:p>
    <w:p>
      <w:pPr>
        <w:spacing w:before="0" w:after="80"/>
      </w:pPr>
      <w:r>
        <w:rPr>
          <w:i/>
          <w:sz w:val="20"/>
        </w:rPr>
        <w:t>EN: Spectral mapping reveals a resemblance of the anesthetic brain state to both sleep and coma</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47">
        <w:r>
          <w:rPr>
            <w:color w:val="1155CC"/>
            <w:u w:val="single"/>
          </w:rPr>
          <w:t>10.1073/pnas.2514098123</w:t>
        </w:r>
      </w:hyperlink>
    </w:p>
    <w:p>
      <w:pPr>
        <w:spacing w:before="0" w:after="120"/>
      </w:pPr>
      <w:r>
        <w:rPr>
          <w:b/>
        </w:rPr>
        <w:t xml:space="preserve">Notes: </w:t>
      </w:r>
      <w:r>
        <w:t>abstract_source=crossref</w:t>
      </w:r>
    </w:p>
    <w:p>
      <w:pPr>
        <w:spacing w:before="0" w:after="80" w:lineRule="auto" w:line="276"/>
      </w:pPr>
      <w:r>
        <w:rPr>
          <w:b/>
        </w:rPr>
        <w:t xml:space="preserve">摘要（ZH）: </w:t>
      </w:r>
      <w:r>
        <w:t>全身麻醉常被比作睡眠，但可能更接近于医学诱导的昏迷。虽然这三种状态都涉及意识的丧失，但它们的神经相似性程度仍不清楚。电生理标记，如δ活动（&lt; 4 Hz），在慢波睡眠、意识障碍（DoC，包括昏迷）和丙泊酚麻醉中存在，但在快速眼动（REM）睡眠中不存在。额叶α振荡是丙泊酚麻醉的一个关键特征，可以通过术中EEG检测。然而，α和δ活动是否完全定义大脑状态仍不清楚。使用全头EEG，我们分析了在重症监护病房中丙泊酚麻醉、睡眠或DoC状态下的个体的大脑活动。我们的频谱参数化和相似性分析显示，丙泊酚麻醉表现出类似于昏迷和睡眠的时空模式。我们引入了一种频谱正交化方法，识别出丙泊酚麻醉的独特特征，包括后部慢波、额中央δ和减少的非周期活动。关键是，非周期活动的减少部分与REM睡眠重叠，可能反映了皮层兴奋性的降低，导致两种状态下常见的觉醒减少、肌肉无力和不动。这些结果表明，丙泊酚麻醉创造了一种大脑状态，其中一些特征类似于睡眠，而其他特征更类似于昏迷。拥抱其完整的时空复杂性可以改善镇静剂的滴定，从而最小化过度抑制</w:t>
      </w:r>
    </w:p>
    <w:p>
      <w:pPr>
        <w:spacing w:before="0" w:after="200" w:lineRule="auto" w:line="276"/>
      </w:pPr>
      <w:r>
        <w:rPr>
          <w:b/>
        </w:rPr>
        <w:t xml:space="preserve">Abstract (EN): </w:t>
      </w:r>
      <w:r>
        <w:t>General anesthesia is often compared to sleep but may more closely resemble a medically induced coma. While all three states involve a loss of awareness, the extent of their neural similarity remains unclear. Electrophysiological markers, such as delta activity (&amp;lt; 4 Hz), are present in slow wave sleep, disorders of consciousness (DoC, including coma), and propofol anesthesia but are absent during rapid eye movement (REM) sleep. Frontal alpha oscillations are a key feature of propofol anesthesia and detectable via intraoperative EEG. However, it remains unclear whether alpha and delta activity fully define the brain state. Using whole-head EEG, we analyzed brain activity in individuals under propofol anesthesia, during sleep, or in DoC in the intensive care unit. Our spectral parameterization and similarity analyses revealed that propofol anesthesia exhibits spatiotemporal patterns resembling both coma and sleep. We introduced a spectral orthogonalization approach, identifying unique signatures of propofol anesthesia, including posterior slow waves, frontocentral delta, and reduced aperiodic activity. Critically, the reduction in aperiodic activity partially overlaps with REM sleep and may reflect decreased cortical excitability, contributing to reduced arousal, muscle atonia, and immobility common to both states. These results imply that propofol anesthesia creates a brain state where some features resemble sleep while others are more similar to coma. Embracing its full spatiotemporal complexity could improve titration of sedation, thus minimizing excessive suppression and the risk of postoperative cognitive deficits.</w:t>
      </w:r>
    </w:p>
    <w:p>
      <w:pPr>
        <w:spacing w:before="120" w:after="120"/>
      </w:pPr>
      <w:r>
        <w:rPr>
          <w:sz w:val="18"/>
        </w:rPr>
        <w:t>——————————————————————————————————————————————————————————————————————</w:t>
      </w:r>
    </w:p>
    <w:p>
      <w:pPr>
        <w:spacing w:before="160" w:after="40" w:line="240" w:lineRule="auto"/>
      </w:pPr>
      <w:r>
        <w:rPr>
          <w:b/>
        </w:rPr>
        <w:t xml:space="preserve">[81] </w:t>
      </w:r>
      <w:hyperlink r:id="rId348">
        <w:r>
          <w:rPr>
            <w:color w:val="1155CC"/>
            <w:u w:val="single"/>
          </w:rPr>
          <w:t>移民执法中的硬实力和软实力</w:t>
        </w:r>
      </w:hyperlink>
    </w:p>
    <w:p>
      <w:pPr>
        <w:spacing w:before="0" w:after="80"/>
      </w:pPr>
      <w:r>
        <w:rPr>
          <w:i/>
          <w:sz w:val="20"/>
        </w:rPr>
        <w:t>EN: Hard and soft power in immigration enforcement</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49">
        <w:r>
          <w:rPr>
            <w:color w:val="1155CC"/>
            <w:u w:val="single"/>
          </w:rPr>
          <w:t>10.1073/pnas.2609140123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 </w:t>
      </w:r>
      <w:hyperlink r:id="rId350">
        <w:r>
          <w:rPr>
            <w:color w:val="1155CC"/>
            <w:u w:val="single"/>
          </w:rPr>
          <w:t>通过底物多重筛选的多效性指导酶进化</w:t>
        </w:r>
      </w:hyperlink>
    </w:p>
    <w:p>
      <w:pPr>
        <w:spacing w:before="0" w:after="80"/>
      </w:pPr>
      <w:r>
        <w:rPr>
          <w:i/>
          <w:sz w:val="20"/>
        </w:rPr>
        <w:t>EN: Promiscuity‐Guided Enzyme Evolution via Substrate Multiplexed Screening</w:t>
      </w:r>
    </w:p>
    <w:p>
      <w:pPr>
        <w:spacing w:before="0" w:after="120"/>
      </w:pPr>
      <w:r>
        <w:rPr>
          <w:b/>
        </w:rPr>
        <w:t xml:space="preserve">Source: </w:t>
      </w:r>
      <w:r>
        <w:t>Wiley: Angewandte Chemie International Edition: Table of Contents</w:t>
      </w:r>
      <w:r>
        <w:t xml:space="preserve">    </w:t>
      </w:r>
      <w:r>
        <w:rPr>
          <w:b/>
        </w:rPr>
        <w:t xml:space="preserve">Pub date: </w:t>
      </w:r>
      <w:r>
        <w:t>2026-05-11 07:00:00+00:00</w:t>
      </w:r>
      <w:r>
        <w:t xml:space="preserve">    </w:t>
      </w:r>
      <w:r>
        <w:rPr>
          <w:b/>
        </w:rPr>
        <w:t xml:space="preserve">DOI: </w:t>
      </w:r>
      <w:hyperlink r:id="rId351">
        <w:r>
          <w:rPr>
            <w:color w:val="1155CC"/>
            <w:u w:val="single"/>
          </w:rPr>
          <w:t>10.1002/anie.202600007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种酶与多种底物反应的能力，同时保持高产率和选择性，被称为“底物多样性”，是生物催化剂中非常受欢迎的特性。传统的定向进化通常依赖于单一底物筛选，这使得适应性进化路径成为可能，但提供的关于多样性的信息有限。这种方法可能会无意中缩小底物范围，并且通常不清楚替代的突变路径是否可能促进更广泛的反应性。在此，我们回顾了底物多重筛选（SUMS），这是一种将底物直接置于竞争中并同时量化多种产物的策略。当酶在竞争环境中运行时，如活细胞或多酶级联，SUMS直接反映了预期用途。我们讨论了SUMS如何生成多样性信息，可以指导工程，即使最终应用涉及单个底物。例子说明了SUMS如何相对于平行筛选增加信息密度，并在某些情况下揭示单一底物方法不可见的活性变化。我们讨论了SUMS的优缺点，并强调了其应用导致具有广泛或互补范围的酶、识别变构突变或绕过负性表型的实例。</w:t>
      </w:r>
    </w:p>
    <w:p>
      <w:pPr>
        <w:spacing w:before="0" w:after="200" w:lineRule="auto" w:line="276"/>
      </w:pPr>
      <w:r>
        <w:rPr>
          <w:b/>
        </w:rPr>
        <w:t xml:space="preserve">Abstract (EN): </w:t>
      </w:r>
      <w:r>
        <w:t>An enzyme's ability to react with diverse substrates while maintaining high yield and selectivity, termed “substrate promiscuity,” is a highly sought‐after property in biocatalysts. Traditional directed evolution typically relies on single‐substrate screening, which enables adaptive evolutionary pathways but provides limited information on promiscuity. This approach can inadvertently narrow substrate scope, and it is often unclear whether alternative mutational paths might have facilitated broader reactivity. Here, we review substrate multiplexed screening (SUMS), a strategy that places substrates in direct competition and quantifies multiple products simultaneously. When enzymes operate in competitive environments, such as living cells or multi‐enzyme cascades, SUMS directly mirrors the intended use. We discuss how SUMS generates promiscuity information that can guide engineering, even when the final application involves individual substrates. Examples illustrate how SUMS can increase information density relative to parallel screening and, in select cases, reveal activity shifts that are invisible to single‐substrate methods. We discuss the strengths and limitations of SUMS and highlight instances where its application led to enzymes with broad or complementary scopes, identified allosteric mutations, or enabled the circumvention of negative epistasis.</w:t>
      </w:r>
    </w:p>
    <w:p>
      <w:pPr>
        <w:spacing w:before="120" w:after="120"/>
      </w:pPr>
      <w:r>
        <w:rPr>
          <w:sz w:val="18"/>
        </w:rPr>
        <w:t>——————————————————————————————————————————————————————————————————————</w:t>
      </w:r>
    </w:p>
    <w:p>
      <w:pPr>
        <w:spacing w:before="160" w:after="40" w:line="240" w:lineRule="auto"/>
      </w:pPr>
      <w:r>
        <w:rPr>
          <w:b/>
        </w:rPr>
        <w:t xml:space="preserve">[83] </w:t>
      </w:r>
      <w:hyperlink r:id="rId352">
        <w:r>
          <w:rPr>
            <w:color w:val="1155CC"/>
            <w:u w:val="single"/>
          </w:rPr>
          <w:t>Bcl-xL间接抑制凋亡的结构和动态基础：以Bid为例</w:t>
        </w:r>
      </w:hyperlink>
    </w:p>
    <w:p>
      <w:pPr>
        <w:spacing w:before="0" w:after="80"/>
      </w:pPr>
      <w:r>
        <w:rPr>
          <w:i/>
          <w:sz w:val="20"/>
        </w:rPr>
        <w:t>EN: Structural and dynamic basis of indirect apoptosis inhibition by Bcl-xL: A case study with Bid</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53">
        <w:r>
          <w:rPr>
            <w:color w:val="1155CC"/>
            <w:u w:val="single"/>
          </w:rPr>
          <w:t>10.1073/pnas.2527963123</w:t>
        </w:r>
      </w:hyperlink>
    </w:p>
    <w:p>
      <w:pPr>
        <w:spacing w:before="0" w:after="120"/>
      </w:pPr>
      <w:r>
        <w:rPr>
          <w:b/>
        </w:rPr>
        <w:t xml:space="preserve">Notes: </w:t>
      </w:r>
      <w:r>
        <w:t>abstract_source=crossref</w:t>
      </w:r>
    </w:p>
    <w:p>
      <w:pPr>
        <w:spacing w:before="0" w:after="80" w:lineRule="auto" w:line="276"/>
      </w:pPr>
      <w:r>
        <w:rPr>
          <w:b/>
        </w:rPr>
        <w:t xml:space="preserve">摘要（ZH）: </w:t>
      </w:r>
      <w:r>
        <w:t>内在凋亡是一种由Bcl-2蛋白家族激活、执行和抑制的细胞死亡形式。抑制机制的结构基础仍然难以捉摸。在此，我们通过探测残基间距离和动态溶剂可及性，结合综合建模和分子动力学模拟，表征了线粒体膜上抑制性Bcl-xL/tBid复合物的集合结构模型。我们展示了Bcl-xL和tBid形成了一个由Bcl-xL的C末端螺旋锚定在膜上的异二聚体。tBid的BH3结构域楔入Bcl-xL暴露的疏水槽和膜头基之间，而tBid的C末端螺旋则动态地与双层膜结合。这种动态结构揭示了间接抑制凋亡的机制。</w:t>
      </w:r>
    </w:p>
    <w:p>
      <w:pPr>
        <w:spacing w:before="0" w:after="200" w:lineRule="auto" w:line="276"/>
      </w:pPr>
      <w:r>
        <w:rPr>
          <w:b/>
        </w:rPr>
        <w:t xml:space="preserve">Abstract (EN): </w:t>
      </w:r>
      <w:r>
        <w:t>Intrinsic apoptosis is a form of cell death which is activated, executed, and inhibited by the Bcl-2 protein family. The structural basis of the inhibition mechanisms remains elusive. Here, we characterize the ensemble structural model of the inhibitory Bcl-xL/tBid complex at the mitochondrial membrane by probing interresidue distances and dynamic solvent accessibilities complemented by integrative modeling and molecular dynamics simulations. We show that Bcl-xL and tBid form a heterodimer anchored to the membrane by the C-terminal helix of Bcl-xL. The BH3 domain of tBid is wedged between the exposed hydrophobic groove of Bcl-xL and the membrane headgroups, while tBid’s C-terminal helices remain dynamically engaged with the bilayer. This dynamic architecture sheds light on the mechanism of indirect inhibition of apoptosis.</w:t>
      </w:r>
    </w:p>
    <w:p>
      <w:pPr>
        <w:spacing w:before="120" w:after="120"/>
      </w:pPr>
      <w:r>
        <w:rPr>
          <w:sz w:val="18"/>
        </w:rPr>
        <w:t>——————————————————————————————————————————————————————————————————————</w:t>
      </w:r>
    </w:p>
    <w:p>
      <w:pPr>
        <w:spacing w:before="160" w:after="40" w:line="240" w:lineRule="auto"/>
      </w:pPr>
      <w:r>
        <w:rPr>
          <w:b/>
        </w:rPr>
        <w:t xml:space="preserve">[84] </w:t>
      </w:r>
      <w:hyperlink r:id="rId354">
        <w:r>
          <w:rPr>
            <w:color w:val="1155CC"/>
            <w:u w:val="single"/>
          </w:rPr>
          <w:t>气候调节植物入侵中的物候和系统发育分化</w:t>
        </w:r>
      </w:hyperlink>
    </w:p>
    <w:p>
      <w:pPr>
        <w:spacing w:before="0" w:after="80"/>
      </w:pPr>
      <w:r>
        <w:rPr>
          <w:i/>
          <w:sz w:val="20"/>
        </w:rPr>
        <w:t>EN: Climate mediates phenological and phylogenetic differentiation in plant invasions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55">
        <w:r>
          <w:rPr>
            <w:color w:val="1155CC"/>
            <w:u w:val="single"/>
          </w:rPr>
          <w:t>10.1073/pnas.2536192123</w:t>
        </w:r>
      </w:hyperlink>
    </w:p>
    <w:p>
      <w:pPr>
        <w:spacing w:before="0" w:after="120"/>
      </w:pPr>
      <w:r>
        <w:rPr>
          <w:b/>
        </w:rPr>
        <w:t xml:space="preserve">Notes: </w:t>
      </w:r>
      <w:r>
        <w:t>abstract_source=crossref</w:t>
      </w:r>
    </w:p>
    <w:p>
      <w:pPr>
        <w:spacing w:before="0" w:after="80" w:lineRule="auto" w:line="276"/>
      </w:pPr>
      <w:r>
        <w:rPr>
          <w:b/>
        </w:rPr>
        <w:t xml:space="preserve">摘要（ZH）: </w:t>
      </w:r>
      <w:r>
        <w:t>达尔文的自然化难题认为，功能相似性和独特性都可以促进生物入侵：与本地物种相似的入侵者可能通过对当地非生物条件的预适应而成功，而功能上独特的入侵者可能通过减少竞争而成功。然而，哪种机制占主导地位的情境尚不清楚。先前的研究主要将本地-入侵物种差异的变异归因于从局部到区域尺度的生物和气候障碍之间平衡的变化。然而，相似性和独特性在局部和区域水平上都很常见，表明本地-入侵物种差异的关键驱动因素被忽视了。至关重要的是，理论和证据表明，随着气候压力的增加，竞争减弱。这意味着严酷的气候应有利于功能上与本地物种相似的入侵者，而湿润的气候应有利于独特性。然而，这一假设尚未在不同气候条件和功能特征下进行测试。我们通过结合美国2810种物种的物种分布模型和开花物候模型，估计本地物种与入侵物种之间的系统发育距离和物候差异，相对于共同发生的本地物种之间的差异。在温暖、潮湿的地区，入侵物种开花较早，开花时间不太同步，与本地物种的亲缘关系较远。在寒冷或干燥的地区，它们的开花时间相似或较晚，开花时间更同步，与本地物种的亲缘关系更近。跨越所有气候</w:t>
      </w:r>
    </w:p>
    <w:p>
      <w:pPr>
        <w:spacing w:before="0" w:after="200" w:lineRule="auto" w:line="276"/>
      </w:pPr>
      <w:r>
        <w:rPr>
          <w:b/>
        </w:rPr>
        <w:t xml:space="preserve">Abstract (EN): </w:t>
      </w:r>
      <w:r>
        <w:t>Darwin’s Naturalization Conundrum holds that both functional similarity and distinctiveness can facilitate biological invasions: invaders similar to natives may succeed through preadaptation to local abiotic conditions, whereas functionally distinct invaders may succeed by reducing competition. Yet the contexts in which either mechanism dominates are unclear. Prior research has primarily attributed variability in native–invasive differentiation to shifts in the balance between biotic and climatic barriers to invasion from local to regional scales. However, similarity and distinctiveness are frequent at both local and regional levels, indicating key drivers of native–invasive differentiation remain overlooked. Crucially, theory and evidence show that as climatic stress increases, competition weakens. This implies that harsh climates should favor invaders functionally similar to natives, whereas mesic climates should favor distinctiveness. However, this hypothesis has not been tested across climate regimes and functional traits. We addressed this gap by combining models of species distributions and flowering phenology for 2,810 species across the United States, estimating phylogenetic distance and phenological differentiation between natives and invasives relative to differentiation among co-occurring natives. In warm, humid regions, invasives flowered earlier, less synchronously, and were more distantly related to natives. In cold or dry regions, they flowered at similar or later times, more synchronously, and were more closely related than natives themselves. Across all climates, invasives consistently exhibited longer flowering durations, with little evidence of greater phenological plasticity. These findings reveal that Darwin’s Conundrum reflects a predictable continuum shaped by environmental context, highlighting climate as a key axis of invasion success.</w:t>
      </w:r>
    </w:p>
    <w:p>
      <w:pPr>
        <w:spacing w:before="120" w:after="120"/>
      </w:pPr>
      <w:r>
        <w:rPr>
          <w:sz w:val="18"/>
        </w:rPr>
        <w:t>——————————————————————————————————————————————————————————————————————</w:t>
      </w:r>
    </w:p>
    <w:p>
      <w:pPr>
        <w:spacing w:before="160" w:after="40" w:line="240" w:lineRule="auto"/>
      </w:pPr>
      <w:r>
        <w:rPr>
          <w:b/>
        </w:rPr>
        <w:t xml:space="preserve">[85] </w:t>
      </w:r>
      <w:hyperlink r:id="rId356">
        <w:r>
          <w:rPr>
            <w:color w:val="1155CC"/>
            <w:u w:val="single"/>
          </w:rPr>
          <w:t>分子晶格加强了精子头尾连接</w:t>
        </w:r>
      </w:hyperlink>
    </w:p>
    <w:p>
      <w:pPr>
        <w:spacing w:before="0" w:after="80"/>
      </w:pPr>
      <w:r>
        <w:rPr>
          <w:i/>
          <w:sz w:val="20"/>
        </w:rPr>
        <w:t>EN: A molecular lattice reinforces the sperm head–tail junction</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57">
        <w:r>
          <w:rPr>
            <w:color w:val="1155CC"/>
            <w:u w:val="single"/>
          </w:rPr>
          <w:t>10.1073/pnas.2608469123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[86] </w:t>
      </w:r>
      <w:hyperlink r:id="rId358">
        <w:r>
          <w:rPr>
            <w:color w:val="1155CC"/>
            <w:u w:val="single"/>
          </w:rPr>
          <w:t>政治体现：政治如何塑造并被情感的身体体验所塑造</w:t>
        </w:r>
      </w:hyperlink>
    </w:p>
    <w:p>
      <w:pPr>
        <w:spacing w:before="0" w:after="80"/>
      </w:pPr>
      <w:r>
        <w:rPr>
          <w:i/>
          <w:sz w:val="20"/>
        </w:rPr>
        <w:t>EN: Politics embodied: How politics shapes and is shaped by the bodily experience of emotions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59">
        <w:r>
          <w:rPr>
            <w:color w:val="1155CC"/>
            <w:u w:val="single"/>
          </w:rPr>
          <w:t>10.1073/pnas.2534895123</w:t>
        </w:r>
      </w:hyperlink>
    </w:p>
    <w:p>
      <w:pPr>
        <w:spacing w:before="0" w:after="120"/>
      </w:pPr>
      <w:r>
        <w:rPr>
          <w:b/>
        </w:rPr>
        <w:t xml:space="preserve">Notes: </w:t>
      </w:r>
      <w:r>
        <w:t>abstract_source=crossref</w:t>
      </w:r>
    </w:p>
    <w:p>
      <w:pPr>
        <w:spacing w:before="0" w:after="80" w:lineRule="auto" w:line="276"/>
      </w:pPr>
      <w:r>
        <w:rPr>
          <w:b/>
        </w:rPr>
        <w:t xml:space="preserve">摘要（ZH）: </w:t>
      </w:r>
      <w:r>
        <w:t>政治情感被广泛认为是政治参与和极化的关键驱动因素。然而，尽管政治情感的重要性已被广泛认可，但关于它们如何在身体中感知和表现的研究却相对较少。在一项预注册的全国代表性研究（N = 992）中，我们引入了一种使用经过验证的emBODY工具的具身方法来研究政治情感，该工具允许参与者在感受典型情感（例如愤怒）及其政治对应物（例如“政治愤怒”）时，绘制身体中感受到的感觉位置。具体而言，我们探讨了三个问题：1）政治情感如何具身化并与其非政治对应物不同，2）政治倾向是否影响这些政治情感的具身化方式，以及3）其具身体验如何与政治倾向互动以解释政治态度和行为。像素级身体感觉图和聚合的“具身影响”指标显示，政治愤怒、焦虑、抑郁、厌恶和希望不仅仅是其典型形式的镜像，而是呈现出独特的身体模式。政治意识形态，而非政治复杂性，调节这些身体体验，民主党倾向的参与者报告对负面政治情感的感觉更为强烈，表明存在“意识形态身体”。至关重要的是，政治参与并不是由人们报告感受到情感的强烈程度解释的，而是与这些情感在身体中的强烈具身化密切相关</w:t>
      </w:r>
    </w:p>
    <w:p>
      <w:pPr>
        <w:spacing w:before="0" w:after="200" w:lineRule="auto" w:line="276"/>
      </w:pPr>
      <w:r>
        <w:rPr>
          <w:b/>
        </w:rPr>
        <w:t xml:space="preserve">Abstract (EN): </w:t>
      </w:r>
      <w:r>
        <w:t>Political emotions are widely acknowledged as key drivers of political participation and polarization. Yet while it is well established that political emotions matter, far less is known about how they are felt and represented in the body. Across a preregistered, nationally representative study (</w:t>
      </w:r>
      <w:r>
        <w:t xml:space="preserve"> </w:t>
      </w:r>
      <w:r>
        <w:t>N</w:t>
      </w:r>
      <w:r>
        <w:t xml:space="preserve"> </w:t>
      </w:r>
      <w:r>
        <w:t>= 992), we introduce an embodied approach to political emotion using the validated emBODY-tool, which allows participants to map where in the body they experience sensations when feeling canonical emotions (e.g., anger) and their political counterparts (e.g., “political anger”). Specifically, we address three questions: 1) how political emotions are embodied and differ from their nonpolitical counterparts, 2) whether political dispositions influence how these political emotions are embodied, and 3) how their embodied experience interacts with political dispositions in explaining political attitudes and behavior. Pixelwise bodily sensation maps and aggregated “embodied impact” metrics show that political anger, anxiety, depression, disgust, and hope do not merely mirror their canonical forms, but take on distinct bodily patterns. Political ideology, but not political sophistication, modulates these bodily experiences, with Democrat-leaning participants reporting more intense sensations for negative political emotions, suggesting the presence of “ideological bodies.” Crucially, political participation is not explained by how intensely people report feeling emotions, but is instead closely linked to how strongly these emotions are embodied in the body. Together, our findings underscore the body’s central role in democratic engagement by showing how political contexts shape embodied emotional experience and how these embodied experiences shape politics and democracy.</w:t>
      </w:r>
    </w:p>
    <w:p>
      <w:pPr>
        <w:spacing w:before="120" w:after="120"/>
      </w:pPr>
      <w:r>
        <w:rPr>
          <w:sz w:val="18"/>
        </w:rPr>
        <w:t>——————————————————————————————————————————————————————————————————————</w:t>
      </w:r>
    </w:p>
    <w:p>
      <w:pPr>
        <w:spacing w:before="160" w:after="40" w:line="240" w:lineRule="auto"/>
      </w:pPr>
      <w:r>
        <w:rPr>
          <w:b/>
        </w:rPr>
        <w:t xml:space="preserve">[87] </w:t>
      </w:r>
      <w:hyperlink r:id="rId360">
        <w:r>
          <w:rPr>
            <w:color w:val="1155CC"/>
            <w:u w:val="single"/>
          </w:rPr>
          <w:t>在临界掺杂超导金刚石薄膜中出现的各向异性三相序</w:t>
        </w:r>
      </w:hyperlink>
    </w:p>
    <w:p>
      <w:pPr>
        <w:spacing w:before="0" w:after="80"/>
      </w:pPr>
      <w:r>
        <w:rPr>
          <w:i/>
          <w:sz w:val="20"/>
        </w:rPr>
        <w:t>EN: Emergent anisotropic three-phase order in critically doped superconducting diamond films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61">
        <w:r>
          <w:rPr>
            <w:color w:val="1155CC"/>
            <w:u w:val="single"/>
          </w:rPr>
          <w:t>10.1073/pnas.2607730123</w:t>
        </w:r>
      </w:hyperlink>
    </w:p>
    <w:p>
      <w:pPr>
        <w:spacing w:before="0" w:after="120"/>
      </w:pPr>
      <w:r>
        <w:rPr>
          <w:b/>
        </w:rPr>
        <w:t xml:space="preserve">Notes: </w:t>
      </w:r>
      <w:r>
        <w:t>abstract_source=crossref</w:t>
      </w:r>
    </w:p>
    <w:p>
      <w:pPr>
        <w:spacing w:before="0" w:after="80" w:lineRule="auto" w:line="276"/>
      </w:pPr>
      <w:r>
        <w:rPr>
          <w:b/>
        </w:rPr>
        <w:t xml:space="preserve">摘要（ZH）: </w:t>
      </w:r>
      <w:r>
        <w:t>自发现以来的二十年，超导重掺硼金刚石（HBDD）仍然提出需要回答的基本问题，以释放其在量子应用中的全部潜力。我们使用临界掺杂的同质外延单晶HBDD薄膜的电磁输运测量揭示了内在颗粒超导性的特征。通过研究电阻率对温度和磁场矢量的依赖性，我们推断这种颗粒性源于掺杂引起的无序。我们观察到磁阻中的意外三相各向异性，伴随着自发横向电压（霍尔异常）。我们的研究结果表明，在原本各向同性的单晶HBDD薄膜中出现了各向异性有序，为这种量子材料中的超导机制提供了见解。</w:t>
      </w:r>
    </w:p>
    <w:p>
      <w:pPr>
        <w:spacing w:before="0" w:after="200" w:lineRule="auto" w:line="276"/>
      </w:pPr>
      <w:r>
        <w:rPr>
          <w:b/>
        </w:rPr>
        <w:t xml:space="preserve">Abstract (EN): </w:t>
      </w:r>
      <w:r>
        <w:t>Two decades since its discovery, superconducting heavily boron-doped diamond (HBDD) still poses fundamental questions that need to be answered to unlock its full potential for quantum applications. We use electrical magnetotransport measurements of critically doped homoepitaxial single crystal HBDD films to reveal signatures of intrinsically granular superconductivity. By studying the dependence of electrical resistivity on temperature and magnetic field vector, we infer that this granularity arises from doping induced disorder. We observe an unexpected three-phase anisotropy in the magnetoresistance, accompanied by a spontaneous transverse voltage (Hall anomaly). Our findings indicate the emergence of an anisotropic order in an otherwise isotropic single crystal HBDD film, offering insights into the mechanism of superconductivity in this quantum material.</w:t>
      </w:r>
    </w:p>
    <w:p>
      <w:pPr>
        <w:spacing w:before="120" w:after="120"/>
      </w:pPr>
      <w:r>
        <w:rPr>
          <w:sz w:val="18"/>
        </w:rPr>
        <w:t>——————————————————————————————————————————————————————————————————————</w:t>
      </w:r>
    </w:p>
    <w:p>
      <w:pPr>
        <w:spacing w:before="160" w:after="40" w:line="240" w:lineRule="auto"/>
      </w:pPr>
      <w:r>
        <w:rPr>
          <w:b/>
        </w:rPr>
        <w:t xml:space="preserve">[88] </w:t>
      </w:r>
      <w:hyperlink r:id="rId362">
        <w:r>
          <w:rPr>
            <w:color w:val="1155CC"/>
            <w:u w:val="single"/>
          </w:rPr>
          <w:t>在Trinity核试验中极端非平衡合成的Ca–Cu–Si笼形化合物</w:t>
        </w:r>
      </w:hyperlink>
    </w:p>
    <w:p>
      <w:pPr>
        <w:spacing w:before="0" w:after="80"/>
      </w:pPr>
      <w:r>
        <w:rPr>
          <w:i/>
          <w:sz w:val="20"/>
        </w:rPr>
        <w:t>EN: Extreme nonequilibrium synthesis of a Ca–Cu–Si clathrate during the Trinity nuclear test</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63">
        <w:r>
          <w:rPr>
            <w:color w:val="1155CC"/>
            <w:u w:val="single"/>
          </w:rPr>
          <w:t>10.1073/pnas.2604165123</w:t>
        </w:r>
      </w:hyperlink>
    </w:p>
    <w:p>
      <w:pPr>
        <w:spacing w:before="0" w:after="120"/>
      </w:pPr>
      <w:r>
        <w:rPr>
          <w:b/>
        </w:rPr>
        <w:t xml:space="preserve">Notes: </w:t>
      </w:r>
      <w:r>
        <w:t>abstract_source=crossref</w:t>
      </w:r>
    </w:p>
    <w:p>
      <w:pPr>
        <w:spacing w:before="0" w:after="80" w:lineRule="auto" w:line="276"/>
      </w:pPr>
      <w:r>
        <w:rPr>
          <w:b/>
        </w:rPr>
        <w:t xml:space="preserve">摘要（ZH）: </w:t>
      </w:r>
      <w:r>
        <w:t>1945年7月16日的三位一体核试验产生了极端的瞬态条件，形成了含有稀有金属相的硅酸盐玻璃——三位一体石。我们在此报告了一种先前未知的Ca–Cu–Si I型笼合物的发现及其结构和化学特征，（Ca</w:t>
      </w:r>
      <w:r>
        <w:t xml:space="preserve"> </w:t>
      </w:r>
      <w:r>
        <w:t>3.3</w:t>
      </w:r>
      <w:r>
        <w:t xml:space="preserve"> </w:t>
      </w:r>
      <w:r>
        <w:t>Cu</w:t>
      </w:r>
      <w:r>
        <w:t xml:space="preserve"> </w:t>
      </w:r>
      <w:r>
        <w:t>0.4</w:t>
      </w:r>
      <w:r>
        <w:t xml:space="preserve"> </w:t>
      </w:r>
      <w:r>
        <w:t>Fe</w:t>
      </w:r>
      <w:r>
        <w:t xml:space="preserve"> </w:t>
      </w:r>
      <w:r>
        <w:t>0.3</w:t>
      </w:r>
      <w:r>
        <w:t xml:space="preserve"> </w:t>
      </w:r>
      <w:r>
        <w:t>）</w:t>
      </w:r>
      <w:r>
        <w:t xml:space="preserve"> </w:t>
      </w:r>
      <w:r>
        <w:t>Σ=4</w:t>
      </w:r>
      <w:r>
        <w:t xml:space="preserve"> </w:t>
      </w:r>
      <w:r>
        <w:t>Si</w:t>
      </w:r>
      <w:r>
        <w:rPr>
          <w:vertAlign w:val="subscript"/>
        </w:rPr>
        <w:t>23</w:t>
      </w:r>
      <w:r>
        <w:t>，在嵌入红色三位一体石中的富Cu金属液滴中被识别。单晶X射线衍射显示该相采用立方笼合物-I拓扑结构，代表了首次在核爆炸的固态产物中记录的晶体学确认的笼合物结构。除了其内在的重要性外，该相因其与先前报道的在同一爆炸中形成的富Si二十面体准晶的密切上下文关联而显著。两种相在相同的极端条件下形成，存在于类似的富Cu液滴中，并共享一种异常富Si的Ca–Cu–Si–(Fe)化学成分，促使我们评估准晶是否可以从笼合物框架中结构衍生。为了评估这种可能性，我们对一系列Cu含量的基于笼合物的二十面体模型进行了密度泛函理论计算。结果表明，笼合物衍生的二十面体结构在低Cu浓度（约10%至11%）下在机械上是可行的和亚稳态的，但随着Cu含量的增加变得不稳定。</w:t>
      </w:r>
    </w:p>
    <w:p>
      <w:pPr>
        <w:spacing w:before="0" w:after="200" w:lineRule="auto" w:line="276"/>
      </w:pPr>
      <w:r>
        <w:rPr>
          <w:b/>
        </w:rPr>
        <w:t xml:space="preserve">Abstract (EN): </w:t>
      </w:r>
      <w:r>
        <w:t>The Trinity nuclear test of July 16, 1945, generated extreme transient conditions that produced trinitite, a silicate glass containing rare metallic phases. Here we report the discovery and structural and chemical characterization of a previously unknown Ca–Cu–Si type-I clathrate, (Ca</w:t>
      </w:r>
      <w:r>
        <w:t xml:space="preserve"> </w:t>
      </w:r>
      <w:r>
        <w:t>3.3</w:t>
      </w:r>
      <w:r>
        <w:t xml:space="preserve"> </w:t>
      </w:r>
      <w:r>
        <w:t>Cu</w:t>
      </w:r>
      <w:r>
        <w:t xml:space="preserve"> </w:t>
      </w:r>
      <w:r>
        <w:t>0.4</w:t>
      </w:r>
      <w:r>
        <w:t xml:space="preserve"> </w:t>
      </w:r>
      <w:r>
        <w:t>Fe</w:t>
      </w:r>
      <w:r>
        <w:t xml:space="preserve"> </w:t>
      </w:r>
      <w:r>
        <w:t>0.3</w:t>
      </w:r>
      <w:r>
        <w:t xml:space="preserve"> </w:t>
      </w:r>
      <w:r>
        <w:t>)</w:t>
      </w:r>
      <w:r>
        <w:t xml:space="preserve"> </w:t>
      </w:r>
      <w:r>
        <w:t>Σ=4</w:t>
      </w:r>
      <w:r>
        <w:t xml:space="preserve"> </w:t>
      </w:r>
      <w:r>
        <w:t>Si</w:t>
      </w:r>
      <w:r>
        <w:rPr>
          <w:vertAlign w:val="subscript"/>
        </w:rPr>
        <w:t>23</w:t>
      </w:r>
      <w:r>
        <w:t>, identified within a Cu-rich metallic droplet embedded in red trinitite. Single-crystal X-ray diffraction shows that this phase adopts the cubic clathrate-I topology, representing the first crystallographically confirmed clathrate structure documented among the solid-state products of a nuclear explosion. Beyond its intrinsic significance, this phase is notable for its close contextual association with the previously reported Si-rich icosahedral quasicrystal formed in the same detonation. Both phases formed under identical extreme conditions, occur within similar Cu-rich droplets, and share an unusually Si-rich Ca–Cu–Si–(Fe) chemistry, motivating an evaluation of whether the quasicrystal could be structurally derived from a clathrate framework. To evaluate this possibility, we performed density functional theory calculations on clathrate-based icosahedral models across a range of Cu contents. The results indicate that clathrate-derived icosahedral structures are mechanically plausible and metastable at low Cu concentrations (~10 to 11%) but become unstable as Cu content approaches that of the Trinity quasicrystal. These findings constrain viable structural models for the quasicrystal and argue against a simple clathrate-derived interpretation.</w:t>
      </w:r>
    </w:p>
    <w:p>
      <w:pPr>
        <w:spacing w:before="120" w:after="120"/>
      </w:pPr>
      <w:r>
        <w:rPr>
          <w:sz w:val="18"/>
        </w:rPr>
        <w:t>——————————————————————————————————————————————————————————————————————</w:t>
      </w:r>
    </w:p>
    <w:p>
      <w:pPr>
        <w:spacing w:before="160" w:after="40" w:line="240" w:lineRule="auto"/>
      </w:pPr>
      <w:r>
        <w:rPr>
          <w:b/>
        </w:rPr>
        <w:t xml:space="preserve">[89] </w:t>
      </w:r>
      <w:hyperlink r:id="rId364">
        <w:r>
          <w:rPr>
            <w:color w:val="1155CC"/>
            <w:u w:val="single"/>
          </w:rPr>
          <w:t>用于实时体内成像上皮癌标志的大视野和景深深度学习内窥镜</w:t>
        </w:r>
      </w:hyperlink>
    </w:p>
    <w:p>
      <w:pPr>
        <w:spacing w:before="0" w:after="80"/>
      </w:pPr>
      <w:r>
        <w:rPr>
          <w:i/>
          <w:sz w:val="20"/>
        </w:rPr>
        <w:t>EN: Deep-learning endomicroscope with large field-of-view and depth-of-field for real-time in vivo imaging of epithelial cancer hallmarks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65">
        <w:r>
          <w:rPr>
            <w:color w:val="1155CC"/>
            <w:u w:val="single"/>
          </w:rPr>
          <w:t>10.1073/pnas.2602705123</w:t>
        </w:r>
      </w:hyperlink>
    </w:p>
    <w:p>
      <w:pPr>
        <w:spacing w:before="0" w:after="120"/>
      </w:pPr>
      <w:r>
        <w:rPr>
          <w:b/>
        </w:rPr>
        <w:t xml:space="preserve">Notes: </w:t>
      </w:r>
      <w:r>
        <w:t>abstract_source=crossref</w:t>
      </w:r>
    </w:p>
    <w:p>
      <w:pPr>
        <w:spacing w:before="0" w:after="80" w:lineRule="auto" w:line="276"/>
      </w:pPr>
      <w:r>
        <w:rPr>
          <w:b/>
        </w:rPr>
        <w:t xml:space="preserve">摘要（ZH）: </w:t>
      </w:r>
      <w:r>
        <w:t>体内显微镜（IVM）在提高上皮癌前病变的早期检测方面显示出巨大潜力，但它受到限制分辨率、视野（FOV）和景深（DOF）的基本权衡的影响。在此，我们介绍PrecisionView，这是一种紧凑的、深度学习支持的内窥镜，打破了这些限制，实现了20 mm</w:t>
      </w:r>
      <w:r>
        <w:rPr>
          <w:vertAlign w:val="subscript"/>
        </w:rPr>
        <w:t>2</w:t>
      </w:r>
      <w:r>
        <w:t>FOV和500 µm DOF，分辨率为4 µm，相比于具有相似分辨率的传统IVM，FOV增加约5倍，DOF增加约8倍。PrecisionView集成了深度学习优化的相位掩模和实时重建，能够通过荧光和反射成像快速进行体内评估癌症的两个关键标志：上皮细胞核形态和亚表面微血管。通过对健康志愿者的口腔和具有癌前病变的宫颈标本进行成像，PrecisionView生成了大规模（1至3 cm</w:t>
      </w:r>
      <w:r>
        <w:rPr>
          <w:vertAlign w:val="subscript"/>
        </w:rPr>
        <w:t>2</w:t>
      </w:r>
      <w:r>
        <w:t>）的细胞和血管结构的共注册地图，揭示了与解剖结构和癌前病变相关的不同显微模式。我们的结果表明，这种计算内窥镜在护理点满足早期癌症检测的未满足需求方面的潜力。</w:t>
      </w:r>
    </w:p>
    <w:p>
      <w:pPr>
        <w:spacing w:before="0" w:after="200" w:lineRule="auto" w:line="276"/>
      </w:pPr>
      <w:r>
        <w:rPr>
          <w:b/>
        </w:rPr>
        <w:t xml:space="preserve">Abstract (EN): </w:t>
      </w:r>
      <w:r>
        <w:t>In vivo microscopy (IVM) has shown great promise to improve early detection of epithelial precancer, but it suffers from fundamental trade-offs that limit the resolution, field-of-view (FOV) and depth-of-field (DOF). Here, we present PrecisionView, a compact, deep learning-enabled endomicroscope that breaks these constraints and achieves 20 mm</w:t>
      </w:r>
      <w:r>
        <w:rPr>
          <w:vertAlign w:val="subscript"/>
        </w:rPr>
        <w:t>2</w:t>
      </w:r>
      <w:r>
        <w:t>FOV and 500 µm DOF with 4 µm resolution, representing approximately 5× increase in FOV and 8× larger DOF compared to conventional IVM with similar resolution. PrecisionView integrates a deep learning-optimized phase mask and real-time reconstruction, enabling rapid in vivo assessment of two key hallmarks of cancer: epithelial cell nuclear morphology and subsurface microvasculature through fluorescence and reflectance imaging. By imaging the oral cavity of healthy volunteers and cervical specimens with precancerous lesions, PrecisionView generates large-scale (1 to 3 cm</w:t>
      </w:r>
      <w:r>
        <w:rPr>
          <w:vertAlign w:val="subscript"/>
        </w:rPr>
        <w:t>2</w:t>
      </w:r>
      <w:r>
        <w:t>) coregistered maps of cellular and vascular structures, revealing distinct microscopic patterns associated with anatomic structures and precancerous lesions. Our results suggest the potential of this computational endomicroscope to address the unmet need for early cancer detection at the point of care.</w:t>
      </w:r>
    </w:p>
    <w:p>
      <w:pPr>
        <w:spacing w:before="120" w:after="120"/>
      </w:pPr>
      <w:r>
        <w:rPr>
          <w:sz w:val="18"/>
        </w:rPr>
        <w:t>——————————————————————————————————————————————————————————————————————</w:t>
      </w:r>
    </w:p>
    <w:p>
      <w:pPr>
        <w:spacing w:before="160" w:after="40" w:line="240" w:lineRule="auto"/>
      </w:pPr>
      <w:r>
        <w:rPr>
          <w:b/>
        </w:rPr>
        <w:t xml:space="preserve">[90] </w:t>
      </w:r>
      <w:hyperlink r:id="rId366">
        <w:r>
          <w:rPr>
            <w:color w:val="1155CC"/>
            <w:u w:val="single"/>
          </w:rPr>
          <w:t>超越GAD65自身免疫中的抗体：通过鞘内B–T细胞对话重新定义发病机制</w:t>
        </w:r>
      </w:hyperlink>
    </w:p>
    <w:p>
      <w:pPr>
        <w:spacing w:before="0" w:after="80"/>
      </w:pPr>
      <w:r>
        <w:rPr>
          <w:i/>
          <w:sz w:val="20"/>
        </w:rPr>
        <w:t>EN: Beyond antibodies in GAD65 autoimmunity: Reframing pathogenesis through intrathecal B–T cell cross-talk</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67">
        <w:r>
          <w:rPr>
            <w:color w:val="1155CC"/>
            <w:u w:val="single"/>
          </w:rPr>
          <w:t>10.1073/pnas.2609144123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 </w:t>
      </w:r>
      <w:hyperlink r:id="rId368">
        <w:r>
          <w:rPr>
            <w:color w:val="1155CC"/>
            <w:u w:val="single"/>
          </w:rPr>
          <w:t>精炼金黄色葡萄球菌IsdH从游离血红蛋白中获取血红素的机制</w:t>
        </w:r>
      </w:hyperlink>
    </w:p>
    <w:p>
      <w:pPr>
        <w:spacing w:before="0" w:after="80"/>
      </w:pPr>
      <w:r>
        <w:rPr>
          <w:i/>
          <w:sz w:val="20"/>
        </w:rPr>
        <w:t>EN: Refining the mechanism of heme acquisition from free hemoglobin by Staphylococcus aureus IsdH</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69">
        <w:r>
          <w:rPr>
            <w:color w:val="1155CC"/>
            <w:u w:val="single"/>
          </w:rPr>
          <w:t>10.1073/pnas.2601134123</w:t>
        </w:r>
      </w:hyperlink>
    </w:p>
    <w:p>
      <w:pPr>
        <w:spacing w:before="0" w:after="120"/>
      </w:pPr>
      <w:r>
        <w:rPr>
          <w:b/>
        </w:rPr>
        <w:t xml:space="preserve">Notes: </w:t>
      </w:r>
      <w:r>
        <w:t>abstract_source=crossref</w:t>
      </w:r>
    </w:p>
    <w:p>
      <w:pPr>
        <w:spacing w:before="0" w:after="80" w:lineRule="auto" w:line="276"/>
      </w:pPr>
      <w:r>
        <w:rPr>
          <w:b/>
        </w:rPr>
        <w:t xml:space="preserve">摘要（ZH）: </w:t>
      </w:r>
      <w:r>
        <w:t>金黄色葡萄球菌（Staphylococcus aureus）是一种人类病原体，其毒力依赖于铁的获取。该细菌表达血红素捕获蛋白IsdB和IsdH，使其能够从宿主血红蛋白（Hb）中捕获血红素。与IsdB不同，IsdH可以结合游离的Hb和Hb:结合珠蛋白（Hb:Hp）复合物。在此，我们展示了全长IsdH与游离Hb复合物的综合结构分析，克服了基于截短IsdH构建体的先前研究的局限性。冷冻电镜揭示了一种先前未观察到的寡聚状态和N端Hb结合域的独特结合姿态，可能代表了Hb结合的初始步骤。时间分辨和单分子力谱实验描绘了Hb结合和血红素提取的顺序步骤和机械方面。这些发现共同提供了在没有Hp的情况下IsdH–Hb相互作用的综合结构和功能视图，可能发生在溶血期间，并为金黄色葡萄球菌的血红素捕获和潜在的治疗抑制途径提供了见解。</w:t>
      </w:r>
    </w:p>
    <w:p>
      <w:pPr>
        <w:spacing w:before="0" w:after="200" w:lineRule="auto" w:line="276"/>
      </w:pPr>
      <w:r>
        <w:rPr>
          <w:b/>
        </w:rPr>
        <w:t xml:space="preserve">Abstract (EN): </w:t>
      </w:r>
      <w:r>
        <w:t>Staphylococcus aureus</w:t>
      </w:r>
      <w:r>
        <w:t xml:space="preserve"> </w:t>
      </w:r>
      <w:r>
        <w:t>is a human pathogen whose virulence depends on iron acquisition. The bacterium expresses the hemophores IsdB and IsdH that enable heme capture from host hemoglobin (Hb). Unlike IsdB, IsdH can bind both free Hb and Hb:haptoglobin (Hb:Hp) complexes. Here, we present a comprehensive structural analysis of full-length IsdH in complex with free Hb, overcoming the limitations of previous studies based on truncated IsdH constructs. Cryo-EM revealed a previously unobserved oligomeric state and a unique binding pose of the N-terminal Hb-binding domain, likely representing the initial step of Hb engagement. Time-resolved and single-molecule force spectroscopy experiments delineated the sequential steps and mechanical aspects of Hb binding and heme extraction. Together, these findings provide an integrated structural and functional view of the IsdH–Hb interaction in the absence of Hp, as may occur during hemolysis, and offer insights into</w:t>
      </w:r>
      <w:r>
        <w:t xml:space="preserve"> </w:t>
      </w:r>
      <w:r>
        <w:t>S. aureus</w:t>
      </w:r>
      <w:r>
        <w:t xml:space="preserve"> </w:t>
      </w:r>
      <w:r>
        <w:t>heme scavenging and potential avenues for therapeutic inhibition.</w:t>
      </w:r>
    </w:p>
    <w:p>
      <w:pPr>
        <w:spacing w:before="120" w:after="120"/>
      </w:pPr>
      <w:r>
        <w:rPr>
          <w:sz w:val="18"/>
        </w:rPr>
        <w:t>——————————————————————————————————————————————————————————————————————</w:t>
      </w:r>
    </w:p>
    <w:p>
      <w:pPr>
        <w:spacing w:before="160" w:after="40" w:line="240" w:lineRule="auto"/>
      </w:pPr>
      <w:r>
        <w:rPr>
          <w:b/>
        </w:rPr>
        <w:t xml:space="preserve">[92] </w:t>
      </w:r>
      <w:hyperlink r:id="rId370">
        <w:r>
          <w:rPr>
            <w:color w:val="1155CC"/>
            <w:u w:val="single"/>
          </w:rPr>
          <w:t>雄性小鼠中雄激素和雌激素对社会和非社会认知的双向调节的脑回路</w:t>
        </w:r>
      </w:hyperlink>
    </w:p>
    <w:p>
      <w:pPr>
        <w:spacing w:before="0" w:after="80"/>
      </w:pPr>
      <w:r>
        <w:rPr>
          <w:i/>
          <w:sz w:val="20"/>
        </w:rPr>
        <w:t>EN: A brain circuit of bidirectional modulation of social and nonsocial cognition by androgens and estrogens in male mice</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71">
        <w:r>
          <w:rPr>
            <w:color w:val="1155CC"/>
            <w:u w:val="single"/>
          </w:rPr>
          <w:t>10.1073/pnas.2600302123</w:t>
        </w:r>
      </w:hyperlink>
    </w:p>
    <w:p>
      <w:pPr>
        <w:spacing w:before="0" w:after="120"/>
      </w:pPr>
      <w:r>
        <w:rPr>
          <w:b/>
        </w:rPr>
        <w:t xml:space="preserve">Notes: </w:t>
      </w:r>
      <w:r>
        <w:t>abstract_source=crossref</w:t>
      </w:r>
    </w:p>
    <w:p>
      <w:pPr>
        <w:spacing w:before="0" w:after="80" w:lineRule="auto" w:line="276"/>
      </w:pPr>
      <w:r>
        <w:rPr>
          <w:b/>
        </w:rPr>
        <w:t xml:space="preserve">摘要（ZH）: </w:t>
      </w:r>
      <w:r>
        <w:t>雄激素和雌激素迅速影响社会物种的大脑功能和行为，包括社会识别，这对于群体生活和调节社会互动至关重要。涉及的具体大脑区域及其激素调节仍然知之甚少。这种调节是复杂的，因为主要循环雄激素睾酮（T）被代谢为雌激素（17β-雌二醇，E2）和雄激素（双氢睾酮，DHT）化合物，这意味着其作用可以通过雄激素受体（AR）和雌激素受体（ERs）介导。本研究确定了一种雌激素调节的、特定于社会识别的大脑回路，表明T和E2，而非DHT，与终纹床核（BNST）-外侧隔膜（LS）通路中的精氨酸-加压素（AVP）系统相互作用，以促进雄性小鼠的社会识别。T、E2和DHT在注入BNST后四十分钟内均促进了社会识别并损害了物体识别，但只有T和E2的效果被AVP受体1a（V1aR）拮抗剂阻断，表明雌激素和雄激素促进社会识别的机制不同。使用CRISPR/Cas9选择性敲低雄性小鼠BNST中的AR、ERα、ERβ或G蛋白偶联雌激素受体（GPER），在类固醇注入前四周，我们发现ERα和ERβ（但不是GPER）对于T和E2迅速促进社会识别是必要的，而DHT通过AR起作用。我们的研究结果强调了AR和ERs在调节社会识别中的不同作用。</w:t>
      </w:r>
    </w:p>
    <w:p>
      <w:pPr>
        <w:spacing w:before="0" w:after="200" w:lineRule="auto" w:line="276"/>
      </w:pPr>
      <w:r>
        <w:rPr>
          <w:b/>
        </w:rPr>
        <w:t xml:space="preserve">Abstract (EN): </w:t>
      </w:r>
      <w:r>
        <w:t>Androgens and estrogens rapidly influence brain function and behaviors critical to social species, including social recognition, which is essential for group living and modulating social interactions. The specific brain regions involved and their hormonal regulation remain poorly understood. This regulation is complex, as the main circulating androgen, testosterone (T), is metabolized into estrogenic (17β-estradiol, E2) and androgenic (dihydrotestosterone, DHT) compounds, meaning its actions can be mediated through both androgen (AR) and estrogen receptors (ERs). This study identifies an estrogen-regulated, social recognition-specific brain circuit, demonstrating that T and E2, but not DHT, interact with the arginine–vasopressin (AVP) system in the bed nucleus of the stria terminalis (BNST)–lateral septum (LS) pathway to promote social recognition in male mice. T, E2, and DHT all facilitated social recognition and impaired object recognition within forty minutes of infusion into the BNST, but only the effects of T and E2 were blocked by an AVP receptor 1a (V1aR) antagonist, suggesting distinct mechanisms underlie the facilitation of social recognition by estrogens and androgens. Using CRISPR/Cas9 to selectively knock down AR, ERα, ERβ, or G protein–coupled estrogen receptor (GPER) in the BNST of male mice four weeks before steroid infusion, we found that ERα and ERβ (but not GPER) are necessary for T and E2 to rapidly facilitate social recognition, whereas DHT acts through AR. Our findings highlight the distinct roles of AR and ERs in the modulation of social recognition by steroid hormones, revealing redundant and nonoverlapping mechanisms of androgens and estrogens in the functioning of the male social brain.</w:t>
      </w:r>
    </w:p>
    <w:p>
      <w:pPr>
        <w:spacing w:before="120" w:after="120"/>
      </w:pPr>
      <w:r>
        <w:rPr>
          <w:sz w:val="18"/>
        </w:rPr>
        <w:t>——————————————————————————————————————————————————————————————————————</w:t>
      </w:r>
    </w:p>
    <w:p>
      <w:pPr>
        <w:spacing w:before="160" w:after="40" w:line="240" w:lineRule="auto"/>
      </w:pPr>
      <w:r>
        <w:rPr>
          <w:b/>
        </w:rPr>
        <w:t xml:space="preserve">[93] </w:t>
      </w:r>
      <w:hyperlink r:id="rId372">
        <w:r>
          <w:rPr>
            <w:color w:val="1155CC"/>
            <w:u w:val="single"/>
          </w:rPr>
          <w:t>2024年全球温度记录与模型预测的变暖一致</w:t>
        </w:r>
      </w:hyperlink>
    </w:p>
    <w:p>
      <w:pPr>
        <w:spacing w:before="0" w:after="80"/>
      </w:pPr>
      <w:r>
        <w:rPr>
          <w:i/>
          <w:sz w:val="20"/>
        </w:rPr>
        <w:t>EN: 2024 global temperature record is consistent with model-predicted warming</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73">
        <w:r>
          <w:rPr>
            <w:color w:val="1155CC"/>
            <w:u w:val="single"/>
          </w:rPr>
          <w:t>10.1073/pnas.2600021123</w:t>
        </w:r>
      </w:hyperlink>
    </w:p>
    <w:p>
      <w:pPr>
        <w:spacing w:before="0" w:after="120"/>
      </w:pPr>
      <w:r>
        <w:rPr>
          <w:b/>
        </w:rPr>
        <w:t xml:space="preserve">Notes: </w:t>
      </w:r>
      <w:r>
        <w:t>abstract_source=crossref</w:t>
      </w:r>
    </w:p>
    <w:p>
      <w:pPr>
        <w:spacing w:before="0" w:after="80" w:lineRule="auto" w:line="276"/>
      </w:pPr>
      <w:r>
        <w:rPr>
          <w:b/>
        </w:rPr>
        <w:t xml:space="preserve">摘要（ZH）: </w:t>
      </w:r>
      <w:r>
        <w:t>我们采用结合气候模型模拟和观测温度的半经验方法来评估最近全球温度记录的可能性。蒙特卡洛模拟用于生成与观测和CMIP6多模型模拟得出的强迫（人为+自然）和内部变率的综合估计一致的全球温度序列。我们发现，厄尔尼诺推动的2024年全球温度记录发生的可能性约为12%（每八年一次的事件），与之前的（也是厄尔尼诺推动的）记录年2016年（约14%的可能性）相似。在过去三十年设定的记录中，只有1998年被发现是真正异常的，发生的可能性约为2.5%。发现如果没有人为引起的变暖，这些记录几乎是不可能的。</w:t>
      </w:r>
    </w:p>
    <w:p>
      <w:pPr>
        <w:spacing w:before="0" w:after="200" w:lineRule="auto" w:line="276"/>
      </w:pPr>
      <w:r>
        <w:rPr>
          <w:b/>
        </w:rPr>
        <w:t xml:space="preserve">Abstract (EN): </w:t>
      </w:r>
      <w:r>
        <w:t>We employ a semiempirical approach combining climate model simulations and observational temperatures to assess the likelihood of recent global temperature records. Monte Carlo simulations are used to generate global temperature series consistent with combined estimates of forced (anthropogenic + natural) and internal variability derived from observations and CMIP6 multimodel simulations. We find that the El Niño-boosted 2024 global temperature record had a ~12% likelihood of occurrence (a one-in-eight-year event), similar to the prior (also El Niño-boosted) record year 2016 (~14% likelihood). Of the records set during the past three decades, only 1998 is found to have been truly anomalous, with a ~2.5% likelihood of occurrence. Each of these records is found to have been nearly impossible in the absence of human-caused warming.</w:t>
      </w:r>
    </w:p>
    <w:p>
      <w:pPr>
        <w:spacing w:before="120" w:after="120"/>
      </w:pPr>
      <w:r>
        <w:rPr>
          <w:sz w:val="18"/>
        </w:rPr>
        <w:t>——————————————————————————————————————————————————————————————————————</w:t>
      </w:r>
    </w:p>
    <w:p>
      <w:pPr>
        <w:spacing w:before="160" w:after="40" w:line="240" w:lineRule="auto"/>
      </w:pPr>
      <w:r>
        <w:rPr>
          <w:b/>
        </w:rPr>
        <w:t xml:space="preserve">[94] </w:t>
      </w:r>
      <w:hyperlink r:id="rId374">
        <w:r>
          <w:rPr>
            <w:color w:val="1155CC"/>
            <w:u w:val="single"/>
          </w:rPr>
          <w:t>感恩实践对主观幸福感影响的多国大型研究</w:t>
        </w:r>
      </w:hyperlink>
    </w:p>
    <w:p>
      <w:pPr>
        <w:spacing w:before="0" w:after="80"/>
      </w:pPr>
      <w:r>
        <w:rPr>
          <w:i/>
          <w:sz w:val="20"/>
        </w:rPr>
        <w:t>EN: A multinational megastudy of the effects of gratitude practices on subjective well-being</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75">
        <w:r>
          <w:rPr>
            <w:color w:val="1155CC"/>
            <w:u w:val="single"/>
          </w:rPr>
          <w:t>10.1073/pnas.2537789123</w:t>
        </w:r>
      </w:hyperlink>
    </w:p>
    <w:p>
      <w:pPr>
        <w:spacing w:before="0" w:after="120"/>
      </w:pPr>
      <w:r>
        <w:rPr>
          <w:b/>
        </w:rPr>
        <w:t xml:space="preserve">Notes: </w:t>
      </w:r>
      <w:r>
        <w:t>abstract_source=crossref</w:t>
      </w:r>
    </w:p>
    <w:p>
      <w:pPr>
        <w:spacing w:before="0" w:after="80" w:lineRule="auto" w:line="276"/>
      </w:pPr>
      <w:r>
        <w:rPr>
          <w:b/>
        </w:rPr>
        <w:t xml:space="preserve">摘要（ZH）: </w:t>
      </w:r>
      <w:r>
        <w:t>学者们观察到来自不同文化的人们使用各种与感恩相关的实践来改变他们的情绪、观点和社会关系。在有目的地抽样以涵盖广泛跨文化差异的34个国家（总N=10,696）中，我们实验性地测试了6种简短的感恩干预对主观情绪、生活观点和社会评估的影响。与3个对照任务相比，感恩实践立即产生了理论上的积极情感（d=0.37）、消极情感（d=−0.22）、乐观（d=0.24）、生活满意度（d=0.12）、负债感（d=0.15）和嫉妒（d=−0.16）的改善。值得注意的是，这些效果在不同的感恩实践（0.00 &lt; τpractice &lt; 0.08）和国家（0.10 &lt; τcountry &lt; 0.19）之间有所不同。例如，基于现有证据，利益相关者可以预期在随机选择的国家中部署的感恩干预会改善积极情感，但不会改善我们测量的其他结果。为了指导未来对为何会出现这种情况的探究，我们提供了探索性的贝叶斯估计。</w:t>
      </w:r>
    </w:p>
    <w:p>
      <w:pPr>
        <w:spacing w:before="0" w:after="200" w:lineRule="auto" w:line="276"/>
      </w:pPr>
      <w:r>
        <w:rPr>
          <w:b/>
        </w:rPr>
        <w:t xml:space="preserve">Abstract (EN): </w:t>
      </w:r>
      <w:r>
        <w:t>Scholars have observed people from a variety of cultures using a variety of gratitude-related practices to change their emotions, outlooks, and social relationships. Across 34 countries purposively sampled to cover a broad set of cross-cultural differences (total</w:t>
      </w:r>
      <w:r>
        <w:t xml:space="preserve"> </w:t>
      </w:r>
      <w:r>
        <w:t>N</w:t>
      </w:r>
      <w:r>
        <w:t xml:space="preserve"> </w:t>
      </w:r>
      <w:r>
        <w:t>= 10,696), we experimentally tested the effects of 6 brief gratitude interventions on subjective moods, life outlooks, and social evaluations. Compared to 3 control tasks, gratitude practices immediately produced theorized improvements in positive affect (</w:t>
      </w:r>
      <w:r>
        <w:t xml:space="preserve"> </w:t>
      </w:r>
      <w:r>
        <w:t>d</w:t>
      </w:r>
      <w:r>
        <w:t xml:space="preserve"> </w:t>
      </w:r>
      <w:r>
        <w:t>= 0.37), negative affect (</w:t>
      </w:r>
      <w:r>
        <w:t xml:space="preserve"> </w:t>
      </w:r>
      <w:r>
        <w:t>d</w:t>
      </w:r>
      <w:r>
        <w:t xml:space="preserve"> </w:t>
      </w:r>
      <w:r>
        <w:t>= −0.22), optimism (</w:t>
      </w:r>
      <w:r>
        <w:t xml:space="preserve"> </w:t>
      </w:r>
      <w:r>
        <w:t>d</w:t>
      </w:r>
      <w:r>
        <w:t xml:space="preserve"> </w:t>
      </w:r>
      <w:r>
        <w:t>= 0.24), life satisfaction (</w:t>
      </w:r>
      <w:r>
        <w:t xml:space="preserve"> </w:t>
      </w:r>
      <w:r>
        <w:t>d</w:t>
      </w:r>
      <w:r>
        <w:t xml:space="preserve"> </w:t>
      </w:r>
      <w:r>
        <w:t>= 0.12), indebtedness (</w:t>
      </w:r>
      <w:r>
        <w:t xml:space="preserve"> </w:t>
      </w:r>
      <w:r>
        <w:t>d</w:t>
      </w:r>
      <w:r>
        <w:t xml:space="preserve"> </w:t>
      </w:r>
      <w:r>
        <w:t>= 0.15), and envy (</w:t>
      </w:r>
      <w:r>
        <w:t xml:space="preserve"> </w:t>
      </w:r>
      <w:r>
        <w:t>d</w:t>
      </w:r>
      <w:r>
        <w:t xml:space="preserve"> </w:t>
      </w:r>
      <w:r>
        <w:t>= −0.16). Notably, these effects varied across different gratitude practices (0.00</w:t>
      </w:r>
      <w:r>
        <w:t xml:space="preserve"> </w:t>
      </w:r>
      <w:r>
        <w:t>&amp;lt; τ</w:t>
      </w:r>
      <w:r>
        <w:t xml:space="preserve"> </w:t>
      </w:r>
      <w:r>
        <w:t>practice</w:t>
      </w:r>
      <w:r>
        <w:t xml:space="preserve"> </w:t>
      </w:r>
      <w:r>
        <w:t>&amp;lt; 0.08) and countries (0.10</w:t>
      </w:r>
      <w:r>
        <w:t xml:space="preserve"> </w:t>
      </w:r>
      <w:r>
        <w:t>&amp;lt; τ</w:t>
      </w:r>
      <w:r>
        <w:t xml:space="preserve"> </w:t>
      </w:r>
      <w:r>
        <w:t>country</w:t>
      </w:r>
      <w:r>
        <w:t xml:space="preserve"> </w:t>
      </w:r>
      <w:r>
        <w:t>&amp;lt; 0.19). For instance, based on existing evidence, stakeholders can expect gratitude interventions deployed in a randomly selected country to improve positive affect—but not our other measured outcomes. To guide future inquiry into why this might be the case, we provide exploratory Bayesian estimates of the importance of 12 cross-cultural differences.</w:t>
      </w:r>
    </w:p>
    <w:p>
      <w:pPr>
        <w:spacing w:before="120" w:after="120"/>
      </w:pPr>
      <w:r>
        <w:rPr>
          <w:sz w:val="18"/>
        </w:rPr>
        <w:t>——————————————————————————————————————————————————————————————————————</w:t>
      </w:r>
    </w:p>
    <w:p>
      <w:pPr>
        <w:spacing w:before="160" w:after="40" w:line="240" w:lineRule="auto"/>
      </w:pPr>
      <w:r>
        <w:rPr>
          <w:b/>
        </w:rPr>
        <w:t xml:space="preserve">[95] </w:t>
      </w:r>
      <w:hyperlink r:id="rId376">
        <w:r>
          <w:rPr>
            <w:color w:val="1155CC"/>
            <w:u w:val="single"/>
          </w:rPr>
          <w:t>精神分裂症中的外周补体C4蛋白：与基因拷贝数和免疫细胞亚型的关联</w:t>
        </w:r>
      </w:hyperlink>
    </w:p>
    <w:p>
      <w:pPr>
        <w:spacing w:before="0" w:after="80"/>
      </w:pPr>
      <w:r>
        <w:rPr>
          <w:i/>
          <w:sz w:val="20"/>
        </w:rPr>
        <w:t>EN: Peripheral complement C4 protein in schizophrenia: Association with gene copy number and immune cell subtypes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77">
        <w:r>
          <w:rPr>
            <w:color w:val="1155CC"/>
            <w:u w:val="single"/>
          </w:rPr>
          <w:t>10.1073/pnas.2536376123</w:t>
        </w:r>
      </w:hyperlink>
    </w:p>
    <w:p>
      <w:pPr>
        <w:spacing w:before="0" w:after="120"/>
      </w:pPr>
      <w:r>
        <w:rPr>
          <w:b/>
        </w:rPr>
        <w:t xml:space="preserve">Notes: </w:t>
      </w:r>
      <w:r>
        <w:t>abstract_source=crossref</w:t>
      </w:r>
    </w:p>
    <w:p>
      <w:pPr>
        <w:spacing w:before="0" w:after="80" w:lineRule="auto" w:line="276"/>
      </w:pPr>
      <w:r>
        <w:rPr>
          <w:b/>
        </w:rPr>
        <w:t xml:space="preserve">摘要（ZH）: </w:t>
      </w:r>
      <w:r>
        <w:t>精神分裂症缺乏高度有效的疾病修饰治疗方法，迫使我们探索其病理生理学的新方面，包括关注大脑外的先天免疫机制。C4蛋白激活与先天免疫的补体级联相关，与症状相关并预测精神分裂症的结果。然而，C4蛋白激活与补体级联中其他蛋白的预期变化不一致，表明C4蛋白激活的另一个来源。通过研究来自10名匿名捐赠者的新鲜全血和大量公开可用的微阵列数据，我们发现C4蛋白主要在中性粒细胞和单核细胞中发现和表达。然后，我们比较了中性粒细胞、经典单核细胞、血浆中的C4蛋白与C4A基因拷贝数之间的相关性。我们使用数字液滴PCR确定C4A基因的数量，使用Western blotting检测中性粒细胞（15名患者/21名对照）和血浆（30名患者/38名对照）中的C4蛋白，使用流式细胞术检测经典单核细胞（30名患者/38名对照）。我们发现只有在精神分裂症组中，中性粒细胞中的C4A基因拷贝数与C4蛋白量之间存在较大的正相关（Spearman’s rho = 0.63, 95% BCa CI: 0.12 to 0.89, P = 0.012）。我们的结果表明与精神分裂症相关的先天免疫机制的收敛。先天免疫的参与值得进一步关注，以确定其是否可以作为精神分裂症治疗的目标。</w:t>
      </w:r>
    </w:p>
    <w:p>
      <w:pPr>
        <w:spacing w:before="0" w:after="200" w:lineRule="auto" w:line="276"/>
      </w:pPr>
      <w:r>
        <w:rPr>
          <w:b/>
        </w:rPr>
        <w:t xml:space="preserve">Abstract (EN): </w:t>
      </w:r>
      <w:r>
        <w:t>The lack of highly effective disease-modifying treatments for schizophrenia necessitates exploration of novel aspects of its pathophysiology, including attention to innate immune mechanisms outside the brain. C4 protein activation, associated with the complement cascade of innate immunity, associates with symptoms and predicts outcomes in schizophrenia. However, C4 protein activation does not coincide with expected changes to other proteins in the complement cascade, suggesting another source of C4 protein activation. Studying a combination of fresh whole blood from 10 anonymous donors and a large set of publicly available microarray data, we show that C4 protein is found and expressed primarily in neutrophils and monocytes. Then, we compared the correlation between C4 protein in neutrophils, classical monocytes, plasma, and the number of C4A gene copies. We determined the number of C4A genes using digital droplet PCR, C4 protein in neutrophils (15 patients/21 controls) and plasma (30 patients/38 controls) using Western blotting, and classical monocytes (30 patients/38 controls) using flow cytometry. We found a large positive correlation between the number of C4A gene copies and the amount of C4 protein only in neutrophils and only in the schizophrenia group (Spearman’s rho = 0.63, 95% BCa CI: 0.12 to 0.89,</w:t>
      </w:r>
      <w:r>
        <w:t xml:space="preserve"> </w:t>
      </w:r>
      <w:r>
        <w:t>P</w:t>
      </w:r>
      <w:r>
        <w:t xml:space="preserve"> </w:t>
      </w:r>
      <w:r>
        <w:t>= 0.012). Our results indicate a convergence of innate immunity mechanisms associated with schizophrenia. The involvement of innate immunity deserves further attention to determine whether it could be a target for therapy in schizophrenia.</w:t>
      </w:r>
    </w:p>
    <w:p>
      <w:pPr>
        <w:spacing w:before="120" w:after="120"/>
      </w:pPr>
      <w:r>
        <w:rPr>
          <w:sz w:val="18"/>
        </w:rPr>
        <w:t>——————————————————————————————————————————————————————————————————————</w:t>
      </w:r>
    </w:p>
    <w:p>
      <w:pPr>
        <w:spacing w:before="160" w:after="40" w:line="240" w:lineRule="auto"/>
      </w:pPr>
      <w:r>
        <w:rPr>
          <w:b/>
        </w:rPr>
        <w:t xml:space="preserve">[96] </w:t>
      </w:r>
      <w:hyperlink r:id="rId378">
        <w:r>
          <w:rPr>
            <w:color w:val="1155CC"/>
            <w:u w:val="single"/>
          </w:rPr>
          <w:t>使用硬粒子蒙特卡罗元动力学探索熵景观</w:t>
        </w:r>
      </w:hyperlink>
    </w:p>
    <w:p>
      <w:pPr>
        <w:spacing w:before="0" w:after="80"/>
      </w:pPr>
      <w:r>
        <w:rPr>
          <w:i/>
          <w:sz w:val="20"/>
        </w:rPr>
        <w:t>EN: Exploring entropy landscapes using hard particle Monte Carlo metadynamics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79">
        <w:r>
          <w:rPr>
            <w:color w:val="1155CC"/>
            <w:u w:val="single"/>
          </w:rPr>
          <w:t>10.1073/pnas.2537764123</w:t>
        </w:r>
      </w:hyperlink>
    </w:p>
    <w:p>
      <w:pPr>
        <w:spacing w:before="0" w:after="120"/>
      </w:pPr>
      <w:r>
        <w:rPr>
          <w:b/>
        </w:rPr>
        <w:t xml:space="preserve">Notes: </w:t>
      </w:r>
      <w:r>
        <w:t>abstract_source=crossref</w:t>
      </w:r>
    </w:p>
    <w:p>
      <w:pPr>
        <w:spacing w:before="0" w:after="80" w:lineRule="auto" w:line="276"/>
      </w:pPr>
      <w:r>
        <w:rPr>
          <w:b/>
        </w:rPr>
        <w:t xml:space="preserve">摘要（ZH）: </w:t>
      </w:r>
      <w:r>
        <w:t>二十多年来，元动力学一直是改善分子系统中稀有事件和亚稳态采样的强大工具。然而，它在研究胶体系统的结晶方面使用较少，尤其是那些由具有各向异性形状的硬颗粒组成的系统。在这项工作中，我们提出了一种方法，硬颗粒蒙特卡罗元动力学（HPMC-MetaD），将HPMC方案与元动力学结合，从而将元动力学的应用扩展到相变完全由熵驱动的硬颗粒系统。作为说明性例子，我们使用HPMC-MetaD研究了五种先前报道为候选玻璃形成物的形状，因为它们对结晶的顽固性。通过HPMC-MetaD，我们观察到所有五种形状的结晶并构建了熵景观。这些结果证明了HPMC-MetaD作为探索硬颗粒系统自组装的工具的有效性，这将使我们对潜在机制有更全面的理解，最终实现对组装路径的预测性控制。</w:t>
      </w:r>
    </w:p>
    <w:p>
      <w:pPr>
        <w:spacing w:before="0" w:after="200" w:lineRule="auto" w:line="276"/>
      </w:pPr>
      <w:r>
        <w:rPr>
          <w:b/>
        </w:rPr>
        <w:t xml:space="preserve">Abstract (EN): </w:t>
      </w:r>
      <w:r>
        <w:t>For more than two decades, metadynamics has been a powerful tool for improving the sampling of rare events and metastable states in molecular systems. It has been sparingly used, however, to study the crystallization of colloidal systems, especially those comprised of hard particles with anisotropic shapes. In this work, we propose a method, hard particle Monte Carlo metadynamics (HPMC-MetaD), that combines the HPMC-scheme with metadynamics, thereby extending the application of metadynamics to hard particle systems whose phase transitions are driven solely by entropy. As illustrative examples, we use HPMC-MetaD to study five shapes previously reported to be candidate glass formers because of their stubbornness to crystallization. With HPMC-MetaD, we observe crystallization for all five shapes and construct entropy landscapes. These results demonstrate the effectiveness of HPMC-MetaD as a tool for exploring self-assembly in hard particle systems, which will enable a more comprehensive understanding of the underlying mechanisms, ultimately allowing predictive control over the assembly pathways.</w:t>
      </w:r>
    </w:p>
    <w:p>
      <w:pPr>
        <w:spacing w:before="120" w:after="120"/>
      </w:pPr>
      <w:r>
        <w:rPr>
          <w:sz w:val="18"/>
        </w:rPr>
        <w:t>——————————————————————————————————————————————————————————————————————</w:t>
      </w:r>
    </w:p>
    <w:p>
      <w:pPr>
        <w:spacing w:before="160" w:after="40" w:line="240" w:lineRule="auto"/>
      </w:pPr>
      <w:r>
        <w:rPr>
          <w:b/>
        </w:rPr>
        <w:t xml:space="preserve">[97] </w:t>
      </w:r>
      <w:hyperlink r:id="rId380">
        <w:r>
          <w:rPr>
            <w:color w:val="1155CC"/>
            <w:u w:val="single"/>
          </w:rPr>
          <w:t>鲱鱼在波罗的海低盐度环境中遗传适应所需的精子、卵子和胚胎蛋白</w:t>
        </w:r>
      </w:hyperlink>
    </w:p>
    <w:p>
      <w:pPr>
        <w:spacing w:before="0" w:after="80"/>
      </w:pPr>
      <w:r>
        <w:rPr>
          <w:i/>
          <w:sz w:val="20"/>
        </w:rPr>
        <w:t>EN: Sperm, egg, and embryo proteins critical for genetic adaptation of herring to low salinity in the Baltic Sea</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81">
        <w:r>
          <w:rPr>
            <w:color w:val="1155CC"/>
            <w:u w:val="single"/>
          </w:rPr>
          <w:t>10.1073/pnas.2601861123</w:t>
        </w:r>
      </w:hyperlink>
    </w:p>
    <w:p>
      <w:pPr>
        <w:spacing w:before="0" w:after="120"/>
      </w:pPr>
      <w:r>
        <w:rPr>
          <w:b/>
        </w:rPr>
        <w:t xml:space="preserve">Notes: </w:t>
      </w:r>
      <w:r>
        <w:t>abstract_source=crossref</w:t>
      </w:r>
    </w:p>
    <w:p>
      <w:pPr>
        <w:spacing w:before="0" w:after="80" w:lineRule="auto" w:line="276"/>
      </w:pPr>
      <w:r>
        <w:rPr>
          <w:b/>
        </w:rPr>
        <w:t xml:space="preserve">摘要（ZH）: </w:t>
      </w:r>
      <w:r>
        <w:t>物种如何在遗传上适应新环境是进化生物学中的一个核心问题。在这里，结合全基因组测序和功能分析，研究了大西洋鲱鱼这种海洋鱼类如何适应波罗的海的半咸水。参与生殖和早期发育的基因成为自然选择的主要目标，关键变化发生在一个精子特异性阴离子通道（LRRC8C2）、一个透明带蛋白（ZPBA1）、一个鱼类转谷氨酰胺酶的三个基因簇（FTG1-3）和一个鱼类孵化酶基因的拷贝数扩增（HE1C）。LRRC8C2同源体的大直径促进了离子和渗透溶质的运输，可能防止在低盐度产卵时精子膨胀。改变的ZPBA1序列与修改的FTG1-3酶活性一起产生了一个更硬的卵膜，防止卵在半咸水中膨胀，而适应的HE1C酶的增强活性使幼虫能够在孵化时消化这种加固的卵膜。在半咸水中繁殖的波罗的海鲱鱼种群在这四个未链接的基因座上几乎固定或接近固定，每个基因座与大西洋种群中流行的等位基因相比携带多个氨基酸替换。这些基因座中的两个（FTG1-3和HE1C）的等位基因已从姐妹种</w:t>
      </w:r>
    </w:p>
    <w:p>
      <w:pPr>
        <w:spacing w:before="0" w:after="200" w:lineRule="auto" w:line="276"/>
      </w:pPr>
      <w:r>
        <w:rPr>
          <w:b/>
        </w:rPr>
        <w:t xml:space="preserve">Abstract (EN): </w:t>
      </w:r>
      <w:r>
        <w:t>How species genetically adapt to new environments is a central question in evolutionary biology. Here whole-genome sequencing combined with functional analysis is used to dissect how Atlantic herring, a marine fish, has adapted to the brackish Baltic Sea. Genes involved in reproduction and early development emerge as primary targets of natural selection, with key changes in a sperm-specific anion channel (</w:t>
      </w:r>
      <w:r>
        <w:t xml:space="preserve"> </w:t>
      </w:r>
      <w:r>
        <w:t>LRRC8C2</w:t>
      </w:r>
      <w:r>
        <w:t xml:space="preserve"> </w:t>
      </w:r>
      <w:r>
        <w:t>), a zona pellucida protein (</w:t>
      </w:r>
      <w:r>
        <w:t xml:space="preserve"> </w:t>
      </w:r>
      <w:r>
        <w:t>ZPBA1</w:t>
      </w:r>
      <w:r>
        <w:t xml:space="preserve"> </w:t>
      </w:r>
      <w:r>
        <w:t>), a cluster of three genes for fish transglutaminase (</w:t>
      </w:r>
      <w:r>
        <w:t xml:space="preserve"> </w:t>
      </w:r>
      <w:r>
        <w:t>FTG1-3</w:t>
      </w:r>
      <w:r>
        <w:t xml:space="preserve"> </w:t>
      </w:r>
      <w:r>
        <w:t>), and a copy number expansion of a fish hatching enzyme gene (</w:t>
      </w:r>
      <w:r>
        <w:t xml:space="preserve"> </w:t>
      </w:r>
      <w:r>
        <w:t>HE1C</w:t>
      </w:r>
      <w:r>
        <w:t xml:space="preserve"> </w:t>
      </w:r>
      <w:r>
        <w:t>). The large diameter of LRRC8C2 homomers facilitates transport of ions and osmolytes, likely preventing swelling of sperm when spawning in low salinity. Altered ZPBA1 sequence together with modified FTG1-3 enzyme activity produces a harder egg envelope that prevents egg swelling in brackish waters, while the enhanced activity of the adapted HE1C enzyme enables larvae to digest this reinforced egg envelope during hatching. Baltic Sea herring populations reproducing in brackish water are fixed or nearly fixed for variant alleles at these four unlinked loci, each carrying multiple amino acid substitutions compared to the alleles prevalent in the Atlantic Ocean populations. The alleles at two of these loci (</w:t>
      </w:r>
      <w:r>
        <w:t xml:space="preserve"> </w:t>
      </w:r>
      <w:r>
        <w:t>FTG1-3,</w:t>
      </w:r>
      <w:r>
        <w:t xml:space="preserve"> </w:t>
      </w:r>
      <w:r>
        <w:t>and</w:t>
      </w:r>
      <w:r>
        <w:t xml:space="preserve"> </w:t>
      </w:r>
      <w:r>
        <w:t>HE1C</w:t>
      </w:r>
      <w:r>
        <w:t xml:space="preserve"> </w:t>
      </w:r>
      <w:r>
        <w:t>) have been introgressed from the sister species Pacific herring. These findings reveal concrete molecular mechanisms by which a marine species has adapted to a novel, low-salinity environment.</w:t>
      </w:r>
    </w:p>
    <w:p>
      <w:pPr>
        <w:spacing w:before="120" w:after="120"/>
      </w:pPr>
      <w:r>
        <w:rPr>
          <w:sz w:val="18"/>
        </w:rPr>
        <w:t>——————————————————————————————————————————————————————————————————————</w:t>
      </w:r>
    </w:p>
    <w:p>
      <w:pPr>
        <w:spacing w:before="160" w:after="40" w:line="240" w:lineRule="auto"/>
      </w:pPr>
      <w:r>
        <w:rPr>
          <w:b/>
        </w:rPr>
        <w:t xml:space="preserve">[98] </w:t>
      </w:r>
      <w:hyperlink r:id="rId382">
        <w:r>
          <w:rPr>
            <w:color w:val="1155CC"/>
            <w:u w:val="single"/>
          </w:rPr>
          <w:t>离子周围水的能量相互作用决定电解质溶液的传输特性</w:t>
        </w:r>
      </w:hyperlink>
    </w:p>
    <w:p>
      <w:pPr>
        <w:spacing w:before="0" w:after="80"/>
      </w:pPr>
      <w:r>
        <w:rPr>
          <w:i/>
          <w:sz w:val="20"/>
        </w:rPr>
        <w:t>EN: Energetic interactions of water around ions determine transport properties of electrolyte solutions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83">
        <w:r>
          <w:rPr>
            <w:color w:val="1155CC"/>
            <w:u w:val="single"/>
          </w:rPr>
          <w:t>10.1073/pnas.2611092123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[99] </w:t>
      </w:r>
      <w:hyperlink r:id="rId384">
        <w:r>
          <w:rPr>
            <w:color w:val="1155CC"/>
            <w:u w:val="single"/>
          </w:rPr>
          <w:t>火星和早期地球上含Mn(II)碳酸盐的缺氧光氧化</w:t>
        </w:r>
      </w:hyperlink>
    </w:p>
    <w:p>
      <w:pPr>
        <w:spacing w:before="0" w:after="80"/>
      </w:pPr>
      <w:r>
        <w:rPr>
          <w:i/>
          <w:sz w:val="20"/>
        </w:rPr>
        <w:t>EN: Anoxic photo-oxidation of Mn(II)-bearing carbonates on Mars and early Earth</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85">
        <w:r>
          <w:rPr>
            <w:color w:val="1155CC"/>
            <w:u w:val="single"/>
          </w:rPr>
          <w:t>10.1073/pnas.2607260123</w:t>
        </w:r>
      </w:hyperlink>
    </w:p>
    <w:p>
      <w:pPr>
        <w:spacing w:before="0" w:after="120"/>
      </w:pPr>
      <w:r>
        <w:rPr>
          <w:b/>
        </w:rPr>
        <w:t xml:space="preserve">Notes: </w:t>
      </w:r>
      <w:r>
        <w:t>abstract_source=crossref</w:t>
      </w:r>
    </w:p>
    <w:p>
      <w:pPr>
        <w:spacing w:before="0" w:after="80" w:lineRule="auto" w:line="276"/>
      </w:pPr>
      <w:r>
        <w:rPr>
          <w:b/>
        </w:rPr>
        <w:t xml:space="preserve">摘要（ZH）: </w:t>
      </w:r>
      <w:r>
        <w:t>锰氧化物，被认为几乎完全通过Mn2+和O2之间的反应形成，催化了氧化还原敏感金属的氧化转化。因此，锰氧化物的出现，无论是通过沉积地球化学数据观察到的还是推测的，已经成为关于早期地球和火星大气氧化还原状态演化的多个假设的基础。在此，我们通过理论和实验报告，常见的钙/镁碳酸盐矿物（包括方解石、菱镁矿和霰石）的带隙由于微量掺入（0.8 wt%或更低）Mn(II)进入其体结构或表面而显著降低，从而在与早期地球和火星相关的紫外条件下（200到400 nm）赋予光化学反应性。此外，我们显示Mn(II)的表面掺入比体掺入更有效地（超过1 eV）降低了基本带隙。我们的结果表明，含Mn(II)的碳酸盐的光氧化可能在行星表面广泛发生，导致无自由分子氧的锰氧化物的非生物形成。锰的光化学驱动氧化还原循环可以帮助维持微生物代谢的氧化还原不平衡，但会影响锰氧化物作为氧气气压计的使用。</w:t>
      </w:r>
    </w:p>
    <w:p>
      <w:pPr>
        <w:spacing w:before="0" w:after="200" w:lineRule="auto" w:line="276"/>
      </w:pPr>
      <w:r>
        <w:rPr>
          <w:b/>
        </w:rPr>
        <w:t xml:space="preserve">Abstract (EN): </w:t>
      </w:r>
      <w:r>
        <w:t>Manganese oxides, thought to form almost exclusively through reactions between Mn</w:t>
      </w:r>
      <w:r>
        <w:t xml:space="preserve"> </w:t>
      </w:r>
      <w:r>
        <w:t>2+</w:t>
      </w:r>
      <w:r>
        <w:t xml:space="preserve"> </w:t>
      </w:r>
      <w:r>
        <w:t>and O</w:t>
      </w:r>
      <w:r>
        <w:rPr>
          <w:vertAlign w:val="subscript"/>
        </w:rPr>
        <w:t>2</w:t>
      </w:r>
      <w:r>
        <w:t>, catalyze oxidative transformations among redox-sensitive metals. Thus, the occurrence of Mn oxides, either observed or inferred from sedimentary geochemical data, has formed the basis for multiple hypotheses concerning the evolution of the atmospheric redox state on the early Earth and Mars. Here, using theory and experiments, we report that the band gap of common Ca/Mg carbonate minerals (including calcite, magnesite, and aragonite) is significantly lowered by trace incorporation (0.8 wt% or lower) of Mn(II) into their bulk structure or surface, conferring photochemical reactivity under ultraviolet conditions relevant to early Earth and Mars (200 to 400 nm). Moreover, we show that surface incorporation of Mn(II) reduces the fundamental band gap much more effectively (by &amp;gt;1 eV) than bulk incorporation. Our results suggest that photo-oxidation of Mn(II)-bearing carbonates could have occurred widely on planetary surfaces, resulting in the abiotic formation of manganese oxides without free molecular oxygen. Photochemically driven redox cycling of manganese could help sustain redox disequilibria for microbial metabolisms, but compromises the use of manganese oxides as oxygen barometers.</w:t>
      </w:r>
    </w:p>
    <w:p>
      <w:pPr>
        <w:spacing w:before="120" w:after="120"/>
      </w:pPr>
      <w:r>
        <w:rPr>
          <w:sz w:val="18"/>
        </w:rPr>
        <w:t>——————————————————————————————————————————————————————————————————————</w:t>
      </w:r>
    </w:p>
    <w:p>
      <w:pPr>
        <w:spacing w:before="160" w:after="40" w:line="240" w:lineRule="auto"/>
      </w:pPr>
      <w:r>
        <w:rPr>
          <w:b/>
        </w:rPr>
        <w:t xml:space="preserve">[100] </w:t>
      </w:r>
      <w:hyperlink r:id="rId386">
        <w:r>
          <w:rPr>
            <w:color w:val="1155CC"/>
            <w:u w:val="single"/>
          </w:rPr>
          <w:t>Asimovic等人关于在种族极化环境中测试Facebook使用效果的更正</w:t>
        </w:r>
      </w:hyperlink>
    </w:p>
    <w:p>
      <w:pPr>
        <w:spacing w:before="0" w:after="80"/>
      </w:pPr>
      <w:r>
        <w:rPr>
          <w:i/>
          <w:sz w:val="20"/>
        </w:rPr>
        <w:t>EN: Correction for Asimovic et al., Testing the effects of Facebook usage in an ethnically polarized setting</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87">
        <w:r>
          <w:rPr>
            <w:color w:val="1155CC"/>
            <w:u w:val="single"/>
          </w:rPr>
          <w:t>10.1073/pnas.2614308123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[101] </w:t>
      </w:r>
      <w:hyperlink r:id="rId388">
        <w:r>
          <w:rPr>
            <w:color w:val="1155CC"/>
            <w:u w:val="single"/>
          </w:rPr>
          <w:t>负面社会关系加速成年人衰老，还是衰老侵蚀社会关系？</w:t>
        </w:r>
      </w:hyperlink>
    </w:p>
    <w:p>
      <w:pPr>
        <w:spacing w:before="0" w:after="80"/>
      </w:pPr>
      <w:r>
        <w:rPr>
          <w:i/>
          <w:sz w:val="20"/>
        </w:rPr>
        <w:t>EN: Do negative social ties accelerate aging in adults, or does aging erode social ties?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89">
        <w:r>
          <w:rPr>
            <w:color w:val="1155CC"/>
            <w:u w:val="single"/>
          </w:rPr>
          <w:t>10.1073/pnas.2608036123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 </w:t>
      </w:r>
      <w:hyperlink r:id="rId390">
        <w:r>
          <w:rPr>
            <w:color w:val="1155CC"/>
            <w:u w:val="single"/>
          </w:rPr>
          <w:t>周围景观影响碎片化森林中物种的持续存在</w:t>
        </w:r>
      </w:hyperlink>
    </w:p>
    <w:p>
      <w:pPr>
        <w:spacing w:before="0" w:after="80"/>
      </w:pPr>
      <w:r>
        <w:rPr>
          <w:i/>
          <w:sz w:val="20"/>
        </w:rPr>
        <w:t>EN: Surrounding landscapes shape species persistence in fragmented forests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91">
        <w:r>
          <w:rPr>
            <w:color w:val="1155CC"/>
            <w:u w:val="single"/>
          </w:rPr>
          <w:t>10.1073/pnas.2609139123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 </w:t>
      </w:r>
      <w:hyperlink r:id="rId392">
        <w:r>
          <w:rPr>
            <w:color w:val="1155CC"/>
            <w:u w:val="single"/>
          </w:rPr>
          <w:t>Kuhlisch等人的更正，使用代谢生物标志物绘制广泛存在的球石藻花的病毒分流图</w:t>
        </w:r>
      </w:hyperlink>
    </w:p>
    <w:p>
      <w:pPr>
        <w:spacing w:before="0" w:after="80"/>
      </w:pPr>
      <w:r>
        <w:rPr>
          <w:i/>
          <w:sz w:val="20"/>
        </w:rPr>
        <w:t>EN: Correction for Kuhlisch et al., Mapping of the viral shunt across widespread coccolithophore blooms using metabolic biomarkers</w:t>
      </w:r>
    </w:p>
    <w:p>
      <w:pPr>
        <w:spacing w:before="0" w:after="120"/>
      </w:pPr>
      <w:r>
        <w:rPr>
          <w:b/>
        </w:rPr>
        <w:t xml:space="preserve">Source: </w:t>
      </w:r>
      <w:r>
        <w:t>Proceedings of the National Academy of Sciences: Keyword search for query</w:t>
      </w:r>
      <w:r>
        <w:t xml:space="preserve">    </w:t>
      </w:r>
      <w:r>
        <w:rPr>
          <w:b/>
        </w:rPr>
        <w:t xml:space="preserve">Pub date: </w:t>
      </w:r>
      <w:r>
        <w:t>2026-05-11 07:00:00+00:00</w:t>
      </w:r>
      <w:r>
        <w:t xml:space="preserve">    </w:t>
      </w:r>
      <w:r>
        <w:rPr>
          <w:b/>
        </w:rPr>
        <w:t xml:space="preserve">DOI: </w:t>
      </w:r>
      <w:hyperlink r:id="rId393">
        <w:r>
          <w:rPr>
            <w:color w:val="1155CC"/>
            <w:u w:val="single"/>
          </w:rPr>
          <w:t>10.1073/pnas.2614660123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 </w:t>
      </w:r>
      <w:hyperlink r:id="rId394">
        <w:r>
          <w:rPr>
            <w:color w:val="1155CC"/>
            <w:u w:val="single"/>
          </w:rPr>
          <w:t>明亮且凉爽的智能窗户：通过醌型供体-受体聚合物实现视觉静默和近红外调制</w:t>
        </w:r>
      </w:hyperlink>
    </w:p>
    <w:p>
      <w:pPr>
        <w:spacing w:before="0" w:after="80"/>
      </w:pPr>
      <w:r>
        <w:rPr>
          <w:i/>
          <w:sz w:val="20"/>
        </w:rPr>
        <w:t>EN: Bright‐and‐Cool Smart Windows: Visually Silent and Near‐Infrared Modulation via Quinoid Donor–Acceptor Polymers</w:t>
      </w:r>
    </w:p>
    <w:p>
      <w:pPr>
        <w:spacing w:before="0" w:after="120"/>
      </w:pPr>
      <w:r>
        <w:rPr>
          <w:b/>
        </w:rPr>
        <w:t xml:space="preserve">Source: </w:t>
      </w:r>
      <w:r>
        <w:t>Wiley: Advanced Energy Materials: Table of Contents</w:t>
      </w:r>
      <w:r>
        <w:t xml:space="preserve">    </w:t>
      </w:r>
      <w:r>
        <w:rPr>
          <w:b/>
        </w:rPr>
        <w:t xml:space="preserve">Pub date: </w:t>
      </w:r>
      <w:r>
        <w:t>2026-05-11 07:22:07+00:00</w:t>
      </w:r>
      <w:r>
        <w:t xml:space="preserve">    </w:t>
      </w:r>
      <w:r>
        <w:rPr>
          <w:b/>
        </w:rPr>
        <w:t xml:space="preserve">DOI: </w:t>
      </w:r>
      <w:hyperlink r:id="rId395">
        <w:r>
          <w:rPr>
            <w:color w:val="1155CC"/>
            <w:u w:val="single"/>
          </w:rPr>
          <w:t>10.1002/aenm.71060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智能窗技术需要在不牺牲日光质量的情况下精确控制太阳热增益。然而，大多数电致变色材料本质上将近红外（NIR）衰减与可见光吸收耦合在一起，导致不必要的变暗。在此，我们报告了一种醌型供体-受体聚合物P(EDOT–TQ–EDOT–ProDOT)，实现了“光谱解耦”——强NIR选择性调制，且可见光变化最小。通过整合富电子的3,4-乙烯二氧噻吩（EDOT）间隔物和强[1,2,5]噻二唑并[3,4-g]喹喔啉（TQ）受体，该聚合物表现出稳定的极化子状态，光学跃迁限制在NIR区域。所得薄膜在1252 nm处实现了78.7%的显著NIR透射率变化，同时保持可见光调制低于10%。组装成具有普鲁士蓝对电极的固态电致变色器件，显示出可忽略的可见透射率变化（ΔTvis &lt; 5%），高的一般显色指数（Ra &gt; 85），超高的着色效率（1319 cm2 C−1），快速响应（&lt;4 s），以及超过10,000次循环的优异耐久性。建筑能量模拟证实，这种“明亮且凉爽”的调制模式实现了每年净能量节省3.41 kWh m−2。</w:t>
      </w:r>
    </w:p>
    <w:p>
      <w:pPr>
        <w:spacing w:before="0" w:after="200" w:lineRule="auto" w:line="276"/>
      </w:pPr>
      <w:r>
        <w:rPr>
          <w:b/>
        </w:rPr>
        <w:t xml:space="preserve">Abstract (EN): </w:t>
      </w:r>
      <w:r>
        <w:t>Smart window technologies require precise control of solar heat gain without sacrificing daylight quality. However, most electrochromic materials intrinsically couple near‐infrared (NIR) attenuation with visible light absorption, leading to undesired dimming. Herein, we report a quinoid donor–acceptor polymer, P(EDOT–TQ–EDOT–ProDOT), that achieves “spectral decoupling”—strong NIR‐selective modulation with minimal visible variation. By integrating electron‐rich 3,4‐ethylenedioxythiophene (EDOT) spacers and a strong [1,2,5]thiadiazolo[3,4‐</w:t>
      </w:r>
      <w:r>
        <w:t xml:space="preserve"> </w:t>
      </w:r>
      <w:r>
        <w:t>g</w:t>
      </w:r>
      <w:r>
        <w:t xml:space="preserve"> </w:t>
      </w:r>
      <w:r>
        <w:t>]quinoxaline (TQ) acceptor, the polymer exhibits stabilized polaronic states with optical transitions confined to the NIR region. The resulting film delivers a remarkable NIR transmittance change of 78.7% at 1252 nm while keeping visible modulation under 10%. Assembled into a solid‐state electrochromic device with a Prussian Blue counter electrode, it demonstrates negligible visible transmittance change (Δ</w:t>
      </w:r>
      <w:r>
        <w:t xml:space="preserve"> </w:t>
      </w:r>
      <w:r>
        <w:t>T</w:t>
      </w:r>
      <w:r>
        <w:t xml:space="preserve"> </w:t>
      </w:r>
      <w:r>
        <w:t>vis</w:t>
      </w:r>
      <w:r>
        <w:t xml:space="preserve"> </w:t>
      </w:r>
      <w:r>
        <w:t>&amp;lt; 5%), a high general color rendering index (</w:t>
      </w:r>
      <w:r>
        <w:t xml:space="preserve"> </w:t>
      </w:r>
      <w:r>
        <w:t>R</w:t>
      </w:r>
      <w:r>
        <w:t xml:space="preserve"> </w:t>
      </w:r>
      <w:r>
        <w:t>a</w:t>
      </w:r>
      <w:r>
        <w:t xml:space="preserve"> </w:t>
      </w:r>
      <w:r>
        <w:t>&amp;gt; 85), ultra‐high coloration efficiency (1319 cm</w:t>
      </w:r>
      <w:r>
        <w:rPr>
          <w:vertAlign w:val="subscript"/>
        </w:rPr>
        <w:t>2</w:t>
      </w:r>
      <w:r>
        <w:t>C</w:t>
      </w:r>
      <w:r>
        <w:t xml:space="preserve"> </w:t>
      </w:r>
      <w:r>
        <w:t>−1</w:t>
      </w:r>
      <w:r>
        <w:t xml:space="preserve"> </w:t>
      </w:r>
      <w:r>
        <w:t>), fast response (&amp;lt;4 s), and excellent durability over 10 000 cycles. Building energy simulations confirm that this “bright‐and‐cool” modulation mode achieves a net annual energy saving of 3.41 kWh m</w:t>
      </w:r>
      <w:r>
        <w:t xml:space="preserve"> </w:t>
      </w:r>
      <w:r>
        <w:t>−2</w:t>
      </w:r>
      <w:r>
        <w:t xml:space="preserve"> </w:t>
      </w:r>
      <w:r>
        <w:t>by avoiding the lighting penalty (11.71 kWh m</w:t>
      </w:r>
      <w:r>
        <w:t xml:space="preserve"> </w:t>
      </w:r>
      <w:r>
        <w:t>−2</w:t>
      </w:r>
      <w:r>
        <w:t xml:space="preserve"> </w:t>
      </w:r>
      <w:r>
        <w:t>savings) typical of conventional tinting systems. This work provides a new strategy for designing visually transmissive, thermally adaptive electrochromic materials that advance next‐generation energy‐efficient building envelopes.</w:t>
      </w:r>
    </w:p>
    <w:p>
      <w:pPr>
        <w:spacing w:before="120" w:after="120"/>
      </w:pPr>
      <w:r>
        <w:rPr>
          <w:sz w:val="18"/>
        </w:rPr>
        <w:t>——————————————————————————————————————————————————————————————————————</w:t>
      </w:r>
    </w:p>
    <w:p>
      <w:pPr>
        <w:spacing w:before="160" w:after="40" w:line="240" w:lineRule="auto"/>
      </w:pPr>
      <w:r>
        <w:rPr>
          <w:b/>
        </w:rPr>
        <w:t xml:space="preserve">[105] </w:t>
      </w:r>
      <w:hyperlink r:id="rId396">
        <w:r>
          <w:rPr>
            <w:color w:val="1155CC"/>
            <w:u w:val="single"/>
          </w:rPr>
          <w:t>界面旋转约束控制倒置钙钛矿太阳能电池的埋界面能量学</w:t>
        </w:r>
      </w:hyperlink>
    </w:p>
    <w:p>
      <w:pPr>
        <w:spacing w:before="0" w:after="80"/>
      </w:pPr>
      <w:r>
        <w:rPr>
          <w:i/>
          <w:sz w:val="20"/>
        </w:rPr>
        <w:t>EN: Interfacial Rotational Constraint Govern Buried‐Interface Energetics for Inverted Perovskite Solar Cells</w:t>
      </w:r>
    </w:p>
    <w:p>
      <w:pPr>
        <w:spacing w:before="0" w:after="120"/>
      </w:pPr>
      <w:r>
        <w:rPr>
          <w:b/>
        </w:rPr>
        <w:t xml:space="preserve">Source: </w:t>
      </w:r>
      <w:r>
        <w:t>Wiley: Advanced Energy Materials: Table of Contents</w:t>
      </w:r>
      <w:r>
        <w:t xml:space="preserve">    </w:t>
      </w:r>
      <w:r>
        <w:rPr>
          <w:b/>
        </w:rPr>
        <w:t xml:space="preserve">Pub date: </w:t>
      </w:r>
      <w:r>
        <w:t>2026-05-11 07:25:26+00:00</w:t>
      </w:r>
      <w:r>
        <w:t xml:space="preserve">    </w:t>
      </w:r>
      <w:r>
        <w:rPr>
          <w:b/>
        </w:rPr>
        <w:t xml:space="preserve">DOI: </w:t>
      </w:r>
      <w:hyperlink r:id="rId397">
        <w:r>
          <w:rPr>
            <w:color w:val="1155CC"/>
            <w:u w:val="single"/>
          </w:rPr>
          <w:t>10.1002/aenm.71068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分子层（SAMs）对于高效倒置钙钛矿太阳能电池（PSCs）至关重要，但其使用受到不完全覆盖、弱氧化物粘附、溶剂解吸和润湿性差的限制。这些问题源于结构限制：传统的SAMs通过单一单齿“铰链”锚定，其旋转阻碍了密集包装，造成表面能量异质性，并破坏了底部和埋藏界面的稳定性。在此，我们通过引入乳酸（LA）与Me-4PACz配对来限制这种旋转自由，提出了一种分子互锁策略。LA的羧基与羟基化的NiO</w:t>
      </w:r>
      <w:r>
        <w:t xml:space="preserve"> </w:t>
      </w:r>
      <w:r>
        <w:t>x</w:t>
      </w:r>
      <w:r>
        <w:t xml:space="preserve"> </w:t>
      </w:r>
      <w:r>
        <w:t>形成额外的配位，同时与埋藏的钙钛矿界面的未配位Pb-I物种相互作用，形成双锚配置，增强了SAM的粘附性和结构刚性。这种互锁的SAM改善了表面均匀性，提高了对钙钛矿墨水的润湿性，抑制了与PbI</w:t>
      </w:r>
      <w:r>
        <w:rPr>
          <w:vertAlign w:val="subscript"/>
        </w:rPr>
        <w:t>2</w:t>
      </w:r>
      <w:r>
        <w:t>相关的缺陷形成，优化了能级对齐，并释放了界面残余应力，使得钙钛矿薄膜致密且无针孔。因此，使用Me-4PACz（LA）的PSCs实现了26.87%的PCE（认证为26.31%），在1000小时MPP跟踪后保持98.8%的初始输出，并在1200小时环境存储后保持90%的效率。大面积（47.84 cm</w:t>
      </w:r>
      <w:r>
        <w:rPr>
          <w:vertAlign w:val="subscript"/>
        </w:rPr>
        <w:t>2</w:t>
      </w:r>
      <w:r>
        <w:t>）模块达到23.18%，展示了旋转策略的广泛适用性。</w:t>
      </w:r>
    </w:p>
    <w:p>
      <w:pPr>
        <w:spacing w:before="0" w:after="200" w:lineRule="auto" w:line="276"/>
      </w:pPr>
      <w:r>
        <w:rPr>
          <w:b/>
        </w:rPr>
        <w:t xml:space="preserve">Abstract (EN): </w:t>
      </w:r>
      <w:r>
        <w:t>Self‐assembled monolayers (SAMs) are critical for high‐efficiency inverted perovskite solar cells (PSCs), but their use is limited by incomplete coverage, weak oxide adhesion, solvent desorption, and poor wettability. These issues stem from a structural constraint: conventional SAMs anchor through a single monodentate “hinge,” whose rotation hinders dense packing, creates surface‐energy heterogeneity, and destabilizes bottom and buried interfaces. Here, we introduce a molecular‐interlock strategy by incorporating lactic acid (LA) to pair with Me‐4PACz to restrict this rotational freedom. The carboxyl group of LA forms an additional coordination with hydroxylated NiO</w:t>
      </w:r>
      <w:r>
        <w:t xml:space="preserve"> </w:t>
      </w:r>
      <w:r>
        <w:t>x</w:t>
      </w:r>
      <w:r>
        <w:t xml:space="preserve"> </w:t>
      </w:r>
      <w:r>
        <w:t>and simultaneously interacts with undercoordinated Pb‐I species at the buried perovskite interface, creating a dual‐anchor configuration that enhances SAM adhesion and structural rigidity. This interlocked SAM improves surface uniformity, increases wettability toward perovskite inks, suppresses PbI</w:t>
      </w:r>
      <w:r>
        <w:rPr>
          <w:vertAlign w:val="subscript"/>
        </w:rPr>
        <w:t>2</w:t>
      </w:r>
      <w:r>
        <w:t>‐related defect formation, optimizes energy‐level alignment, and releases interfacial residual stress, enabling compact and pinhole‐free perovskite films. As a result, PSCs using Me‐4PACz (LA) achieve a PCE of 26.87% (certified 26.31%), maintain 98.8% of their initial output after 1000 h MPP tracking, and retain 90% efficiency after 1200 h ambient storage. Large‐area (47.84 cm</w:t>
      </w:r>
      <w:r>
        <w:rPr>
          <w:vertAlign w:val="subscript"/>
        </w:rPr>
        <w:t>2</w:t>
      </w:r>
      <w:r>
        <w:t>) modules reach 23.18%, demonstrating the broad applicability of rotationally restricted, molecular‐interlocked SAMs for robust and efficient perovskite photovoltaics.</w:t>
      </w:r>
    </w:p>
    <w:p>
      <w:pPr>
        <w:spacing w:before="120" w:after="120"/>
      </w:pPr>
      <w:r>
        <w:rPr>
          <w:sz w:val="18"/>
        </w:rPr>
        <w:t>——————————————————————————————————————————————————————————————————————</w:t>
      </w:r>
    </w:p>
    <w:p>
      <w:pPr>
        <w:spacing w:before="160" w:after="40" w:line="240" w:lineRule="auto"/>
      </w:pPr>
      <w:r>
        <w:rPr>
          <w:b/>
        </w:rPr>
        <w:t xml:space="preserve">[106] </w:t>
      </w:r>
      <w:hyperlink r:id="rId398">
        <w:r>
          <w:rPr>
            <w:color w:val="1155CC"/>
            <w:u w:val="single"/>
          </w:rPr>
          <w:t>富缺陷CoO/高自旋CoOOH异质界面的双位点级联机制实现高效且超稳定的5-羟甲基糠醛电氧化</w:t>
        </w:r>
      </w:hyperlink>
    </w:p>
    <w:p>
      <w:pPr>
        <w:spacing w:before="0" w:after="80"/>
      </w:pPr>
      <w:r>
        <w:rPr>
          <w:i/>
          <w:sz w:val="20"/>
        </w:rPr>
        <w:t>EN: Dual‐Site Cascade Mechanism Over Vacancy‐Rich CoO/High‐Spin CoOOH Heterointerfaces Enables Highly Efficient and Ultrastable 5‐hydroxymethylfurfural Electrooxidation</w:t>
      </w:r>
    </w:p>
    <w:p>
      <w:pPr>
        <w:spacing w:before="0" w:after="120"/>
      </w:pPr>
      <w:r>
        <w:rPr>
          <w:b/>
        </w:rPr>
        <w:t xml:space="preserve">Source: </w:t>
      </w:r>
      <w:r>
        <w:t>Wiley: Advanced Energy Materials: Table of Contents</w:t>
      </w:r>
      <w:r>
        <w:t xml:space="preserve">    </w:t>
      </w:r>
      <w:r>
        <w:rPr>
          <w:b/>
        </w:rPr>
        <w:t xml:space="preserve">Pub date: </w:t>
      </w:r>
      <w:r>
        <w:t>2026-05-11 07:26:01+00:00</w:t>
      </w:r>
      <w:r>
        <w:t xml:space="preserve">    </w:t>
      </w:r>
      <w:r>
        <w:rPr>
          <w:b/>
        </w:rPr>
        <w:t xml:space="preserve">DOI: </w:t>
      </w:r>
      <w:hyperlink r:id="rId399">
        <w:r>
          <w:rPr>
            <w:color w:val="1155CC"/>
            <w:u w:val="single"/>
          </w:rPr>
          <w:t>10.1002/aenm.70985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5-羟甲基糠醛（HMF）电催化氧化为2,5-呋喃二甲酸（FDCA）提供了一条可持续的生物质增值途径，用于可再生聚酯单体。然而，在碱性条件下（pH 11.0），非贵金属催化剂难以同时实现低过电位、高FDCA选择性和超长稳定性。在此，密度泛函理论（DFT）计算揭示了富氧空位的CoO显著降低了HMF到5-羟甲基-2-呋喃羧酸（HMFCA）转化的能垒，而低配位高自旋CoOOH有效稳定了</w:t>
      </w:r>
      <w:r>
        <w:t xml:space="preserve"> </w:t>
      </w:r>
      <w:r>
        <w:t>*</w:t>
      </w:r>
      <w:r>
        <w:t xml:space="preserve"> </w:t>
      </w:r>
      <w:r>
        <w:t>OH中间体以促进深度氧化。在这些见解的指导下，我们开发了紫外激光烧蚀结合电氧化活化策略，构建了富氧空位的CoO/低配位高自旋CoOOH异质结构催化剂。该催化剂在仅1.19 V（vs. RHE）下提供10 mA cm</w:t>
      </w:r>
      <w:r>
        <w:t xml:space="preserve"> </w:t>
      </w:r>
      <w:r>
        <w:t>−2</w:t>
      </w:r>
      <w:r>
        <w:t xml:space="preserve"> </w:t>
      </w:r>
      <w:r>
        <w:t>，HMF转化率超过98%，FDCA选择性接近100%，稳定性超过1000小时，设定了非贵金属催化剂在可比条件下的新基准。实验和各种原位表征证实了反应路径的协同优化与理论预测高度一致。这种氧空位诱导的低配位高自旋状态调控策略表现出优异的普遍性，成功扩展到镍基系统，并显示出显著增强的性能。</w:t>
      </w:r>
    </w:p>
    <w:p>
      <w:pPr>
        <w:spacing w:before="0" w:after="200" w:lineRule="auto" w:line="276"/>
      </w:pPr>
      <w:r>
        <w:rPr>
          <w:b/>
        </w:rPr>
        <w:t xml:space="preserve">Abstract (EN): </w:t>
      </w:r>
      <w:r>
        <w:t>Electrocatalytic oxidation of 5‐hydroxymethylfurfural (HMF) to 2,5‐furandicarboxylic acid (FDCA) offers a sustainable route for biomass valorization into renewable polyester monomers. However, under alkaline conditions (pH 11.0), non‐precious metal catalysts struggle to achieve low overpotential, high FDCA selectivity, and ultralong stability simultaneously. Herein, density functional theory (DFT) calculations reveal that oxygen vacancy‐rich CoO substantially lowers the energy barrier for HMF to 5‐Hydroxymethyl‐2‐furancarboxylic acid (HMFCA) conversion, while low‐coordination high‐spin CoOOH effectively stabilizes the</w:t>
      </w:r>
      <w:r>
        <w:t xml:space="preserve"> </w:t>
      </w:r>
      <w:r>
        <w:t>*</w:t>
      </w:r>
      <w:r>
        <w:t xml:space="preserve"> </w:t>
      </w:r>
      <w:r>
        <w:t>OH intermediate to promote deep oxidation. Guided by these insights, we develop ultraviolet laser ablation combined with an electro‐oxidation activation strategy to construct an oxygen vacancy‐rich CoO/low‐coordination high‐spin CoOOH heterostructure catalyst. The catalyst delivers 10 mA cm</w:t>
      </w:r>
      <w:r>
        <w:t xml:space="preserve"> </w:t>
      </w:r>
      <w:r>
        <w:t>−2</w:t>
      </w:r>
      <w:r>
        <w:t xml:space="preserve"> </w:t>
      </w:r>
      <w:r>
        <w:t>at merely 1.19 V (vs. RHE), with &amp;gt;98% HMF conversion, near‐100% FDCA selectivity, and stability exceeding 1000 h, setting a new benchmark for non‐precious metal catalysts under comparable conditions. Experiments and various in situ characterizations confirm that the synergistic optimization of the reaction pathway aligns closely with theoretical predictions. This oxygen vacancy‐induced low‐coordination high‐spin state regulation strategy exhibits excellent generality, successfully extended to Ni‐based systems, and demonstrates markedly enhanced performance across various biomass platform molecule electrooxidations. This work provides a new paradigm for designing efficient, stable, and cost‐effective non‐precious metal catalysts for biomass electro‐valorization.</w:t>
      </w:r>
    </w:p>
    <w:p>
      <w:pPr>
        <w:spacing w:before="120" w:after="120"/>
      </w:pPr>
      <w:r>
        <w:rPr>
          <w:sz w:val="18"/>
        </w:rPr>
        <w:t>——————————————————————————————————————————————————————————————————————</w:t>
      </w:r>
    </w:p>
    <w:p>
      <w:pPr>
        <w:spacing w:before="160" w:after="40" w:line="240" w:lineRule="auto"/>
      </w:pPr>
      <w:r>
        <w:rPr>
          <w:b/>
        </w:rPr>
        <w:t xml:space="preserve">[107] </w:t>
      </w:r>
      <w:hyperlink r:id="rId400">
        <w:r>
          <w:rPr>
            <w:color w:val="1155CC"/>
            <w:u w:val="single"/>
          </w:rPr>
          <w:t>界面偶极工程抑制电荷复合以实现效率为20.26%的高性能二元有机太阳能电池</w:t>
        </w:r>
      </w:hyperlink>
    </w:p>
    <w:p>
      <w:pPr>
        <w:spacing w:before="0" w:after="80"/>
      </w:pPr>
      <w:r>
        <w:rPr>
          <w:i/>
          <w:sz w:val="20"/>
        </w:rPr>
        <w:t>EN: Interfacial Dipole Engineering Suppresses Charge Recombination for Achieving High‐Performance Binary Organic Solar Cells With 20.26% Efficiency</w:t>
      </w:r>
    </w:p>
    <w:p>
      <w:pPr>
        <w:spacing w:before="0" w:after="120"/>
      </w:pPr>
      <w:r>
        <w:rPr>
          <w:b/>
        </w:rPr>
        <w:t xml:space="preserve">Source: </w:t>
      </w:r>
      <w:r>
        <w:t>Wiley: Advanced Energy Materials: Table of Contents</w:t>
      </w:r>
      <w:r>
        <w:t xml:space="preserve">    </w:t>
      </w:r>
      <w:r>
        <w:rPr>
          <w:b/>
        </w:rPr>
        <w:t xml:space="preserve">Pub date: </w:t>
      </w:r>
      <w:r>
        <w:t>2026-05-11 07:26:39+00:00</w:t>
      </w:r>
      <w:r>
        <w:t xml:space="preserve">    </w:t>
      </w:r>
      <w:r>
        <w:rPr>
          <w:b/>
        </w:rPr>
        <w:t xml:space="preserve">DOI: </w:t>
      </w:r>
      <w:hyperlink r:id="rId401">
        <w:r>
          <w:rPr>
            <w:color w:val="1155CC"/>
            <w:u w:val="single"/>
          </w:rPr>
          <w:t>10.1002/aenm.71054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理的阴极界面层（CILs）分子工程对于提高有机太阳能电池（OSCs）的光伏性能至关重要。在此，通过季铵化策略合成了一种基于苝二酰亚胺（PDI）的CIL（PDINB-BP）。PDINB-BP中的季铵基团赋予其强分子偶极矩、优良的醇溶性和简便的合成，同时在沉积CIL时抑制过度聚集。因此，PDINB-BP有效地将银（Ag）电极的功函数（WF）从4.68调节至3.98 eV。此外，它还增强了界面CIL-阴极的粘附性，减少了缺陷，并在阴极界面诱导了强定向界面偶极，以加速电子传输并抑制载流子复合。通过使用PDINB-BP作为CIL，二元OSC实现了20.26%的冠军功率转换效率（PCE）和81.26%的优良填充因子（FF）。据我们所知，这一PCE是使用非常简单结构的PDI基CIL在二元OSC中报告的最高数据之一。此外，PDINB-BP在包括非富勒烯和全聚合物系统在内的各种活性层中表现出广泛的通用性，优良的热稳定性和显著的厚度容忍性。这种实用的季铵化工程在CIL设计中提供了一种可行的策略，用于开发高效和稳定的OSCs。</w:t>
      </w:r>
    </w:p>
    <w:p>
      <w:pPr>
        <w:spacing w:before="0" w:after="200" w:lineRule="auto" w:line="276"/>
      </w:pPr>
      <w:r>
        <w:rPr>
          <w:b/>
        </w:rPr>
        <w:t xml:space="preserve">Abstract (EN): </w:t>
      </w:r>
      <w:r>
        <w:t>Rational molecular engineering of cathode interlayers (CILs) is critical for boosting photovoltaic performance in organic solar cells (OSCs). Herein, a perylene diimide (PDI)‐based CIL (PDINB‐BP) is synthesized via quaternization strategy. The quaternary ammonium groups in PDINB‐BP endow it with a strong molecular dipole moment, excellent alcohol solubility, and facile synthesis, while suppressing excessive aggregation when depositing CIL. As a result, PDINB‐BP efficiently modulates the work function (</w:t>
      </w:r>
      <w:r>
        <w:t xml:space="preserve"> </w:t>
      </w:r>
      <w:r>
        <w:t>WF</w:t>
      </w:r>
      <w:r>
        <w:t xml:space="preserve"> </w:t>
      </w:r>
      <w:r>
        <w:t>) of silver (Ag) electrode from 4.68 to 3.98 eV. Furthermore, it also enhances the interfacial CIL‐cathode adhesion, reduces defects, and induces a strong oriented interfacial dipole at cathode interface to accelerate electron transport and suppress charge carrier recombination. Through using PDINB‐BP as CIL, the binary OSC achieves a champion power conversion efficiency (PCE) of 20.26% and an excellent fill factor (FF) of 81.26%. To the best of our knowledge, this PCE is one of the highest reported data by using a very simple‐structured PDI‐based CIL in a binary OSC. Moreover, PDINB‐BP integrates a broad universality within various active layers including non‐fullerene and all‐polymer systems, excellent thermal stability, and remarkable thickness tolerance. This practical quaternization engineering in CIL design offers a feasible strategy for developing high‐efficiency and stable OSCs.</w:t>
      </w:r>
    </w:p>
    <w:p>
      <w:pPr>
        <w:spacing w:before="120" w:after="120"/>
      </w:pPr>
      <w:r>
        <w:rPr>
          <w:sz w:val="18"/>
        </w:rPr>
        <w:t>——————————————————————————————————————————————————————————————————————</w:t>
      </w:r>
    </w:p>
    <w:p>
      <w:pPr>
        <w:spacing w:before="160" w:after="40" w:line="240" w:lineRule="auto"/>
      </w:pPr>
      <w:r>
        <w:rPr>
          <w:b/>
        </w:rPr>
        <w:t xml:space="preserve">[108] </w:t>
      </w:r>
      <w:hyperlink r:id="rId402">
        <w:r>
          <w:rPr>
            <w:color w:val="1155CC"/>
            <w:u w:val="single"/>
          </w:rPr>
          <w:t>能源电催化中无金属碳材料的活性位点</w:t>
        </w:r>
      </w:hyperlink>
    </w:p>
    <w:p>
      <w:pPr>
        <w:spacing w:before="0" w:after="80"/>
      </w:pPr>
      <w:r>
        <w:rPr>
          <w:i/>
          <w:sz w:val="20"/>
        </w:rPr>
        <w:t>EN: Active Sites of Metal‐Free Carbon Materials in Energy Electrocatalysis</w:t>
      </w:r>
    </w:p>
    <w:p>
      <w:pPr>
        <w:spacing w:before="0" w:after="120"/>
      </w:pPr>
      <w:r>
        <w:rPr>
          <w:b/>
        </w:rPr>
        <w:t xml:space="preserve">Source: </w:t>
      </w:r>
      <w:r>
        <w:t>Wiley: Advanced Materials: Table of Contents</w:t>
      </w:r>
      <w:r>
        <w:t xml:space="preserve">    </w:t>
      </w:r>
      <w:r>
        <w:rPr>
          <w:b/>
        </w:rPr>
        <w:t xml:space="preserve">Pub date: </w:t>
      </w:r>
      <w:r>
        <w:t>2026-05-11 07:32:51+00:00</w:t>
      </w:r>
      <w:r>
        <w:t xml:space="preserve">    </w:t>
      </w:r>
      <w:r>
        <w:rPr>
          <w:b/>
        </w:rPr>
        <w:t xml:space="preserve">DOI: </w:t>
      </w:r>
      <w:hyperlink r:id="rId403">
        <w:r>
          <w:rPr>
            <w:color w:val="1155CC"/>
            <w:u w:val="single"/>
          </w:rPr>
          <w:t>10.1002/adma.73313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为通过合理控制能量转换和存储构建清洁能源未来提供了一条可行途径。作为一类重要的电催化剂，无金属碳材料因其低廉的价格、广泛的来源和可调的结构而广泛应用于各种电催化反应。然而，由于结构多样性和共存的功能基团，识别碳材料的电催化活性位点仍然是一个挑战。在本综述中，我们首先总结了激活sp2杂化碳材料的策略，包括杂原子掺杂和制造缺陷。这些策略赋予惰性sp2碳在各种反应中的初始活性位点。之后，我们分别讨论了碳材料在特定电催化反应中的活性位点，特别强调在各种功能基团中确定静态活性位点以及在电催化过程中识别动态重构中的活性位点。然后总结了用于确定特定位点是否为活性位点的一般方法。最后，展望了进一步研究碳材料活性位点的发展。</w:t>
      </w:r>
    </w:p>
    <w:p>
      <w:pPr>
        <w:spacing w:before="0" w:after="200" w:lineRule="auto" w:line="276"/>
      </w:pPr>
      <w:r>
        <w:rPr>
          <w:b/>
        </w:rPr>
        <w:t xml:space="preserve">Abstract (EN): </w:t>
      </w:r>
      <w:r>
        <w:t>Electrocatalysis offers a viable avenue for building a clean energy future by rationally controlling energy conversion and storage. As an important class of electrocatalysts, metal‐free carbon materials are widely used in various electrocatalytic reactions because of their low price, wide range of sources, and adjustable structure. However, owing to the diverse structures and coexisting functional groups, identifying the electrocatalytically active sites of carbon materials is still a challenge. In this review, we first summarize the strategies for activating sp</w:t>
      </w:r>
      <w:r>
        <w:rPr>
          <w:vertAlign w:val="subscript"/>
        </w:rPr>
        <w:t>2</w:t>
      </w:r>
      <w:r>
        <w:t>‐hybridized carbon materials, including heteroatom doping and fabricating defects. These strategies endow inert sp</w:t>
      </w:r>
      <w:r>
        <w:rPr>
          <w:vertAlign w:val="subscript"/>
        </w:rPr>
        <w:t>2</w:t>
      </w:r>
      <w:r>
        <w:t>carbon with initial active sites in various reactions. After that, we separately discuss the active sites of carbon materials in specific electrocatalytic reactions, with a special emphasis on determining the static active sites among various functional groups and identifying the active sites during dynamic reconstruction in electrocatalysis. The general methods used to determine whether a specific site is an active site are then summarized. Finally, outlooks on the further development of investigating active sites of carbon materials are presented.</w:t>
      </w:r>
    </w:p>
    <w:p>
      <w:pPr>
        <w:spacing w:before="120" w:after="120"/>
      </w:pPr>
      <w:r>
        <w:rPr>
          <w:sz w:val="18"/>
        </w:rPr>
        <w:t>——————————————————————————————————————————————————————————————————————</w:t>
      </w:r>
    </w:p>
    <w:p>
      <w:pPr>
        <w:spacing w:before="160" w:after="40" w:line="240" w:lineRule="auto"/>
      </w:pPr>
      <w:r>
        <w:rPr>
          <w:b/>
        </w:rPr>
        <w:t xml:space="preserve">[109] </w:t>
      </w:r>
      <w:hyperlink r:id="rId404">
        <w:r>
          <w:rPr>
            <w:color w:val="1155CC"/>
            <w:u w:val="single"/>
          </w:rPr>
          <w:t>纳米材料在液-液界面的整合用于绿色催化</w:t>
        </w:r>
      </w:hyperlink>
    </w:p>
    <w:p>
      <w:pPr>
        <w:spacing w:before="0" w:after="80"/>
      </w:pPr>
      <w:r>
        <w:rPr>
          <w:i/>
          <w:sz w:val="20"/>
        </w:rPr>
        <w:t>EN: Nanomaterial Integration at Liquid–Liquid Interfaces for Green Catalysis</w:t>
      </w:r>
    </w:p>
    <w:p>
      <w:pPr>
        <w:spacing w:before="0" w:after="120"/>
      </w:pPr>
      <w:r>
        <w:rPr>
          <w:b/>
        </w:rPr>
        <w:t xml:space="preserve">Source: </w:t>
      </w:r>
      <w:r>
        <w:t>Wiley: Advanced Materials: Table of Contents</w:t>
      </w:r>
      <w:r>
        <w:t xml:space="preserve">    </w:t>
      </w:r>
      <w:r>
        <w:rPr>
          <w:b/>
        </w:rPr>
        <w:t xml:space="preserve">Pub date: </w:t>
      </w:r>
      <w:r>
        <w:t>2026-05-11 07:33:33+00:00</w:t>
      </w:r>
      <w:r>
        <w:t xml:space="preserve">    </w:t>
      </w:r>
      <w:r>
        <w:rPr>
          <w:b/>
        </w:rPr>
        <w:t xml:space="preserve">DOI: </w:t>
      </w:r>
      <w:hyperlink r:id="rId405">
        <w:r>
          <w:rPr>
            <w:color w:val="1155CC"/>
            <w:u w:val="single"/>
          </w:rPr>
          <w:t>10.1002/adma.73315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功能性纳米材料在液-液界面的组装提供了一种有前景的方法来解决传统双相催化系统中的传质和催化剂回收限制。这一策略利用工程化胶体颗粒，兼具乳液稳定剂和催化位点的双重角色，创造出具有高界面面积-体积比的平台。这些系统可以在提高反应动力学的同时实现高效的相分离和催化剂的可回收性，并可能在较温和的条件下运行，从而减少能耗和废物产生。本文综述了界面活性纳米催化剂在设计、合成和表面工程方面的最新进展。分析了控制催化效率和乳液稳定性的结构-性能关系，评估了工业实施中的挑战，包括可扩展性和经济可行性，并评估了基于Pickering乳液的微反应器平台作为可持续化学过程的支持技术的前景，这些过程符合绿色化学原则和循环经济框架。</w:t>
      </w:r>
    </w:p>
    <w:p>
      <w:pPr>
        <w:spacing w:before="0" w:after="200" w:lineRule="auto" w:line="276"/>
      </w:pPr>
      <w:r>
        <w:rPr>
          <w:b/>
        </w:rPr>
        <w:t xml:space="preserve">Abstract (EN): </w:t>
      </w:r>
      <w:r>
        <w:t>The assembly of functional nanomaterials at liquid–liquid interfaces offers a promising approach to address mass transfer and catalyst‐recovery limitations in conventional biphasic catalytic systems. This strategy exploits engineered colloidal particles serving dual roles as emulsion stabilizers and catalytic sites, creating platforms with high interfacial area‐to‐volume ratios. These systems can exhibit improved reaction kinetics with efficient phase separation and catalyst recyclability while potentially operating under milder conditions that reduce energy consumption and waste generation. This review analyzes recent developments in the design, synthesis, and surface engineering of interfacially active nanocatalysts. It is examined structure‐performance relationships governing catalytic efficiency and emulsion stability, assess industrial implementation challenges including scalability and economic viability, and evaluate prospects of Pickering emulsion‐based microreactor platforms as enabling technologies for sustainable chemical processes aligned with green chemistry principles and circular economy frameworks.</w:t>
      </w:r>
    </w:p>
    <w:p>
      <w:pPr>
        <w:spacing w:before="120" w:after="120"/>
      </w:pPr>
      <w:r>
        <w:rPr>
          <w:sz w:val="18"/>
        </w:rPr>
        <w:t>——————————————————————————————————————————————————————————————————————</w:t>
      </w:r>
    </w:p>
    <w:p>
      <w:pPr>
        <w:spacing w:before="160" w:after="40" w:line="240" w:lineRule="auto"/>
      </w:pPr>
      <w:r>
        <w:rPr>
          <w:b/>
        </w:rPr>
        <w:t xml:space="preserve">[110] </w:t>
      </w:r>
      <w:hyperlink r:id="rId406">
        <w:r>
          <w:rPr>
            <w:color w:val="1155CC"/>
            <w:u w:val="single"/>
          </w:rPr>
          <w:t>梯状聚倍半硅氧烷实现空间耐久的超薄硬而柔韧的透明涂层</w:t>
        </w:r>
      </w:hyperlink>
    </w:p>
    <w:p>
      <w:pPr>
        <w:spacing w:before="0" w:after="80"/>
      </w:pPr>
      <w:r>
        <w:rPr>
          <w:i/>
          <w:sz w:val="20"/>
        </w:rPr>
        <w:t>EN: Ladder‐Like Polysilsesquioxane Enable Space‐Durable Ultrathin Hard‐Yet‐Flexible Transparent Coatings</w:t>
      </w:r>
    </w:p>
    <w:p>
      <w:pPr>
        <w:spacing w:before="0" w:after="120"/>
      </w:pPr>
      <w:r>
        <w:rPr>
          <w:b/>
        </w:rPr>
        <w:t xml:space="preserve">Source: </w:t>
      </w:r>
      <w:r>
        <w:t>Wiley: Advanced Materials: Table of Contents</w:t>
      </w:r>
      <w:r>
        <w:t xml:space="preserve">    </w:t>
      </w:r>
      <w:r>
        <w:rPr>
          <w:b/>
        </w:rPr>
        <w:t xml:space="preserve">Pub date: </w:t>
      </w:r>
      <w:r>
        <w:t>2026-05-11 07:35:48+00:00</w:t>
      </w:r>
      <w:r>
        <w:t xml:space="preserve">    </w:t>
      </w:r>
      <w:r>
        <w:rPr>
          <w:b/>
        </w:rPr>
        <w:t xml:space="preserve">DOI: </w:t>
      </w:r>
      <w:hyperlink r:id="rId407">
        <w:r>
          <w:rPr>
            <w:color w:val="1155CC"/>
            <w:u w:val="single"/>
          </w:rPr>
          <w:t>10.1002/adma.73354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透明保护涂层对于基于聚合物薄膜的空间展开系统至关重要；然而，同时实现耐磨性、机械顺应性、空间环境耐久性和超薄厚度仍然具有挑战性。在此，我们开发了一种合作水解-缩合策略，使用有机聚硅氮烷（OPZ）和双[3-(三甲氧基硅基)丙基]胺（BTMSPA），以在温和湿度下从均匀的混合前体中原位控制形成以梯状聚硅倍半氧烷（LPSQ）为主的网络。BTMSPA的仲胺提供了一个弱碱性环境，持续水解OPZ中的Si─N和Si─H键，生成活性硅醇物种。同时，OPZ和BTMSPA之间的共缩合调节了缩合动力学，抑制了仅有BTMSPA系统中无序硅氧烷网络的快速形成，并促进了梯状生长。所得的超薄（约2 µm）涂层结合了LPSQ骨架和可变形的有机连接，提供了高硬度（约0.73 GPa）、强弹性恢复性（约80%）、高光学透明性（约94.1%）和对聚合物基材的强附着力，同时在空间相关的热、辐射和原子氧（AO）应力下保持稳定。超越这一特定材料系统，我们建立了一种分子级设计原则，其中合作水解-缩合使得反应动力学和网络拓扑的联合控制成为可能，以平衡硬度、可变形性和环境耐久性。</w:t>
      </w:r>
    </w:p>
    <w:p>
      <w:pPr>
        <w:spacing w:before="0" w:after="200" w:lineRule="auto" w:line="276"/>
      </w:pPr>
      <w:r>
        <w:rPr>
          <w:b/>
        </w:rPr>
        <w:t xml:space="preserve">Abstract (EN): </w:t>
      </w:r>
      <w:r>
        <w:t>Transparent protective coatings are essential for polymer film‐based space deployable systems; however, simultaneously achieving abrasion resistance, mechanical compliance, space‐environment durability, and ultrathin thickness remains challenging. Here, we develop a cooperative hydrolysis‐condensation strategy using organic polysilazane (OPZ) and bis[3‐(trimethoxysilyl)propyl]amine (BTMSPA) to enable the controlled in situ formation of a network dominated by ladder‐like polysilsesquioxane (LPSQ) from a homogeneous hybrid precursor under mild humidity. The secondary amine of BTMSPA provides a weakly alkaline environment that sustains continuous hydrolysis of Si─N and Si─H bonds in OPZ, generating reactive silanol species. Meanwhile, co‐condensation between OPZ and BTMSPA regulates the condensation kinetics, suppressing the rapid formation of disordered siloxane networks in BTMSPA‐only systems and promoting the gradual ladder‐like growth. The resulting ultrathin (∼2 µm) coatings integrate LPSQ backbones with deformable organic linkages, delivering a rare combination of high hardness (∼0.73 GPa), strong elastic recoverability (∼80%), high optical transparency (∼94.1%), and robust adhesion to polymer substrates, while maintaining stability under space‐relevant thermal, radiative, and atomic oxygen (AO) stressors. Beyond this specific material system, we establish a molecular‐level design principle in which cooperative hydrolysis–condensation enables the joint control of reaction kinetics and network topology to balance hardness, deformability, and environmental durability in ultrathin coatings.</w:t>
      </w:r>
    </w:p>
    <w:p>
      <w:pPr>
        <w:spacing w:before="120" w:after="120"/>
      </w:pPr>
      <w:r>
        <w:rPr>
          <w:sz w:val="18"/>
        </w:rPr>
        <w:t>——————————————————————————————————————————————————————————————————————</w:t>
      </w:r>
    </w:p>
    <w:p>
      <w:pPr>
        <w:spacing w:before="160" w:after="40" w:line="240" w:lineRule="auto"/>
      </w:pPr>
      <w:r>
        <w:rPr>
          <w:b/>
        </w:rPr>
        <w:t xml:space="preserve">[111] </w:t>
      </w:r>
      <w:hyperlink r:id="rId408">
        <w:r>
          <w:rPr>
            <w:color w:val="1155CC"/>
            <w:u w:val="single"/>
          </w:rPr>
          <w:t>超高效率和长日历寿命的水系镉金属电池在极端恶劣条件下</w:t>
        </w:r>
      </w:hyperlink>
    </w:p>
    <w:p>
      <w:pPr>
        <w:spacing w:before="0" w:after="80"/>
      </w:pPr>
      <w:r>
        <w:rPr>
          <w:i/>
          <w:sz w:val="20"/>
        </w:rPr>
        <w:t>EN: Ultrahigh‐Efficiency and Long‐Calendar‐Life Aqueous Cadmium Metal Batteries Under Extremely Harsh Conditions</w:t>
      </w:r>
    </w:p>
    <w:p>
      <w:pPr>
        <w:spacing w:before="0" w:after="120"/>
      </w:pPr>
      <w:r>
        <w:rPr>
          <w:b/>
        </w:rPr>
        <w:t xml:space="preserve">Source: </w:t>
      </w:r>
      <w:r>
        <w:t>Wiley: Angewandte Chemie International Edition: Table of Contents</w:t>
      </w:r>
      <w:r>
        <w:t xml:space="preserve">    </w:t>
      </w:r>
      <w:r>
        <w:rPr>
          <w:b/>
        </w:rPr>
        <w:t xml:space="preserve">Pub date: </w:t>
      </w:r>
      <w:r>
        <w:t>2026-05-11 07:36:48+00:00</w:t>
      </w:r>
      <w:r>
        <w:t xml:space="preserve">    </w:t>
      </w:r>
      <w:r>
        <w:rPr>
          <w:b/>
        </w:rPr>
        <w:t xml:space="preserve">DOI: </w:t>
      </w:r>
      <w:hyperlink r:id="rId409">
        <w:r>
          <w:rPr>
            <w:color w:val="1155CC"/>
            <w:u w:val="single"/>
          </w:rPr>
          <w:t>10.1002/anie.9382429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多价金属电池（AMMBs）在非易燃、成本效益和可扩展的能量存储方面具有巨大潜力。然而，寄生的析氢反应（HER）严重影响了金属镀层效率和日历寿命，特别是在现实压力条件下，包括低电流密度、长时间储存和恶劣温度。在此，我们利用镉金属的固有HER抗性和浓缩电解质的水限制溶剂化结构协同解决HER挑战，并成功展示了在严格条件下（0.1 mA cm</w:t>
      </w:r>
      <w:r>
        <w:t xml:space="preserve"> </w:t>
      </w:r>
      <w:r>
        <w:t>−2</w:t>
      </w:r>
      <w:r>
        <w:t xml:space="preserve"> </w:t>
      </w:r>
      <w:r>
        <w:t>，99.75%效率，21.4个月寿命）的超高效率和长日历寿命的镉金属电池。即使在极端条件下，如超低电流（0.01 mA cm</w:t>
      </w:r>
      <w:r>
        <w:t xml:space="preserve"> </w:t>
      </w:r>
      <w:r>
        <w:t>−2</w:t>
      </w:r>
      <w:r>
        <w:t xml:space="preserve"> </w:t>
      </w:r>
      <w:r>
        <w:t>）、长时间静置（长达60天）和宽温度范围（−50°C至+80°C），Cd仍保持90%–99.9%的高效率。相比之下，锌的性能急剧下降，效率损失27%–73%。优越的性能与浓缩电解质中的独特溶剂化结构相关，该结构通过强阳离子配位效应转变了Cd</w:t>
      </w:r>
      <w:r>
        <w:t xml:space="preserve"> </w:t>
      </w:r>
      <w:r>
        <w:t>2+</w:t>
      </w:r>
      <w:r>
        <w:t xml:space="preserve"> </w:t>
      </w:r>
      <w:r>
        <w:t>阳离子的水合形式并加强了水分子。我们的工作为AMMBs建立了新的基准，并强调了电极选择和电解质设计在推进AMMB性能中的决定性作用。</w:t>
      </w:r>
    </w:p>
    <w:p>
      <w:pPr>
        <w:spacing w:before="0" w:after="200" w:lineRule="auto" w:line="276"/>
      </w:pPr>
      <w:r>
        <w:rPr>
          <w:b/>
        </w:rPr>
        <w:t xml:space="preserve">Abstract (EN): </w:t>
      </w:r>
      <w:r>
        <w:t>Aqueous multivalent metal batteries (AMMBs) hold great promise for non‐flammable, cost‐effective, and scalable energy storage. However, the parasitic hydrogen evolution reaction (HER) has severely plagued the metal plating efficiency and calendar life, particularly under realistic stress conditions, including low current densities, extended storage periods, and harsh temperatures. Herein, we leverage the inherent HER resistance of cadmium metal and the water‐confining solvation structures of concentrated electrolytes to synergistically tackle the HER challenge, and we successfully demonstrated ultrahigh‐efficiency and long‐calendar‐life cadmium metal batteries under strict conditions (0.1 mA cm</w:t>
      </w:r>
      <w:r>
        <w:t xml:space="preserve"> </w:t>
      </w:r>
      <w:r>
        <w:t>−2</w:t>
      </w:r>
      <w:r>
        <w:t xml:space="preserve"> </w:t>
      </w:r>
      <w:r>
        <w:t>, 99.75% efficiency, 21.4 months’ life). Even under extreme conditions, such as ultralow current (0.01 mA cm</w:t>
      </w:r>
      <w:r>
        <w:t xml:space="preserve"> </w:t>
      </w:r>
      <w:r>
        <w:t>−2</w:t>
      </w:r>
      <w:r>
        <w:t xml:space="preserve"> </w:t>
      </w:r>
      <w:r>
        <w:t>), long rest periods (up to 60 days), and wide temperature ranges (−50°C to +80°C), Cd maintains a high efficiency of 90%–99.9%. In stark contrast, zinc suffers from drastic performance degradation and loses 27%–73% efficiency. The superior performance is correlated with the distinct solvation structure in the concentrated electrolyte, which transforms the hydration form of Cd</w:t>
      </w:r>
      <w:r>
        <w:t xml:space="preserve"> </w:t>
      </w:r>
      <w:r>
        <w:t>2+</w:t>
      </w:r>
      <w:r>
        <w:t xml:space="preserve"> </w:t>
      </w:r>
      <w:r>
        <w:t>cations and strengthens water molecules via a strong cation‐coordination effect. Our work establishes a new benchmark for AMMBs and highlights the decisive role of electrode selection and electrolyte design in advancing AMMB performance.</w:t>
      </w:r>
    </w:p>
    <w:p>
      <w:pPr>
        <w:spacing w:before="120" w:after="120"/>
      </w:pPr>
      <w:r>
        <w:rPr>
          <w:sz w:val="18"/>
        </w:rPr>
        <w:t>——————————————————————————————————————————————————————————————————————</w:t>
      </w:r>
    </w:p>
    <w:p>
      <w:pPr>
        <w:spacing w:before="160" w:after="40" w:line="240" w:lineRule="auto"/>
      </w:pPr>
      <w:r>
        <w:rPr>
          <w:b/>
        </w:rPr>
        <w:t xml:space="preserve">[112] </w:t>
      </w:r>
      <w:hyperlink r:id="rId410">
        <w:r>
          <w:rPr>
            <w:color w:val="1155CC"/>
            <w:u w:val="single"/>
          </w:rPr>
          <w:t>紧凑型准二维钙钛矿MAPbBr3@FABr：减少的层间距离实现超低阈值激光和高电子迁移率</w:t>
        </w:r>
      </w:hyperlink>
    </w:p>
    <w:p>
      <w:pPr>
        <w:spacing w:before="0" w:after="80"/>
      </w:pPr>
      <w:r>
        <w:rPr>
          <w:i/>
          <w:sz w:val="20"/>
        </w:rPr>
        <w:t>EN: Compact‐Type Quasi‐2D Perovskites MAPbBr3@FABr: Reduced Interlayer Distances Enable Ultralow Threshold Lasing and High Electron Mobility</w:t>
      </w:r>
    </w:p>
    <w:p>
      <w:pPr>
        <w:spacing w:before="0" w:after="120"/>
      </w:pPr>
      <w:r>
        <w:rPr>
          <w:b/>
        </w:rPr>
        <w:t xml:space="preserve">Source: </w:t>
      </w:r>
      <w:r>
        <w:t>Wiley: Advanced Materials: Table of Contents</w:t>
      </w:r>
      <w:r>
        <w:t xml:space="preserve">    </w:t>
      </w:r>
      <w:r>
        <w:rPr>
          <w:b/>
        </w:rPr>
        <w:t xml:space="preserve">Pub date: </w:t>
      </w:r>
      <w:r>
        <w:t>2026-05-11 07:36:50+00:00</w:t>
      </w:r>
      <w:r>
        <w:t xml:space="preserve">    </w:t>
      </w:r>
      <w:r>
        <w:rPr>
          <w:b/>
        </w:rPr>
        <w:t xml:space="preserve">DOI: </w:t>
      </w:r>
      <w:hyperlink r:id="rId411">
        <w:r>
          <w:rPr>
            <w:color w:val="1155CC"/>
            <w:u w:val="single"/>
          </w:rPr>
          <w:t>10.1002/adma.202521981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准二维钙钛矿因其优越的光学增益和环境稳定性而作为激光应用的有前途材料受到广泛关注。然而，半导体钙钛矿板之间厚的绝缘间隔层阻碍了有效的电荷传输，限制了其整体性能。在此，我们引入了一种新型的紧凑型准二维钙钛矿家族，显著减少了层间间距。这种设计促进了快速的能量汇聚，产生了1.82 µJ cm</w:t>
      </w:r>
      <w:r>
        <w:t xml:space="preserve"> </w:t>
      </w:r>
      <w:r>
        <w:t>−2</w:t>
      </w:r>
      <w:r>
        <w:t xml:space="preserve"> </w:t>
      </w:r>
      <w:r>
        <w:t>的放大自发发射（ASE）阈值，这是绿色发光准二维钙钛矿的最低报道值，以及413.77 cm</w:t>
      </w:r>
      <w:r>
        <w:t xml:space="preserve"> </w:t>
      </w:r>
      <w:r>
        <w:t>−1</w:t>
      </w:r>
      <w:r>
        <w:t xml:space="preserve"> </w:t>
      </w:r>
      <w:r>
        <w:t>的光学增益系数。此外，短的层间距离与精确对齐的半导体层相结合，使电子迁移率超过传统对手一个数量级以上。通过将卤素成分从溴变为氯，我们生产了具有可调低阈值ASE的混合卤化物变体，覆盖广泛的光谱范围。我们还制造了高质量的MAPbBr</w:t>
      </w:r>
      <w:r>
        <w:rPr>
          <w:vertAlign w:val="subscript"/>
        </w:rPr>
        <w:t>3</w:t>
      </w:r>
      <w:r>
        <w:t>@FABr微环激光阵列，展示了具有约1802的品质因数、约1.89 µJ cm</w:t>
      </w:r>
      <w:r>
        <w:t xml:space="preserve"> </w:t>
      </w:r>
      <w:r>
        <w:t>−2</w:t>
      </w:r>
      <w:r>
        <w:t xml:space="preserve"> </w:t>
      </w:r>
      <w:r>
        <w:t>的阈值和良好操作稳定性的回音壁模式激光。这项工作推进了准二维钙钛矿的设计，为开发具有增强性能的实用钙钛矿激光器提供了途径。</w:t>
      </w:r>
    </w:p>
    <w:p>
      <w:pPr>
        <w:spacing w:before="0" w:after="200" w:lineRule="auto" w:line="276"/>
      </w:pPr>
      <w:r>
        <w:rPr>
          <w:b/>
        </w:rPr>
        <w:t xml:space="preserve">Abstract (EN): </w:t>
      </w:r>
      <w:r>
        <w:t>Quasi‐2D perovskites have garnered significant attention as promising materials for laser applications due to their superior optical gain and environmental stability. However, the thick insulating spacer layers between semiconducting perovskite slabs impede efficient charge transport, constraining their overall performance. Herein, we introduce a new family of compact‐type quasi‐2D perovskites with substantially reduced interlayer spacing. This design promotes rapid energy funneling, yielding an amplified spontaneous emission (ASE) threshold of 1.82 µJ cm</w:t>
      </w:r>
      <w:r>
        <w:t xml:space="preserve"> </w:t>
      </w:r>
      <w:r>
        <w:t>−2</w:t>
      </w:r>
      <w:r>
        <w:t xml:space="preserve"> </w:t>
      </w:r>
      <w:r>
        <w:t>, the lowest reported for green‐emitting quasi‐2D perovskites, and an optical gain coefficient of 413.77 cm</w:t>
      </w:r>
      <w:r>
        <w:t xml:space="preserve"> </w:t>
      </w:r>
      <w:r>
        <w:t>−1</w:t>
      </w:r>
      <w:r>
        <w:t xml:space="preserve"> </w:t>
      </w:r>
      <w:r>
        <w:t>. Furthermore, the short interlayer distance, coupled with precisely aligned semiconducting layers, yields electron mobilities exceeding those of traditional counterparts by more than one order of magnitude. By varying the halogen composition from bromine to chlorine, we produced mixed‐halide variants with tunable, low‐threshold ASE across a broad spectral range. We also fabricated high‐quality MAPbBr</w:t>
      </w:r>
      <w:r>
        <w:rPr>
          <w:vertAlign w:val="subscript"/>
        </w:rPr>
        <w:t>3</w:t>
      </w:r>
      <w:r>
        <w:t>@FABr micro‐ring laser arrays, exhibiting whispering‐gallery‐mode lasing with a quality factor of ∼1802, thresholds of ∼1.89 µJ cm</w:t>
      </w:r>
      <w:r>
        <w:t xml:space="preserve"> </w:t>
      </w:r>
      <w:r>
        <w:t>−2</w:t>
      </w:r>
      <w:r>
        <w:t xml:space="preserve"> </w:t>
      </w:r>
      <w:r>
        <w:t>and good operational stability. This work advances the design of quasi‐2D perovskites, providing a pathway for development of practical perovskite lasers with enhanced performance and broader applications.</w:t>
      </w:r>
    </w:p>
    <w:p>
      <w:pPr>
        <w:spacing w:before="120" w:after="120"/>
      </w:pPr>
      <w:r>
        <w:rPr>
          <w:sz w:val="18"/>
        </w:rPr>
        <w:t>——————————————————————————————————————————————————————————————————————</w:t>
      </w:r>
    </w:p>
    <w:p>
      <w:pPr>
        <w:spacing w:before="160" w:after="40" w:line="240" w:lineRule="auto"/>
      </w:pPr>
      <w:r>
        <w:rPr>
          <w:b/>
        </w:rPr>
        <w:t xml:space="preserve">[113] </w:t>
      </w:r>
      <w:hyperlink r:id="rId412">
        <w:r>
          <w:rPr>
            <w:color w:val="1155CC"/>
            <w:u w:val="single"/>
          </w:rPr>
          <w:t>亲核性镓基阴离子实现Ga─Au双金属氨活化</w:t>
        </w:r>
      </w:hyperlink>
    </w:p>
    <w:p>
      <w:pPr>
        <w:spacing w:before="0" w:after="80"/>
      </w:pPr>
      <w:r>
        <w:rPr>
          <w:i/>
          <w:sz w:val="20"/>
        </w:rPr>
        <w:t>EN: Nucleophilic Gallyl Anions Enable Ga─Au Bimetallic Ammonia Activation</w:t>
      </w:r>
    </w:p>
    <w:p>
      <w:pPr>
        <w:spacing w:before="0" w:after="120"/>
      </w:pPr>
      <w:r>
        <w:rPr>
          <w:b/>
        </w:rPr>
        <w:t xml:space="preserve">Source: </w:t>
      </w:r>
      <w:r>
        <w:t>Wiley: Angewandte Chemie International Edition: Table of Contents</w:t>
      </w:r>
      <w:r>
        <w:t xml:space="preserve">    </w:t>
      </w:r>
      <w:r>
        <w:rPr>
          <w:b/>
        </w:rPr>
        <w:t xml:space="preserve">Pub date: </w:t>
      </w:r>
      <w:r>
        <w:t>2026-05-11 07:38:11+00:00</w:t>
      </w:r>
      <w:r>
        <w:t xml:space="preserve">    </w:t>
      </w:r>
      <w:r>
        <w:rPr>
          <w:b/>
        </w:rPr>
        <w:t xml:space="preserve">DOI: </w:t>
      </w:r>
      <w:hyperlink r:id="rId413">
        <w:r>
          <w:rPr>
            <w:color w:val="1155CC"/>
            <w:u w:val="single"/>
          </w:rPr>
          <w:t>10.1002/anie.7183298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控制低价主族亲核试剂在小分子活化中的反应性仍然是一个重大挑战。在此，我们报告了一系列电荷离域的β-二酮亚胺镓阴离子的合成，这些阴离子在Li–Cs系列中均可获得，其聚集和离子配对可以调节以提供一个阳离子门控的镓(I)亲核平台。只有铯冠包裹的衍生物形成了真正分离的离子对（SIP），表现出对(IPr)AuCl的清洁亲核反应，生成一个可分离且结构认证的无支撑Ga─Au双金属复合物。在Au上的配位增强了镓(I)的路易斯酸性，使其能够通过底物辅助的质子穿梭途径在温和条件下实现协同N─H和O─Hσ键活化。这种反应性以NH</w:t>
      </w:r>
      <w:r>
        <w:rPr>
          <w:vertAlign w:val="subscript"/>
        </w:rPr>
        <w:t>3</w:t>
      </w:r>
      <w:r>
        <w:t>和H</w:t>
      </w:r>
      <w:r>
        <w:rPr>
          <w:vertAlign w:val="subscript"/>
        </w:rPr>
        <w:t>2</w:t>
      </w:r>
      <w:r>
        <w:t>O为例，并扩展到MeNH</w:t>
      </w:r>
      <w:r>
        <w:rPr>
          <w:vertAlign w:val="subscript"/>
        </w:rPr>
        <w:t>2</w:t>
      </w:r>
      <w:r>
        <w:t>和MeOH，是自由镓阴离子无法实现的。这些发现定义了一种新的基于镓的亲核平台，用于利用双金属协作在小分子键活化中。</w:t>
      </w:r>
    </w:p>
    <w:p>
      <w:pPr>
        <w:spacing w:before="0" w:after="200" w:lineRule="auto" w:line="276"/>
      </w:pPr>
      <w:r>
        <w:rPr>
          <w:b/>
        </w:rPr>
        <w:t xml:space="preserve">Abstract (EN): </w:t>
      </w:r>
      <w:r>
        <w:t>Controlling the reactivity of low‐valent main‐group nucleophiles in small‐molecule activation remains a significant challenge. Here, we report the synthesis of a family of charge‐delocalized β‐diketiminate gallyl anions, accessible across the Li–Cs series, whose aggregation and ion pairing can be tuned to furnish a cation‐gated gallium(I) nucleophilic platform. Only the cesium crown‐encapsulated derivative forms a truly separated ion pair (SIP) that exhibits clean nucleophilic reactivity toward (IPr)AuCl to generate an unsupported Ga─Au bimetallic complex, isolable, and structurally authenticated. Coordination at Au enhances the Lewis acidity at gallium(I), enabling cooperative N─H and O─H σ‐bond activation under mild conditions via a substrate‐assisted proton‐shuttle pathway. This reactivity, exemplified by NH</w:t>
      </w:r>
      <w:r>
        <w:rPr>
          <w:vertAlign w:val="subscript"/>
        </w:rPr>
        <w:t>3</w:t>
      </w:r>
      <w:r>
        <w:t>and H</w:t>
      </w:r>
      <w:r>
        <w:rPr>
          <w:vertAlign w:val="subscript"/>
        </w:rPr>
        <w:t>2</w:t>
      </w:r>
      <w:r>
        <w:t>O, and extended to MeNH</w:t>
      </w:r>
      <w:r>
        <w:rPr>
          <w:vertAlign w:val="subscript"/>
        </w:rPr>
        <w:t>2</w:t>
      </w:r>
      <w:r>
        <w:t>and MeOH, is inaccessible to the free gallyl anions. These findings define a new gallium‐based nucleophilic platform for exploiting bimetallic cooperation in small‐molecule bond activation.</w:t>
      </w:r>
    </w:p>
    <w:p>
      <w:pPr>
        <w:spacing w:before="120" w:after="120"/>
      </w:pPr>
      <w:r>
        <w:rPr>
          <w:sz w:val="18"/>
        </w:rPr>
        <w:t>——————————————————————————————————————————————————————————————————————</w:t>
      </w:r>
    </w:p>
    <w:p>
      <w:pPr>
        <w:spacing w:before="160" w:after="40" w:line="240" w:lineRule="auto"/>
      </w:pPr>
      <w:r>
        <w:rPr>
          <w:b/>
        </w:rPr>
        <w:t xml:space="preserve">[114] </w:t>
      </w:r>
      <w:hyperlink r:id="rId414">
        <w:r>
          <w:rPr>
            <w:color w:val="1155CC"/>
            <w:u w:val="single"/>
          </w:rPr>
          <w:t>通过高效且可回收的路易斯酸/咪唑鎓催化剂实现活化和未活化电亲核试剂的不对称α-烷基化</w:t>
        </w:r>
      </w:hyperlink>
    </w:p>
    <w:p>
      <w:pPr>
        <w:spacing w:before="0" w:after="80"/>
      </w:pPr>
      <w:r>
        <w:rPr>
          <w:i/>
          <w:sz w:val="20"/>
        </w:rPr>
        <w:t>EN: Asymmetric α‐Alkylation With Activated and Unactivated Electrophiles by a Highly Productive and Recyclable Lewis Acid/Imidazolium Catalyst</w:t>
      </w:r>
    </w:p>
    <w:p>
      <w:pPr>
        <w:spacing w:before="0" w:after="120"/>
      </w:pPr>
      <w:r>
        <w:rPr>
          <w:b/>
        </w:rPr>
        <w:t xml:space="preserve">Source: </w:t>
      </w:r>
      <w:r>
        <w:t>Wiley: Angewandte Chemie International Edition: Table of Contents</w:t>
      </w:r>
      <w:r>
        <w:t xml:space="preserve">    </w:t>
      </w:r>
      <w:r>
        <w:rPr>
          <w:b/>
        </w:rPr>
        <w:t xml:space="preserve">Pub date: </w:t>
      </w:r>
      <w:r>
        <w:t>2026-05-11 07:39:13+00:00</w:t>
      </w:r>
      <w:r>
        <w:t xml:space="preserve">    </w:t>
      </w:r>
      <w:r>
        <w:rPr>
          <w:b/>
        </w:rPr>
        <w:t xml:space="preserve">DOI: </w:t>
      </w:r>
      <w:hyperlink r:id="rId415">
        <w:r>
          <w:rPr>
            <w:color w:val="1155CC"/>
            <w:u w:val="single"/>
          </w:rPr>
          <w:t>10.1002/anie.7069862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对称烷基化广泛用于构建α-立体碳基化合物，但现有的催化方案通常存在几个问题：（1）仅限于π-活化的亲电试剂，（2）需要不令人满意的催化剂负载，（3）缺乏催化剂的可回收性，以及（4）复杂的催化剂结构需要多步合成。在此，报道了一种高效可得、空气稳定的双功能Cu(II)/咪唑鎓催化剂（通过四步合成，无需色谱分离，产率为74%），能够实现1,3-二羰基化合物的高对映选择性α-烷基化，生产力无与伦比（TON高达1740）。该催化剂表现出广泛的亲电试剂兼容性，能够有效参与π-活化和非π-活化的烷基化试剂。值得注意的是，使用(</w:t>
      </w:r>
      <w:r>
        <w:t xml:space="preserve"> </w:t>
      </w:r>
      <w:r>
        <w:t>E</w:t>
      </w:r>
      <w:r>
        <w:t xml:space="preserve"> </w:t>
      </w:r>
      <w:r>
        <w:t>)和(</w:t>
      </w:r>
      <w:r>
        <w:t xml:space="preserve"> </w:t>
      </w:r>
      <w:r>
        <w:t>Z</w:t>
      </w:r>
      <w:r>
        <w:t xml:space="preserve"> </w:t>
      </w:r>
      <w:r>
        <w:t>)构型的烯丙基溴化物实现了立体保持的烯丙基化。通过简单的方案，催化剂可以在多个循环（10+）中回收而不损失效率。EPR证明了Cu(II)-烯醇盐的形成作为静止态，详细的DFT计算显示其通过氢键与咪唑鎓C(2)</w:t>
      </w:r>
      <w:r>
        <w:t xml:space="preserve"> </w:t>
      </w:r>
      <w:r>
        <w:t>H</w:t>
      </w:r>
      <w:r>
        <w:t xml:space="preserve"> </w:t>
      </w:r>
      <w:r>
        <w:t>结构锚定。此特征对于两面烯醇盐的立体差异化至关重要。根据电子性质，可能存在从S</w:t>
      </w:r>
      <w:r>
        <w:t xml:space="preserve"> </w:t>
      </w:r>
      <w:r>
        <w:t>N</w:t>
      </w:r>
      <w:r>
        <w:t xml:space="preserve"> </w:t>
      </w:r>
      <w:r>
        <w:t>1型到S</w:t>
      </w:r>
      <w:r>
        <w:t xml:space="preserve"> </w:t>
      </w:r>
      <w:r>
        <w:t>N</w:t>
      </w:r>
      <w:r>
        <w:t xml:space="preserve"> </w:t>
      </w:r>
      <w:r>
        <w:t>2型途径的连续机制转变。</w:t>
      </w:r>
    </w:p>
    <w:p>
      <w:pPr>
        <w:spacing w:before="0" w:after="200" w:lineRule="auto" w:line="276"/>
      </w:pPr>
      <w:r>
        <w:rPr>
          <w:b/>
        </w:rPr>
        <w:t xml:space="preserve">Abstract (EN): </w:t>
      </w:r>
      <w:r>
        <w:t>Asymmetric alkylation is widely used for the construction of α‐stereogenic carbonyl compounds, yet existing catalytic protocols typically suffer from several issues: (1) a limitation to π‐activated electrophiles, (2) the need for unsatisfying catalyst loadings, (3) a lack of catalyst recyclability, and (4) sophisticated catalyst structures requiring multi‐step syntheses. Herein, an efficiently accessible, air‐stable bifunctional Cu(II)/imidazolium catalyst (prepared over four steps without chromatographies in 74% yield) is reported that enables highly enantioselective α‐alkylations of 1,3‐dicarbonyls with unmet productivity (TON up to 1740). The catalyst exhibits broad electrophile compatibility, efficiently engaging π‐activated and non‐π‐activated alkylation agents. Remarkably, stereoretentive allylation with (</w:t>
      </w:r>
      <w:r>
        <w:t xml:space="preserve"> </w:t>
      </w:r>
      <w:r>
        <w:t>E</w:t>
      </w:r>
      <w:r>
        <w:t xml:space="preserve"> </w:t>
      </w:r>
      <w:r>
        <w:t>)‐ and (</w:t>
      </w:r>
      <w:r>
        <w:t xml:space="preserve"> </w:t>
      </w:r>
      <w:r>
        <w:t>Z</w:t>
      </w:r>
      <w:r>
        <w:t xml:space="preserve"> </w:t>
      </w:r>
      <w:r>
        <w:t>)‐configured allylbromides was achieved. The catalyst can be recycled over multiple cycles (10+) without loss of efficiency by a simple protocol. EPR proves formation of a Cu(II)‐enolate as resting state, for which detailed DFT calculations show that it is structurally anchored by hydrogen‐bonding to the imidazolium C(2)</w:t>
      </w:r>
      <w:r>
        <w:t xml:space="preserve"> </w:t>
      </w:r>
      <w:r>
        <w:t>H</w:t>
      </w:r>
      <w:r>
        <w:t xml:space="preserve"> </w:t>
      </w:r>
      <w:r>
        <w:t>. This feature is essential for stereodifferentiation of both enolate faces. A continuous mechanistic shift from S</w:t>
      </w:r>
      <w:r>
        <w:t xml:space="preserve"> </w:t>
      </w:r>
      <w:r>
        <w:t>N</w:t>
      </w:r>
      <w:r>
        <w:t xml:space="preserve"> </w:t>
      </w:r>
      <w:r>
        <w:t>1‐like to S</w:t>
      </w:r>
      <w:r>
        <w:t xml:space="preserve"> </w:t>
      </w:r>
      <w:r>
        <w:t>N</w:t>
      </w:r>
      <w:r>
        <w:t xml:space="preserve"> </w:t>
      </w:r>
      <w:r>
        <w:t>2‐type pathways is likely, depending on the electronic properties of the electrophile. This new alkylation concept allows for high practicality, combined with broad applicability and might serve as design prototype for future alkylation catalysts.</w:t>
      </w:r>
    </w:p>
    <w:p>
      <w:pPr>
        <w:spacing w:before="120" w:after="120"/>
      </w:pPr>
      <w:r>
        <w:rPr>
          <w:sz w:val="18"/>
        </w:rPr>
        <w:t>——————————————————————————————————————————————————————————————————————</w:t>
      </w:r>
    </w:p>
    <w:p>
      <w:pPr>
        <w:spacing w:before="160" w:after="40" w:line="240" w:lineRule="auto"/>
      </w:pPr>
      <w:r>
        <w:rPr>
          <w:b/>
        </w:rPr>
        <w:t xml:space="preserve">[115] </w:t>
      </w:r>
      <w:hyperlink r:id="rId416">
        <w:r>
          <w:rPr>
            <w:color w:val="1155CC"/>
            <w:u w:val="single"/>
          </w:rPr>
          <w:t>通过催化EDA复合物介导的S(VI)─F键活化实现统一的自由基C–SuFEx平台</w:t>
        </w:r>
      </w:hyperlink>
    </w:p>
    <w:p>
      <w:pPr>
        <w:spacing w:before="0" w:after="80"/>
      </w:pPr>
      <w:r>
        <w:rPr>
          <w:i/>
          <w:sz w:val="20"/>
        </w:rPr>
        <w:t>EN: A Unified Radical C–SuFEx Platform via Catalytic EDA Complex‐Mediated S(VI)─F Bond Activation</w:t>
      </w:r>
    </w:p>
    <w:p>
      <w:pPr>
        <w:spacing w:before="0" w:after="120"/>
      </w:pPr>
      <w:r>
        <w:rPr>
          <w:b/>
        </w:rPr>
        <w:t xml:space="preserve">Source: </w:t>
      </w:r>
      <w:r>
        <w:t>Wiley: Angewandte Chemie International Edition: Table of Contents</w:t>
      </w:r>
      <w:r>
        <w:t xml:space="preserve">    </w:t>
      </w:r>
      <w:r>
        <w:rPr>
          <w:b/>
        </w:rPr>
        <w:t xml:space="preserve">Pub date: </w:t>
      </w:r>
      <w:r>
        <w:t>2026-05-11 07:40:23+00:00</w:t>
      </w:r>
      <w:r>
        <w:t xml:space="preserve">    </w:t>
      </w:r>
      <w:r>
        <w:rPr>
          <w:b/>
        </w:rPr>
        <w:t xml:space="preserve">DOI: </w:t>
      </w:r>
      <w:hyperlink r:id="rId417">
        <w:r>
          <w:rPr>
            <w:color w:val="1155CC"/>
            <w:u w:val="single"/>
          </w:rPr>
          <w:t>10.1002/anie.8964304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硫(VI)氟交换（SuFEx）化学已成为构建多样分子结构的强大工具。虽然硫(VI)氟化物通常作为S(VI)</w:t>
      </w:r>
      <w:r>
        <w:t xml:space="preserve"> </w:t>
      </w:r>
      <w:r>
        <w:t>+</w:t>
      </w:r>
      <w:r>
        <w:t xml:space="preserve"> </w:t>
      </w:r>
      <w:r>
        <w:t>亲电试剂在与杂原子亲核试剂的去氟反应中使用，但通过C–SuFEx过程直接形成S(VI)─C键仍然是一个重大挑战，并且尚未得到充分发展。在此，我们报告了一种通用且实用的基于自由基的C-SuFEx平台，能够将磺酰和磺亚胺酰氟化物与烯烃和炔烃连接，直接获得炔基砜、烯基砜和烯基磺亚胺酰衍生物。机制研究支持三芳胺和硫(VI)氟化物之间形成的催化电子供体-受体（EDA）复合物的参与，该复合物促进了S(VI)–F键的温和活化以生成关键的硫(VI)中心自由基。通过连续的C–SuFEx/环加成转化，进一步展示了该方法的合成实用性，提供了一种多功能且模块化的途径，用于构建结构多样且功能丰富的分子框架。</w:t>
      </w:r>
    </w:p>
    <w:p>
      <w:pPr>
        <w:spacing w:before="0" w:after="200" w:lineRule="auto" w:line="276"/>
      </w:pPr>
      <w:r>
        <w:rPr>
          <w:b/>
        </w:rPr>
        <w:t xml:space="preserve">Abstract (EN): </w:t>
      </w:r>
      <w:r>
        <w:t>Sulfur(VI) Fluoride Exchange (SuFEx) chemistry has emerged as a powerful tool for forging diverse molecular architectures. While sulfur(VI) fluorides are typically employed as S(VI)</w:t>
      </w:r>
      <w:r>
        <w:t xml:space="preserve"> </w:t>
      </w:r>
      <w:r>
        <w:t>+</w:t>
      </w:r>
      <w:r>
        <w:t xml:space="preserve"> </w:t>
      </w:r>
      <w:r>
        <w:t>electrophiles in defluorinative reactions with heteroatom nucleophiles, the direct formation of S(VI)─C bonds via C–SuFEx processes remains a significant challenge and is largely underdeveloped. Herein, we report a general and practical radical‐based C‐SuFEx platform that enables the ligation of sulfonyl and sulfonimidoyl fluorides with alkenes and alkynes, providing direct access to alkynyl sulfones, alkenyl sulfones, and alkenyl sulfonimidoyl derivatives. Mechanistic studies support the involvement of a catalytic electron donor–acceptor (EDA) complex formed between triarylamines and sulfur(VI) fluorides, which facilitates mild activation of S(VI)–F bonds to generate key sulfur(VI)‐centered radicals. The synthetic utility of this methodology is further demonstrated through sequential C–SuFEx/cycloaddition transformations, offering a versatile and modular route to structurally diverse and functionally enriched molecular frameworks.</w:t>
      </w:r>
    </w:p>
    <w:p>
      <w:pPr>
        <w:spacing w:before="120" w:after="120"/>
      </w:pPr>
      <w:r>
        <w:rPr>
          <w:sz w:val="18"/>
        </w:rPr>
        <w:t>——————————————————————————————————————————————————————————————————————</w:t>
      </w:r>
    </w:p>
    <w:p>
      <w:pPr>
        <w:spacing w:before="160" w:after="40" w:line="240" w:lineRule="auto"/>
      </w:pPr>
      <w:r>
        <w:rPr>
          <w:b/>
        </w:rPr>
        <w:t xml:space="preserve">[116] </w:t>
      </w:r>
      <w:hyperlink r:id="rId418">
        <w:r>
          <w:rPr>
            <w:color w:val="1155CC"/>
            <w:u w:val="single"/>
          </w:rPr>
          <w:t>将铝分子环穿入化学生长的铜导向聚轮烷</w:t>
        </w:r>
      </w:hyperlink>
    </w:p>
    <w:p>
      <w:pPr>
        <w:spacing w:before="0" w:after="80"/>
      </w:pPr>
      <w:r>
        <w:rPr>
          <w:i/>
          <w:sz w:val="20"/>
        </w:rPr>
        <w:t>EN: Threading an Aluminum Molecular Ring Onto a Chemically Growing Copper‐Directed Polyrotaxane</w:t>
      </w:r>
    </w:p>
    <w:p>
      <w:pPr>
        <w:spacing w:before="0" w:after="120"/>
      </w:pPr>
      <w:r>
        <w:rPr>
          <w:b/>
        </w:rPr>
        <w:t xml:space="preserve">Source: </w:t>
      </w:r>
      <w:r>
        <w:t>Wiley: Angewandte Chemie International Edition: Table of Contents</w:t>
      </w:r>
      <w:r>
        <w:t xml:space="preserve">    </w:t>
      </w:r>
      <w:r>
        <w:rPr>
          <w:b/>
        </w:rPr>
        <w:t xml:space="preserve">Pub date: </w:t>
      </w:r>
      <w:r>
        <w:t>2026-05-11 07:41:02+00:00</w:t>
      </w:r>
      <w:r>
        <w:t xml:space="preserve">    </w:t>
      </w:r>
      <w:r>
        <w:rPr>
          <w:b/>
        </w:rPr>
        <w:t xml:space="preserve">DOI: </w:t>
      </w:r>
      <w:hyperlink r:id="rId419">
        <w:r>
          <w:rPr>
            <w:color w:val="1155CC"/>
            <w:u w:val="single"/>
          </w:rPr>
          <w:t>10.1002/anie.8876257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受控组装先进的机械互锁结构仍然是超分子化学中的一大挑战。受硬酸和软酸碱原理的启发，我们提出了一种模块化和分层的策略，用于合成由四个协同组分组装的铝基机械互锁分子（AlMIMs）。铝离子通过与芳香羧酸盐配位生成稳健的宏环框架，而适应性的氮供体配体与结构导向的铜离子协同作用，促进轴的穿线并控制结构的维度性。该方法创建了一个完整的结构库，从离散的[2]-和[3]轮烷到扩展的多轮烷网络，展示了广泛的多样性。在空间受限的宏环腔体内，铜离子优先采用稳定的线性配位几何形状，而在腔体外保持构象灵活，以适应多样的配位模式和聚集状态。这种双重行为协同促进了高度有序的组装。值得注意的是，所得的AlMIMs表现出显著增强的三阶非线性光学响应，突显出机械互锁带来的新兴特性。这项工作强调了将配位化学与超分子设计相结合的力量，通过揭示金属离子配位如何在精确设计的超分子环境中动态调节，超越了传统的静态范式。</w:t>
      </w:r>
    </w:p>
    <w:p>
      <w:pPr>
        <w:spacing w:before="0" w:after="200" w:lineRule="auto" w:line="276"/>
      </w:pPr>
      <w:r>
        <w:rPr>
          <w:b/>
        </w:rPr>
        <w:t xml:space="preserve">Abstract (EN): </w:t>
      </w:r>
      <w:r>
        <w:t>Controlled assembly of advanced mechanically interlocked architectures remains a major challenge in supramolecular chemistry. Inspired by the hard and soft acids and bases principle, we present a modular and hierarchical strategy for the synthesis of aluminum‐based mechanically interlocked molecules (AlMIMs) assembled from four synergistic components. Aluminum ions generate robust macrocyclic frameworks through coordination with aromatic carboxylates, while adaptive nitrogen‐donor ligands, in concert with structure‐directing copper ions, promote axle threading and govern structural dimensionality. This approach creates a full structural library, from discrete [2]‐ and [3]rotaxanes to extended polyrotaxane networks, demonstrating broad versatility. Within the spatially confined macrocyclic cavity, copper ions preferentially adopt a stable linear coordination geometry while remaining conformationally flexible outside the cavity to accommodate diverse coordination modes and aggregation states. This dual behavior cooperatively facilitates highly ordered assembly. Notably, the resulting AlMIMs exhibit remarkably enhanced third‐order nonlinear optical responses, highlighting emergent properties arising from mechanical interlocking. This work underscores the power of merging coordination chemistry with supramolecular design, transcending conventional static paradigms by revealing how metal ion coordination can be dynamically modulated within precisely engineered supramolecular environments.</w:t>
      </w:r>
    </w:p>
    <w:p>
      <w:pPr>
        <w:spacing w:before="120" w:after="120"/>
      </w:pPr>
      <w:r>
        <w:rPr>
          <w:sz w:val="18"/>
        </w:rPr>
        <w:t>——————————————————————————————————————————————————————————————————————</w:t>
      </w:r>
    </w:p>
    <w:p>
      <w:pPr>
        <w:spacing w:before="160" w:after="40" w:line="240" w:lineRule="auto"/>
      </w:pPr>
      <w:r>
        <w:rPr>
          <w:b/>
        </w:rPr>
        <w:t xml:space="preserve">[117] </w:t>
      </w:r>
      <w:hyperlink r:id="rId420">
        <w:r>
          <w:rPr>
            <w:color w:val="1155CC"/>
            <w:u w:val="single"/>
          </w:rPr>
          <w:t>烷烃作为氢源：钯/光氧化还原双催化实现温和的烯烃氢化</w:t>
        </w:r>
      </w:hyperlink>
    </w:p>
    <w:p>
      <w:pPr>
        <w:spacing w:before="0" w:after="80"/>
      </w:pPr>
      <w:r>
        <w:rPr>
          <w:i/>
          <w:sz w:val="20"/>
        </w:rPr>
        <w:t>EN: Alkane as Hydrogen Source: Pd/Photoredox Dual‐Catalysis Enables Mild Olefin Hydrogenation</w:t>
      </w:r>
    </w:p>
    <w:p>
      <w:pPr>
        <w:spacing w:before="0" w:after="120"/>
      </w:pPr>
      <w:r>
        <w:rPr>
          <w:b/>
        </w:rPr>
        <w:t xml:space="preserve">Source: </w:t>
      </w:r>
      <w:r>
        <w:t>Wiley: Angewandte Chemie International Edition: Table of Contents</w:t>
      </w:r>
      <w:r>
        <w:t xml:space="preserve">    </w:t>
      </w:r>
      <w:r>
        <w:rPr>
          <w:b/>
        </w:rPr>
        <w:t xml:space="preserve">Pub date: </w:t>
      </w:r>
      <w:r>
        <w:t>2026-05-11 07:41:33+00:00</w:t>
      </w:r>
      <w:r>
        <w:t xml:space="preserve">    </w:t>
      </w:r>
      <w:r>
        <w:rPr>
          <w:b/>
        </w:rPr>
        <w:t xml:space="preserve">DOI: </w:t>
      </w:r>
      <w:hyperlink r:id="rId421">
        <w:r>
          <w:rPr>
            <w:color w:val="1155CC"/>
            <w:u w:val="single"/>
          </w:rPr>
          <w:t>10.1002/anie.7920745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安全和经济的催化加氢的开发是一个持续的挑战。在温和条件下直接使用丰富的烷烃作为氢供体尤其令人向往，然而，传统的烷烃脱氢方法通常需要苛刻的条件（150°C–200°C）并且仅能容忍有限范围的烯烃底物。在此，我们报告了一种协同钯/光氧化还原催化系统，该系统能够在室温下使用简单的烷烃作为氢源对未活化的烯烃进行加氢。这种双重催化将烷烃的光催化氢原子转移（HAT）与钯催化的氢转移相结合，实现了高效的烯烃加氢。机理研究支持自由基介导的途径，并确认烷烃为氢源。这种操作简单的方法展示了广泛的底物范围和官能团耐受性，允许在温和条件下对复杂分子进行后期修饰。这项工作建立了一种将烷烃用作方便和多功能氢供体的一般策略，提供了一种温和的替代传统加氢方法的方案，这些方法通常依赖于H</w:t>
      </w:r>
      <w:r>
        <w:rPr>
          <w:vertAlign w:val="subscript"/>
        </w:rPr>
        <w:t>2</w:t>
      </w:r>
      <w:r>
        <w:t>气体。</w:t>
      </w:r>
    </w:p>
    <w:p>
      <w:pPr>
        <w:spacing w:before="0" w:after="200" w:lineRule="auto" w:line="276"/>
      </w:pPr>
      <w:r>
        <w:rPr>
          <w:b/>
        </w:rPr>
        <w:t xml:space="preserve">Abstract (EN): </w:t>
      </w:r>
      <w:r>
        <w:t>The development of safe and economical catalytic hydrogenation is a persistent challenge. The direct use of abundant alkanes as hydrogen donors under mild conditions is particularly desirable, yet conventional alkane dehydrogenation approaches for this purpose typically require harsh conditions (150°C–200°C) and tolerate a limited range of olefin substrates. Here, we report a cooperative palladium/photoredox catalytic system that enables the hydrogenation of unactivated olefins at room temperature using simple alkanes as the hydrogen source. This dual catalysis merges a photocatalyzed hydrogen atom transfer (HAT) from alkanes with a palladium‐catalyzed hydrogen transfer, achieving efficient olefin hydrogenation. Mechanistic studies support a radical‐mediated pathway and confirm alkanes as the hydrogen source. This operationally simple method exhibits broad substrate scope and functional group tolerance, allowing for the late‐stage modification of complex molecules under mild conditions. This work establishes a general strategy for alkane utilization as convenient and versatile hydrogen donors, offering a mild alternative to traditional hydrogenation methods that generally rely on H</w:t>
      </w:r>
      <w:r>
        <w:rPr>
          <w:vertAlign w:val="subscript"/>
        </w:rPr>
        <w:t>2</w:t>
      </w:r>
      <w:r>
        <w:t>gas.</w:t>
      </w:r>
    </w:p>
    <w:p>
      <w:pPr>
        <w:spacing w:before="120" w:after="120"/>
      </w:pPr>
      <w:r>
        <w:rPr>
          <w:sz w:val="18"/>
        </w:rPr>
        <w:t>——————————————————————————————————————————————————————————————————————</w:t>
      </w:r>
    </w:p>
    <w:p>
      <w:pPr>
        <w:spacing w:before="160" w:after="40" w:line="240" w:lineRule="auto"/>
      </w:pPr>
      <w:r>
        <w:rPr>
          <w:b/>
        </w:rPr>
        <w:t xml:space="preserve">[118] </w:t>
      </w:r>
      <w:hyperlink r:id="rId422">
        <w:r>
          <w:rPr>
            <w:color w:val="1155CC"/>
            <w:u w:val="single"/>
          </w:rPr>
          <w:t>[ASAP] 多酶介导的全天然水凝胶动态交联，具有高粘附性和氧化还原调节性，用于快速组织填充和修复</w:t>
        </w:r>
      </w:hyperlink>
    </w:p>
    <w:p>
      <w:pPr>
        <w:spacing w:before="0" w:after="80"/>
      </w:pPr>
      <w:r>
        <w:rPr>
          <w:i/>
          <w:sz w:val="20"/>
        </w:rPr>
        <w:t>EN: [ASAP] Multienzyme-Mediated Dynamic Cross-Linking of All-Natural Hydrogels with High Adhesion and Redox Modulation for Rapid Tissue Filling and Repair</w:t>
      </w:r>
    </w:p>
    <w:p>
      <w:pPr>
        <w:spacing w:before="0" w:after="120"/>
      </w:pPr>
      <w:r>
        <w:rPr>
          <w:b/>
        </w:rPr>
        <w:t xml:space="preserve">Source: </w:t>
      </w:r>
      <w:r>
        <w:t>Journal of the American Chemical Society: Latest Articles (ACS Publications)</w:t>
      </w:r>
      <w:r>
        <w:t xml:space="preserve">    </w:t>
      </w:r>
      <w:r>
        <w:rPr>
          <w:b/>
        </w:rPr>
        <w:t xml:space="preserve">Pub date: </w:t>
      </w:r>
      <w:r>
        <w:t>2026-05-11 08:16:49+00:00</w:t>
      </w:r>
      <w:r>
        <w:t xml:space="preserve">    </w:t>
      </w:r>
      <w:r>
        <w:rPr>
          <w:b/>
        </w:rPr>
        <w:t xml:space="preserve">DOI: </w:t>
      </w:r>
      <w:hyperlink r:id="rId423">
        <w:r>
          <w:rPr>
            <w:color w:val="1155CC"/>
            <w:u w:val="single"/>
          </w:rPr>
          <w:t>10.1021/jacs.6c01567</w:t>
        </w:r>
      </w:hyperlink>
    </w:p>
    <w:p>
      <w:pPr>
        <w:spacing w:before="0" w:after="120"/>
      </w:pPr>
      <w:r>
        <w:rPr>
          <w:b/>
        </w:rPr>
        <w:t xml:space="preserve">Notes: </w:t>
      </w:r>
      <w:r>
        <w:t>abstract_source=pubmed</w:t>
      </w:r>
    </w:p>
    <w:p>
      <w:pPr>
        <w:spacing w:before="0" w:after="80" w:lineRule="auto" w:line="276"/>
      </w:pPr>
      <w:r>
        <w:rPr>
          <w:b/>
        </w:rPr>
        <w:t xml:space="preserve">摘要（ZH）: </w:t>
      </w:r>
      <w:r>
        <w:t>在体内构建具有细胞适应性生物物理和生化微环境的软组织填充水凝胶对于伤口愈合和组织再生是非常理想的。在此，受生物系统中酶介导的交联和代谢调节的启发，我们报告了一种级联半乳糖氧化酶（GAO）/过氧化氢酶（CAT）催化的动态席夫碱交联策略，用于在生理条件下快速原位形成全天然多糖水凝胶。在该系统中，天然半乳甘露聚糖同时作为结构成分和酶底物，可以被GAO/CAT选择性氧化为半乳糖的C6羟基成活性醛，从而能够与含氨基的多糖（如乙二醇壳聚糖（CHT））和酶进行后续的席夫碱交联，无需外部引发剂、自由基或化学预修饰。固定化的酶可以在机械刺激下反复暴露以催化氧化底物半乳甘露聚糖，从而持续调节网络结构和界面反应性以增强组织粘附，从而支持有效填充不规则缺陷。此外，GAO/CAT集成的水凝胶表现出超氧化物歧化酶（SOD）样活性，并与CAT一起实现对人类骨关节炎（OA）滑液中活性氧和氮物种（ROS/RNS）的协同清除，从而在OA小鼠模型中促进关节软骨再生。这种酶促交联策略提供了一种安全</w:t>
      </w:r>
    </w:p>
    <w:p>
      <w:pPr>
        <w:spacing w:before="0" w:after="200" w:lineRule="auto" w:line="276"/>
      </w:pPr>
      <w:r>
        <w:rPr>
          <w:b/>
        </w:rPr>
        <w:t xml:space="preserve">Abstract (EN): </w:t>
      </w:r>
      <w:r>
        <w:t>The in vivo construction of soft-tissue filling hydrogels with cell-adaptive biophysical and biochemical microenvironments is highly desirable for wound healing and tissue regeneration. Herein, inspired by enzyme-mediated cross-linking and metabolic regulation in biological systems, we report a cascade galactose oxidase (GAO)/catalase (CAT)-catalyzed dynamic Schiff-base cross-linking strategy for rapid in situ formation of an all-natural polysaccharide hydrogel under physiological conditions. In this system, natural galactomannan functions simultaneously as the structural component and enzymatic substrate, which can be selectively oxidized by GAO/CAT at C6 hydroxyl groups of galactose into reactive aldehydes, enabling subsequent Schiff-base cross-linking with amino-containing polysaccharides (e.g., glycol chitosan (CHT)) and enzymes, without external initiators, radicals, or chemical premodification. The immobilized enzymes can be repeatedly re-exposed to catalytically oxidize the substrate galactomannan under mechanical stimulation, allowing sustained regulation of network architecture and interfacial reactivity for enhanced tissue adhesion, thereby supporting effective filling of irregular defects. Furthermore, the GAO/CAT-integrated hydrogel demonstrates superoxide dismutase (SOD)-like activity and, together with CAT, enables the synergistic scavenging of reactive oxygen and nitrogen species (ROS/RNS) in human osteoarthritis (OA) synovial fluid, thereby promoting articular cartilage regeneration in an OA mouse model. This enzymatic cross-linking strategy provides a safe and facile approach for dynamic hydrogel construction, allowing direct precursor injection at target sites for in situ gelation with biochemical regulation, thereby demonstrating significant translational potential in biofilling and tissue regeneration.</w:t>
      </w:r>
    </w:p>
    <w:p>
      <w:pPr>
        <w:spacing w:before="120" w:after="120"/>
      </w:pPr>
      <w:r>
        <w:rPr>
          <w:sz w:val="18"/>
        </w:rPr>
        <w:t>——————————————————————————————————————————————————————————————————————</w:t>
      </w:r>
    </w:p>
    <w:p>
      <w:pPr>
        <w:spacing w:before="160" w:after="40" w:line="240" w:lineRule="auto"/>
      </w:pPr>
      <w:r>
        <w:rPr>
          <w:b/>
        </w:rPr>
        <w:t xml:space="preserve">[119] </w:t>
      </w:r>
      <w:hyperlink r:id="rId424">
        <w:r>
          <w:rPr>
            <w:color w:val="1155CC"/>
            <w:u w:val="single"/>
          </w:rPr>
          <w:t>[ASAP] 亚颗粒原位成像用于探测电催化中间体和阳离子效应</w:t>
        </w:r>
      </w:hyperlink>
    </w:p>
    <w:p>
      <w:pPr>
        <w:spacing w:before="0" w:after="80"/>
      </w:pPr>
      <w:r>
        <w:rPr>
          <w:i/>
          <w:sz w:val="20"/>
        </w:rPr>
        <w:t>EN: [ASAP] Subparticle Operando Imaging for Probing Electrocatalytic Intermediates and Cation Effects</w:t>
      </w:r>
    </w:p>
    <w:p>
      <w:pPr>
        <w:spacing w:before="0" w:after="120"/>
      </w:pPr>
      <w:r>
        <w:rPr>
          <w:b/>
        </w:rPr>
        <w:t xml:space="preserve">Source: </w:t>
      </w:r>
      <w:r>
        <w:t>Journal of the American Chemical Society: Latest Articles (ACS Publications)</w:t>
      </w:r>
      <w:r>
        <w:t xml:space="preserve">    </w:t>
      </w:r>
      <w:r>
        <w:rPr>
          <w:b/>
        </w:rPr>
        <w:t xml:space="preserve">Pub date: </w:t>
      </w:r>
      <w:r>
        <w:t>2026-05-11 08:17:48+00:00</w:t>
      </w:r>
      <w:r>
        <w:t xml:space="preserve">    </w:t>
      </w:r>
      <w:r>
        <w:rPr>
          <w:b/>
        </w:rPr>
        <w:t xml:space="preserve">DOI: </w:t>
      </w:r>
      <w:hyperlink r:id="rId425">
        <w:r>
          <w:rPr>
            <w:color w:val="1155CC"/>
            <w:u w:val="single"/>
          </w:rPr>
          <w:t>10.1021/jacs.5c21794</w:t>
        </w:r>
      </w:hyperlink>
    </w:p>
    <w:p>
      <w:pPr>
        <w:spacing w:before="0" w:after="120"/>
      </w:pPr>
      <w:r>
        <w:rPr>
          <w:b/>
        </w:rPr>
        <w:t xml:space="preserve">Notes: </w:t>
      </w:r>
      <w:r>
        <w:t>abstract_source=pubmed</w:t>
      </w:r>
    </w:p>
    <w:p>
      <w:pPr>
        <w:spacing w:before="0" w:after="80" w:lineRule="auto" w:line="276"/>
      </w:pPr>
      <w:r>
        <w:rPr>
          <w:b/>
        </w:rPr>
        <w:t xml:space="preserve">摘要（ZH）: </w:t>
      </w:r>
      <w:r>
        <w:t>界面水衍生的表面结合金属-H*中间体在许多电催化转化中起着核心作用，但由于其瞬态性质和传统测量的集合异质性，其纳米尺度行为仍难以解析。在此，我们采用原位单分子超分辨成像直接探测单个Cu纳米板上电催化中间体的动态，具有纳米级精度，同时系统地改变电解质阳离子身份和浓度。单颗粒和亚颗粒分析揭示了显著的结构依赖性动力学，活性顺序为角 &gt; 边缘 &gt; 基底，反映了配位依赖的界面溶剂化环境。在跨越85个纳米板的广泛范围内，反应性表现出对颗粒尺寸的意外双相依赖性，表明在动力学控制和传输影响的机制之间的交叉。空间相关分析进一步揭示了角和相邻边缘段之间的负催化协同作用，表明表面中间体通过局部竞争质子供应和界面水可及性传播。电解质成分强烈调节这些动态。增加阳离子尺寸（Li+ → Cs+）单调抑制活性，与结构化界面水的破坏一致，而离子强度产生双相促进-抑制行为，临界浓度约为0.5 M。我们的成像方法将Cu-H*转化为可实验测量的描述符链接</w:t>
      </w:r>
    </w:p>
    <w:p>
      <w:pPr>
        <w:spacing w:before="0" w:after="200" w:lineRule="auto" w:line="276"/>
      </w:pPr>
      <w:r>
        <w:rPr>
          <w:b/>
        </w:rPr>
        <w:t xml:space="preserve">Abstract (EN): </w:t>
      </w:r>
      <w:r>
        <w:t>Surface-bound metal-H* intermediates derived from interfacial water play a central role in many electrocatalytic transformations, yet their nanoscale behavior remains difficult to resolve because of their transient nature and the ensemble heterogeneity of conventional measurements. Here, we employ operando single-molecule super-resolution imaging to directly probe electrocatalytic intermediates' dynamics on individual Cu nanoplates with nanometer precision while systematically varying electrolyte cation identity and concentration. Single- and subparticle analyses reveal pronounced structure-dependent kinetics, with activity following the order corner &gt; edge &gt; basal, reflecting coordination-dependent interfacial solvation environments. Across 85 nanoplates spanning a wide range, the reactivity exhibits an unexpected biphasic dependence on particle size, indicating a crossover between kinetically controlled and transport-influenced regimes. Spatial correlation analysis further uncovers negative catalytic cooperativity between corners and adjacent edge segments, suggesting that surface intermediates propagate through local competition for proton supply and interfacial water accessibility. Electrolyte composition strongly regulates these dynamics. Increasing cation size (Li+ → Cs+) monotonically suppresses activity, consistent with the disruption of structured interfacial water, whereas ionic strength produces a biphasic promotion-inhibition behavior with a critical concentration near 0.5 M. Our imaging approach converts Cu-H* into an experimentally measurable descriptor linking nanoscale structure and interfacial solvation, offering key mechanistic insights for rational electrolyte design in aqueous electrocatalysis, readily extensible to other intermediates (e.g., OH*, CO*) and various electrocatalytic reactions.</w:t>
      </w:r>
    </w:p>
    <w:p>
      <w:pPr>
        <w:spacing w:before="120" w:after="120"/>
      </w:pPr>
      <w:r>
        <w:rPr>
          <w:sz w:val="18"/>
        </w:rPr>
        <w:t>——————————————————————————————————————————————————————————————————————</w:t>
      </w:r>
    </w:p>
    <w:p>
      <w:pPr>
        <w:spacing w:before="160" w:after="40" w:line="240" w:lineRule="auto"/>
      </w:pPr>
      <w:r>
        <w:rPr>
          <w:b/>
        </w:rPr>
        <w:t xml:space="preserve">[120] </w:t>
      </w:r>
      <w:hyperlink r:id="rId426">
        <w:r>
          <w:rPr>
            <w:color w:val="1155CC"/>
            <w:u w:val="single"/>
          </w:rPr>
          <w:t>[ASAP] 预测金属有机框架亚稳态的热力学极限</w:t>
        </w:r>
      </w:hyperlink>
    </w:p>
    <w:p>
      <w:pPr>
        <w:spacing w:before="0" w:after="80"/>
      </w:pPr>
      <w:r>
        <w:rPr>
          <w:i/>
          <w:sz w:val="20"/>
        </w:rPr>
        <w:t>EN: [ASAP] Predicting the Thermodynamic Limits of Metal–Organic Framework Metastability</w:t>
      </w:r>
    </w:p>
    <w:p>
      <w:pPr>
        <w:spacing w:before="0" w:after="120"/>
      </w:pPr>
      <w:r>
        <w:rPr>
          <w:b/>
        </w:rPr>
        <w:t xml:space="preserve">Source: </w:t>
      </w:r>
      <w:r>
        <w:t>Journal of the American Chemical Society: Latest Articles (ACS Publications)</w:t>
      </w:r>
      <w:r>
        <w:t xml:space="preserve">    </w:t>
      </w:r>
      <w:r>
        <w:rPr>
          <w:b/>
        </w:rPr>
        <w:t xml:space="preserve">Pub date: </w:t>
      </w:r>
      <w:r>
        <w:t>2026-05-11 08:42:43+00:00</w:t>
      </w:r>
      <w:r>
        <w:t xml:space="preserve">    </w:t>
      </w:r>
      <w:r>
        <w:rPr>
          <w:b/>
        </w:rPr>
        <w:t xml:space="preserve">DOI: </w:t>
      </w:r>
      <w:hyperlink r:id="rId427">
        <w:r>
          <w:rPr>
            <w:color w:val="1155CC"/>
            <w:u w:val="single"/>
          </w:rPr>
          <w:t>10.1021/jacs.5c20253</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s）的巨大组合空间导致它们在各种应用领域被广泛考虑。尽管如此，关于哪些因素决定其热力学稳定性仍有许多未知。在此，我们使用密度泛函理论计算形成能，并为20,000多个MOFs和配位聚合物构建凸包相图。使用凸包上方的能量作为相对于分解和相变的稳定性度量，我们验证并扩展了先前的假设，即所有MOFs在热力学上都是亚稳态的，并且永久孔隙性存在固有的能量惩罚。我们还描述了MOF组成和金属/连接体身份如何影响亚稳态程度，此外还展示了凸包上方的能量如何用作新提出的MOFs的可合成性指标。为了普及我们研究中获得的知识，我们发布了QMOF-Thermo数据库，这是第一个MOFs和配位聚合物的凸包上方能量值数据库。最后，我们使用QMOF-Thermo数据库来基准测试预训练机器学习原子间势预测MOFs凸包上方能量的能力，并识别出改进其性能的机会。</w:t>
      </w:r>
    </w:p>
    <w:p>
      <w:pPr>
        <w:spacing w:before="0" w:after="200" w:lineRule="auto" w:line="276"/>
      </w:pPr>
      <w:r>
        <w:rPr>
          <w:b/>
        </w:rPr>
        <w:t xml:space="preserve">Abstract (EN): </w:t>
      </w:r>
      <w:r>
        <w:t>The vast combinatorial space of metal-organic frameworks (MOFs) has led to their widespread consideration across diverse application areas. That said, much remains unknown about what factors govern their thermodynamic stability. Herein, we use density functional theory to compute the formation energy and construct convex hull phase diagrams for 20,000+ MOFs and coordination polymers. Using the energy above hull as a measure of stability with respect to decomposition and phase transitions, we validate and expand upon previous hypotheses that all MOFs are thermodynamically metastable and that there is an inherent energetic penalty associated with permanent porosity. We also describe how MOF composition and metal/linker identity influence the degree of metastability, in addition to demonstrating how the energy above hull can be used as a synthesizability metric for newly proposed MOFs. To democratize the knowledge gained from our study, we have released the QMOF-Thermo Database, which is the first database of energy above hull values for MOFs and coordination polymers. We conclude by using the QMOF-Thermo Database to benchmark the ability of pretrained machine learning interatomic potentials to predict the energy above hull of MOFs, and we identify opportunities to correct their performance.</w:t>
      </w:r>
    </w:p>
    <w:p>
      <w:pPr>
        <w:spacing w:before="120" w:after="120"/>
      </w:pPr>
      <w:r>
        <w:rPr>
          <w:sz w:val="18"/>
        </w:rPr>
        <w:t>——————————————————————————————————————————————————————————————————————</w:t>
      </w:r>
    </w:p>
    <w:p>
      <w:pPr>
        <w:spacing w:before="160" w:after="40" w:line="240" w:lineRule="auto"/>
      </w:pPr>
      <w:r>
        <w:rPr>
          <w:b/>
        </w:rPr>
        <w:t xml:space="preserve">[121] </w:t>
      </w:r>
      <w:hyperlink r:id="rId428">
        <w:r>
          <w:rPr>
            <w:color w:val="1155CC"/>
            <w:u w:val="single"/>
          </w:rPr>
          <w:t>[ASAP] 通过吸引非共价相互作用催化剂控制的酚类化学选择性β-甘露糖基化</w:t>
        </w:r>
      </w:hyperlink>
    </w:p>
    <w:p>
      <w:pPr>
        <w:spacing w:before="0" w:after="80"/>
      </w:pPr>
      <w:r>
        <w:rPr>
          <w:i/>
          <w:sz w:val="20"/>
        </w:rPr>
        <w:t>EN: [ASAP] Catalyst-Controlled Chemoselective β-Mannosylation of Phenols Via Attractive Noncovalent Interactions</w:t>
      </w:r>
    </w:p>
    <w:p>
      <w:pPr>
        <w:spacing w:before="0" w:after="120"/>
      </w:pPr>
      <w:r>
        <w:rPr>
          <w:b/>
        </w:rPr>
        <w:t xml:space="preserve">Source: </w:t>
      </w:r>
      <w:r>
        <w:t>Journal of the American Chemical Society: Latest Articles (ACS Publications)</w:t>
      </w:r>
      <w:r>
        <w:t xml:space="preserve">    </w:t>
      </w:r>
      <w:r>
        <w:rPr>
          <w:b/>
        </w:rPr>
        <w:t xml:space="preserve">Pub date: </w:t>
      </w:r>
      <w:r>
        <w:t>2026-05-11 10:24:02+00:00</w:t>
      </w:r>
      <w:r>
        <w:t xml:space="preserve">    </w:t>
      </w:r>
      <w:r>
        <w:rPr>
          <w:b/>
        </w:rPr>
        <w:t xml:space="preserve">DOI: </w:t>
      </w:r>
      <w:hyperlink r:id="rId429">
        <w:r>
          <w:rPr>
            <w:color w:val="1155CC"/>
            <w:u w:val="single"/>
          </w:rPr>
          <w:t>10.1021/jacs.6c04849</w:t>
        </w:r>
      </w:hyperlink>
    </w:p>
    <w:p>
      <w:pPr>
        <w:spacing w:before="0" w:after="120"/>
      </w:pPr>
      <w:r>
        <w:rPr>
          <w:b/>
        </w:rPr>
        <w:t xml:space="preserve">Notes: </w:t>
      </w:r>
      <w:r>
        <w:t>abstract_source=pubmed</w:t>
      </w:r>
    </w:p>
    <w:p>
      <w:pPr>
        <w:spacing w:before="0" w:after="80" w:lineRule="auto" w:line="276"/>
      </w:pPr>
      <w:r>
        <w:rPr>
          <w:b/>
        </w:rPr>
        <w:t xml:space="preserve">摘要（ZH）: </w:t>
      </w:r>
      <w:r>
        <w:t>我们报告了由精确调谐的双硫脲氢键供体催化的化学和立体选择性酚类β-甘露糖基化反应的发展。酚类的β-甘露糖基化在存在伯醇和仲醇以及硫醇和硫酚的情况下表现出选择性。动力学和计算研究支持一种由一般碱催化促进的亲核体活化机制，并通过催化剂与酚类底物之间的芳香相互作用增强。反应遵循米氏动力学，酚类相对于脂肪醇的糖基化选择性可归因于亲核体与催化剂的更强结合和结合复合物的更高反应速率。相反，酚类相对于更酸性的硫酚的选择性完全通过对催化剂的优先结合实现。</w:t>
      </w:r>
    </w:p>
    <w:p>
      <w:pPr>
        <w:spacing w:before="0" w:after="200" w:lineRule="auto" w:line="276"/>
      </w:pPr>
      <w:r>
        <w:rPr>
          <w:b/>
        </w:rPr>
        <w:t xml:space="preserve">Abstract (EN): </w:t>
      </w:r>
      <w:r>
        <w:t>We report the development of chemo- and stereoselective phenolic β-mannosylations catalyzed by precisely tuned bis-thiourea H-bond donors. β-Mannosylation of phenols is demonstrated to occur selectively in the presence of primary and secondary alcohols as well as thiols and thiophenols. Kinetic and computational studies support a mechanism of nucleophile activation promoted by general base-catalysis and enhanced by aromatic interactions between the catalyst and the phenolic substrate. The reactions obey Michaelis-Menten kinetics, and selectivity for glycosylation of phenols over aliphatic alcohols can be ascribed to a combination of stronger binding of the nucleophile to the catalyst and higher reaction rate of the bound complex. In contrast, selectivity of phenols over more acidic thiophenols is achieved exclusively through preferential binding to the catalyst.</w:t>
      </w:r>
    </w:p>
    <w:p>
      <w:pPr>
        <w:spacing w:before="120" w:after="120"/>
      </w:pPr>
      <w:r>
        <w:rPr>
          <w:sz w:val="18"/>
        </w:rPr>
        <w:t>——————————————————————————————————————————————————————————————————————</w:t>
      </w:r>
    </w:p>
    <w:p>
      <w:pPr>
        <w:spacing w:before="160" w:after="40" w:line="240" w:lineRule="auto"/>
      </w:pPr>
      <w:r>
        <w:rPr>
          <w:b/>
        </w:rPr>
        <w:t xml:space="preserve">[122] </w:t>
      </w:r>
      <w:hyperlink r:id="rId430">
        <w:r>
          <w:rPr>
            <w:color w:val="1155CC"/>
            <w:u w:val="single"/>
          </w:rPr>
          <w:t>在Cs3YCl6中原位Eu氧化还原实现多彩闪烁体，用于多色射线照相和实时剂量测量</w:t>
        </w:r>
      </w:hyperlink>
    </w:p>
    <w:p>
      <w:pPr>
        <w:spacing w:before="0" w:after="80"/>
      </w:pPr>
      <w:r>
        <w:rPr>
          <w:i/>
          <w:sz w:val="20"/>
        </w:rPr>
        <w:t>EN: In Situ Eu Redox in Cs3YCl6 Enabling Colorful Scintillators for Multicolor Radiography and Real‐Time Dosimetry</w:t>
      </w:r>
    </w:p>
    <w:p>
      <w:pPr>
        <w:spacing w:before="0" w:after="120"/>
      </w:pPr>
      <w:r>
        <w:rPr>
          <w:b/>
        </w:rPr>
        <w:t xml:space="preserve">Source: </w:t>
      </w:r>
      <w:r>
        <w:t>Wiley: Angewandte Chemie International Edition: Table of Contents</w:t>
      </w:r>
      <w:r>
        <w:t xml:space="preserve">    </w:t>
      </w:r>
      <w:r>
        <w:rPr>
          <w:b/>
        </w:rPr>
        <w:t xml:space="preserve">Pub date: </w:t>
      </w:r>
      <w:r>
        <w:t>2026-05-11 10:31:51+00:00</w:t>
      </w:r>
      <w:r>
        <w:t xml:space="preserve">    </w:t>
      </w:r>
      <w:r>
        <w:rPr>
          <w:b/>
        </w:rPr>
        <w:t xml:space="preserve">DOI: </w:t>
      </w:r>
      <w:hyperlink r:id="rId431">
        <w:r>
          <w:rPr>
            <w:color w:val="1155CC"/>
            <w:u w:val="single"/>
          </w:rPr>
          <w:t>10.1002/anie.3791639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多层结构的彩色闪烁体因其在高级放射成像中的应用而备受关注，但其层状结构存在固有的层间激发和光子串扰问题。在此，我们设计并报道了一种单相的Cs3YCl6:Eu3+闪烁体，通过原位X射线诱导的Eu3+还原实现可调的蓝/红发射。Cs3YCl6中Eu3+通过4f→4f跃迁部分瞬态还原为Eu2+通过5d→4f跃迁，归因于低能缺陷态，这通过热释光和密度泛函理论计算得到证实。得益于多色特性，彩色Cs3YCl6:Eu3+闪烁体在0.068到3.387 mGy范围内实现X射线剂量的实时剂量测量，最大相对灵敏度为233.9% mGy−1。此外，它表现出分辨率为10 lp mm−1的多色X射线成像，允许同时进行材料识别和X射线剂量测量。这项工作提供了一种新的设计原则</w:t>
      </w:r>
    </w:p>
    <w:p>
      <w:pPr>
        <w:spacing w:before="0" w:after="200" w:lineRule="auto" w:line="276"/>
      </w:pPr>
      <w:r>
        <w:rPr>
          <w:b/>
        </w:rPr>
        <w:t xml:space="preserve">Abstract (EN): </w:t>
      </w:r>
      <w:r>
        <w:t>Colorful scintillators with multilayer structures have attracted considerable attention for advanced radiography, but their layered architectures suffer from intrinsic interlayer excitation and photon crosstalk problems. Here, we design and report a single‐phased Cs</w:t>
      </w:r>
      <w:r>
        <w:rPr>
          <w:vertAlign w:val="subscript"/>
        </w:rPr>
        <w:t>3</w:t>
      </w:r>
      <w:r>
        <w:t>YCl</w:t>
      </w:r>
      <w:r>
        <w:rPr>
          <w:vertAlign w:val="subscript"/>
        </w:rPr>
        <w:t>6</w:t>
      </w:r>
      <w:r>
        <w:t>:Eu</w:t>
      </w:r>
      <w:r>
        <w:t xml:space="preserve"> </w:t>
      </w:r>
      <w:r>
        <w:t>3+</w:t>
      </w:r>
      <w:r>
        <w:t xml:space="preserve"> </w:t>
      </w:r>
      <w:r>
        <w:t>scintillator with tunable blue/red emissions via in situ x‐ray‐induced Eu</w:t>
      </w:r>
      <w:r>
        <w:t xml:space="preserve"> </w:t>
      </w:r>
      <w:r>
        <w:t>3+</w:t>
      </w:r>
      <w:r>
        <w:t xml:space="preserve"> </w:t>
      </w:r>
      <w:r>
        <w:t>reduction. Partial transient reduction of Eu</w:t>
      </w:r>
      <w:r>
        <w:t xml:space="preserve"> </w:t>
      </w:r>
      <w:r>
        <w:t>3+</w:t>
      </w:r>
      <w:r>
        <w:t xml:space="preserve"> </w:t>
      </w:r>
      <w:r>
        <w:t>with 4f→4f transition to Eu</w:t>
      </w:r>
      <w:r>
        <w:t xml:space="preserve"> </w:t>
      </w:r>
      <w:r>
        <w:t>2+</w:t>
      </w:r>
      <w:r>
        <w:t xml:space="preserve"> </w:t>
      </w:r>
      <w:r>
        <w:t>with 5d→4f transition in Cs</w:t>
      </w:r>
      <w:r>
        <w:rPr>
          <w:vertAlign w:val="subscript"/>
        </w:rPr>
        <w:t>3</w:t>
      </w:r>
      <w:r>
        <w:t>YCl</w:t>
      </w:r>
      <w:r>
        <w:rPr>
          <w:vertAlign w:val="subscript"/>
        </w:rPr>
        <w:t>6</w:t>
      </w:r>
      <w:r>
        <w:t>is attributed to low‐lying defect states, confirmed by thermoluminescence and density functional theory calculations. Thanks to multicolor characteristics, the colorful Cs</w:t>
      </w:r>
      <w:r>
        <w:rPr>
          <w:vertAlign w:val="subscript"/>
        </w:rPr>
        <w:t>3</w:t>
      </w:r>
      <w:r>
        <w:t>YCl</w:t>
      </w:r>
      <w:r>
        <w:rPr>
          <w:vertAlign w:val="subscript"/>
        </w:rPr>
        <w:t>6</w:t>
      </w:r>
      <w:r>
        <w:t>:Eu</w:t>
      </w:r>
      <w:r>
        <w:t xml:space="preserve"> </w:t>
      </w:r>
      <w:r>
        <w:t>3+</w:t>
      </w:r>
      <w:r>
        <w:t xml:space="preserve"> </w:t>
      </w:r>
      <w:r>
        <w:t>scintillator achieves x‐ray dose real‐time dosimetry within the range from 0.068 to 3.387 mGy, with a maximum relative sensitivity of 233.9% mGy</w:t>
      </w:r>
      <w:r>
        <w:t xml:space="preserve"> </w:t>
      </w:r>
      <w:r>
        <w:t>−</w:t>
      </w:r>
      <w:r>
        <w:rPr>
          <w:vertAlign w:val="subscript"/>
        </w:rPr>
        <w:t>1</w:t>
      </w:r>
      <w:r>
        <w:t>. Furthermore, it exhibits multicolor x‐ray imaging with a resolution of 10 lp mm</w:t>
      </w:r>
      <w:r>
        <w:t xml:space="preserve"> </w:t>
      </w:r>
      <w:r>
        <w:t>−1</w:t>
      </w:r>
      <w:r>
        <w:t xml:space="preserve"> </w:t>
      </w:r>
      <w:r>
        <w:t>, allowing simultaneous material discrimination and x‐ray dose dosimetry. This work provides a new design principle for the innovation of colorful scintillators and high‐precision multicolor x‐ray detection technologies.</w:t>
      </w:r>
    </w:p>
    <w:p>
      <w:pPr>
        <w:spacing w:before="120" w:after="120"/>
      </w:pPr>
      <w:r>
        <w:rPr>
          <w:sz w:val="18"/>
        </w:rPr>
        <w:t>——————————————————————————————————————————————————————————————————————</w:t>
      </w:r>
    </w:p>
    <w:p>
      <w:pPr>
        <w:spacing w:before="160" w:after="40" w:line="240" w:lineRule="auto"/>
      </w:pPr>
      <w:r>
        <w:rPr>
          <w:b/>
        </w:rPr>
        <w:t xml:space="preserve">[123] </w:t>
      </w:r>
      <w:hyperlink r:id="rId432">
        <w:r>
          <w:rPr>
            <w:color w:val="1155CC"/>
            <w:u w:val="single"/>
          </w:rPr>
          <w:t>在可通过氢键和π-堆积相互作用重新配置的供体+受体线性聚合物半导体粉末上光催化太阳能过氧化氢生产</w:t>
        </w:r>
      </w:hyperlink>
    </w:p>
    <w:p>
      <w:pPr>
        <w:spacing w:before="0" w:after="80"/>
      </w:pPr>
      <w:r>
        <w:rPr>
          <w:i/>
          <w:sz w:val="20"/>
        </w:rPr>
        <w:t>EN: Photocatalytic Solar Hydrogen Peroxide Production on Donor+Acceptor Linear Polymer Semiconductor Powders Reconfigurable by H‐Bonding and π‐Stacking Interactions</w:t>
      </w:r>
    </w:p>
    <w:p>
      <w:pPr>
        <w:spacing w:before="0" w:after="120"/>
      </w:pPr>
      <w:r>
        <w:rPr>
          <w:b/>
        </w:rPr>
        <w:t xml:space="preserve">Source: </w:t>
      </w:r>
      <w:r>
        <w:t>Wiley: Angewandte Chemie International Edition: Table of Contents</w:t>
      </w:r>
      <w:r>
        <w:t xml:space="preserve">    </w:t>
      </w:r>
      <w:r>
        <w:rPr>
          <w:b/>
        </w:rPr>
        <w:t xml:space="preserve">Pub date: </w:t>
      </w:r>
      <w:r>
        <w:t>2026-05-11 10:36:50+00:00</w:t>
      </w:r>
      <w:r>
        <w:t xml:space="preserve">    </w:t>
      </w:r>
      <w:r>
        <w:rPr>
          <w:b/>
        </w:rPr>
        <w:t xml:space="preserve">DOI: </w:t>
      </w:r>
      <w:hyperlink r:id="rId433">
        <w:r>
          <w:rPr>
            <w:color w:val="1155CC"/>
            <w:u w:val="single"/>
          </w:rPr>
          <w:t>10.1002/anie.1682982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一种利用金属自由光催化剂以水为电子供体将地球丰富资源转化为燃料的人工光合作用技术具有挑战性。一些活性有机半导体需要苛刻的合成条件和昂贵的试剂。在此，我们报告了一种1,4‐共轭线性聚合物，聚(2,3‐二羟基萘) [poly23DHN]，通过在室温下聚合廉价的23DHN合成，作为在水中与O2进行过氧化氢（H2O2）人工光合作用的非均相催化剂。该聚合物可溶于极性有机溶剂但不溶于水。聚合物的不溶化导致通过氢键和π堆积相互作用自组装成氢醌-醌供体+受体半导体结构。形成的粉末在可见光下催化水氧化和O2还原，波长可达约700 nm。通过将聚合物溶液滴加到基板上容易制备的光催化剂片稳定地产生H2O2。这种通过自发氢键和π堆积创造半导体结构的聚合物设计提供了一种可扩展、易于操作、成本效益高的太阳能燃料生成方法。</w:t>
      </w:r>
    </w:p>
    <w:p>
      <w:pPr>
        <w:spacing w:before="0" w:after="200" w:lineRule="auto" w:line="276"/>
      </w:pPr>
      <w:r>
        <w:rPr>
          <w:b/>
        </w:rPr>
        <w:t xml:space="preserve">Abstract (EN): </w:t>
      </w:r>
      <w:r>
        <w:t>Developing an artificial photosynthesis technology that converts earth‐abundant resources into fuels using metal‐free photocatalysts with water as an electron donor is challenging. A few active organic semiconductors require harsh synthesis conditions and expensive reagents. Here, we report that a 1,4‐conjugated linear polymer, poly(2,3‐dihydroxynaphthalene) [poly23DHN], synthesized by the polymerization of inexpensive 23DHN at room temperature, behaves as a heterogeneous catalyst for artificial photosynthesis of hydrogen peroxide (H</w:t>
      </w:r>
      <w:r>
        <w:rPr>
          <w:vertAlign w:val="subscript"/>
        </w:rPr>
        <w:t>2</w:t>
      </w:r>
      <w:r>
        <w:t>O</w:t>
      </w:r>
      <w:r>
        <w:rPr>
          <w:vertAlign w:val="subscript"/>
        </w:rPr>
        <w:t>2</w:t>
      </w:r>
      <w:r>
        <w:t>) in water with O</w:t>
      </w:r>
      <w:r>
        <w:rPr>
          <w:vertAlign w:val="subscript"/>
        </w:rPr>
        <w:t>2</w:t>
      </w:r>
      <w:r>
        <w:t>. The polymer is soluble in polar organic solvents but insoluble in water. The insolubilization of the polymer leads to self‐assembly of a hydroquinone–quinone donor+acceptor semiconducting architecture via H‐bonding and π‐stacking interactions. The formed powders catalyze water oxidation and O</w:t>
      </w:r>
      <w:r>
        <w:rPr>
          <w:vertAlign w:val="subscript"/>
        </w:rPr>
        <w:t>2</w:t>
      </w:r>
      <w:r>
        <w:t>reduction under visible light up to ∼700 nm. Photocatalyst sheets easily prepared by dropping a polymer‐dissolved solution onto a substrate stably generate H</w:t>
      </w:r>
      <w:r>
        <w:rPr>
          <w:vertAlign w:val="subscript"/>
        </w:rPr>
        <w:t>2</w:t>
      </w:r>
      <w:r>
        <w:t>O</w:t>
      </w:r>
      <w:r>
        <w:rPr>
          <w:vertAlign w:val="subscript"/>
        </w:rPr>
        <w:t>2</w:t>
      </w:r>
      <w:r>
        <w:t>. This polymer design that creates semiconducting structure through spontaneous H‐bonding and π‐stacking offers a scalable, easy‐to‐handle, cost‐effective approach for solar fuel generation.</w:t>
      </w:r>
    </w:p>
    <w:p>
      <w:pPr>
        <w:spacing w:before="120" w:after="120"/>
      </w:pPr>
      <w:r>
        <w:rPr>
          <w:sz w:val="18"/>
        </w:rPr>
        <w:t>——————————————————————————————————————————————————————————————————————</w:t>
      </w:r>
    </w:p>
    <w:p>
      <w:pPr>
        <w:spacing w:before="160" w:after="40" w:line="240" w:lineRule="auto"/>
      </w:pPr>
      <w:r>
        <w:rPr>
          <w:b/>
        </w:rPr>
        <w:t xml:space="preserve">[124] </w:t>
      </w:r>
      <w:hyperlink r:id="rId434">
        <w:r>
          <w:rPr>
            <w:color w:val="1155CC"/>
            <w:u w:val="single"/>
          </w:rPr>
          <w:t>[ASAP] 通过铝催化剂组装自发且高效的肟合成</w:t>
        </w:r>
      </w:hyperlink>
    </w:p>
    <w:p>
      <w:pPr>
        <w:spacing w:before="0" w:after="80"/>
      </w:pPr>
      <w:r>
        <w:rPr>
          <w:i/>
          <w:sz w:val="20"/>
        </w:rPr>
        <w:t>EN: [ASAP] Spontaneous and Efficient Oxime Synthesis by Al-Catalyst Assembly</w:t>
      </w:r>
    </w:p>
    <w:p>
      <w:pPr>
        <w:spacing w:before="0" w:after="120"/>
      </w:pPr>
      <w:r>
        <w:rPr>
          <w:b/>
        </w:rPr>
        <w:t xml:space="preserve">Source: </w:t>
      </w:r>
      <w:r>
        <w:t>Journal of the American Chemical Society: Latest Articles (ACS Publications)</w:t>
      </w:r>
      <w:r>
        <w:t xml:space="preserve">    </w:t>
      </w:r>
      <w:r>
        <w:rPr>
          <w:b/>
        </w:rPr>
        <w:t xml:space="preserve">Pub date: </w:t>
      </w:r>
      <w:r>
        <w:t>2026-05-11 11:24:04+00:00</w:t>
      </w:r>
      <w:r>
        <w:t xml:space="preserve">    </w:t>
      </w:r>
      <w:r>
        <w:rPr>
          <w:b/>
        </w:rPr>
        <w:t xml:space="preserve">DOI: </w:t>
      </w:r>
      <w:hyperlink r:id="rId435">
        <w:r>
          <w:rPr>
            <w:color w:val="1155CC"/>
            <w:u w:val="single"/>
          </w:rPr>
          <w:t>10.1021/jacs.6c03189</w:t>
        </w:r>
      </w:hyperlink>
    </w:p>
    <w:p>
      <w:pPr>
        <w:spacing w:before="0" w:after="120"/>
      </w:pPr>
      <w:r>
        <w:rPr>
          <w:b/>
        </w:rPr>
        <w:t xml:space="preserve">Notes: </w:t>
      </w:r>
      <w:r>
        <w:t>abstract_source=pubmed</w:t>
      </w:r>
    </w:p>
    <w:p>
      <w:pPr>
        <w:spacing w:before="0" w:after="80" w:lineRule="auto" w:line="276"/>
      </w:pPr>
      <w:r>
        <w:rPr>
          <w:b/>
        </w:rPr>
        <w:t xml:space="preserve">摘要（ZH）: </w:t>
      </w:r>
      <w:r>
        <w:t>作为有机含氮化合物的重要类别，肟的合成需要大量能量输入以实现多电子转化。在此，我们首次在常温条件下通过自发反应实现了肟的合成。通过将铝（Al）与NOx-（x = 2, 3）还原催化剂紧密组装，多电子肟合成以优异的产率进行，其中Al提供了强大的驱动力和高电子转移能力，而CuZn合金箔作为高效催化剂表现出非凡的稳定性。利用丰富的NOx-原料，实现了C-N偶联，从而实现了集成等离子体驱动的N2氧化的串联克级空气到肟的合成。利用回收的Al资源，肟合成方法展示了良好的盈利能力和能源效率。广泛的醛和酮底物范围使得生物活性和药物分子的成功肟化成为可能，为利用丰富资源合成增值含氮化合物提供了便利途径。</w:t>
      </w:r>
    </w:p>
    <w:p>
      <w:pPr>
        <w:spacing w:before="0" w:after="200" w:lineRule="auto" w:line="276"/>
      </w:pPr>
      <w:r>
        <w:rPr>
          <w:b/>
        </w:rPr>
        <w:t xml:space="preserve">Abstract (EN): </w:t>
      </w:r>
      <w:r>
        <w:t>As an important category of organic nitrogenous compounds, oxime synthesis requires extensive energy input to fulfill multielectron transformation. Herein, we accomplish oxime synthesis via a spontaneous reaction for the first time under ambient conditions. By intimately assembling aluminum (Al) with a NOx- (x = 2, 3) reduction catalyst, the multielectron oxime synthesis proceeds with excellent yields, in which Al offers a strong driving force and high capacity for electron transfer, and CuZn alloy foil as an efficient catalyst presents extraordinary stability. Using abundant NOx- feedstocks, the C-N coupling is achieved to realize tandem, gram-scale air-to-oxime synthesis integrating plasma-driven N2 oxidation. Taking advantage of recycled Al resources, the oxime synthesis method demonstrates promising profitability and energy efficiency. The broad scope of aldehyde and ketone substrates enables successful oximation of bioactive and drug molecules, offering convenient access to utilize abundant resources for the synthesis of value-added nitrogenous compounds.</w:t>
      </w:r>
    </w:p>
    <w:p>
      <w:pPr>
        <w:spacing w:before="120" w:after="120"/>
      </w:pPr>
      <w:r>
        <w:rPr>
          <w:sz w:val="18"/>
        </w:rPr>
        <w:t>——————————————————————————————————————————————————————————————————————</w:t>
      </w:r>
    </w:p>
    <w:p>
      <w:pPr>
        <w:spacing w:before="160" w:after="40" w:line="240" w:lineRule="auto"/>
      </w:pPr>
      <w:r>
        <w:rPr>
          <w:b/>
        </w:rPr>
        <w:t xml:space="preserve">[125] </w:t>
      </w:r>
      <w:hyperlink r:id="rId436">
        <w:r>
          <w:rPr>
            <w:color w:val="1155CC"/>
            <w:u w:val="single"/>
          </w:rPr>
          <w:t>木质单片催化微反应器：构建策略、结构调控及先进能源与环境应用</w:t>
        </w:r>
      </w:hyperlink>
    </w:p>
    <w:p>
      <w:pPr>
        <w:spacing w:before="0" w:after="80"/>
      </w:pPr>
      <w:r>
        <w:rPr>
          <w:i/>
          <w:sz w:val="20"/>
        </w:rPr>
        <w:t>EN: Wooden‐Monolithic Catalytic Microreactors: Construction Strategy, Structural Regulation, and Advanced Energy and Environmental Applications</w:t>
      </w:r>
    </w:p>
    <w:p>
      <w:pPr>
        <w:spacing w:before="0" w:after="120"/>
      </w:pPr>
      <w:r>
        <w:rPr>
          <w:b/>
        </w:rPr>
        <w:t xml:space="preserve">Source: </w:t>
      </w:r>
      <w:r>
        <w:t>Wiley: Advanced Materials: Table of Contents</w:t>
      </w:r>
      <w:r>
        <w:t xml:space="preserve">    </w:t>
      </w:r>
      <w:r>
        <w:rPr>
          <w:b/>
        </w:rPr>
        <w:t xml:space="preserve">Pub date: </w:t>
      </w:r>
      <w:r>
        <w:t>2026-05-11 11:53:25+00:00</w:t>
      </w:r>
      <w:r>
        <w:t xml:space="preserve">    </w:t>
      </w:r>
      <w:r>
        <w:rPr>
          <w:b/>
        </w:rPr>
        <w:t xml:space="preserve">DOI: </w:t>
      </w:r>
      <w:hyperlink r:id="rId437">
        <w:r>
          <w:rPr>
            <w:color w:val="1155CC"/>
            <w:u w:val="single"/>
          </w:rPr>
          <w:t>10.1002/adma.72844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持续催化和碳中和的日益需求推动了绿色、可扩展和多功能反应平台的发展。本综述建立了将木材作为结构保存的整体微反应器用于催化和基于反应的过程的概念框架。总结了木材结构、物理化学性质（孔隙率、通道尺寸、曲折度、厚度、定制表面化学）与催化性能（质量传输效率、定向电子转移、催化剂固定和限制调制反应路径）之间的关系，以阐明控制反应性和耐久性的结构功能相关性。本综述首次系统分析了木材作为整体、结构保存、反应控制的催化和基于反应的过程支架的例子。在催化转化、太阳能蒸汽生成、环境能量收集（如用于可穿戴电子设备的湿度发电机）和气相反应中的应用展示了这些系统的多功能性。特别是，我们深入分析了木材结构如何在这些先进应用中控制催化性能。此外，我们比较了木质微反应器与其他整体平台（如陶瓷泡沫、金属结构、聚合物支架）的成本、可持续性和其他一些因素。最后，从可持续性的角度提出了合理设计和可扩展实施的当前挑战。</w:t>
      </w:r>
    </w:p>
    <w:p>
      <w:pPr>
        <w:spacing w:before="0" w:after="200" w:lineRule="auto" w:line="276"/>
      </w:pPr>
      <w:r>
        <w:rPr>
          <w:b/>
        </w:rPr>
        <w:t xml:space="preserve">Abstract (EN): </w:t>
      </w:r>
      <w:r>
        <w:t>The increasing demands for sustainable catalysis and carbon neutrality are driving the need for the development of green, scalable, and multifunctional reaction platforms. This review establishes the conceptual framework for wood as a structurally preserved monolithic microreactor for catalysis and reaction‐based processes. The relationships between wood architecture, physicochemical properties (porosity, channel size, tortuosity, thickness, tailored surface chemistry), as well as catalytic performance (mass transport efficiency, directional electron transfer, catalyst immobilization, and confinement‐modulated reaction pathways) are summarized to elucidate the structure‐function correlations governing reactivity and durability. This review represents the first example to systematically analyze wood as a monolithic, structurally preserved, reaction‐governing scaffold for catalysis and reaction‐based processes. Applications in catalytic conversion, solar steam generation, environmental energy harvesting (e.g., moisture‐electric generators for wearable electronics), and gas‐phase reactions demonstrate the versatility of these systems. Especially, we deeply analyze how the wood structure governs the catalytic performance in these advanced applications. Besides, we compare the cost, sustainability, and some other factors of wooden microreactors with other monolithic platforms (e.g., ceramic foams, metallic structures, polymeric scaffolds). Finally, current challenges for rational design and scalable implementation are proposed in perspective of sustainable catalysis and energy conversion.</w:t>
      </w:r>
    </w:p>
    <w:p>
      <w:pPr>
        <w:spacing w:before="120" w:after="120"/>
      </w:pPr>
      <w:r>
        <w:rPr>
          <w:sz w:val="18"/>
        </w:rPr>
        <w:t>——————————————————————————————————————————————————————————————————————</w:t>
      </w:r>
    </w:p>
    <w:p>
      <w:pPr>
        <w:spacing w:before="160" w:after="40" w:line="240" w:lineRule="auto"/>
      </w:pPr>
      <w:r>
        <w:rPr>
          <w:b/>
        </w:rPr>
        <w:t xml:space="preserve">[126] </w:t>
      </w:r>
      <w:hyperlink r:id="rId438">
        <w:r>
          <w:rPr>
            <w:color w:val="1155CC"/>
            <w:u w:val="single"/>
          </w:rPr>
          <w:t>羟基取代的三烷基氧鎓离子及其氧鎓烷氧基双离子</w:t>
        </w:r>
      </w:hyperlink>
    </w:p>
    <w:p>
      <w:pPr>
        <w:spacing w:before="0" w:after="80"/>
      </w:pPr>
      <w:r>
        <w:rPr>
          <w:i/>
          <w:sz w:val="20"/>
        </w:rPr>
        <w:t>EN: A Hydroxy‐Substituted Trialkyloxonium Ion and Its Oxonium Alkoxide Zwitterion</w:t>
      </w:r>
    </w:p>
    <w:p>
      <w:pPr>
        <w:spacing w:before="0" w:after="120"/>
      </w:pPr>
      <w:r>
        <w:rPr>
          <w:b/>
        </w:rPr>
        <w:t xml:space="preserve">Source: </w:t>
      </w:r>
      <w:r>
        <w:t>Wiley: Angewandte Chemie International Edition: Table of Contents</w:t>
      </w:r>
      <w:r>
        <w:t xml:space="preserve">    </w:t>
      </w:r>
      <w:r>
        <w:rPr>
          <w:b/>
        </w:rPr>
        <w:t xml:space="preserve">Pub date: </w:t>
      </w:r>
      <w:r>
        <w:t>2026-05-11 12:32:22+00:00</w:t>
      </w:r>
      <w:r>
        <w:t xml:space="preserve">    </w:t>
      </w:r>
      <w:r>
        <w:rPr>
          <w:b/>
        </w:rPr>
        <w:t xml:space="preserve">DOI: </w:t>
      </w:r>
      <w:hyperlink r:id="rId439">
        <w:r>
          <w:rPr>
            <w:color w:val="1155CC"/>
            <w:u w:val="single"/>
          </w:rPr>
          <w:t>10.1002/anie.2727232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三烷基氧鎓盐是已知最强的亲电试剂之一。它们会立即被醇类和卤化物离子等亲核试剂淬灭，因此在非反应性溶剂中使用，并具有非亲核性对离子。任何将亲核性羟基取代基引入三烷基氧鎓物种的提议都将是不明智的，将R3O+阳离子与烷氧基阴离子配对充其量只是一个抽象概念。在此，我们描述了如何在异三环烯烃环系统的稳健环境中实现这些组合。通过1,4,7-环壬三烯的三环氧化物与水酸反应，可以简单地获得稳定的C3对称氧三环烯三醇。这个半球形阳离子的三个OH基团指向碗的内空间，并参与强的分子内氢键。通过建模预测这些羟基功能与胺基碱之间的质子交换动态的紧密平衡。在实践中，用非亲核性碱2-叔丁基-1,1,3,3-四甲基胍（巴顿碱）处理氧三环烯三醇会导致形成一个两性离子氧鎓烷氧基。</w:t>
      </w:r>
    </w:p>
    <w:p>
      <w:pPr>
        <w:spacing w:before="0" w:after="200" w:lineRule="auto" w:line="276"/>
      </w:pPr>
      <w:r>
        <w:rPr>
          <w:b/>
        </w:rPr>
        <w:t xml:space="preserve">Abstract (EN): </w:t>
      </w:r>
      <w:r>
        <w:t>Trialkyl oxonium salts are among the most powerful electrophiles known. They are immediately quenched by nucleophiles like alcohols and halide ions, and are therefore used in unreactive solvents and have non‐nucleophilic counterions. Any proposal to incorporate a nucleophilic hydroxy substituent into a trialkyl oxonium species would thus be ill‐considered, and pairing an R</w:t>
      </w:r>
      <w:r>
        <w:rPr>
          <w:vertAlign w:val="subscript"/>
        </w:rPr>
        <w:t>3</w:t>
      </w:r>
      <w:r>
        <w:t>O</w:t>
      </w:r>
      <w:r>
        <w:t xml:space="preserve"> </w:t>
      </w:r>
      <w:r>
        <w:t>+</w:t>
      </w:r>
      <w:r>
        <w:t xml:space="preserve"> </w:t>
      </w:r>
      <w:r>
        <w:t>cation with an alkoxide counterion would be an abstract notion, at best. Here, we describe how these combinations are made possible within the context of the robust environment of the heterotriquinane ring system. A stable, C</w:t>
      </w:r>
      <w:r>
        <w:rPr>
          <w:vertAlign w:val="subscript"/>
        </w:rPr>
        <w:t>3</w:t>
      </w:r>
      <w:r>
        <w:t>symmetric oxatriquinanetriol can be simply accessed by reaction of the tris‐epoxide of 1,4,7‐cyclononatriene with aqueous acid. The three OH groups of this hemispherical cation point into the endo space of the bowl and participate in strong intramolecular hydrogen bonding. A close balance in the dynamics of proton exchange between these hydroxy functions and amine bases is predicted by modeling. In practice, treatment of oxatriquinanetriol with the non‐nucleophilic base 2‐tert‐butyl‐1,1,3,3‐tetramethylguanidine (Barton's base) leads to a zwitterionic oxonium alkoxide.</w:t>
      </w:r>
    </w:p>
    <w:p>
      <w:pPr>
        <w:spacing w:before="120" w:after="120"/>
      </w:pPr>
      <w:r>
        <w:rPr>
          <w:sz w:val="18"/>
        </w:rPr>
        <w:t>——————————————————————————————————————————————————————————————————————</w:t>
      </w:r>
    </w:p>
    <w:p>
      <w:pPr>
        <w:spacing w:before="160" w:after="40" w:line="240" w:lineRule="auto"/>
      </w:pPr>
      <w:r>
        <w:rPr>
          <w:b/>
        </w:rPr>
        <w:t xml:space="preserve">[127] </w:t>
      </w:r>
      <w:hyperlink r:id="rId440">
        <w:r>
          <w:rPr>
            <w:color w:val="1155CC"/>
            <w:u w:val="single"/>
          </w:rPr>
          <w:t>尖晶石中位点特异性Ir单原子诱导5d自旋极化以增强氧析出</w:t>
        </w:r>
      </w:hyperlink>
    </w:p>
    <w:p>
      <w:pPr>
        <w:spacing w:before="0" w:after="80"/>
      </w:pPr>
      <w:r>
        <w:rPr>
          <w:i/>
          <w:sz w:val="20"/>
        </w:rPr>
        <w:t>EN: Site‐Specific Ir Single Atoms in Spinel Induce 5d Spin Polarization for Enhanced Oxygen Evolution</w:t>
      </w:r>
    </w:p>
    <w:p>
      <w:pPr>
        <w:spacing w:before="0" w:after="120"/>
      </w:pPr>
      <w:r>
        <w:rPr>
          <w:b/>
        </w:rPr>
        <w:t xml:space="preserve">Source: </w:t>
      </w:r>
      <w:r>
        <w:t>Wiley: Angewandte Chemie International Edition: Table of Contents</w:t>
      </w:r>
      <w:r>
        <w:t xml:space="preserve">    </w:t>
      </w:r>
      <w:r>
        <w:rPr>
          <w:b/>
        </w:rPr>
        <w:t xml:space="preserve">Pub date: </w:t>
      </w:r>
      <w:r>
        <w:t>2026-05-11 12:41:25+00:00</w:t>
      </w:r>
      <w:r>
        <w:t xml:space="preserve">    </w:t>
      </w:r>
      <w:r>
        <w:rPr>
          <w:b/>
        </w:rPr>
        <w:t xml:space="preserve">DOI: </w:t>
      </w:r>
      <w:hyperlink r:id="rId441">
        <w:r>
          <w:rPr>
            <w:color w:val="1155CC"/>
            <w:u w:val="single"/>
          </w:rPr>
          <w:t>10.1002/anie.2500154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中心配位环境的精确控制对于揭示局部对称性如何支配电子结构和催化行为至关重要。在此，我们开发了一种锂辅助的空位工程策略，将Ir单原子选择性嵌入尖晶石ZnCo2O4的四面体和八面体位点，生成具有精确控制配位环境的单原子催化剂。理论计算和实验表明，八面体掺入诱导了Ir的5d电子重构和自旋极化，这是由Ir 5d态与周围Co-O框架之间的杂化增强驱动的。这种配位控制的电子状态重塑了氧中间体的结合能，从而增强了内在反应性。因此，八面体位点的Ir表现出卓越的氧析出反应（OER）质量活性，在300 mV时达到5520 A/g Ir，比IrO2高出920倍，并在阴离子交换膜电解槽中保持稳定超过200小时。这些发现强调了晶体学位点选择在调节5d单原子电子结构中的关键作用，并提供了对配位控制的OER反应性的机制洞察。</w:t>
      </w:r>
    </w:p>
    <w:p>
      <w:pPr>
        <w:spacing w:before="0" w:after="200" w:lineRule="auto" w:line="276"/>
      </w:pPr>
      <w:r>
        <w:rPr>
          <w:b/>
        </w:rPr>
        <w:t xml:space="preserve">Abstract (EN): </w:t>
      </w:r>
      <w:r>
        <w:t>Precise control of the coordination environment of single‐atom centers is essential to reveal how local symmetry governs electronic structure and catalytic behavior. Here, we develop a Li‐assisted vacancy‐engineering strategy to selectively embed Ir single atoms into tetrahedral and octahedral sites of spinel ZnCo</w:t>
      </w:r>
      <w:r>
        <w:rPr>
          <w:vertAlign w:val="subscript"/>
        </w:rPr>
        <w:t>2</w:t>
      </w:r>
      <w:r>
        <w:t>O</w:t>
      </w:r>
      <w:r>
        <w:rPr>
          <w:vertAlign w:val="subscript"/>
        </w:rPr>
        <w:t>4</w:t>
      </w:r>
      <w:r>
        <w:t>, producing well‐defined single‐atom catalysts with precisely controlled coordination environments. Theoretical calculations and experiments reveal that octahedral incorporation induces 5</w:t>
      </w:r>
      <w:r>
        <w:t xml:space="preserve"> </w:t>
      </w:r>
      <w:r>
        <w:t>d</w:t>
      </w:r>
      <w:r>
        <w:t xml:space="preserve"> </w:t>
      </w:r>
      <w:r>
        <w:t>electronic reconfiguration and spin polarization in Ir, driven by strengthened hybridization between Ir 5</w:t>
      </w:r>
      <w:r>
        <w:t xml:space="preserve"> </w:t>
      </w:r>
      <w:r>
        <w:t>d</w:t>
      </w:r>
      <w:r>
        <w:t xml:space="preserve"> </w:t>
      </w:r>
      <w:r>
        <w:t>states and the surrounding Co‐O framework. This coordination‐controlled electronic state reshapes oxygen‐intermediate binding energetics, thereby enhancing intrinsic reactivity. Consequently, octahedral‐site Ir exhibits an exceptional oxygen evolution reaction (OER) mass activity of 5520  A/g</w:t>
      </w:r>
      <w:r>
        <w:t xml:space="preserve"> </w:t>
      </w:r>
      <w:r>
        <w:t>Ir</w:t>
      </w:r>
      <w:r>
        <w:t xml:space="preserve"> </w:t>
      </w:r>
      <w:r>
        <w:t>at 300 mV, which is 920 times higher than that of IrO</w:t>
      </w:r>
      <w:r>
        <w:rPr>
          <w:vertAlign w:val="subscript"/>
        </w:rPr>
        <w:t>2</w:t>
      </w:r>
      <w:r>
        <w:t>, and maintains stability for over 200 h in an anion‐exchange membrane electrolyzer. These findings highlight the key role of crystallographic site selection in tuning 5</w:t>
      </w:r>
      <w:r>
        <w:t xml:space="preserve"> </w:t>
      </w:r>
      <w:r>
        <w:t>d</w:t>
      </w:r>
      <w:r>
        <w:t xml:space="preserve"> </w:t>
      </w:r>
      <w:r>
        <w:t>single‐atom electronic structure and offer mechanistic insight into coordination‐controlled OER reactivity.</w:t>
      </w:r>
    </w:p>
    <w:p>
      <w:pPr>
        <w:spacing w:before="120" w:after="120"/>
      </w:pPr>
      <w:r>
        <w:rPr>
          <w:sz w:val="18"/>
        </w:rPr>
        <w:t>——————————————————————————————————————————————————————————————————————</w:t>
      </w:r>
    </w:p>
    <w:p>
      <w:pPr>
        <w:spacing w:before="160" w:after="40" w:line="240" w:lineRule="auto"/>
      </w:pPr>
      <w:r>
        <w:rPr>
          <w:b/>
        </w:rPr>
        <w:t xml:space="preserve">[128] </w:t>
      </w:r>
      <w:hyperlink r:id="rId442">
        <w:r>
          <w:rPr>
            <w:color w:val="1155CC"/>
            <w:u w:val="single"/>
          </w:rPr>
          <w:t>普鲁士蓝类似物中的自旋主导重构动力学实现高效海水分解</w:t>
        </w:r>
      </w:hyperlink>
    </w:p>
    <w:p>
      <w:pPr>
        <w:spacing w:before="0" w:after="80"/>
      </w:pPr>
      <w:r>
        <w:rPr>
          <w:i/>
          <w:sz w:val="20"/>
        </w:rPr>
        <w:t>EN: Spin‐Dominated Reconstruction Kinetics in Prussian Blue Analog Enables Efficient Seawater Splitting</w:t>
      </w:r>
    </w:p>
    <w:p>
      <w:pPr>
        <w:spacing w:before="0" w:after="120"/>
      </w:pPr>
      <w:r>
        <w:rPr>
          <w:b/>
        </w:rPr>
        <w:t xml:space="preserve">Source: </w:t>
      </w:r>
      <w:r>
        <w:t>Wiley: Angewandte Chemie International Edition: Table of Contents</w:t>
      </w:r>
      <w:r>
        <w:t xml:space="preserve">    </w:t>
      </w:r>
      <w:r>
        <w:rPr>
          <w:b/>
        </w:rPr>
        <w:t xml:space="preserve">Pub date: </w:t>
      </w:r>
      <w:r>
        <w:t>2026-05-11 12:43:38+00:00</w:t>
      </w:r>
      <w:r>
        <w:t xml:space="preserve">    </w:t>
      </w:r>
      <w:r>
        <w:rPr>
          <w:b/>
        </w:rPr>
        <w:t xml:space="preserve">DOI: </w:t>
      </w:r>
      <w:hyperlink r:id="rId443">
        <w:r>
          <w:rPr>
            <w:color w:val="1155CC"/>
            <w:u w:val="single"/>
          </w:rPr>
          <w:t>10.1002/anie.6457530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中心的自旋态被认为是主导普鲁士蓝类似物（PBAs）电化学重构动力学的关键描述符。我们证明，在MnFeOx/PBA预催化剂中构建界面电场会触发Fe中心的部分高自旋构型，引入部分t2g占据，从而显著增强金属到配体的π反向供电子。这种电子扰动使氰化物配体场不稳定，使整个配位框架在OER条件下易于快速电化学驱动转变为活性（氧）氢氧化物相。重构催化剂（R-MnFeOx/PBA）表现出显著加速的重构动力学，并在模拟海水中达到10 mA cm‒2时提供超低过电位201 mV。关键是，R-MnFeOx/PBA使碱性膜电极组件（MEAs）能够提供高达97.6%的法拉第效率，并在1000 mA cm‒2下稳定运行1150小时。这项工作确立了自旋态工程作为一种独特的预催化剂设计策略，将电子结构操控与重构增强的电催化相结合。</w:t>
      </w:r>
    </w:p>
    <w:p>
      <w:pPr>
        <w:spacing w:before="0" w:after="200" w:lineRule="auto" w:line="276"/>
      </w:pPr>
      <w:r>
        <w:rPr>
          <w:b/>
        </w:rPr>
        <w:t xml:space="preserve">Abstract (EN): </w:t>
      </w:r>
      <w:r>
        <w:t>The spin state of metal centers is identified as a pivotal descriptor dominating the electrochemical reconstruction kinetics of Prussian blue analogs (PBAs). We demonstrate that constructing an interfacial electric field in MnFeO</w:t>
      </w:r>
      <w:r>
        <w:t xml:space="preserve"> </w:t>
      </w:r>
      <w:r>
        <w:t>x</w:t>
      </w:r>
      <w:r>
        <w:t xml:space="preserve"> </w:t>
      </w:r>
      <w:r>
        <w:t>/PBA pre‐catalyst triggers a partial high spin configuration of Fe centers, introducing partial t</w:t>
      </w:r>
      <w:r>
        <w:t xml:space="preserve"> </w:t>
      </w:r>
      <w:r>
        <w:t>2g</w:t>
      </w:r>
      <w:r>
        <w:t xml:space="preserve"> </w:t>
      </w:r>
      <w:r>
        <w:t>occupancy and thereby substantially enhancing metal to ligand π backdonation. This electronic perturbation destabilizes the cyanide ligand field, rendering the entire coordination framework susceptible to rapid electrochemically driven transformation into active (oxy)hydroxide phases under OER conditions. The reconstructed catalyst (R‐MnFeO</w:t>
      </w:r>
      <w:r>
        <w:t xml:space="preserve"> </w:t>
      </w:r>
      <w:r>
        <w:t>x</w:t>
      </w:r>
      <w:r>
        <w:t xml:space="preserve"> </w:t>
      </w:r>
      <w:r>
        <w:t>/PBA) exhibits markedly accelerated reconstruction kinetics and delivers ultralow overpotential of 201 mV to reach 10 mA cm</w:t>
      </w:r>
      <w:r>
        <w:t xml:space="preserve"> </w:t>
      </w:r>
      <w:r>
        <w:t>‒2</w:t>
      </w:r>
      <w:r>
        <w:t xml:space="preserve"> </w:t>
      </w:r>
      <w:r>
        <w:t>in simulated seawater. Crucially, R‐MnFeO</w:t>
      </w:r>
      <w:r>
        <w:t xml:space="preserve"> </w:t>
      </w:r>
      <w:r>
        <w:t>x</w:t>
      </w:r>
      <w:r>
        <w:t xml:space="preserve"> </w:t>
      </w:r>
      <w:r>
        <w:t>/PBA enabled alkaline membrane electrode assemblies (MEAs) affords Faraday efficiencies of up to 97.6% and can operate stably for 1150 h at 1000 mA cm</w:t>
      </w:r>
      <w:r>
        <w:t xml:space="preserve"> </w:t>
      </w:r>
      <w:r>
        <w:t>‒2</w:t>
      </w:r>
      <w:r>
        <w:t xml:space="preserve"> </w:t>
      </w:r>
      <w:r>
        <w:t>. This work establishes spin‐state engineering as a unique pre‐catalyst design strategy that bridges electronic structure manipulation with reconstruction‐enhanced electrocatalysis.</w:t>
      </w:r>
    </w:p>
    <w:p>
      <w:pPr>
        <w:spacing w:before="120" w:after="120"/>
      </w:pPr>
      <w:r>
        <w:rPr>
          <w:sz w:val="18"/>
        </w:rPr>
        <w:t>——————————————————————————————————————————————————————————————————————</w:t>
      </w:r>
    </w:p>
    <w:p>
      <w:pPr>
        <w:spacing w:before="160" w:after="40" w:line="240" w:lineRule="auto"/>
      </w:pPr>
      <w:r>
        <w:rPr>
          <w:b/>
        </w:rPr>
        <w:t xml:space="preserve">[129] </w:t>
      </w:r>
      <w:hyperlink r:id="rId444">
        <w:r>
          <w:rPr>
            <w:color w:val="1155CC"/>
            <w:u w:val="single"/>
          </w:rPr>
          <w:t>一种激动剂/拮抗剂光开关维生素D模拟物实现VDR的双向光学控制</w:t>
        </w:r>
      </w:hyperlink>
    </w:p>
    <w:p>
      <w:pPr>
        <w:spacing w:before="0" w:after="80"/>
      </w:pPr>
      <w:r>
        <w:rPr>
          <w:i/>
          <w:sz w:val="20"/>
        </w:rPr>
        <w:t>EN: An Agonist/Antagonist Photo‐Switchable Vitamin D Mimetic Enables Bidirectional Optical Control of VDR</w:t>
      </w:r>
    </w:p>
    <w:p>
      <w:pPr>
        <w:spacing w:before="0" w:after="120"/>
      </w:pPr>
      <w:r>
        <w:rPr>
          <w:b/>
        </w:rPr>
        <w:t xml:space="preserve">Source: </w:t>
      </w:r>
      <w:r>
        <w:t>Wiley: Angewandte Chemie International Edition: Table of Contents</w:t>
      </w:r>
      <w:r>
        <w:t xml:space="preserve">    </w:t>
      </w:r>
      <w:r>
        <w:rPr>
          <w:b/>
        </w:rPr>
        <w:t xml:space="preserve">Pub date: </w:t>
      </w:r>
      <w:r>
        <w:t>2026-05-11 12:45:33+00:00</w:t>
      </w:r>
      <w:r>
        <w:t xml:space="preserve">    </w:t>
      </w:r>
      <w:r>
        <w:rPr>
          <w:b/>
        </w:rPr>
        <w:t xml:space="preserve">DOI: </w:t>
      </w:r>
      <w:hyperlink r:id="rId445">
        <w:r>
          <w:rPr>
            <w:color w:val="1155CC"/>
            <w:u w:val="single"/>
          </w:rPr>
          <w:t>10.1002/anie.9726457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维生素D（vitD）是一种必需的固醇类维生素，通过维生素D受体（VDR）维持骨代谢、钙稳态和免疫功能。VDR激活在多种组织中具有复杂且细胞特异性的效应，因此对VDR活性的空间控制是理想的。在此，我们开发了含有光开关偶氮苯基团的vitD模拟物，以实现VDR激活的时空分辨率。通过结构引导的区域化学和氢键基序调节，提供了一种强效且选择性的vitD模拟物，可以在细胞内通过光在激动剂和拮抗剂状态之间可逆切换。在成骨模型中，这种独特的双向精密工具介导了光依赖的成骨和溶骨效应。</w:t>
      </w:r>
    </w:p>
    <w:p>
      <w:pPr>
        <w:spacing w:before="0" w:after="200" w:lineRule="auto" w:line="276"/>
      </w:pPr>
      <w:r>
        <w:rPr>
          <w:b/>
        </w:rPr>
        <w:t xml:space="preserve">Abstract (EN): </w:t>
      </w:r>
      <w:r>
        <w:t>The secosteroid vitamin D (vitD) is essential for human health, maintaining bone metabolism, calcium homeostasis, and immune function via the vitamin D receptor (VDR). VDR activation has complex and cell‐specific effects in multiple tissues and spatial control of VDR activity is desirable. Here, we developed vitD mimetics bearing a photo‐switchable azobenzene motif to achieve spatiotemporal resolution in VDR activation. Structure‐guided tuning of regiochemistry and H‐bonding motifs provided a potent and selective vitD mimetic that can be reversibly switched in cellulo between agonist and antagonist states with light. In a model of osteogenesis, this unique bidirectional precision tool mediated light‐dependent osteogenic and osteolytic effects.</w:t>
      </w:r>
    </w:p>
    <w:p>
      <w:pPr>
        <w:spacing w:before="120" w:after="120"/>
      </w:pPr>
      <w:r>
        <w:rPr>
          <w:sz w:val="18"/>
        </w:rPr>
        <w:t>——————————————————————————————————————————————————————————————————————</w:t>
      </w:r>
    </w:p>
    <w:p>
      <w:pPr>
        <w:spacing w:before="160" w:after="40" w:line="240" w:lineRule="auto"/>
      </w:pPr>
      <w:r>
        <w:rPr>
          <w:b/>
        </w:rPr>
        <w:t xml:space="preserve">[130] </w:t>
      </w:r>
      <w:hyperlink r:id="rId446">
        <w:r>
          <w:rPr>
            <w:color w:val="1155CC"/>
            <w:u w:val="single"/>
          </w:rPr>
          <w:t>将化学和药学融入可持续性</w:t>
        </w:r>
      </w:hyperlink>
    </w:p>
    <w:p>
      <w:pPr>
        <w:spacing w:before="0" w:after="80"/>
      </w:pPr>
      <w:r>
        <w:rPr>
          <w:i/>
          <w:sz w:val="20"/>
        </w:rPr>
        <w:t>EN: Embedding Chemistry and Pharmacy Into Sustainability</w:t>
      </w:r>
    </w:p>
    <w:p>
      <w:pPr>
        <w:spacing w:before="0" w:after="120"/>
      </w:pPr>
      <w:r>
        <w:rPr>
          <w:b/>
        </w:rPr>
        <w:t xml:space="preserve">Source: </w:t>
      </w:r>
      <w:r>
        <w:t>Wiley: Angewandte Chemie International Edition: Table of Contents</w:t>
      </w:r>
      <w:r>
        <w:t xml:space="preserve">    </w:t>
      </w:r>
      <w:r>
        <w:rPr>
          <w:b/>
        </w:rPr>
        <w:t xml:space="preserve">Pub date: </w:t>
      </w:r>
      <w:r>
        <w:t>2026-05-11 12:47:32+00:00</w:t>
      </w:r>
      <w:r>
        <w:t xml:space="preserve">    </w:t>
      </w:r>
      <w:r>
        <w:rPr>
          <w:b/>
        </w:rPr>
        <w:t xml:space="preserve">DOI: </w:t>
      </w:r>
      <w:hyperlink r:id="rId447">
        <w:r>
          <w:rPr>
            <w:color w:val="1155CC"/>
            <w:u w:val="single"/>
          </w:rPr>
          <w:t>10.1002/anie.3329101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和药学提供的产品和工艺对我们的高生活标准至关重要。在物质转化方面，化学是核心科学，药学也是如此。在可持续发展的背景下，化学和药学都面临着类似的挑战。它们已经开始关注环境友好性、循环经济和可持续性。然而，“绿色”一词常常被用作“可持续”的同义词，甚至结合为“绿色和可持续”，尽管可持续性不能被视为“绿色”的同义词。可持续化学和药学认识到绿色和循环化学和药学是重要的工具。然而，它们远不止于此。本文提供了绿色、循环和可持续化学和药学的综合概述，以澄清它们各自的应用领域以及“绿色”、“循环”和“可持续”之间的相互作用，以便化学和药学都能以可持续的方式履行其提供可持续贡献的承诺。本文说明，仅仅将可持续性与化学或药学并列——“为了”或“和”可持续性——是不够的，而是化学和药学必须完全融入可持续性。</w:t>
      </w:r>
    </w:p>
    <w:p>
      <w:pPr>
        <w:spacing w:before="0" w:after="200" w:lineRule="auto" w:line="276"/>
      </w:pPr>
      <w:r>
        <w:rPr>
          <w:b/>
        </w:rPr>
        <w:t xml:space="preserve">Abstract (EN): </w:t>
      </w:r>
      <w:r>
        <w:t>Chemistry and pharmacy provide products and processes that are essential to our high standard of living. Chemistry is the central science when it comes to the transformation of substances, in pharmacy too. Against the backdrop of sustainability, both chemistry and pharmacy face similar challenges. They have taken up aspects of environmental friendliness, circular economy, and sustainability. However, the term “green” is often used synonymously with “sustainable” or even combined as “green and sustainable,” even though sustainability can not be considered synonymous with “green.” Sustainable chemistry and pharmacy recognize that green and circular chemistry and pharmacy are important tools. They, however, go far beyond. This article provides an integrated overview of green, circular, and sustainable chemistry and pharmacy to clarify their respective areas of application and the respective interplay between “green” and “circular” and “sustainable” so that both, chemistry and pharmacy can fulfill their promise of delivering sustainable contributions to sustainability in a sustainable manner. This article illustrates that it is not sufficient simply to place sustainability alongside chemistry or pharmacy—“for” or “and” sustainability—but that chemistry and pharmacy must be fully embedded into sustainability.</w:t>
      </w:r>
    </w:p>
    <w:p>
      <w:pPr>
        <w:spacing w:before="120" w:after="120"/>
      </w:pPr>
      <w:r>
        <w:rPr>
          <w:sz w:val="18"/>
        </w:rPr>
        <w:t>——————————————————————————————————————————————————————————————————————</w:t>
      </w:r>
    </w:p>
    <w:p>
      <w:pPr>
        <w:spacing w:before="160" w:after="40" w:line="240" w:lineRule="auto"/>
      </w:pPr>
      <w:r>
        <w:rPr>
          <w:b/>
        </w:rPr>
        <w:t xml:space="preserve">[131] </w:t>
      </w:r>
      <w:hyperlink r:id="rId448">
        <w:r>
          <w:rPr>
            <w:color w:val="1155CC"/>
            <w:u w:val="single"/>
          </w:rPr>
          <w:t>通过适应性弱C─H键氰基苯乙烯水通道选择性硝酸盐跨膜运输</w:t>
        </w:r>
      </w:hyperlink>
    </w:p>
    <w:p>
      <w:pPr>
        <w:spacing w:before="0" w:after="80"/>
      </w:pPr>
      <w:r>
        <w:rPr>
          <w:i/>
          <w:sz w:val="20"/>
        </w:rPr>
        <w:t>EN: Selective Nitrate Transmembrane Transport Through Adaptive Weak C─H Bonding Cyanostilbene Water Channels</w:t>
      </w:r>
    </w:p>
    <w:p>
      <w:pPr>
        <w:spacing w:before="0" w:after="120"/>
      </w:pPr>
      <w:r>
        <w:rPr>
          <w:b/>
        </w:rPr>
        <w:t xml:space="preserve">Source: </w:t>
      </w:r>
      <w:r>
        <w:t>Wiley: Angewandte Chemie International Edition: Table of Contents</w:t>
      </w:r>
      <w:r>
        <w:t xml:space="preserve">    </w:t>
      </w:r>
      <w:r>
        <w:rPr>
          <w:b/>
        </w:rPr>
        <w:t xml:space="preserve">Pub date: </w:t>
      </w:r>
      <w:r>
        <w:t>2026-05-11 15:10:44+00:00</w:t>
      </w:r>
      <w:r>
        <w:t xml:space="preserve">    </w:t>
      </w:r>
      <w:r>
        <w:rPr>
          <w:b/>
        </w:rPr>
        <w:t xml:space="preserve">DOI: </w:t>
      </w:r>
      <w:hyperlink r:id="rId449">
        <w:r>
          <w:rPr>
            <w:color w:val="1155CC"/>
            <w:u w:val="single"/>
          </w:rPr>
          <w:t>10.1002/anie.4918548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跨膜水运输在很大程度上取决于动态、转移的水簇如何在氢键（HB）通道内稳定。瞬态通道的结构有序和短暂无序在离子和水的转移中起着重要作用。强HB可能导致紧密的水结合和降低的流动性。我们假设较弱的HB结合位点减少水摩擦，从而增强水渗透，同时由于膜内未满足的脱水要求抑制离子运输。在此，我们展示了弱HB CH供体氰基苯乙烯通过适应性、较无序的水通道促进水运输，水转移效率部分取决于CH供体位点的强度。精细调整CH供体强度和结合几何形状可以调节阴离子运输选择性，从中等的NO</w:t>
      </w:r>
      <w:r>
        <w:rPr>
          <w:vertAlign w:val="subscript"/>
        </w:rPr>
        <w:t>3</w:t>
      </w:r>
      <w:r>
        <w:t>−</w:t>
      </w:r>
      <w:r>
        <w:t>对Cl</w:t>
      </w:r>
      <w:r>
        <w:t xml:space="preserve"> </w:t>
      </w:r>
      <w:r>
        <w:t>−</w:t>
      </w:r>
      <w:r>
        <w:t>选择性到高度NO</w:t>
      </w:r>
      <w:r>
        <w:rPr>
          <w:vertAlign w:val="subscript"/>
        </w:rPr>
        <w:t>3</w:t>
      </w:r>
      <w:r>
        <w:t>−</w:t>
      </w:r>
      <w:r>
        <w:t>选择性运输，最终到专一的水运输。例如，我们实现了NO</w:t>
      </w:r>
      <w:r>
        <w:rPr>
          <w:vertAlign w:val="subscript"/>
        </w:rPr>
        <w:t>3</w:t>
      </w:r>
      <w:r>
        <w:t>−</w:t>
      </w:r>
      <w:r>
        <w:t>对Cl</w:t>
      </w:r>
      <w:r>
        <w:t xml:space="preserve"> </w:t>
      </w:r>
      <w:r>
        <w:t>−</w:t>
      </w:r>
      <w:r>
        <w:t>超过200倍的选择性和NO</w:t>
      </w:r>
      <w:r>
        <w:rPr>
          <w:vertAlign w:val="subscript"/>
        </w:rPr>
        <w:t>3</w:t>
      </w:r>
      <w:r>
        <w:t>−</w:t>
      </w:r>
      <w:r>
        <w:t>对Br</w:t>
      </w:r>
      <w:r>
        <w:t xml:space="preserve"> </w:t>
      </w:r>
      <w:r>
        <w:t>−</w:t>
      </w:r>
      <w:r>
        <w:t>约100倍的选择性，而某些系统显示没有可检测的Cl</w:t>
      </w:r>
    </w:p>
    <w:p>
      <w:pPr>
        <w:spacing w:before="0" w:after="200" w:lineRule="auto" w:line="276"/>
      </w:pPr>
      <w:r>
        <w:rPr>
          <w:b/>
        </w:rPr>
        <w:t xml:space="preserve">Abstract (EN): </w:t>
      </w:r>
      <w:r>
        <w:t>Transmembrane water transport strongly depends on how dynamic, translocating water clusters are stabilized within hydrogen‐bonding (HB) channels. Both structural order and short‐lived disorder of transient channels play important roles in ion and water translocation. Strong HB can result in tight water binding and reduced mobility. We hypothesize that weaker HB binding sites reduce water friction, thereby enhancing water permeation while suppressing ion transport due to their unmet dehydration requirements within membrane. Herein, we show that weak HB CH donor cyanostilbenes promote water transport through adaptive, less‐ordered water channels within the lipid bilayer, with water translocation efficiency depending in part, on the strength of the CH donor sites. Fine‐tuning both CH donor strength and binding geometry enables modulation of anion transport selectivity, ranging from moderate NO</w:t>
      </w:r>
      <w:r>
        <w:rPr>
          <w:vertAlign w:val="subscript"/>
        </w:rPr>
        <w:t>3</w:t>
      </w:r>
      <w:r>
        <w:t>−</w:t>
      </w:r>
      <w:r>
        <w:t>over Cl</w:t>
      </w:r>
      <w:r>
        <w:t xml:space="preserve"> </w:t>
      </w:r>
      <w:r>
        <w:t>−</w:t>
      </w:r>
      <w:r>
        <w:t>selectivity to highly NO</w:t>
      </w:r>
      <w:r>
        <w:rPr>
          <w:vertAlign w:val="subscript"/>
        </w:rPr>
        <w:t>3</w:t>
      </w:r>
      <w:r>
        <w:t>−</w:t>
      </w:r>
      <w:r>
        <w:t>‐selective transport and ultimately to exclusive water transport. For instance, we achieved over 200‐fold selectivity for NO</w:t>
      </w:r>
      <w:r>
        <w:rPr>
          <w:vertAlign w:val="subscript"/>
        </w:rPr>
        <w:t>3</w:t>
      </w:r>
      <w:r>
        <w:t>−</w:t>
      </w:r>
      <w:r>
        <w:t>over Cl</w:t>
      </w:r>
      <w:r>
        <w:t xml:space="preserve"> </w:t>
      </w:r>
      <w:r>
        <w:t>−</w:t>
      </w:r>
      <w:r>
        <w:t>and ∼100‐fold selectivity for NO</w:t>
      </w:r>
      <w:r>
        <w:rPr>
          <w:vertAlign w:val="subscript"/>
        </w:rPr>
        <w:t>3</w:t>
      </w:r>
      <w:r>
        <w:t>−</w:t>
      </w:r>
      <w:r>
        <w:t>over Br</w:t>
      </w:r>
      <w:r>
        <w:t xml:space="preserve"> </w:t>
      </w:r>
      <w:r>
        <w:t>−</w:t>
      </w:r>
      <w:r>
        <w:t>, while some systems showed no detectable Cl</w:t>
      </w:r>
      <w:r>
        <w:t xml:space="preserve"> </w:t>
      </w:r>
      <w:r>
        <w:t>−</w:t>
      </w:r>
      <w:r>
        <w:t>or Br</w:t>
      </w:r>
      <w:r>
        <w:t xml:space="preserve"> </w:t>
      </w:r>
      <w:r>
        <w:t>−</w:t>
      </w:r>
      <w:r>
        <w:t>transport yet retaining strong NO</w:t>
      </w:r>
      <w:r>
        <w:rPr>
          <w:vertAlign w:val="subscript"/>
        </w:rPr>
        <w:t>3</w:t>
      </w:r>
      <w:r>
        <w:t>−</w:t>
      </w:r>
      <w:r>
        <w:t>transport activity. This work represents a step toward adaptive transmembrane water channels and highlights the potential of HB CH donor channels for water translocation and for increased NO</w:t>
      </w:r>
      <w:r>
        <w:rPr>
          <w:vertAlign w:val="subscript"/>
        </w:rPr>
        <w:t>3</w:t>
      </w:r>
      <w:r>
        <w:t>−</w:t>
      </w:r>
      <w:r>
        <w:t>/ Cl</w:t>
      </w:r>
      <w:r>
        <w:t xml:space="preserve"> </w:t>
      </w:r>
      <w:r>
        <w:t>−</w:t>
      </w:r>
      <w:r>
        <w:t>selectivity.</w:t>
      </w:r>
    </w:p>
    <w:p>
      <w:pPr>
        <w:spacing w:before="120" w:after="120"/>
      </w:pPr>
      <w:r>
        <w:rPr>
          <w:sz w:val="18"/>
        </w:rPr>
        <w:t>——————————————————————————————————————————————————————————————————————</w:t>
      </w:r>
    </w:p>
    <w:p>
      <w:pPr>
        <w:spacing w:before="160" w:after="40" w:line="240" w:lineRule="auto"/>
      </w:pPr>
      <w:r>
        <w:rPr>
          <w:b/>
        </w:rPr>
        <w:t xml:space="preserve">[132] </w:t>
      </w:r>
      <w:hyperlink r:id="rId450">
        <w:r>
          <w:rPr>
            <w:color w:val="1155CC"/>
            <w:u w:val="single"/>
          </w:rPr>
          <w:t>[ASAP] “三合一”自组装分子实现倒置CsPbI3太阳能电池</w:t>
        </w:r>
      </w:hyperlink>
    </w:p>
    <w:p>
      <w:pPr>
        <w:spacing w:before="0" w:after="80"/>
      </w:pPr>
      <w:r>
        <w:rPr>
          <w:i/>
          <w:sz w:val="20"/>
        </w:rPr>
        <w:t>EN: [ASAP] “Three-in-One” Self-Assembled Molecule Enables Inverted CsPbI3 Solar Cells</w:t>
      </w:r>
    </w:p>
    <w:p>
      <w:pPr>
        <w:spacing w:before="0" w:after="120"/>
      </w:pPr>
      <w:r>
        <w:rPr>
          <w:b/>
        </w:rPr>
        <w:t xml:space="preserve">Source: </w:t>
      </w:r>
      <w:r>
        <w:t>ACS Energy Letters: Latest Articles (ACS Publications)</w:t>
      </w:r>
      <w:r>
        <w:t xml:space="preserve">    </w:t>
      </w:r>
      <w:r>
        <w:rPr>
          <w:b/>
        </w:rPr>
        <w:t xml:space="preserve">Pub date: </w:t>
      </w:r>
      <w:r>
        <w:t>2026-05-11 16:13:43+00:00</w:t>
      </w:r>
      <w:r>
        <w:t xml:space="preserve">    </w:t>
      </w:r>
      <w:r>
        <w:rPr>
          <w:b/>
        </w:rPr>
        <w:t xml:space="preserve">DOI: </w:t>
      </w:r>
      <w:hyperlink r:id="rId451">
        <w:r>
          <w:rPr>
            <w:color w:val="1155CC"/>
            <w:u w:val="single"/>
          </w:rPr>
          <w:t>10.1021/acsenergylett.6c00820</w:t>
        </w:r>
      </w:hyperlink>
    </w:p>
    <w:p>
      <w:pPr>
        <w:spacing w:before="0" w:after="120"/>
      </w:pPr>
      <w:r>
        <w:rPr>
          <w:b/>
        </w:rPr>
        <w:t xml:space="preserve">Notes: </w:t>
      </w:r>
      <w:r>
        <w:t>abstract_source=openalex</w:t>
      </w:r>
    </w:p>
    <w:p>
      <w:pPr>
        <w:spacing w:before="0" w:after="80" w:lineRule="auto" w:line="276"/>
      </w:pPr>
      <w:r>
        <w:rPr>
          <w:b/>
        </w:rPr>
        <w:t xml:space="preserve">摘要（ZH）: </w:t>
      </w:r>
      <w:r>
        <w:t>倒置无机CsPbI3钙钛矿太阳能电池（PSCs）在稳定和高效的串联光伏中具有巨大潜力，但由于薄膜质量有限、载流子提取效率低以及严重的缺陷介导复合，其性能落后于正常（n-i-p）结构的电池。在此，我们展示了一种三功能自组装分子（SAM）工程策略，以同时解决这些问题。通过将SAM直接掺入CsPbI3前驱体溶液中，SAM自发富集在埋藏界面处，形成高效的空穴选择性接触。同时，其与钙钛矿的强相互作用加速了结晶动力学，并实现了对晶界和界面缺陷的全面钝化。结果，倒置CsPbI3 PSCs实现了21.10%的效率（认证为20.62%）。通过利用SAM的“三合一”功能，该策略赋予PSCs理想的操作稳定性（在约50°C连续运行680小时后保持初始效率的90%），并使1 cm2器件实现了创纪录的19.69%效率。</w:t>
      </w:r>
    </w:p>
    <w:p>
      <w:pPr>
        <w:spacing w:before="0" w:after="200" w:lineRule="auto" w:line="276"/>
      </w:pPr>
      <w:r>
        <w:rPr>
          <w:b/>
        </w:rPr>
        <w:t xml:space="preserve">Abstract (EN): </w:t>
      </w:r>
      <w:r>
        <w:t>Inverted inorganic CsPbI3 perovskite solar cells (PSCs) hold great promise for stable and efficient tandem photovoltaics, yet their performance lags behind normal (n-i-p) counterparts due to limited film quality, inefficient carrier extraction, and severe defect-mediated recombination. Here, we demonstrate a triple-functional self-assembled molecule (SAM) engineering strategy to tackle these issues simultaneously. By directly incorporating the SAM into the CsPbI3 precursor solution, the SAM spontaneously enriches at the buried interface to form an efficient hole-selective contact. Meanwhile, its strong interaction with perovskite accelerates crystallization kinetics and enables comprehensive passivation of defects at both grain boundaries and interfaces. As a result, inverted CsPbI3 PSCs achieve an efficiency of 21.10% (certified 20.62%). By leveraging the “three-in-one” functionality of the SAM, this strategy endows PSCs with ideal operational stability (retaining 90% of initial efficiency after 680 h of continuous operating at ∼50 °C) and enables 1 cm2 devices to deliver a record-high efficiency of 19.69%.</w:t>
      </w:r>
    </w:p>
    <w:p>
      <w:pPr>
        <w:spacing w:before="120" w:after="120"/>
      </w:pPr>
      <w:r>
        <w:rPr>
          <w:sz w:val="18"/>
        </w:rPr>
        <w:t>——————————————————————————————————————————————————————————————————————</w:t>
      </w:r>
    </w:p>
    <w:p>
      <w:pPr>
        <w:spacing w:before="160" w:after="40" w:line="240" w:lineRule="auto"/>
      </w:pPr>
      <w:r>
        <w:rPr>
          <w:b/>
        </w:rPr>
        <w:t xml:space="preserve">[133] </w:t>
      </w:r>
      <w:hyperlink r:id="rId452">
        <w:r>
          <w:rPr>
            <w:color w:val="1155CC"/>
            <w:u w:val="single"/>
          </w:rPr>
          <w:t>[ASAP] 低速循环再生通过极端超快充电维持NMC811–石墨电池性能</w:t>
        </w:r>
      </w:hyperlink>
    </w:p>
    <w:p>
      <w:pPr>
        <w:spacing w:before="0" w:after="80"/>
      </w:pPr>
      <w:r>
        <w:rPr>
          <w:i/>
          <w:sz w:val="20"/>
        </w:rPr>
        <w:t>EN: [ASAP] Low-Rate Cycling Regeneration Sustains NMC811–Graphite Battery Performance through Extreme Ultrafast Charging</w:t>
      </w:r>
    </w:p>
    <w:p>
      <w:pPr>
        <w:spacing w:before="0" w:after="120"/>
      </w:pPr>
      <w:r>
        <w:rPr>
          <w:b/>
        </w:rPr>
        <w:t xml:space="preserve">Source: </w:t>
      </w:r>
      <w:r>
        <w:t>ACS Energy Letters: Latest Articles (ACS Publications)</w:t>
      </w:r>
      <w:r>
        <w:t xml:space="preserve">    </w:t>
      </w:r>
      <w:r>
        <w:rPr>
          <w:b/>
        </w:rPr>
        <w:t xml:space="preserve">Pub date: </w:t>
      </w:r>
      <w:r>
        <w:t>2026-05-11 18:43:23+00:00</w:t>
      </w:r>
      <w:r>
        <w:t xml:space="preserve">    </w:t>
      </w:r>
      <w:r>
        <w:rPr>
          <w:b/>
        </w:rPr>
        <w:t xml:space="preserve">DOI: </w:t>
      </w:r>
      <w:hyperlink r:id="rId453">
        <w:r>
          <w:rPr>
            <w:color w:val="1155CC"/>
            <w:u w:val="single"/>
          </w:rPr>
          <w:t>10.1021/acsenergylett.5c04186</w:t>
        </w:r>
      </w:hyperlink>
    </w:p>
    <w:p>
      <w:pPr>
        <w:spacing w:before="0" w:after="120"/>
      </w:pPr>
      <w:r>
        <w:rPr>
          <w:b/>
        </w:rPr>
        <w:t xml:space="preserve">Notes: </w:t>
      </w:r>
      <w:r>
        <w:t>abstract_source=openalex</w:t>
      </w:r>
    </w:p>
    <w:p>
      <w:pPr>
        <w:spacing w:before="0" w:after="80" w:lineRule="auto" w:line="276"/>
      </w:pPr>
      <w:r>
        <w:rPr>
          <w:b/>
        </w:rPr>
        <w:t xml:space="preserve">摘要（ZH）: </w:t>
      </w:r>
      <w:r>
        <w:t>城市空中交通（UAM）系统，如电动垂直起降（eVTOL）飞机，需要能够极快充电的电池以支持高频操作。在这项工作中，我们使用复杂的混合模式协议评估了NMC811-石墨全电池的电化学稳定性，该协议旨在模拟UAM任务的苛刻周转需求。我们证明，加入周期性低速率（0.3C）“再生”循环使电池在900个循环中保持96%的容量保持率，尽管反复暴露于超快脉冲。为了验证这种再生机制的有效性，我们进行了简化的对照实验，将连续10C充电与10C-0.3C交错协议进行比较。高级表征显示，尽管在这些速率下机械颗粒断裂普遍存在，但再生循环通过解决空间异质的镍氧化态和放松锂离子浓度梯度来减缓电化学降解。这些发现为电池操作提供了重要的机制框架，证明恢复性充电可以有效延迟和减轻在苛刻UAM应用中的失效。</w:t>
      </w:r>
    </w:p>
    <w:p>
      <w:pPr>
        <w:spacing w:before="0" w:after="200" w:lineRule="auto" w:line="276"/>
      </w:pPr>
      <w:r>
        <w:rPr>
          <w:b/>
        </w:rPr>
        <w:t xml:space="preserve">Abstract (EN): </w:t>
      </w:r>
      <w:r>
        <w:t>Urban air mobility (UAM) systems, such as electric vertical takeoff and landing (eVTOL) aircraft, require batteries capable of extreme ultrafast charging to support high-frequency operations. In this work, we evaluate the electrochemical stability of NMC811–graphite full cells using a complex mixed-modal protocol designed to simulate the aggressive turnaround demands of UAM missions. We demonstrate that incorporating a periodic low-rate (0.3C) “regeneration” cycle enables cells to maintain 96% capacity retention over 900 cycles, despite repeated exposure to ultrafast pulses. To validate the efficacy of this regeneration mechanism, we performed simplified control experiments comparing continuous 10C charging against a 10C–0.3C interleaved protocol. Advanced characterization reveals that while mechanical particle fracture is pervasive at these rates, the regeneration cycles decelerate the electrochemical degradation by resolving spatially heterogeneous Ni oxidation states and relaxing lithium-ion concentration gradients. These findings provide a vital mechanistic framework for battery operation, proving that restorative charging can effectively delay and mitigate failure in demanding UAM applications.</w:t>
      </w:r>
    </w:p>
    <w:p>
      <w:pPr>
        <w:spacing w:before="120" w:after="120"/>
      </w:pPr>
      <w:r>
        <w:rPr>
          <w:sz w:val="18"/>
        </w:rPr>
        <w:t>——————————————————————————————————————————————————————————————————————</w:t>
      </w:r>
    </w:p>
    <w:p>
      <w:pPr>
        <w:spacing w:before="160" w:after="40" w:line="240" w:lineRule="auto"/>
      </w:pPr>
      <w:r>
        <w:rPr>
          <w:b/>
        </w:rPr>
        <w:t xml:space="preserve">[134] </w:t>
      </w:r>
      <w:hyperlink r:id="rId454">
        <w:r>
          <w:rPr>
            <w:color w:val="1155CC"/>
            <w:u w:val="single"/>
          </w:rPr>
          <w:t>[ASAP] 通过芯片上的表面有机金属化学和原位透射电子显微镜研究CO2加氢下的PdGa合金动态</w:t>
        </w:r>
      </w:hyperlink>
    </w:p>
    <w:p>
      <w:pPr>
        <w:spacing w:before="0" w:after="80"/>
      </w:pPr>
      <w:r>
        <w:rPr>
          <w:i/>
          <w:sz w:val="20"/>
        </w:rPr>
        <w:t>EN: [ASAP] PdGa Alloy Dynamics under CO2 Hydrogenation from Surface Organometallic Chemistry on a Chip and Operando Transmission Electron Microscopy</w:t>
      </w:r>
    </w:p>
    <w:p>
      <w:pPr>
        <w:spacing w:before="0" w:after="120"/>
      </w:pPr>
      <w:r>
        <w:rPr>
          <w:b/>
        </w:rPr>
        <w:t xml:space="preserve">Source: </w:t>
      </w:r>
      <w:r>
        <w:t>Journal of the American Chemical Society: Latest Articles (ACS Publications)</w:t>
      </w:r>
      <w:r>
        <w:t xml:space="preserve">    </w:t>
      </w:r>
      <w:r>
        <w:rPr>
          <w:b/>
        </w:rPr>
        <w:t xml:space="preserve">Pub date: </w:t>
      </w:r>
      <w:r>
        <w:t>2026-05-11 19:03:54+00:00</w:t>
      </w:r>
      <w:r>
        <w:t xml:space="preserve">    </w:t>
      </w:r>
      <w:r>
        <w:rPr>
          <w:b/>
        </w:rPr>
        <w:t xml:space="preserve">DOI: </w:t>
      </w:r>
      <w:hyperlink r:id="rId455">
        <w:r>
          <w:rPr>
            <w:color w:val="1155CC"/>
            <w:u w:val="single"/>
          </w:rPr>
          <w:t>10.1021/jacs.6c01393</w:t>
        </w:r>
      </w:hyperlink>
    </w:p>
    <w:p>
      <w:pPr>
        <w:spacing w:before="0" w:after="120"/>
      </w:pPr>
      <w:r>
        <w:rPr>
          <w:b/>
        </w:rPr>
        <w:t xml:space="preserve">Notes: </w:t>
      </w:r>
      <w:r>
        <w:t>abstract_source=pubmed</w:t>
      </w:r>
    </w:p>
    <w:p>
      <w:pPr>
        <w:spacing w:before="0" w:after="80" w:lineRule="auto" w:line="276"/>
      </w:pPr>
      <w:r>
        <w:rPr>
          <w:b/>
        </w:rPr>
        <w:t xml:space="preserve">摘要（ZH）: </w:t>
      </w:r>
      <w:r>
        <w:t>工业过程依赖于使用促进剂元素来提高催化剂的性能。尽管付出了相当大的努力，但对促进作用起源的基本理解仍然难以捉摸，部分原因是催化系统的固有复杂性。在这项工作中，我们在原位MEMS芯片上开发了一种表面有机金属化学方法，用于制备定制的PdGa纳米颗粒，以便通过原位（扫描）透射电子显微镜监测其结构和反应性的动态响应，包括CO2加氢。在空气暴露后，PdGa纳米颗粒表现出核壳结构，在H2还原后消失，形成合金化的PdGa纳米颗粒，表现出结构缺陷。值得注意的是，在CO2加氢条件下（3:1 H2:CO2，230°C）在1 bar下，PdGa-GaOx界面动态形成，同时检测到甲醇。该研究揭示了PdGa催化剂的高度动态特性，并指出Ga在通过形成MGa-GaOx界面驱动CO2加氢下甲醇合成中的促进作用。</w:t>
      </w:r>
    </w:p>
    <w:p>
      <w:pPr>
        <w:spacing w:before="0" w:after="200" w:lineRule="auto" w:line="276"/>
      </w:pPr>
      <w:r>
        <w:rPr>
          <w:b/>
        </w:rPr>
        <w:t xml:space="preserve">Abstract (EN): </w:t>
      </w:r>
      <w:r>
        <w:t>Industrial processes rely on the use of promoter elements to improve the performance of catalysts. Despite considerable efforts, the fundamental understanding of the origin of promotion remains elusive, partly due to the inherent complexity of catalytic systems. In this work, we develop a surface organometallic chemistry approach on an in situ MEMS chip for the preparation of tailored PdGa nanoparticles enabling to monitor the dynamic response of their structure and reactivity under a range of conditions ─ including CO2 hydrogenation ─ via operando (scanning) transmission electron microscopy. Upon air exposure, the PdGa nanoparticles exhibit a core-shell structure, which vanishes after reduction in H2, forming alloyed PdGa nanoparticles exhibiting structural defects. Notably, under CO2 hydrogenation conditions (3:1 H2:CO2, 230 °C) at 1 bar, PdGa-GaOx interfaces are dynamically formed, while methanol is concomitantly detected. This study reveals the highly dynamic nature of PdGa catalysts and points out the promotional role of Ga in driving methanol synthesis under CO2 hydrogenation via the formation of MGa-GaOx interfaces.</w:t>
      </w:r>
    </w:p>
    <w:p>
      <w:pPr>
        <w:spacing w:before="120" w:after="120"/>
      </w:pPr>
      <w:r>
        <w:rPr>
          <w:sz w:val="18"/>
        </w:rPr>
        <w:t>——————————————————————————————————————————————————————————————————————</w:t>
      </w:r>
    </w:p>
    <w:p>
      <w:pPr>
        <w:spacing w:before="160" w:after="40" w:line="240" w:lineRule="auto"/>
      </w:pPr>
      <w:r>
        <w:rPr>
          <w:b/>
        </w:rPr>
        <w:t xml:space="preserve">[135] </w:t>
      </w:r>
      <w:hyperlink r:id="rId456">
        <w:r>
          <w:rPr>
            <w:color w:val="1155CC"/>
            <w:u w:val="single"/>
          </w:rPr>
          <w:t>手性杂化金属卤化物中的圆偏振发光</w:t>
        </w:r>
      </w:hyperlink>
    </w:p>
    <w:p>
      <w:pPr>
        <w:spacing w:before="0" w:after="80"/>
      </w:pPr>
      <w:r>
        <w:rPr>
          <w:i/>
          <w:sz w:val="20"/>
        </w:rPr>
        <w:t>EN: Circularly polarized luminescence in chiral hybrid metal halides</w:t>
      </w:r>
    </w:p>
    <w:p>
      <w:pPr>
        <w:spacing w:before="0" w:after="120"/>
      </w:pPr>
      <w:r>
        <w:rPr>
          <w:b/>
        </w:rPr>
        <w:t xml:space="preserve">Source: </w:t>
      </w:r>
      <w:r>
        <w:t>RSC - Chem. Soc. Rev. latest articles</w:t>
      </w:r>
      <w:r>
        <w:t xml:space="preserve">    </w:t>
      </w:r>
      <w:r>
        <w:rPr>
          <w:b/>
        </w:rPr>
        <w:t xml:space="preserve">Pub date: </w:t>
      </w:r>
      <w:r>
        <w:t>2026-05-11 23:00:00+00:00</w:t>
      </w:r>
    </w:p>
    <w:p>
      <w:pPr>
        <w:spacing w:before="0" w:after="120"/>
      </w:pPr>
      <w:r>
        <w:rPr>
          <w:b/>
        </w:rPr>
        <w:t xml:space="preserve">Notes: </w:t>
      </w:r>
      <w:r>
        <w:t>abstract_source=rsc_html</w:t>
      </w:r>
    </w:p>
    <w:p>
      <w:pPr>
        <w:spacing w:before="0" w:after="80" w:lineRule="auto" w:line="276"/>
      </w:pPr>
      <w:r>
        <w:rPr>
          <w:b/>
        </w:rPr>
        <w:t xml:space="preserve">摘要（ZH）: </w:t>
      </w:r>
      <w:r>
        <w:t>手性杂化金属卤化物（CHMHs）作为圆偏振发光（CPL）的一类有前景的离子晶体材料已经出现。在这些材料中，有机阳离子主要作为手性来源，而无机框架则作为发光中心。手性有机阳离子与无机框架之间的相互作用使得内在的CPL发射成为可能。CHMHs的柔软和离子特性使其与传统的共价发光体区别开来，提供了卓越的结构和手性光学可调性。本教程综述总结了CPL活性CHMHs的最新进展，重点介绍了CPL生成、放大和应用的基本途径。介绍了CHMHs的代表性合成策略，随后分析了发光机制及其与CPL生成的相关性。还回顾了提高CPL性能的关键策略，包括成分工程和外场调控。除了基础理解之外，还总结了CHMHs独特特性所带来的新兴应用，包括圆偏振发光二极管、CPL分辨闪烁体和防伪技术。最后，概述了关键挑战和未来前景，以指导高性能CHMH基手性光学材料和器件的发展。</w:t>
      </w:r>
    </w:p>
    <w:p>
      <w:pPr>
        <w:spacing w:before="0" w:after="200" w:lineRule="auto" w:line="276"/>
      </w:pPr>
      <w:r>
        <w:rPr>
          <w:b/>
        </w:rPr>
        <w:t xml:space="preserve">Abstract (EN): </w:t>
      </w:r>
      <w:r>
        <w:t>Chiral hybrid metal halides (CHMHs) have emerged as a promising class of ionic crystalline materials for circularly polarized luminescence (CPL). In these materials, organic cations primarily act as chirality sources, whereas the inorganic frameworks serve as the luminescent centers. The interactions between chiral organic cations and inorganic frameworks enable intrinsic CPL emission. The soft and ionic nature of CHMHs further distinguishes them from conventional covalent luminophores, offering exceptional structural and chiroptical tunability. This tutorial review summarizes recent progress in CPL-active CHMHs, focusing on the fundamental routes for CPL generation, amplification and application. Representative synthetic strategies for CHMHs are introduced, followed by an analysis of luminescence mechanisms and their relevance to CPL generation. Key strategies to enhance CPL performance, including composition engineering and external-field regulation, are also reviewed. Beyond fundamental understanding, emerging applications enabled by the unique properties of CHMHs, including circularly polarized light-emitting diodes, CPL-resolved scintillators, and anti-counterfeiting technologies, are summarized. Finally, key challenges and future perspectives are outlined to guide the development of high-performance CHMH-based chiroptical materials and devices.</w:t>
      </w:r>
    </w:p>
    <w:p>
      <w:pPr>
        <w:spacing w:before="120" w:after="120"/>
      </w:pPr>
      <w:r>
        <w:rPr>
          <w:sz w:val="18"/>
        </w:rPr>
        <w:t>——————————————————————————————————————————————————————————————————————</w:t>
      </w:r>
    </w:p>
    <w:p>
      <w:pPr>
        <w:spacing w:before="160" w:after="40" w:line="240" w:lineRule="auto"/>
      </w:pPr>
      <w:r>
        <w:rPr>
          <w:b/>
        </w:rPr>
        <w:t xml:space="preserve">[136] </w:t>
      </w:r>
      <w:hyperlink r:id="rId457">
        <w:r>
          <w:rPr>
            <w:color w:val="1155CC"/>
            <w:u w:val="single"/>
          </w:rPr>
          <w:t>开放数据是基因组学研究的关键——如果信息能够被安全保存</w:t>
        </w:r>
      </w:hyperlink>
    </w:p>
    <w:p>
      <w:pPr>
        <w:spacing w:before="0" w:after="80"/>
      </w:pPr>
      <w:r>
        <w:rPr>
          <w:i/>
          <w:sz w:val="20"/>
        </w:rPr>
        <w:t>EN: Open data is key to genomics research — if the information can be kept safe</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58">
        <w:r>
          <w:rPr>
            <w:color w:val="1155CC"/>
            <w:u w:val="single"/>
          </w:rPr>
          <w:t>10.1038/d41586-026-01475-y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[137] </w:t>
      </w:r>
      <w:hyperlink r:id="rId459">
        <w:r>
          <w:rPr>
            <w:color w:val="1155CC"/>
            <w:u w:val="single"/>
          </w:rPr>
          <w:t>科学可以在制定更好的经济增长衡量标准方面发挥主导作用</w:t>
        </w:r>
      </w:hyperlink>
    </w:p>
    <w:p>
      <w:pPr>
        <w:spacing w:before="0" w:after="80"/>
      </w:pPr>
      <w:r>
        <w:rPr>
          <w:i/>
          <w:sz w:val="20"/>
        </w:rPr>
        <w:t>EN: Science can take the lead in making better measures of economic growth</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60">
        <w:r>
          <w:rPr>
            <w:color w:val="1155CC"/>
            <w:u w:val="single"/>
          </w:rPr>
          <w:t>10.1038/d41586-026-01474-z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[138] </w:t>
      </w:r>
      <w:hyperlink r:id="rId461">
        <w:r>
          <w:rPr>
            <w:color w:val="1155CC"/>
            <w:u w:val="single"/>
          </w:rPr>
          <w:t>绿色幻象，持久贫困：地缘政治分裂如何助长漂绿并破坏全球南方的公正能源转型</w:t>
        </w:r>
      </w:hyperlink>
    </w:p>
    <w:p>
      <w:pPr>
        <w:spacing w:before="0" w:after="80"/>
      </w:pPr>
      <w:r>
        <w:rPr>
          <w:i/>
          <w:sz w:val="20"/>
        </w:rPr>
        <w:t>EN: Green illusions, enduring poverty: How geopolitical fragmentation fuels greenwashing and derails the just energy transition in the global South</w:t>
      </w:r>
    </w:p>
    <w:p>
      <w:pPr>
        <w:spacing w:before="0" w:after="120"/>
      </w:pPr>
      <w:r>
        <w:rPr>
          <w:b/>
        </w:rPr>
        <w:t xml:space="preserve">Source: </w:t>
      </w:r>
      <w:r>
        <w:t>ScienceDirect Publication: Energy Policy</w:t>
      </w:r>
      <w:r>
        <w:t xml:space="preserve">    </w:t>
      </w:r>
      <w:r>
        <w:rPr>
          <w:b/>
        </w:rPr>
        <w:t xml:space="preserve">Pub date: </w:t>
      </w:r>
      <w:r>
        <w:t>2026-05-12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[139] </w:t>
      </w:r>
      <w:hyperlink r:id="rId462">
        <w:r>
          <w:rPr>
            <w:color w:val="1155CC"/>
            <w:u w:val="single"/>
          </w:rPr>
          <w:t>连接思想与机器：对Miguel Nicolelis关于脑机接口的采访</w:t>
        </w:r>
      </w:hyperlink>
    </w:p>
    <w:p>
      <w:pPr>
        <w:spacing w:before="0" w:after="80"/>
      </w:pPr>
      <w:r>
        <w:rPr>
          <w:i/>
          <w:sz w:val="20"/>
        </w:rPr>
        <w:t>EN: Connecting minds and machines: an interview with Miguel Nicolelis on brain-machine interfaces</w:t>
      </w:r>
    </w:p>
    <w:p>
      <w:pPr>
        <w:spacing w:before="0" w:after="120"/>
      </w:pPr>
      <w:r>
        <w:rPr>
          <w:b/>
        </w:rPr>
        <w:t xml:space="preserve">Source: </w:t>
      </w:r>
      <w:r>
        <w:t>National Science Review Advance Access</w:t>
      </w:r>
      <w:r>
        <w:t xml:space="preserve">    </w:t>
      </w:r>
      <w:r>
        <w:rPr>
          <w:b/>
        </w:rPr>
        <w:t xml:space="preserve">Pub date: </w:t>
      </w:r>
      <w:r>
        <w:t>2026-05-12 00:00:00+00:00</w:t>
      </w:r>
      <w:r>
        <w:t xml:space="preserve">    </w:t>
      </w:r>
      <w:r>
        <w:rPr>
          <w:b/>
        </w:rPr>
        <w:t xml:space="preserve">DOI: </w:t>
      </w:r>
      <w:hyperlink r:id="rId463">
        <w:r>
          <w:rPr>
            <w:color w:val="1155CC"/>
            <w:u w:val="single"/>
          </w:rPr>
          <w:t>10.1093/nsr/nwag273</w:t>
        </w:r>
      </w:hyperlink>
    </w:p>
    <w:p>
      <w:pPr>
        <w:spacing w:before="0" w:after="120"/>
      </w:pPr>
      <w:r>
        <w:rPr>
          <w:b/>
        </w:rPr>
        <w:t xml:space="preserve">Notes: </w:t>
      </w:r>
      <w:r>
        <w:t>abstract_source=crossref</w:t>
      </w:r>
    </w:p>
    <w:p>
      <w:pPr>
        <w:spacing w:before="0" w:after="80" w:lineRule="auto" w:line="276"/>
      </w:pPr>
      <w:r>
        <w:rPr>
          <w:b/>
        </w:rPr>
        <w:t xml:space="preserve">摘要（ZH）: </w:t>
      </w:r>
      <w:r>
        <w:t>Nicolelis博士分享了他对脑机接口（BMI）未来的见解，强调理解大脑动态对于推进基础神经科学和临床应用的重要性。</w:t>
      </w:r>
    </w:p>
    <w:p>
      <w:pPr>
        <w:spacing w:before="0" w:after="200" w:lineRule="auto" w:line="276"/>
      </w:pPr>
      <w:r>
        <w:rPr>
          <w:b/>
        </w:rPr>
        <w:t xml:space="preserve">Abstract (EN): </w:t>
      </w:r>
      <w:r>
        <w:t>Dr. Nicolelis shares his insights into the future of BMIs, emphasizing the importance of understanding brain dynamics to advance both fundamental neuroscience and clinical applications.</w:t>
      </w:r>
    </w:p>
    <w:p>
      <w:pPr>
        <w:spacing w:before="120" w:after="120"/>
      </w:pPr>
      <w:r>
        <w:rPr>
          <w:sz w:val="18"/>
        </w:rPr>
        <w:t>——————————————————————————————————————————————————————————————————————</w:t>
      </w:r>
    </w:p>
    <w:p>
      <w:pPr>
        <w:spacing w:before="160" w:after="40" w:line="240" w:lineRule="auto"/>
      </w:pPr>
      <w:r>
        <w:rPr>
          <w:b/>
        </w:rPr>
        <w:t xml:space="preserve">[140] </w:t>
      </w:r>
      <w:hyperlink r:id="rId464">
        <w:r>
          <w:rPr>
            <w:color w:val="1155CC"/>
            <w:u w:val="single"/>
          </w:rPr>
          <w:t>水生生产者与消费者之间的多样性-稳定性关系对立</w:t>
        </w:r>
      </w:hyperlink>
    </w:p>
    <w:p>
      <w:pPr>
        <w:spacing w:before="0" w:after="80"/>
      </w:pPr>
      <w:r>
        <w:rPr>
          <w:i/>
          <w:sz w:val="20"/>
        </w:rPr>
        <w:t>EN: Opposing diversity-stability relationships within versus between aquatic producers and consumers</w:t>
      </w:r>
    </w:p>
    <w:p>
      <w:pPr>
        <w:spacing w:before="0" w:after="120"/>
      </w:pPr>
      <w:r>
        <w:rPr>
          <w:b/>
        </w:rPr>
        <w:t xml:space="preserve">Source: </w:t>
      </w:r>
      <w:r>
        <w:t>National Science Review Advance Access</w:t>
      </w:r>
      <w:r>
        <w:t xml:space="preserve">    </w:t>
      </w:r>
      <w:r>
        <w:rPr>
          <w:b/>
        </w:rPr>
        <w:t xml:space="preserve">Pub date: </w:t>
      </w:r>
      <w:r>
        <w:t>2026-05-12 00:00:00+00:00</w:t>
      </w:r>
      <w:r>
        <w:t xml:space="preserve">    </w:t>
      </w:r>
      <w:r>
        <w:rPr>
          <w:b/>
        </w:rPr>
        <w:t xml:space="preserve">DOI: </w:t>
      </w:r>
      <w:hyperlink r:id="rId465">
        <w:r>
          <w:rPr>
            <w:color w:val="1155CC"/>
            <w:u w:val="single"/>
          </w:rPr>
          <w:t>10.1093/nsr/nwag274</w:t>
        </w:r>
      </w:hyperlink>
    </w:p>
    <w:p>
      <w:pPr>
        <w:spacing w:before="0" w:after="120"/>
      </w:pPr>
      <w:r>
        <w:rPr>
          <w:b/>
        </w:rPr>
        <w:t xml:space="preserve">Notes: </w:t>
      </w:r>
      <w:r>
        <w:t>abstract_source=rss_oup</w:t>
      </w:r>
    </w:p>
    <w:p>
      <w:pPr>
        <w:spacing w:before="0" w:after="80" w:lineRule="auto" w:line="276"/>
      </w:pPr>
      <w:r>
        <w:rPr>
          <w:b/>
        </w:rPr>
        <w:t xml:space="preserve">摘要（ZH）: </w:t>
      </w:r>
      <w:r>
        <w:t>虽然生物多样性在增强单一营养级的时间稳定性方面的作用已得到充分证明，但一个营养级的生物多样性如何影响相邻营养级的稳定性仍然知之甚少。为了解决这一知识空白，我们分析了全球97个水生食物网中生产者（藻类）和消费者（无脊椎动物）群落内和跨群落的多样性与稳定性关系。在消费者群落中，我们发现更高的物种多样性与种群异步性和平均种群稳定性的增加有关，从而导致更高的群落稳定性。在生产者群落中，生产者多样性与种群异步性呈正相关，但与种群稳定性呈负相关，导致没有净效应。相反，我们发现跨营养级的多样性-稳定性关系始终为负：生产者多样性的增加与消费者群落稳定性的降低有关，而消费者多样性的增加与生产者群落稳定性的降低有关。这些负相关关系源于多样性对跨营养级种群稳定性的负面影响，这可能是由于生产者动态的改变和顶层压力的加剧。我们的研究结果表明，在自然群落中纳入营养级之间的对抗性相互作用可能会改变通常在单一营养级群落中观察到的正多样性-稳定性关系。</w:t>
      </w:r>
    </w:p>
    <w:p>
      <w:pPr>
        <w:spacing w:before="0" w:after="200" w:lineRule="auto" w:line="276"/>
      </w:pPr>
      <w:r>
        <w:rPr>
          <w:b/>
        </w:rPr>
        <w:t xml:space="preserve">Abstract (EN): </w:t>
      </w:r>
      <w:r>
        <w:t>While the role of biodiversity in enhancing temporal stability is well established within single trophic levels, how biodiversity at one trophic level affects stability at adjacent trophic levels remains poorly understood. To address this knowledge gap, we analyzed the relationships between diversity and stability both within and across producer (algae) and consumer (invertebrate) communities using time series from 97 aquatic food webs across the world. Within consumer communities, we found that greater species diversity was associated with increases in both population asynchrony and average population stability, leading to higher community stability. Within producer communities, producer diversity was positively associated with population asynchrony but negatively associated with population stability, resulting in no net effect. In contrast, we found consistently negative diversity-stability relationships across trophic levels: increased producer diversity was linked to decreased consumer community stability and increased consumer diversity was associated with decreased producer community stability. These negative relationships stem from adverse impacts of diversity on population stability across trophic levels, which may be due to the altered producer dynamics and intensified top-down pressure. Our findings demonstrate that incorporating antagonistic interactions between trophic levels in natural communities may alter the positive diversity-stability relationships that are typically observed in single-trophic communities.</w:t>
      </w:r>
    </w:p>
    <w:p>
      <w:pPr>
        <w:spacing w:before="120" w:after="120"/>
      </w:pPr>
      <w:r>
        <w:rPr>
          <w:sz w:val="18"/>
        </w:rPr>
        <w:t>——————————————————————————————————————————————————————————————————————</w:t>
      </w:r>
    </w:p>
    <w:p>
      <w:pPr>
        <w:spacing w:before="160" w:after="40" w:line="240" w:lineRule="auto"/>
      </w:pPr>
      <w:r>
        <w:rPr>
          <w:b/>
        </w:rPr>
        <w:t xml:space="preserve">[141] </w:t>
      </w:r>
      <w:hyperlink r:id="rId466">
        <w:r>
          <w:rPr>
            <w:color w:val="1155CC"/>
            <w:u w:val="single"/>
          </w:rPr>
          <w:t>光学伊辛机</w:t>
        </w:r>
      </w:hyperlink>
    </w:p>
    <w:p>
      <w:pPr>
        <w:spacing w:before="0" w:after="80"/>
      </w:pPr>
      <w:r>
        <w:rPr>
          <w:i/>
          <w:sz w:val="20"/>
        </w:rPr>
        <w:t>EN: Optical ising machine</w:t>
      </w:r>
    </w:p>
    <w:p>
      <w:pPr>
        <w:spacing w:before="0" w:after="120"/>
      </w:pPr>
      <w:r>
        <w:rPr>
          <w:b/>
        </w:rPr>
        <w:t xml:space="preserve">Source: </w:t>
      </w:r>
      <w:r>
        <w:t>National Science Review Advance Access</w:t>
      </w:r>
      <w:r>
        <w:t xml:space="preserve">    </w:t>
      </w:r>
      <w:r>
        <w:rPr>
          <w:b/>
        </w:rPr>
        <w:t xml:space="preserve">Pub date: </w:t>
      </w:r>
      <w:r>
        <w:t>2026-05-12 00:00:00+00:00</w:t>
      </w:r>
      <w:r>
        <w:t xml:space="preserve">    </w:t>
      </w:r>
      <w:r>
        <w:rPr>
          <w:b/>
        </w:rPr>
        <w:t xml:space="preserve">DOI: </w:t>
      </w:r>
      <w:hyperlink r:id="rId467">
        <w:r>
          <w:rPr>
            <w:color w:val="1155CC"/>
            <w:u w:val="single"/>
          </w:rPr>
          <w:t>10.1093/nsr/nwag261</w:t>
        </w:r>
      </w:hyperlink>
    </w:p>
    <w:p>
      <w:pPr>
        <w:spacing w:before="0" w:after="120"/>
      </w:pPr>
      <w:r>
        <w:rPr>
          <w:b/>
        </w:rPr>
        <w:t xml:space="preserve">Notes: </w:t>
      </w:r>
      <w:r>
        <w:t>abstract_source=crossref</w:t>
      </w:r>
    </w:p>
    <w:p>
      <w:pPr>
        <w:spacing w:before="0" w:after="80" w:lineRule="auto" w:line="276"/>
      </w:pPr>
      <w:r>
        <w:rPr>
          <w:b/>
        </w:rPr>
        <w:t xml:space="preserve">摘要（ZH）: </w:t>
      </w:r>
      <w:r>
        <w:t>光学伊辛机利用物理动态进行组合优化，集成光子技术实现了可扩展的、高速的、节能的解决方案，适用于现实世界的应用。</w:t>
      </w:r>
    </w:p>
    <w:p>
      <w:pPr>
        <w:spacing w:before="0" w:after="200" w:lineRule="auto" w:line="276"/>
      </w:pPr>
      <w:r>
        <w:rPr>
          <w:b/>
        </w:rPr>
        <w:t xml:space="preserve">Abstract (EN): </w:t>
      </w:r>
      <w:r>
        <w:t>Optical Ising machines harness physical dynamics for combinatorial optimization, with integrated photonics enabling scalable, high-speed, energy-efficient solutions for real-world applications.</w:t>
      </w:r>
    </w:p>
    <w:p>
      <w:pPr>
        <w:spacing w:before="120" w:after="120"/>
      </w:pPr>
      <w:r>
        <w:rPr>
          <w:sz w:val="18"/>
        </w:rPr>
        <w:t>——————————————————————————————————————————————————————————————————————</w:t>
      </w:r>
    </w:p>
    <w:p>
      <w:pPr>
        <w:spacing w:before="160" w:after="40" w:line="240" w:lineRule="auto"/>
      </w:pPr>
      <w:r>
        <w:rPr>
          <w:b/>
        </w:rPr>
        <w:t xml:space="preserve">[142] </w:t>
      </w:r>
      <w:hyperlink r:id="rId468">
        <w:r>
          <w:rPr>
            <w:color w:val="1155CC"/>
            <w:u w:val="single"/>
          </w:rPr>
          <w:t>单一健康基因组学揭示沙门氏菌肠炎沙门氏菌的特定生态位谱系替换</w:t>
        </w:r>
      </w:hyperlink>
    </w:p>
    <w:p>
      <w:pPr>
        <w:spacing w:before="0" w:after="80"/>
      </w:pPr>
      <w:r>
        <w:rPr>
          <w:i/>
          <w:sz w:val="20"/>
        </w:rPr>
        <w:t>EN: One Health Genomics Reveals Niche-Specific Lineage Replacement in Salmonella Enteritidis</w:t>
      </w:r>
    </w:p>
    <w:p>
      <w:pPr>
        <w:spacing w:before="0" w:after="120"/>
      </w:pPr>
      <w:r>
        <w:rPr>
          <w:b/>
        </w:rPr>
        <w:t xml:space="preserve">Source: </w:t>
      </w:r>
      <w:r>
        <w:t>National Science Review Advance Access</w:t>
      </w:r>
      <w:r>
        <w:t xml:space="preserve">    </w:t>
      </w:r>
      <w:r>
        <w:rPr>
          <w:b/>
        </w:rPr>
        <w:t xml:space="preserve">Pub date: </w:t>
      </w:r>
      <w:r>
        <w:t>2026-05-12 00:00:00+00:00</w:t>
      </w:r>
      <w:r>
        <w:t xml:space="preserve">    </w:t>
      </w:r>
      <w:r>
        <w:rPr>
          <w:b/>
        </w:rPr>
        <w:t xml:space="preserve">DOI: </w:t>
      </w:r>
      <w:hyperlink r:id="rId469">
        <w:r>
          <w:rPr>
            <w:color w:val="1155CC"/>
            <w:u w:val="single"/>
          </w:rPr>
          <w:t>10.1093/nsr/nwag275</w:t>
        </w:r>
      </w:hyperlink>
    </w:p>
    <w:p>
      <w:pPr>
        <w:spacing w:before="0" w:after="120"/>
      </w:pPr>
      <w:r>
        <w:rPr>
          <w:b/>
        </w:rPr>
        <w:t xml:space="preserve">Notes: </w:t>
      </w:r>
      <w:r>
        <w:t>abstract_source=rss_oup</w:t>
      </w:r>
    </w:p>
    <w:p>
      <w:pPr>
        <w:spacing w:before="0" w:after="80" w:lineRule="auto" w:line="276"/>
      </w:pPr>
      <w:r>
        <w:rPr>
          <w:b/>
        </w:rPr>
        <w:t xml:space="preserve">摘要（ZH）: </w:t>
      </w:r>
      <w:r>
        <w:t>沙门氏菌肠炎沙门氏菌是一种广泛宿主范围的病原体，对畜牧业生产和公共健康构成全球性挑战。然而，考虑到人类适应性特征的新兴证据，肠炎沙门氏菌的国家级进化动态仍未被探索。在此，我们采用跨学科的“一个健康”方法，汇编并分析了中国最大规模的肠炎沙门氏菌基因组数据集，整合了人类、动物、食品和环境领域的分离株。我们的分析揭示了抗菌素耐药性（AMR）的惊人升级，二十年来多重耐药率增加了三倍。这种AMR的激增与三个主要中国大陆谱系的分化进化相吻合：Global-b1、Global-b2和Global-c。至关重要的是，我们证明了Global-c谱系通过耐药性驱动的谱系替代过程实现了比例上的主导地位。这一成功由可移动遗传元件推动，并得到增强的环境应激耐受性和代谢可塑性的支持。额外的SNP距离映射揭示了以人为中心的传播证据。总体而言，我们阐明了肠炎沙门氏菌谱系的复杂、局部适应和竞争动态。</w:t>
      </w:r>
    </w:p>
    <w:p>
      <w:pPr>
        <w:spacing w:before="0" w:after="200" w:lineRule="auto" w:line="276"/>
      </w:pPr>
      <w:r>
        <w:rPr>
          <w:b/>
        </w:rPr>
        <w:t xml:space="preserve">Abstract (EN): </w:t>
      </w:r>
      <w:r>
        <w:t>Salmonella enterica serovar Enteritidis is a broad-host-range pathogen posing global challenges to livestock production and public health. However, nation-scale evolutionary dynamics of Enteritidis remain unexplored, considering emerging evidence of human-adaptive traits. Here, we employed a transdisciplinary One Health approach to compile and analyze the largest genomic dataset of S. Enteritidis in China, integrating isolates across human, animal, food, and environmental sectors. Our analyses reveal an alarming escalation in antimicrobial resistance (AMR), with multidrug resistance rates tripling over the two decades. This surge in AMR coincides with the divergent evolution of three major Chinese mainland lineages: Global-b1, Global-b2, and Global-c. Crucially, we demonstrate that the Global-c lineage has achieved proportional dominance through a process of resistance-driven lineage replacement. This success is fueled by mobile genetic elements and supported by enhanced environmental stress tolerance and metabolic plasticity. Additional SNP-distance mapping uncovered evidence of human-centric dissemination. Collectively, we elucidate the complex, localized adaptation and competitive dynamics of S. Enteritidis lineages.</w:t>
      </w:r>
    </w:p>
    <w:p>
      <w:pPr>
        <w:spacing w:before="120" w:after="120"/>
      </w:pPr>
      <w:r>
        <w:rPr>
          <w:sz w:val="18"/>
        </w:rPr>
        <w:t>——————————————————————————————————————————————————————————————————————</w:t>
      </w:r>
    </w:p>
    <w:p>
      <w:pPr>
        <w:spacing w:before="160" w:after="40" w:line="240" w:lineRule="auto"/>
      </w:pPr>
      <w:r>
        <w:rPr>
          <w:b/>
        </w:rPr>
        <w:t xml:space="preserve">[143] </w:t>
      </w:r>
      <w:hyperlink r:id="rId470">
        <w:r>
          <w:rPr>
            <w:color w:val="1155CC"/>
            <w:u w:val="single"/>
          </w:rPr>
          <w:t>通过CRISPR/Cas介导的IgH位点原位修饰在小鼠中稳健生产重链抗体</w:t>
        </w:r>
      </w:hyperlink>
    </w:p>
    <w:p>
      <w:pPr>
        <w:spacing w:before="0" w:after="80"/>
      </w:pPr>
      <w:r>
        <w:rPr>
          <w:i/>
          <w:sz w:val="20"/>
        </w:rPr>
        <w:t>EN: Robust production of heavy-chain-only antibodies in mice by CRISPR/Cas mediated in situ modification of IgH locus</w:t>
      </w:r>
    </w:p>
    <w:p>
      <w:pPr>
        <w:spacing w:before="0" w:after="120"/>
      </w:pPr>
      <w:r>
        <w:rPr>
          <w:b/>
        </w:rPr>
        <w:t xml:space="preserve">Source: </w:t>
      </w:r>
      <w:r>
        <w:t>National Science Review Advance Access</w:t>
      </w:r>
      <w:r>
        <w:t xml:space="preserve">    </w:t>
      </w:r>
      <w:r>
        <w:rPr>
          <w:b/>
        </w:rPr>
        <w:t xml:space="preserve">Pub date: </w:t>
      </w:r>
      <w:r>
        <w:t>2026-05-12 00:00:00+00:00</w:t>
      </w:r>
      <w:r>
        <w:t xml:space="preserve">    </w:t>
      </w:r>
      <w:r>
        <w:rPr>
          <w:b/>
        </w:rPr>
        <w:t xml:space="preserve">DOI: </w:t>
      </w:r>
      <w:hyperlink r:id="rId471">
        <w:r>
          <w:rPr>
            <w:color w:val="1155CC"/>
            <w:u w:val="single"/>
          </w:rPr>
          <w:t>10.1093/nsr/nwag270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[144] </w:t>
      </w:r>
      <w:hyperlink r:id="rId472">
        <w:r>
          <w:rPr>
            <w:color w:val="1155CC"/>
            <w:u w:val="single"/>
          </w:rPr>
          <w:t>超导性起源的探针</w:t>
        </w:r>
      </w:hyperlink>
    </w:p>
    <w:p>
      <w:pPr>
        <w:spacing w:before="0" w:after="80"/>
      </w:pPr>
      <w:r>
        <w:rPr>
          <w:i/>
          <w:sz w:val="20"/>
        </w:rPr>
        <w:t>EN: A probe for the origin of superconductivity</w:t>
      </w:r>
    </w:p>
    <w:p>
      <w:pPr>
        <w:spacing w:before="0" w:after="120"/>
      </w:pPr>
      <w:r>
        <w:rPr>
          <w:b/>
        </w:rPr>
        <w:t xml:space="preserve">Source: </w:t>
      </w:r>
      <w:r>
        <w:t>Nature Reviews Materials</w:t>
      </w:r>
      <w:r>
        <w:t xml:space="preserve">    </w:t>
      </w:r>
      <w:r>
        <w:rPr>
          <w:b/>
        </w:rPr>
        <w:t xml:space="preserve">Pub date: </w:t>
      </w:r>
      <w:r>
        <w:t>2026-05-12 00:00:00+00:00</w:t>
      </w:r>
      <w:r>
        <w:t xml:space="preserve">    </w:t>
      </w:r>
      <w:r>
        <w:rPr>
          <w:b/>
        </w:rPr>
        <w:t xml:space="preserve">DOI: </w:t>
      </w:r>
      <w:hyperlink r:id="rId473">
        <w:r>
          <w:rPr>
            <w:color w:val="1155CC"/>
            <w:u w:val="single"/>
          </w:rPr>
          <w:t>10.1038/s41578-026-00929-z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[145] </w:t>
      </w:r>
      <w:hyperlink r:id="rId474">
        <w:r>
          <w:rPr>
            <w:color w:val="1155CC"/>
            <w:u w:val="single"/>
          </w:rPr>
          <w:t>细菌-病毒冲突塑造霍乱进化</w:t>
        </w:r>
      </w:hyperlink>
    </w:p>
    <w:p>
      <w:pPr>
        <w:spacing w:before="0" w:after="80"/>
      </w:pPr>
      <w:r>
        <w:rPr>
          <w:i/>
          <w:sz w:val="20"/>
        </w:rPr>
        <w:t>EN: Bacterial−viral conflicts shape cholera evolution</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75">
        <w:r>
          <w:rPr>
            <w:color w:val="1155CC"/>
            <w:u w:val="single"/>
          </w:rPr>
          <w:t>10.1038/d41586-026-01156-w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[146] </w:t>
      </w:r>
      <w:hyperlink r:id="rId476">
        <w:r>
          <w:rPr>
            <w:color w:val="1155CC"/>
            <w:u w:val="single"/>
          </w:rPr>
          <w:t>查尔斯·达尔文报告松鼠惊喜</w:t>
        </w:r>
      </w:hyperlink>
    </w:p>
    <w:p>
      <w:pPr>
        <w:spacing w:before="0" w:after="80"/>
      </w:pPr>
      <w:r>
        <w:rPr>
          <w:i/>
          <w:sz w:val="20"/>
        </w:rPr>
        <w:t>EN: Charles Darwin reports a squirrel surprise</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77">
        <w:r>
          <w:rPr>
            <w:color w:val="1155CC"/>
            <w:u w:val="single"/>
          </w:rPr>
          <w:t>10.1038/d41586-026-01334-w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[147] </w:t>
      </w:r>
      <w:hyperlink r:id="rId478">
        <w:r>
          <w:rPr>
            <w:color w:val="1155CC"/>
            <w:u w:val="single"/>
          </w:rPr>
          <w:t>从柴油到生物质：减少哥伦比亚无电网地区能源贫困的战略政策转变</w:t>
        </w:r>
      </w:hyperlink>
    </w:p>
    <w:p>
      <w:pPr>
        <w:spacing w:before="0" w:after="80"/>
      </w:pPr>
      <w:r>
        <w:rPr>
          <w:i/>
          <w:sz w:val="20"/>
        </w:rPr>
        <w:t>EN: From diesel to biomass: A strategic policy shift for reducing energy poverty in off-grid Colombia</w:t>
      </w:r>
    </w:p>
    <w:p>
      <w:pPr>
        <w:spacing w:before="0" w:after="120"/>
      </w:pPr>
      <w:r>
        <w:rPr>
          <w:b/>
        </w:rPr>
        <w:t xml:space="preserve">Source: </w:t>
      </w:r>
      <w:r>
        <w:t>ScienceDirect Publication: Energy Policy</w:t>
      </w:r>
      <w:r>
        <w:t xml:space="preserve">    </w:t>
      </w:r>
      <w:r>
        <w:rPr>
          <w:b/>
        </w:rPr>
        <w:t xml:space="preserve">Pub date: </w:t>
      </w:r>
      <w:r>
        <w:t>2026-05-12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[148] </w:t>
      </w:r>
      <w:hyperlink r:id="rId479">
        <w:r>
          <w:rPr>
            <w:color w:val="1155CC"/>
            <w:u w:val="single"/>
          </w:rPr>
          <w:t>作者更正：海马体中的奖励预测编码</w:t>
        </w:r>
      </w:hyperlink>
    </w:p>
    <w:p>
      <w:pPr>
        <w:spacing w:before="0" w:after="80"/>
      </w:pPr>
      <w:r>
        <w:rPr>
          <w:i/>
          <w:sz w:val="20"/>
        </w:rPr>
        <w:t>EN: Author Correction: Predictive coding of reward in the hippocampus</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80">
        <w:r>
          <w:rPr>
            <w:color w:val="1155CC"/>
            <w:u w:val="single"/>
          </w:rPr>
          <w:t>10.1038/s41586-026-10615-3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[149] </w:t>
      </w:r>
      <w:hyperlink r:id="rId481">
        <w:r>
          <w:rPr>
            <w:color w:val="1155CC"/>
            <w:u w:val="single"/>
          </w:rPr>
          <w:t>作者更正：机械棘轮驱动单侧胞质分裂</w:t>
        </w:r>
      </w:hyperlink>
    </w:p>
    <w:p>
      <w:pPr>
        <w:spacing w:before="0" w:after="80"/>
      </w:pPr>
      <w:r>
        <w:rPr>
          <w:i/>
          <w:sz w:val="20"/>
        </w:rPr>
        <w:t>EN: Author Correction: A mechanical ratchet drives unilateral cytokinesis</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82">
        <w:r>
          <w:rPr>
            <w:color w:val="1155CC"/>
            <w:u w:val="single"/>
          </w:rPr>
          <w:t>10.1038/s41586-026-10618-0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[150] </w:t>
      </w:r>
      <w:hyperlink r:id="rId483">
        <w:r>
          <w:rPr>
            <w:color w:val="1155CC"/>
            <w:u w:val="single"/>
          </w:rPr>
          <w:t>通过工程化的棒状杆菌高滴度、无抗生素、试点规模生产1,3-丙二醇</w:t>
        </w:r>
      </w:hyperlink>
    </w:p>
    <w:p>
      <w:pPr>
        <w:spacing w:before="0" w:after="80"/>
      </w:pPr>
      <w:r>
        <w:rPr>
          <w:i/>
          <w:sz w:val="20"/>
        </w:rPr>
        <w:t>EN: High-titer, antibiotic-free, pilot-scale production of 1,3-propanediol by engineered Corynebacterium</w:t>
      </w:r>
    </w:p>
    <w:p>
      <w:pPr>
        <w:spacing w:before="0" w:after="120"/>
      </w:pPr>
      <w:r>
        <w:rPr>
          <w:b/>
        </w:rPr>
        <w:t xml:space="preserve">Source: </w:t>
      </w:r>
      <w:r>
        <w:t>Nature Chemical Engineering</w:t>
      </w:r>
      <w:r>
        <w:t xml:space="preserve">    </w:t>
      </w:r>
      <w:r>
        <w:rPr>
          <w:b/>
        </w:rPr>
        <w:t xml:space="preserve">Pub date: </w:t>
      </w:r>
      <w:r>
        <w:t>2026-05-12 00:00:00+00:00</w:t>
      </w:r>
      <w:r>
        <w:t xml:space="preserve">    </w:t>
      </w:r>
      <w:r>
        <w:rPr>
          <w:b/>
        </w:rPr>
        <w:t xml:space="preserve">DOI: </w:t>
      </w:r>
      <w:hyperlink r:id="rId484">
        <w:r>
          <w:rPr>
            <w:color w:val="1155CC"/>
            <w:u w:val="single"/>
          </w:rPr>
          <w:t>10.1038/s44286-026-00389-w</w:t>
        </w:r>
      </w:hyperlink>
    </w:p>
    <w:p>
      <w:pPr>
        <w:spacing w:before="0" w:after="120"/>
      </w:pPr>
      <w:r>
        <w:rPr>
          <w:b/>
        </w:rPr>
        <w:t xml:space="preserve">Notes: </w:t>
      </w:r>
      <w:r>
        <w:t>abstract_source=nature_html</w:t>
      </w:r>
    </w:p>
    <w:p>
      <w:pPr>
        <w:spacing w:before="0" w:after="80" w:lineRule="auto" w:line="276"/>
      </w:pPr>
      <w:r>
        <w:rPr>
          <w:b/>
        </w:rPr>
        <w:t xml:space="preserve">摘要（ZH）: </w:t>
      </w:r>
      <w:r>
        <w:t>甘油作为生物柴油的主要副产品，其微生物增值转化为高价值化学品在工业竞争性产量上仍具挑战性。在此，我们对谷氨酸棒状杆菌进行了工程改造，以实现高水平的1,3-丙二醇（1,3-PDO）生产，并通过补料分批发酵验证了每一步。首先，对谷氨酸棒状杆菌ATCC 13032进行代谢工程改造，从葡萄糖-甘油生产138 g l−1的1,3-PDO，从单独的甘油生产100.9 g l−1。关键的工程策略包括建立甘油摄取和1,3-PDO生物合成途径，最小化副产物并优化补料分批发酵。然后，我们将这些策略转移到新分离的菌株谷氨酸棒状杆菌SC97。进一步的工程改造，包括无抗生素质粒成瘾系统和sucCD过表达，使得在无抗生素条件下实现了141.5 g l−1的1,3-PDO，速率为2.95 g l−1 h−1。在30升和300升的中试规模发酵中，分别达到120.2 g l−1和127.8 g l−1的1,3-PDO。技术经济和生命周期评估支持工业可行性和环境影响，为可持续微生物1,3-PDO规模化生产提供了稳健的蓝图。此图像的替代文本可能是使用AI生成的。</w:t>
      </w:r>
    </w:p>
    <w:p>
      <w:pPr>
        <w:spacing w:before="0" w:after="200" w:lineRule="auto" w:line="276"/>
      </w:pPr>
      <w:r>
        <w:rPr>
          <w:b/>
        </w:rPr>
        <w:t xml:space="preserve">Abstract (EN): </w:t>
      </w:r>
      <w:r>
        <w:t>The microbial valorization of glycerol, a major biodiesel byproduct, into high-value chemicals remains challenging at industrially competitive titers. Here we engineered Corynebacterium glutamicum for high-level 1,3-propanediol (1,3-PDO) production, validating each step via fed-batch fermentation. First, C. glutamicum ATCC 13032 was metabolically engineered to produce 138 g l−1 1,3-PDO from glucose–glycerol and 100.9 g l−1 from glycerol alone. Key engineering strategies included establishing glycerol uptake and 1,3-PDO biosynthetic pathways, minimizing byproducts and optimizing fed-batch fermentation. We then transferred these strategies to a newly isolated strain, C. glutamicum SC97. Further engineering, including antibiotic-free plasmid addiction system and sucCD overexpression, enabled 141.5 g l−1 1,3-PDO at 2.95 g l−1 h−1 without antibiotics. Scalability was demonstrated at 30-l and 300-l pilot-scale fermentations, reaching 120.2 g l−1 and 127.8 g l−1 of 1,3-PDO, respectively. Techno-economic and life-cycle assessments support industrial feasibility and environmental impact, providing a robust blueprint for sustainable microbial 1,3-PDO production at scale.The alternative text for this image may have been generated using AI.</w:t>
      </w:r>
    </w:p>
    <w:p>
      <w:pPr>
        <w:spacing w:before="120" w:after="120"/>
      </w:pPr>
      <w:r>
        <w:rPr>
          <w:sz w:val="18"/>
        </w:rPr>
        <w:t>——————————————————————————————————————————————————————————————————————</w:t>
      </w:r>
    </w:p>
    <w:p>
      <w:pPr>
        <w:spacing w:before="160" w:after="40" w:line="240" w:lineRule="auto"/>
      </w:pPr>
      <w:r>
        <w:rPr>
          <w:b/>
        </w:rPr>
        <w:t xml:space="preserve">[151] </w:t>
      </w:r>
      <w:hyperlink r:id="rId485">
        <w:r>
          <w:rPr>
            <w:color w:val="1155CC"/>
            <w:u w:val="single"/>
          </w:rPr>
          <w:t>邮轮汉坦病毒群暴露出更广泛的准备差距</w:t>
        </w:r>
      </w:hyperlink>
    </w:p>
    <w:p>
      <w:pPr>
        <w:spacing w:before="0" w:after="80"/>
      </w:pPr>
      <w:r>
        <w:rPr>
          <w:i/>
          <w:sz w:val="20"/>
        </w:rPr>
        <w:t>EN: Cruise-ship hantavirus cluster exposes a wider preparedness gap</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86">
        <w:r>
          <w:rPr>
            <w:color w:val="1155CC"/>
            <w:u w:val="single"/>
          </w:rPr>
          <w:t>10.1038/d41586-026-01518-4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[152] </w:t>
      </w:r>
      <w:hyperlink r:id="rId487">
        <w:r>
          <w:rPr>
            <w:color w:val="1155CC"/>
            <w:u w:val="single"/>
          </w:rPr>
          <w:t>每日简报：变得‘更富有和更清洁’的城市</w:t>
        </w:r>
      </w:hyperlink>
    </w:p>
    <w:p>
      <w:pPr>
        <w:spacing w:before="0" w:after="80"/>
      </w:pPr>
      <w:r>
        <w:rPr>
          <w:i/>
          <w:sz w:val="20"/>
        </w:rPr>
        <w:t>EN: Daily briefing: The cities getting ‘richer and cleaner’</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88">
        <w:r>
          <w:rPr>
            <w:color w:val="1155CC"/>
            <w:u w:val="single"/>
          </w:rPr>
          <w:t>10.1038/d41586-026-01544-2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[153] </w:t>
      </w:r>
      <w:hyperlink r:id="rId489">
        <w:r>
          <w:rPr>
            <w:color w:val="1155CC"/>
            <w:u w:val="single"/>
          </w:rPr>
          <w:t>可再生能源安装作为肯尼亚可持续和气候适应性农业增长的催化剂</w:t>
        </w:r>
      </w:hyperlink>
    </w:p>
    <w:p>
      <w:pPr>
        <w:spacing w:before="0" w:after="80"/>
      </w:pPr>
      <w:r>
        <w:rPr>
          <w:i/>
          <w:sz w:val="20"/>
        </w:rPr>
        <w:t>EN: Renewable energy installation as a catalyst for sustainable and climate-resilient agricultural growth in Kenya</w:t>
      </w:r>
    </w:p>
    <w:p>
      <w:pPr>
        <w:spacing w:before="0" w:after="120"/>
      </w:pPr>
      <w:r>
        <w:rPr>
          <w:b/>
        </w:rPr>
        <w:t xml:space="preserve">Source: </w:t>
      </w:r>
      <w:r>
        <w:t>ScienceDirect Publication: Energy Policy</w:t>
      </w:r>
      <w:r>
        <w:t xml:space="preserve">    </w:t>
      </w:r>
      <w:r>
        <w:rPr>
          <w:b/>
        </w:rPr>
        <w:t xml:space="preserve">Pub date: </w:t>
      </w:r>
      <w:r>
        <w:t>2026-05-12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[154] </w:t>
      </w:r>
      <w:hyperlink r:id="rId490">
        <w:r>
          <w:rPr>
            <w:color w:val="1155CC"/>
            <w:u w:val="single"/>
          </w:rPr>
          <w:t>以原子分辨率检测线性二色性</w:t>
        </w:r>
      </w:hyperlink>
    </w:p>
    <w:p>
      <w:pPr>
        <w:spacing w:before="0" w:after="80"/>
      </w:pPr>
      <w:r>
        <w:rPr>
          <w:i/>
          <w:sz w:val="20"/>
        </w:rPr>
        <w:t>EN: Detecting linear dichroism with atomic resolution</w:t>
      </w:r>
    </w:p>
    <w:p>
      <w:pPr>
        <w:spacing w:before="0" w:after="120"/>
      </w:pPr>
      <w:r>
        <w:rPr>
          <w:b/>
        </w:rPr>
        <w:t xml:space="preserve">Source: </w:t>
      </w:r>
      <w:r>
        <w:t>Nature Materials</w:t>
      </w:r>
      <w:r>
        <w:t xml:space="preserve">    </w:t>
      </w:r>
      <w:r>
        <w:rPr>
          <w:b/>
        </w:rPr>
        <w:t xml:space="preserve">Pub date: </w:t>
      </w:r>
      <w:r>
        <w:t>2026-05-12 00:00:00+00:00</w:t>
      </w:r>
      <w:r>
        <w:t xml:space="preserve">    </w:t>
      </w:r>
      <w:r>
        <w:rPr>
          <w:b/>
        </w:rPr>
        <w:t xml:space="preserve">DOI: </w:t>
      </w:r>
      <w:hyperlink r:id="rId491">
        <w:r>
          <w:rPr>
            <w:color w:val="1155CC"/>
            <w:u w:val="single"/>
          </w:rPr>
          <w:t>10.1038/s41563-026-02606-6</w:t>
        </w:r>
      </w:hyperlink>
    </w:p>
    <w:p>
      <w:pPr>
        <w:spacing w:before="0" w:after="120"/>
      </w:pPr>
      <w:r>
        <w:rPr>
          <w:b/>
        </w:rPr>
        <w:t xml:space="preserve">Notes: </w:t>
      </w:r>
      <w:r>
        <w:t>abstract_source=nature_html</w:t>
      </w:r>
    </w:p>
    <w:p>
      <w:pPr>
        <w:spacing w:before="0" w:after="80" w:lineRule="auto" w:line="276"/>
      </w:pPr>
      <w:r>
        <w:rPr>
          <w:b/>
        </w:rPr>
        <w:t xml:space="preserve">摘要（ZH）: </w:t>
      </w:r>
      <w:r>
        <w:t>X射线线性二色性在探测电子各向异性方面具有重要作用，但其固有的空间分辨率限制阻碍了对轨道极化的原子尺度研究。在此，我们在扫描透射电子显微镜中引入了一种多功能的电子线性二色性方法，克服了这些限制。使用具有原子尺寸探针的电子能量损失光谱，并选择沿两个正交方向的动量转移，我们在实空间直接可视化单个原子柱的轨道占据。以应变La0.7Sr0.3MnO3薄膜为模型系统，我们以亚埃精度解析了Mn3d eg轨道极化。我们表明，压缩应变稳定了3z2–r2占据，而拉伸应变则有利于x2–y2。这些结果验证了我们的方法与已建立的X射线测量相一致，实现了最终的单原子柱灵敏度。我们进一步展示了两种优化的信号提取协议，能够适应实验限制而不影响灵敏度。这一通用平台为研究个体缺陷、界面和量子材料中原子尺度电子各向异性支配的对称性破缺现象开辟了独特的机会。</w:t>
      </w:r>
    </w:p>
    <w:p>
      <w:pPr>
        <w:spacing w:before="0" w:after="200" w:lineRule="auto" w:line="276"/>
      </w:pPr>
      <w:r>
        <w:rPr>
          <w:b/>
        </w:rPr>
        <w:t xml:space="preserve">Abstract (EN): </w:t>
      </w:r>
      <w:r>
        <w:t>X-ray linear dichroism has been pivotal for probing electronic anisotropies, but its inherent limited spatial resolution precludes the atomic-scale investigations of orbital polarization. Here we introduce a versatile electron linear dichroism methodology in scanning transmission electron microscopy that overcomes these constraints. Using electron energy loss spectroscopy with an atomic-sized probe and selecting momentum transfers along two orthogonal directions, we directly visualize orbital occupation at individual atomic columns in real space. Using strained La0.7Sr0.3MnO3 thin films as a model system, we resolve the Mn3d eg orbital polarization with sub-ångström precision. We show that compressive strain stabilizes 3z2–r2 occupation whereas tensile strain favours x2–y2. These results validate our approach against established X-ray measurements, achieving the ultimate single-atomic-column sensitivity. We further demonstrate two optimized signal extraction protocols that adapt to experimental constraints without compromising sensitivity. This generalizable platform opens unique opportunities to study symmetry-breaking phenomena at individual defects, interfaces and in quantum materials where atomic-scale electronic anisotropy governs emergent functionality.</w:t>
      </w:r>
    </w:p>
    <w:p>
      <w:pPr>
        <w:spacing w:before="120" w:after="120"/>
      </w:pPr>
      <w:r>
        <w:rPr>
          <w:sz w:val="18"/>
        </w:rPr>
        <w:t>——————————————————————————————————————————————————————————————————————</w:t>
      </w:r>
    </w:p>
    <w:p>
      <w:pPr>
        <w:spacing w:before="160" w:after="40" w:line="240" w:lineRule="auto"/>
      </w:pPr>
      <w:r>
        <w:rPr>
          <w:b/>
        </w:rPr>
        <w:t xml:space="preserve">[155] </w:t>
      </w:r>
      <w:hyperlink r:id="rId492">
        <w:r>
          <w:rPr>
            <w:color w:val="1155CC"/>
            <w:u w:val="single"/>
          </w:rPr>
          <w:t>干燥以生存：脱水缓步动物耐受高温</w:t>
        </w:r>
      </w:hyperlink>
    </w:p>
    <w:p>
      <w:pPr>
        <w:spacing w:before="0" w:after="80"/>
      </w:pPr>
      <w:r>
        <w:rPr>
          <w:i/>
          <w:sz w:val="20"/>
        </w:rPr>
        <w:t>EN: Dried to survive: desiccated tardigrades tolerate high heat</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93">
        <w:r>
          <w:rPr>
            <w:color w:val="1155CC"/>
            <w:u w:val="single"/>
          </w:rPr>
          <w:t>10.1038/d41586-026-01502-y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494">
        <w:r>
          <w:rPr>
            <w:color w:val="1155CC"/>
            <w:u w:val="single"/>
          </w:rPr>
          <w:t>人工智能时代的化学</w:t>
        </w:r>
      </w:hyperlink>
    </w:p>
    <w:p>
      <w:pPr>
        <w:spacing w:before="0" w:after="80"/>
      </w:pPr>
      <w:r>
        <w:rPr>
          <w:i/>
          <w:sz w:val="20"/>
        </w:rPr>
        <w:t>EN: Chemistry in the AI era</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95">
        <w:r>
          <w:rPr>
            <w:color w:val="1155CC"/>
            <w:u w:val="single"/>
          </w:rPr>
          <w:t>10.1038/d41586-026-01521-9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[157] </w:t>
      </w:r>
      <w:hyperlink r:id="rId496">
        <w:r>
          <w:rPr>
            <w:color w:val="1155CC"/>
            <w:u w:val="single"/>
          </w:rPr>
          <w:t>英国生物银行泄露事件促使基因组学领域重新思考开放科学</w:t>
        </w:r>
      </w:hyperlink>
    </w:p>
    <w:p>
      <w:pPr>
        <w:spacing w:before="0" w:after="80"/>
      </w:pPr>
      <w:r>
        <w:rPr>
          <w:i/>
          <w:sz w:val="20"/>
        </w:rPr>
        <w:t>EN: UK Biobank breach prompts the field of genomics to rethink open science</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97">
        <w:r>
          <w:rPr>
            <w:color w:val="1155CC"/>
            <w:u w:val="single"/>
          </w:rPr>
          <w:t>10.1038/d41586-026-01520-w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498">
        <w:r>
          <w:rPr>
            <w:color w:val="1155CC"/>
            <w:u w:val="single"/>
          </w:rPr>
          <w:t>动物实验替代方法将需要研究机构的文化变革</w:t>
        </w:r>
      </w:hyperlink>
    </w:p>
    <w:p>
      <w:pPr>
        <w:spacing w:before="0" w:after="80"/>
      </w:pPr>
      <w:r>
        <w:rPr>
          <w:i/>
          <w:sz w:val="20"/>
        </w:rPr>
        <w:t>EN: Animal-testing alternatives will require a cultural change in research institutions</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499">
        <w:r>
          <w:rPr>
            <w:color w:val="1155CC"/>
            <w:u w:val="single"/>
          </w:rPr>
          <w:t>10.1038/d41586-026-01519-3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[159] </w:t>
      </w:r>
      <w:hyperlink r:id="rId500">
        <w:r>
          <w:rPr>
            <w:color w:val="1155CC"/>
            <w:u w:val="single"/>
          </w:rPr>
          <w:t>解码大脑动态：与Jose Principe关于脑机接口的访谈</w:t>
        </w:r>
      </w:hyperlink>
    </w:p>
    <w:p>
      <w:pPr>
        <w:spacing w:before="0" w:after="80"/>
      </w:pPr>
      <w:r>
        <w:rPr>
          <w:i/>
          <w:sz w:val="20"/>
        </w:rPr>
        <w:t>EN: Decoding brain dynamics: an interview with Jose Principe on Brain-Machine Interfaces</w:t>
      </w:r>
    </w:p>
    <w:p>
      <w:pPr>
        <w:spacing w:before="0" w:after="120"/>
      </w:pPr>
      <w:r>
        <w:rPr>
          <w:b/>
        </w:rPr>
        <w:t xml:space="preserve">Source: </w:t>
      </w:r>
      <w:r>
        <w:t>National Science Review Advance Access</w:t>
      </w:r>
      <w:r>
        <w:t xml:space="preserve">    </w:t>
      </w:r>
      <w:r>
        <w:rPr>
          <w:b/>
        </w:rPr>
        <w:t xml:space="preserve">Pub date: </w:t>
      </w:r>
      <w:r>
        <w:t>2026-05-12 00:00:00+00:00</w:t>
      </w:r>
      <w:r>
        <w:t xml:space="preserve">    </w:t>
      </w:r>
      <w:r>
        <w:rPr>
          <w:b/>
        </w:rPr>
        <w:t xml:space="preserve">DOI: </w:t>
      </w:r>
      <w:hyperlink r:id="rId501">
        <w:r>
          <w:rPr>
            <w:color w:val="1155CC"/>
            <w:u w:val="single"/>
          </w:rPr>
          <w:t>10.1093/nsr/nwag262</w:t>
        </w:r>
      </w:hyperlink>
    </w:p>
    <w:p>
      <w:pPr>
        <w:spacing w:before="0" w:after="120"/>
      </w:pPr>
      <w:r>
        <w:rPr>
          <w:b/>
        </w:rPr>
        <w:t xml:space="preserve">Notes: </w:t>
      </w:r>
      <w:r>
        <w:t>abstract_source=crossref</w:t>
      </w:r>
    </w:p>
    <w:p>
      <w:pPr>
        <w:spacing w:before="0" w:after="80" w:lineRule="auto" w:line="276"/>
      </w:pPr>
      <w:r>
        <w:rPr>
          <w:b/>
        </w:rPr>
        <w:t xml:space="preserve">摘要（ZH）: </w:t>
      </w:r>
      <w:r>
        <w:t>何塞对BMI未来的看法以及认识脑活动动态性在推进我们对神经功能理解中的重要性。</w:t>
      </w:r>
    </w:p>
    <w:p>
      <w:pPr>
        <w:spacing w:before="0" w:after="200" w:lineRule="auto" w:line="276"/>
      </w:pPr>
      <w:r>
        <w:rPr>
          <w:b/>
        </w:rPr>
        <w:t xml:space="preserve">Abstract (EN): </w:t>
      </w:r>
      <w:r>
        <w:t>Jose's perspectives on the future of BMI and the importance of recognizing the dynamic nature of brain activity in advancing our understanding of neural function.</w:t>
      </w:r>
    </w:p>
    <w:p>
      <w:pPr>
        <w:spacing w:before="120" w:after="120"/>
      </w:pPr>
      <w:r>
        <w:rPr>
          <w:sz w:val="18"/>
        </w:rPr>
        <w:t>——————————————————————————————————————————————————————————————————————</w:t>
      </w:r>
    </w:p>
    <w:p>
      <w:pPr>
        <w:spacing w:before="160" w:after="40" w:line="240" w:lineRule="auto"/>
      </w:pPr>
      <w:r>
        <w:rPr>
          <w:b/>
        </w:rPr>
        <w:t xml:space="preserve">[160] </w:t>
      </w:r>
      <w:hyperlink r:id="rId502">
        <w:r>
          <w:rPr>
            <w:color w:val="1155CC"/>
            <w:u w:val="single"/>
          </w:rPr>
          <w:t>如何在科学中进行代码共鸣：早期采用者分享他们的技巧</w:t>
        </w:r>
      </w:hyperlink>
    </w:p>
    <w:p>
      <w:pPr>
        <w:spacing w:before="0" w:after="80"/>
      </w:pPr>
      <w:r>
        <w:rPr>
          <w:i/>
          <w:sz w:val="20"/>
        </w:rPr>
        <w:t>EN: How to vibe code in science: early adopters share their tips</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503">
        <w:r>
          <w:rPr>
            <w:color w:val="1155CC"/>
            <w:u w:val="single"/>
          </w:rPr>
          <w:t>10.1038/d41586-026-01477-w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504">
        <w:r>
          <w:rPr>
            <w:color w:val="1155CC"/>
            <w:u w:val="single"/>
          </w:rPr>
          <w:t>电催化系统：揭示流动电化学在电化学能源应用及其他领域的潜力</w:t>
        </w:r>
      </w:hyperlink>
    </w:p>
    <w:p>
      <w:pPr>
        <w:spacing w:before="0" w:after="80"/>
      </w:pPr>
      <w:r>
        <w:rPr>
          <w:i/>
          <w:sz w:val="20"/>
        </w:rPr>
        <w:t>EN: Electrocatalytic systems: Unveiling the potential of flow electrochemistry for electrochemical energy applications and beyond</w:t>
      </w:r>
    </w:p>
    <w:p>
      <w:pPr>
        <w:spacing w:before="0" w:after="120"/>
      </w:pPr>
      <w:r>
        <w:rPr>
          <w:b/>
        </w:rPr>
        <w:t xml:space="preserve">Source: </w:t>
      </w:r>
      <w:r>
        <w:t>ScienceDirect Publication: Applied Energy</w:t>
      </w:r>
      <w:r>
        <w:t xml:space="preserve">    </w:t>
      </w:r>
      <w:r>
        <w:rPr>
          <w:b/>
        </w:rPr>
        <w:t xml:space="preserve">Pub date: </w:t>
      </w:r>
      <w:r>
        <w:t>2026-05-12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505">
        <w:r>
          <w:rPr>
            <w:color w:val="1155CC"/>
            <w:u w:val="single"/>
          </w:rPr>
          <w:t>从煤气化合成天然气的技术演变和可持续部署：综述、建议和前景</w:t>
        </w:r>
      </w:hyperlink>
    </w:p>
    <w:p>
      <w:pPr>
        <w:spacing w:before="0" w:after="80"/>
      </w:pPr>
      <w:r>
        <w:rPr>
          <w:i/>
          <w:sz w:val="20"/>
        </w:rPr>
        <w:t>EN: Technological evolution and sustainable deployment of synthetic natural gas from coal gasification: a review, recommendations, and prospects</w:t>
      </w:r>
    </w:p>
    <w:p>
      <w:pPr>
        <w:spacing w:before="0" w:after="120"/>
      </w:pPr>
      <w:r>
        <w:rPr>
          <w:b/>
        </w:rPr>
        <w:t xml:space="preserve">Source: </w:t>
      </w:r>
      <w:r>
        <w:t>ScienceDirect Publication: Applied Energy</w:t>
      </w:r>
      <w:r>
        <w:t xml:space="preserve">    </w:t>
      </w:r>
      <w:r>
        <w:rPr>
          <w:b/>
        </w:rPr>
        <w:t xml:space="preserve">Pub date: </w:t>
      </w:r>
      <w:r>
        <w:t>2026-05-12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506">
        <w:r>
          <w:rPr>
            <w:color w:val="1155CC"/>
            <w:u w:val="single"/>
          </w:rPr>
          <w:t>基于时域阶跃响应分析的在线电阻诊断用于堆级质子交换膜水电解槽</w:t>
        </w:r>
      </w:hyperlink>
    </w:p>
    <w:p>
      <w:pPr>
        <w:spacing w:before="0" w:after="80"/>
      </w:pPr>
      <w:r>
        <w:rPr>
          <w:i/>
          <w:sz w:val="20"/>
        </w:rPr>
        <w:t>EN: Online resistance diagnostics based on a time-domain step-response analysis for stack-level proton exchange membrane water electrolyzers</w:t>
      </w:r>
    </w:p>
    <w:p>
      <w:pPr>
        <w:spacing w:before="0" w:after="120"/>
      </w:pPr>
      <w:r>
        <w:rPr>
          <w:b/>
        </w:rPr>
        <w:t xml:space="preserve">Source: </w:t>
      </w:r>
      <w:r>
        <w:t>ScienceDirect Publication: Applied Energy</w:t>
      </w:r>
      <w:r>
        <w:t xml:space="preserve">    </w:t>
      </w:r>
      <w:r>
        <w:rPr>
          <w:b/>
        </w:rPr>
        <w:t xml:space="preserve">Pub date: </w:t>
      </w:r>
      <w:r>
        <w:t>2026-05-12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507">
        <w:r>
          <w:rPr>
            <w:color w:val="1155CC"/>
            <w:u w:val="single"/>
          </w:rPr>
          <w:t>在频率超过100 GHz下运行的柔性射频碳纳米管晶体管</w:t>
        </w:r>
      </w:hyperlink>
    </w:p>
    <w:p>
      <w:pPr>
        <w:spacing w:before="0" w:after="80"/>
      </w:pPr>
      <w:r>
        <w:rPr>
          <w:i/>
          <w:sz w:val="20"/>
        </w:rPr>
        <w:t>EN: Flexible radio-frequency carbon nanotube transistors operating at frequencies above 100 GHz</w:t>
      </w:r>
    </w:p>
    <w:p>
      <w:pPr>
        <w:spacing w:before="0" w:after="120"/>
      </w:pPr>
      <w:r>
        <w:rPr>
          <w:b/>
        </w:rPr>
        <w:t xml:space="preserve">Source: </w:t>
      </w:r>
      <w:r>
        <w:t>Nature Electronics</w:t>
      </w:r>
      <w:r>
        <w:t xml:space="preserve">    </w:t>
      </w:r>
      <w:r>
        <w:rPr>
          <w:b/>
        </w:rPr>
        <w:t xml:space="preserve">Pub date: </w:t>
      </w:r>
      <w:r>
        <w:t>2026-05-12 00:00:00+00:00</w:t>
      </w:r>
      <w:r>
        <w:t xml:space="preserve">    </w:t>
      </w:r>
      <w:r>
        <w:rPr>
          <w:b/>
        </w:rPr>
        <w:t xml:space="preserve">DOI: </w:t>
      </w:r>
      <w:hyperlink r:id="rId508">
        <w:r>
          <w:rPr>
            <w:color w:val="1155CC"/>
            <w:u w:val="single"/>
          </w:rPr>
          <w:t>10.1038/s41928-026-01632-1</w:t>
        </w:r>
      </w:hyperlink>
    </w:p>
    <w:p>
      <w:pPr>
        <w:spacing w:before="0" w:after="120"/>
      </w:pPr>
      <w:r>
        <w:rPr>
          <w:b/>
        </w:rPr>
        <w:t xml:space="preserve">Notes: </w:t>
      </w:r>
      <w:r>
        <w:t>abstract_source=nature_html</w:t>
      </w:r>
    </w:p>
    <w:p>
      <w:pPr>
        <w:spacing w:before="0" w:after="80" w:lineRule="auto" w:line="276"/>
      </w:pPr>
      <w:r>
        <w:rPr>
          <w:b/>
        </w:rPr>
        <w:t xml:space="preserve">摘要（ZH）: </w:t>
      </w:r>
      <w:r>
        <w:t>第六代无线通信技术的发展需要能够在100 GHz以上频率下运行的终端。对于以人为中心的应用，这些终端还应具有灵活性和低功耗。然而，目前的柔性射频晶体管通常具有较低的最大频率，部分原因是柔性基板的热导率较差。在此，我们报告了一种基于对齐碳纳米管阵列的柔性基板射频晶体管，其电流增益截止频率（fT）和功率增益截止频率（fmax）均超过100 GHz。这是通过使用电热协同设计来改善设备的散热和射频性能实现的。晶体管表现出0.947 mA µm−1的导通电流，0.728 mS µm−1的跨导，152 GHz的峰值外部fT，102 GHz的峰值外部fmax，以及低于200 mW mm−1的功耗。我们还展示了这些设备可以用于创建输出功率为64 mW mm−1和在K波段具有11 dB功率增益的柔性射频放大器。</w:t>
      </w:r>
    </w:p>
    <w:p>
      <w:pPr>
        <w:spacing w:before="0" w:after="200" w:lineRule="auto" w:line="276"/>
      </w:pPr>
      <w:r>
        <w:rPr>
          <w:b/>
        </w:rPr>
        <w:t xml:space="preserve">Abstract (EN): </w:t>
      </w:r>
      <w:r>
        <w:t>The development of the sixth generation of wireless communications technology requires terminals that can operate at frequencies above 100 GHz. For human-centric applications, these terminals should also be flexible and have low power. However, current flexible radio-frequency transistors typically have lower maximum frequencies, in part due to the poor thermal conductivity of flexible substrates. Here we report radio-frequency transistors that are based on aligned carbon nanotube arrays on flexible substrates, having current-gain cut-off frequencies (fT) and power-gain cut-off frequencies (fmax) above 100 GHz. This is achieved by using electrothermal co-design to improve the heat dissipation and radio-frequency performance of the devices. The transistors exhibit an on-state current of 0.947 mA µm−1, a transconductance of 0.728 mS µm−1, a peak extrinsic fT of 152 GHz, a peak extrinsic fmax of 102 GHz and a power consumption under 200 mW mm−1. We also show that the devices can be used to create flexible radio-frequency amplifiers with an output power of 64 mW mm−1 and an 11-dB power gain in the K band.</w:t>
      </w:r>
    </w:p>
    <w:p>
      <w:pPr>
        <w:spacing w:before="120" w:after="120"/>
      </w:pPr>
      <w:r>
        <w:rPr>
          <w:sz w:val="18"/>
        </w:rPr>
        <w:t>——————————————————————————————————————————————————————————————————————</w:t>
      </w:r>
    </w:p>
    <w:p>
      <w:pPr>
        <w:spacing w:before="160" w:after="40" w:line="240" w:lineRule="auto"/>
      </w:pPr>
      <w:r>
        <w:rPr>
          <w:b/>
        </w:rPr>
        <w:t xml:space="preserve">[165] </w:t>
      </w:r>
      <w:hyperlink r:id="rId509">
        <w:r>
          <w:rPr>
            <w:color w:val="1155CC"/>
            <w:u w:val="single"/>
          </w:rPr>
          <w:t>基于混沌垂直腔面发射激光器的物理不可克隆函数用于动态认证</w:t>
        </w:r>
      </w:hyperlink>
    </w:p>
    <w:p>
      <w:pPr>
        <w:spacing w:before="0" w:after="80"/>
      </w:pPr>
      <w:r>
        <w:rPr>
          <w:i/>
          <w:sz w:val="20"/>
        </w:rPr>
        <w:t>EN: Physical unclonable functions based on chaotic vertical-cavity surface-emitting lasers for dynamic authentication</w:t>
      </w:r>
    </w:p>
    <w:p>
      <w:pPr>
        <w:spacing w:before="0" w:after="120"/>
      </w:pPr>
      <w:r>
        <w:rPr>
          <w:b/>
        </w:rPr>
        <w:t xml:space="preserve">Source: </w:t>
      </w:r>
      <w:r>
        <w:t>Nature Electronics</w:t>
      </w:r>
      <w:r>
        <w:t xml:space="preserve">    </w:t>
      </w:r>
      <w:r>
        <w:rPr>
          <w:b/>
        </w:rPr>
        <w:t xml:space="preserve">Pub date: </w:t>
      </w:r>
      <w:r>
        <w:t>2026-05-12 00:00:00+00:00</w:t>
      </w:r>
      <w:r>
        <w:t xml:space="preserve">    </w:t>
      </w:r>
      <w:r>
        <w:rPr>
          <w:b/>
        </w:rPr>
        <w:t xml:space="preserve">DOI: </w:t>
      </w:r>
      <w:hyperlink r:id="rId510">
        <w:r>
          <w:rPr>
            <w:color w:val="1155CC"/>
            <w:u w:val="single"/>
          </w:rPr>
          <w:t>10.1038/s41928-026-01627-y</w:t>
        </w:r>
      </w:hyperlink>
    </w:p>
    <w:p>
      <w:pPr>
        <w:spacing w:before="0" w:after="120"/>
      </w:pPr>
      <w:r>
        <w:rPr>
          <w:b/>
        </w:rPr>
        <w:t xml:space="preserve">Notes: </w:t>
      </w:r>
      <w:r>
        <w:t>abstract_source=nature_html</w:t>
      </w:r>
    </w:p>
    <w:p>
      <w:pPr>
        <w:spacing w:before="0" w:after="80" w:lineRule="auto" w:line="276"/>
      </w:pPr>
      <w:r>
        <w:rPr>
          <w:b/>
        </w:rPr>
        <w:t xml:space="preserve">摘要（ZH）: </w:t>
      </w:r>
      <w:r>
        <w:t>云服务和物联网在动态多用户和多设备环境中运行，需要可扩展的实时认证。然而，传统的静态密钥管理系统缺乏灵活性和安全性。在此，我们报告了一种基于物理不可克隆函数的安全系统，该系统使用混沌垂直腔面发射激光器作为密钥生成的熵源。该系统提供超过500 Gbps的响应速率，每个激光发射器的能耗低于1 pJ每比特。为了匹配其高吞吐量性能，我们开发了一个用于实时认证的卷积神经网络模型，该模型执行动态密钥匹配，几乎零误报率。为了增强安全性并减少通信开销，采用对抗生成框架来保护密钥传输并提高对模型反演攻击的抵抗力。我们还设计了一种三维共封装硬件结构，用于支持物理不可克隆函数的紧凑集成和灵活部署，估计能耗为2.04 pJ每比特。</w:t>
      </w:r>
    </w:p>
    <w:p>
      <w:pPr>
        <w:spacing w:before="0" w:after="200" w:lineRule="auto" w:line="276"/>
      </w:pPr>
      <w:r>
        <w:rPr>
          <w:b/>
        </w:rPr>
        <w:t xml:space="preserve">Abstract (EN): </w:t>
      </w:r>
      <w:r>
        <w:t>Cloud services and the internet of things, which operate in dynamic multi-user and multi-device environments, require scalable, real-time authentication. However, conventional static key management systems lack flexibility and security. Here we report on a security system based on physical unclonable functions that uses chaotic vertical-cavity surface-emitting lasers as entropy sources for key generation. The system offers response rates above 500 Gbps with an energy consumption below 1 pJ per bit per laser emitter. To match its high-throughput performance, we developed a convolutional neural network model for real-time authentication that performs dynamic key matching with near-zero false positive rates. To enhance security and reduce communication overhead, an adversarial generative framework is incorporated to protect key transmission and improve resistance to model inversion attacks. We also designed a three-dimensional co-packaged hardware structure for the physical unclonable functions that supports compact integration and flexible deployment with an estimated energy consumption of 2.04 pJ per bit.</w:t>
      </w:r>
    </w:p>
    <w:p>
      <w:pPr>
        <w:spacing w:before="120" w:after="120"/>
      </w:pPr>
      <w:r>
        <w:rPr>
          <w:sz w:val="18"/>
        </w:rPr>
        <w:t>——————————————————————————————————————————————————————————————————————</w:t>
      </w:r>
    </w:p>
    <w:p>
      <w:pPr>
        <w:spacing w:before="160" w:after="40" w:line="240" w:lineRule="auto"/>
      </w:pPr>
      <w:r>
        <w:rPr>
          <w:b/>
        </w:rPr>
        <w:t xml:space="preserve">[166] </w:t>
      </w:r>
      <w:hyperlink r:id="rId511">
        <w:r>
          <w:rPr>
            <w:color w:val="1155CC"/>
            <w:u w:val="single"/>
          </w:rPr>
          <w:t>人工智能账单可能与博士后工资一样高。成本值得吗？</w:t>
        </w:r>
      </w:hyperlink>
    </w:p>
    <w:p>
      <w:pPr>
        <w:spacing w:before="0" w:after="80"/>
      </w:pPr>
      <w:r>
        <w:rPr>
          <w:i/>
          <w:sz w:val="20"/>
        </w:rPr>
        <w:t>EN: AI bills can be as big as a postdoc salary. Is the cost worth it?</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512">
        <w:r>
          <w:rPr>
            <w:color w:val="1155CC"/>
            <w:u w:val="single"/>
          </w:rPr>
          <w:t>10.1038/d41586-026-01369-z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513">
        <w:r>
          <w:rPr>
            <w:color w:val="1155CC"/>
            <w:u w:val="single"/>
          </w:rPr>
          <w:t>沿海流域氮还原的最佳点</w:t>
        </w:r>
      </w:hyperlink>
    </w:p>
    <w:p>
      <w:pPr>
        <w:spacing w:before="0" w:after="80"/>
      </w:pPr>
      <w:r>
        <w:rPr>
          <w:i/>
          <w:sz w:val="20"/>
        </w:rPr>
        <w:t>EN: Sweet spots for nitrogen reduction in a coastal watershed</w:t>
      </w:r>
    </w:p>
    <w:p>
      <w:pPr>
        <w:spacing w:before="0" w:after="120"/>
      </w:pPr>
      <w:r>
        <w:rPr>
          <w:b/>
        </w:rPr>
        <w:t xml:space="preserve">Source: </w:t>
      </w:r>
      <w:r>
        <w:t>Nature Sustainability</w:t>
      </w:r>
      <w:r>
        <w:t xml:space="preserve">    </w:t>
      </w:r>
      <w:r>
        <w:rPr>
          <w:b/>
        </w:rPr>
        <w:t xml:space="preserve">Pub date: </w:t>
      </w:r>
      <w:r>
        <w:t>2026-05-12 00:00:00+00:00</w:t>
      </w:r>
      <w:r>
        <w:t xml:space="preserve">    </w:t>
      </w:r>
      <w:r>
        <w:rPr>
          <w:b/>
        </w:rPr>
        <w:t xml:space="preserve">DOI: </w:t>
      </w:r>
      <w:hyperlink r:id="rId514">
        <w:r>
          <w:rPr>
            <w:color w:val="1155CC"/>
            <w:u w:val="single"/>
          </w:rPr>
          <w:t>10.1038/s41893-026-01828-5</w:t>
        </w:r>
      </w:hyperlink>
    </w:p>
    <w:p>
      <w:pPr>
        <w:spacing w:before="0" w:after="120"/>
      </w:pPr>
      <w:r>
        <w:rPr>
          <w:b/>
        </w:rPr>
        <w:t xml:space="preserve">Notes: </w:t>
      </w:r>
      <w:r>
        <w:t>abstract_source=nature_html</w:t>
      </w:r>
    </w:p>
    <w:p>
      <w:pPr>
        <w:spacing w:before="0" w:after="80" w:lineRule="auto" w:line="276"/>
      </w:pPr>
      <w:r>
        <w:rPr>
          <w:b/>
        </w:rPr>
        <w:t xml:space="preserve">摘要（ZH）: </w:t>
      </w:r>
      <w:r>
        <w:t>减少向沿海水域输送氮是一个涉及环境、经济和社会需求领域权衡的“棘手问题”。由于这些权衡源于该元素来源和汇的空间和时间复杂性，我们假设跨学科关注不成比例性可以识别出“甜蜜点”，在这些点上多种因素汇聚，创造出控制氮流量的机会。我们将这种方法应用于美国马里兰州巴尔的摩地区，通过绘制氮浓度高的河流段、流域恢复后促进高氮去除率的水文条件、高家庭支付恢复项目意愿和高社会恢复需求，并随后识别出这些因素汇聚以创造甜蜜点的位置。我们的分析表明，在美国各城市中，优化可持续性环境、经济和社会需求组成部分的甜蜜点可能很少。希望在环境干预（如河流恢复）的预算中捆绑多重利益可能导致这些干预措施的次优分布。</w:t>
      </w:r>
    </w:p>
    <w:p>
      <w:pPr>
        <w:spacing w:before="0" w:after="200" w:lineRule="auto" w:line="276"/>
      </w:pPr>
      <w:r>
        <w:rPr>
          <w:b/>
        </w:rPr>
        <w:t xml:space="preserve">Abstract (EN): </w:t>
      </w:r>
      <w:r>
        <w:t>Reducing nitrogen delivery to coastal waters is a ‘wicked problem’ that involves trade-offs among environmental, economic and social need domains. Because these trade-offs arise from spatial and temporal complexities in sources and sinks of this element, we hypothesized that a transdisciplinary focus on disproportionality could enable the identification of ‘sweet spots’ where multiple factors converge to create opportunities to control nitrogen flux. We applied this approach to the region of Baltimore, MD, USA, by mapping stream reaches with high nitrogen concentrations, hydrologic conditions that facilitate high rates of nitrogen removal following stream restoration, a high household willingness to pay for restoration projects and a high social need for restoration, and subsequently identifying locations where these factors converge to create sweet spots. Our analysis indicates that sweet spots that optimize environmental, economic and social need components of sustainability may be rare in cities across the USA. The desire to bundle multiple benefits in the budgeting for environmental interventions such as stream restoration may create a suboptimal distribution of these interventions.</w:t>
      </w:r>
    </w:p>
    <w:p>
      <w:pPr>
        <w:spacing w:before="120" w:after="120"/>
      </w:pPr>
      <w:r>
        <w:rPr>
          <w:sz w:val="18"/>
        </w:rPr>
        <w:t>——————————————————————————————————————————————————————————————————————</w:t>
      </w:r>
    </w:p>
    <w:p>
      <w:pPr>
        <w:spacing w:before="160" w:after="40" w:line="240" w:lineRule="auto"/>
      </w:pPr>
      <w:r>
        <w:rPr>
          <w:b/>
        </w:rPr>
        <w:t xml:space="preserve">[168] </w:t>
      </w:r>
      <w:hyperlink r:id="rId515">
        <w:r>
          <w:rPr>
            <w:color w:val="1155CC"/>
            <w:u w:val="single"/>
          </w:rPr>
          <w:t>用于快速大气水收集的3D打印多尺度有序分级框架</w:t>
        </w:r>
      </w:hyperlink>
    </w:p>
    <w:p>
      <w:pPr>
        <w:spacing w:before="0" w:after="80"/>
      </w:pPr>
      <w:r>
        <w:rPr>
          <w:i/>
          <w:sz w:val="20"/>
        </w:rPr>
        <w:t>EN: 3D-printed multiscale-ordered hierarchical frameworks for rapid atmospheric water harvesting</w:t>
      </w:r>
    </w:p>
    <w:p>
      <w:pPr>
        <w:spacing w:before="0" w:after="120"/>
      </w:pPr>
      <w:r>
        <w:rPr>
          <w:b/>
        </w:rPr>
        <w:t xml:space="preserve">Source: </w:t>
      </w:r>
      <w:r>
        <w:t>Nature Sustainability</w:t>
      </w:r>
      <w:r>
        <w:t xml:space="preserve">    </w:t>
      </w:r>
      <w:r>
        <w:rPr>
          <w:b/>
        </w:rPr>
        <w:t xml:space="preserve">Pub date: </w:t>
      </w:r>
      <w:r>
        <w:t>2026-05-12 00:00:00+00:00</w:t>
      </w:r>
      <w:r>
        <w:t xml:space="preserve">    </w:t>
      </w:r>
      <w:r>
        <w:rPr>
          <w:b/>
        </w:rPr>
        <w:t xml:space="preserve">DOI: </w:t>
      </w:r>
      <w:hyperlink r:id="rId516">
        <w:r>
          <w:rPr>
            <w:color w:val="1155CC"/>
            <w:u w:val="single"/>
          </w:rPr>
          <w:t>10.1038/s41893-026-01834-7</w:t>
        </w:r>
      </w:hyperlink>
    </w:p>
    <w:p>
      <w:pPr>
        <w:spacing w:before="0" w:after="120"/>
      </w:pPr>
      <w:r>
        <w:rPr>
          <w:b/>
        </w:rPr>
        <w:t xml:space="preserve">Notes: </w:t>
      </w:r>
      <w:r>
        <w:t>abstract_source=nature_html</w:t>
      </w:r>
    </w:p>
    <w:p>
      <w:pPr>
        <w:spacing w:before="0" w:after="80" w:lineRule="auto" w:line="276"/>
      </w:pPr>
      <w:r>
        <w:rPr>
          <w:b/>
        </w:rPr>
        <w:t xml:space="preserve">摘要（ZH）: </w:t>
      </w:r>
      <w:r>
        <w:t>淡水稀缺对全球可持续性构成日益严重的威胁，但基于吸附的空气水收集通过直接从空气中提取水分，独立于地理限制，提供了一个引人注目的解决方案。然而，限制基于吸附的空气水收集能力的关键瓶颈仍然是吸附-解吸循环的缓慢动力学。传统策略试图通过单一尺度的宏孔或空气管道工程来解决这一问题，但未能实现快速水生产所需的多尺度传输调节。在此，我们报告了一种热后处理辅助的三维打印策略，以制造具有分级多孔结构的多尺度铝磷酸盐分形框架。该方法实现了跨多个尺度的协同水传输：纳米和微尺度的热激活孔促进了快速的晶内和晶间扩散，而宏观尺度的优化分形通道则最大限度地减少了表面质量传输阻力。因此，该框架表现出比最先进的吸附剂快十倍的吸附-解吸动力学。利用这种材料，我们展示了一种可扩展的基于吸附的空气水收集装置，利用具有分级多孔结构阵列的多尺度铝磷酸盐分形框架，实现了3.77–5.20 lwater kgsorbent−1 d−1的卓越水生产率。这种多尺度设计范式为开发高性能、可扩展的水收集技术提供了坚实的途径。</w:t>
      </w:r>
    </w:p>
    <w:p>
      <w:pPr>
        <w:spacing w:before="0" w:after="200" w:lineRule="auto" w:line="276"/>
      </w:pPr>
      <w:r>
        <w:rPr>
          <w:b/>
        </w:rPr>
        <w:t xml:space="preserve">Abstract (EN): </w:t>
      </w:r>
      <w:r>
        <w:t>Freshwater scarcity poses an escalating threat to global sustainability, yet sorption-based atmospheric water harvesting offers a compelling solution by extracting moisture directly from air, independent of geographic constraints. A critical bottleneck limiting sorption-based atmospheric water-harvesting capacity, however, remains the sluggish kinetics of sorption–desorption cycling. While traditional strategies attempt to address this through single-scale macropore or air-duct engineering, they fail to achieve the multiscale transport regulation necessary for rapid water production. Here we report a heat-post-process-assisted three-dimensional printing strategy to fabricate a multiscale aluminophosphate fractal framework with hierarchical porous structures. This approach enables synergistic water transport across multiple scales: heat-activated pores at the nano- and microscales facilitate rapid intracrystalline and intercrystalline diffusion, while optimized fractal channels at the macroscale minimize surface mass-transfer resistance. Consequently, the framework exhibits sorption–desorption kinetics ten times faster than state-of-the-art sorbents. Leveraging this material, we demonstrate a scalable sorption-based atmospheric water-harvesting device utilizing multiscale aluminophosphate fractal frameworks with hierarchical porous structure arrays that achieves exceptional water productivity of 3.77–5.20 lwater kgsorbent−1 d−1. This multiscale design paradigm provides a robust pathway for the development of high-performance, scalable water harvesting technologies.</w:t>
      </w:r>
    </w:p>
    <w:p>
      <w:pPr>
        <w:spacing w:before="120" w:after="120"/>
      </w:pPr>
      <w:r>
        <w:rPr>
          <w:sz w:val="18"/>
        </w:rPr>
        <w:t>——————————————————————————————————————————————————————————————————————</w:t>
      </w:r>
    </w:p>
    <w:p>
      <w:pPr>
        <w:spacing w:before="160" w:after="40" w:line="240" w:lineRule="auto"/>
      </w:pPr>
      <w:r>
        <w:rPr>
          <w:b/>
        </w:rPr>
        <w:t xml:space="preserve">[169] </w:t>
      </w:r>
      <w:hyperlink r:id="rId517">
        <w:r>
          <w:rPr>
            <w:color w:val="1155CC"/>
            <w:u w:val="single"/>
          </w:rPr>
          <w:t>冰芯揭示了地球气候的最长连续记录</w:t>
        </w:r>
      </w:hyperlink>
    </w:p>
    <w:p>
      <w:pPr>
        <w:spacing w:before="0" w:after="80"/>
      </w:pPr>
      <w:r>
        <w:rPr>
          <w:i/>
          <w:sz w:val="20"/>
        </w:rPr>
        <w:t>EN: Ice core reveals longest-ever continuous record of Earth’s climate</w:t>
      </w:r>
    </w:p>
    <w:p>
      <w:pPr>
        <w:spacing w:before="0" w:after="120"/>
      </w:pPr>
      <w:r>
        <w:rPr>
          <w:b/>
        </w:rPr>
        <w:t xml:space="preserve">Source: </w:t>
      </w:r>
      <w:r>
        <w:t>Nature</w:t>
      </w:r>
      <w:r>
        <w:t xml:space="preserve">    </w:t>
      </w:r>
      <w:r>
        <w:rPr>
          <w:b/>
        </w:rPr>
        <w:t xml:space="preserve">Pub date: </w:t>
      </w:r>
      <w:r>
        <w:t>2026-05-12 00:00:00+00:00</w:t>
      </w:r>
      <w:r>
        <w:t xml:space="preserve">    </w:t>
      </w:r>
      <w:r>
        <w:rPr>
          <w:b/>
        </w:rPr>
        <w:t xml:space="preserve">DOI: </w:t>
      </w:r>
      <w:hyperlink r:id="rId518">
        <w:r>
          <w:rPr>
            <w:color w:val="1155CC"/>
            <w:u w:val="single"/>
          </w:rPr>
          <w:t>10.1038/d41586-026-01523-7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519">
        <w:r>
          <w:rPr>
            <w:color w:val="1155CC"/>
            <w:u w:val="single"/>
          </w:rPr>
          <w:t>由融合丝绸制成的分级材料</w:t>
        </w:r>
      </w:hyperlink>
    </w:p>
    <w:p>
      <w:pPr>
        <w:spacing w:before="0" w:after="80"/>
      </w:pPr>
      <w:r>
        <w:rPr>
          <w:i/>
          <w:sz w:val="20"/>
        </w:rPr>
        <w:t>EN: Hierarchical materials from fused silk</w:t>
      </w:r>
    </w:p>
    <w:p>
      <w:pPr>
        <w:spacing w:before="0" w:after="120"/>
      </w:pPr>
      <w:r>
        <w:rPr>
          <w:b/>
        </w:rPr>
        <w:t xml:space="preserve">Source: </w:t>
      </w:r>
      <w:r>
        <w:t>Nature Sustainability</w:t>
      </w:r>
      <w:r>
        <w:t xml:space="preserve">    </w:t>
      </w:r>
      <w:r>
        <w:rPr>
          <w:b/>
        </w:rPr>
        <w:t xml:space="preserve">Pub date: </w:t>
      </w:r>
      <w:r>
        <w:t>2026-05-12 00:00:00+00:00</w:t>
      </w:r>
      <w:r>
        <w:t xml:space="preserve">    </w:t>
      </w:r>
      <w:r>
        <w:rPr>
          <w:b/>
        </w:rPr>
        <w:t xml:space="preserve">DOI: </w:t>
      </w:r>
      <w:hyperlink r:id="rId520">
        <w:r>
          <w:rPr>
            <w:color w:val="1155CC"/>
            <w:u w:val="single"/>
          </w:rPr>
          <w:t>10.1038/s41893-026-01821-y</w:t>
        </w:r>
      </w:hyperlink>
    </w:p>
    <w:p>
      <w:pPr>
        <w:spacing w:before="0" w:after="120"/>
      </w:pPr>
      <w:r>
        <w:rPr>
          <w:b/>
        </w:rPr>
        <w:t xml:space="preserve">Notes: </w:t>
      </w:r>
      <w:r>
        <w:t>abstract_source=nature_html</w:t>
      </w:r>
    </w:p>
    <w:p>
      <w:pPr>
        <w:spacing w:before="0" w:after="80" w:lineRule="auto" w:line="276"/>
      </w:pPr>
      <w:r>
        <w:rPr>
          <w:b/>
        </w:rPr>
        <w:t xml:space="preserve">摘要（ZH）: </w:t>
      </w:r>
      <w:r>
        <w:t>丝绸是一种非凡的天然材料，其独特的化学性质和分级组织使其性能超越许多合成材料。然而，由于丝蛋白的分子折叠模式导致的加工性差，使得制造除纤维以外的形状在概念上具有挑战性。在此，我们报告了一种简单而快速的热机械工艺，将丝纤维融合成任意形状的固体材料。这种方法避免了丝绸溶解和随后的再生——这些过程通常由于大量溶剂的使用而与可观的环境足迹相关。所得的融合丝绸表现出显著的机械性能（弯曲强度高达510 MPa，拉伸韧性高达45 MJ m−3）、可见光范围内的光学透明性、太赫兹范围内显著的光学活性，具有大偏振旋转和与加工相关的生物相容性和生物降解性。融合丝绸的分子组织源于天然存在的无定形相的相互扩散，生成强大的纤维内和纤维间分子键，而不损害原有的分级组织和晶体区域。这种天然丝纤维直接转化为结构和光学活性材料，增强了可扩展生产和实际应用的前景。</w:t>
      </w:r>
    </w:p>
    <w:p>
      <w:pPr>
        <w:spacing w:before="0" w:after="200" w:lineRule="auto" w:line="276"/>
      </w:pPr>
      <w:r>
        <w:rPr>
          <w:b/>
        </w:rPr>
        <w:t xml:space="preserve">Abstract (EN): </w:t>
      </w:r>
      <w:r>
        <w:t>Silk is an extraordinary natural material whose unique chemistry and hierarchical organization enable performance beyond that of many synthetic counterparts. However, its poor processability arising from the molecular folding patterns of fibroin makes fabricating shapes other than fibres conceptually challenging. Here we report a simple and rapid thermomechanical process to fuse silk fibres into solid materials of arbitrary shapes. This approach avoids silk dissolution and subsequent regeneration – processes typically associated with a substantial environmental footprint due to extensive solvent use. The resulting fused silk exhibits remarkable mechanical properties (flexural strength up to 510 MPa, tensile toughness up to 45 MJ m−3), optical transparency in the visible range, pronounced optical activity in the terahertz range with large polarization rotation and processing-dependent biocompatibility and biodegradability. The molecular organization of fused silk emerges from interdiffusion of the naturally present amorphous phase, generating strong intrafibre and interfibre molecular bonds without damaging the original hierarchical organization and the crystalline regions. This direct conversion of natural silk fibres into structural and optically active materials enhances the prospects for scalable production and real-world deployment.</w:t>
      </w:r>
    </w:p>
    <w:p>
      <w:pPr>
        <w:spacing w:before="120" w:after="120"/>
      </w:pPr>
      <w:r>
        <w:rPr>
          <w:sz w:val="18"/>
        </w:rPr>
        <w:t>——————————————————————————————————————————————————————————————————————</w:t>
      </w:r>
    </w:p>
    <w:p>
      <w:pPr>
        <w:spacing w:before="160" w:after="40" w:line="240" w:lineRule="auto"/>
      </w:pPr>
      <w:r>
        <w:rPr>
          <w:b/>
        </w:rPr>
        <w:t xml:space="preserve">[171] </w:t>
      </w:r>
      <w:hyperlink r:id="rId521">
        <w:r>
          <w:rPr>
            <w:color w:val="1155CC"/>
            <w:u w:val="single"/>
          </w:rPr>
          <w:t>无溶剂路线制备高性能丝绸材料</w:t>
        </w:r>
      </w:hyperlink>
    </w:p>
    <w:p>
      <w:pPr>
        <w:spacing w:before="0" w:after="80"/>
      </w:pPr>
      <w:r>
        <w:rPr>
          <w:i/>
          <w:sz w:val="20"/>
        </w:rPr>
        <w:t>EN: A solvent-free route to high-performance silk materials</w:t>
      </w:r>
    </w:p>
    <w:p>
      <w:pPr>
        <w:spacing w:before="0" w:after="120"/>
      </w:pPr>
      <w:r>
        <w:rPr>
          <w:b/>
        </w:rPr>
        <w:t xml:space="preserve">Source: </w:t>
      </w:r>
      <w:r>
        <w:t>Nature Sustainability</w:t>
      </w:r>
      <w:r>
        <w:t xml:space="preserve">    </w:t>
      </w:r>
      <w:r>
        <w:rPr>
          <w:b/>
        </w:rPr>
        <w:t xml:space="preserve">Pub date: </w:t>
      </w:r>
      <w:r>
        <w:t>2026-05-12 00:00:00+00:00</w:t>
      </w:r>
      <w:r>
        <w:t xml:space="preserve">    </w:t>
      </w:r>
      <w:r>
        <w:rPr>
          <w:b/>
        </w:rPr>
        <w:t xml:space="preserve">DOI: </w:t>
      </w:r>
      <w:hyperlink r:id="rId522">
        <w:r>
          <w:rPr>
            <w:color w:val="1155CC"/>
            <w:u w:val="single"/>
          </w:rPr>
          <w:t>10.1038/s41893-026-01822-x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523">
        <w:r>
          <w:rPr>
            <w:color w:val="1155CC"/>
            <w:u w:val="single"/>
          </w:rPr>
          <w:t>人类内动粒在着丝粒α-卫星CENP-A核小体阵列上的结构模型</w:t>
        </w:r>
      </w:hyperlink>
    </w:p>
    <w:p>
      <w:pPr>
        <w:spacing w:before="0" w:after="80"/>
      </w:pPr>
      <w:r>
        <w:rPr>
          <w:i/>
          <w:sz w:val="20"/>
        </w:rPr>
        <w:t>EN: Models for the architecture of the human inner kinetochore on centromeric α-satellite CENP-A nucleosome arrays</w:t>
      </w:r>
    </w:p>
    <w:p>
      <w:pPr>
        <w:spacing w:before="0" w:after="120"/>
      </w:pPr>
      <w:r>
        <w:rPr>
          <w:b/>
        </w:rPr>
        <w:t xml:space="preserve">Source: </w:t>
      </w:r>
      <w:r>
        <w:t>Nature Communications</w:t>
      </w:r>
      <w:r>
        <w:t xml:space="preserve">    </w:t>
      </w:r>
      <w:r>
        <w:rPr>
          <w:b/>
        </w:rPr>
        <w:t xml:space="preserve">Pub date: </w:t>
      </w:r>
      <w:r>
        <w:t>2026-05-12 00:00:00+00:00</w:t>
      </w:r>
      <w:r>
        <w:t xml:space="preserve">    </w:t>
      </w:r>
      <w:r>
        <w:rPr>
          <w:b/>
        </w:rPr>
        <w:t xml:space="preserve">DOI: </w:t>
      </w:r>
      <w:hyperlink r:id="rId524">
        <w:r>
          <w:rPr>
            <w:color w:val="1155CC"/>
            <w:u w:val="single"/>
          </w:rPr>
          <w:t>10.1038/s41467-026-72856-0</w:t>
        </w:r>
      </w:hyperlink>
    </w:p>
    <w:p>
      <w:pPr>
        <w:spacing w:before="0" w:after="120"/>
      </w:pPr>
      <w:r>
        <w:rPr>
          <w:b/>
        </w:rPr>
        <w:t xml:space="preserve">Notes: </w:t>
      </w:r>
      <w:r>
        <w:t>abstract_source=nature_html</w:t>
      </w:r>
    </w:p>
    <w:p>
      <w:pPr>
        <w:spacing w:before="0" w:after="80" w:lineRule="auto" w:line="276"/>
      </w:pPr>
      <w:r>
        <w:rPr>
          <w:b/>
        </w:rPr>
        <w:t xml:space="preserve">摘要（ZH）: </w:t>
      </w:r>
      <w:r>
        <w:t>人类动粒组装在包含171 bp α-卫星序列重复阵列的着丝粒DNA上。为了理解组装在α-卫星阵列上的内动粒的高阶结构，我们展示了CCAN与游离DNA以及与CENP-A核小体结合的α-卫星重复单体和二聚体的冷冻电镜结构。CCAN结合游离DNA和单体CENP-A核小体，结合了包含30 bp上游α-卫星重复的70 bp DNA。该上游DNA与CENP-TWSX模块的组蛋白折叠域亚基以类似核小体缠绕DNA螺旋的方式相互作用。CCAN组装在具有两个CENP-A核小体的二聚体α-卫星重复上的复合物显示，CCAN只能通过从CENP-TWSX模块和上游核小体解开DNA来容纳在连接DNA上。我们讨论了这些结果对含有CENP-A核小体的α-卫星染色质阵列上CCAN组装模型的影响。</w:t>
      </w:r>
    </w:p>
    <w:p>
      <w:pPr>
        <w:spacing w:before="0" w:after="200" w:lineRule="auto" w:line="276"/>
      </w:pPr>
      <w:r>
        <w:rPr>
          <w:b/>
        </w:rPr>
        <w:t xml:space="preserve">Abstract (EN): </w:t>
      </w:r>
      <w:r>
        <w:t>Human kinetochores assemble onto centromeric DNA comprising repetitive arrays of the 171 bp α-satellite sequence. To understand the higher-order architecture of the inner kinetochore assembled onto α-satellite arrays, we show cryo-EM structures of CCAN with free DNA, and α-satellite repeat monomers and dimers with CENP-A nucleosomes. CCAN bound to free DNA and a monomeric CENP-A nucleosome engages 70 bp of DNA comprising 30 bp of an upstream α-satellite repeat. This upstream DNA interacts with the histone-fold domain subunits of the CENP-TWSX module in a manner resembling how nucleosomes wrap DNA gyres. A complex of CCAN assembled onto a dimeric α-satellite repeat with two CENP-A nucleosomes shows that CCAN can only be accommodated on the linker DNA by unwrapping DNA from both the CENP-TWSX module and the upstream nucleosome. We discuss the implications of these results for models of CCAN assembly on arrays of α-satellite chromatin containing CENP-A nucleosomes.</w:t>
      </w:r>
    </w:p>
    <w:p>
      <w:pPr>
        <w:spacing w:before="120" w:after="120"/>
      </w:pPr>
      <w:r>
        <w:rPr>
          <w:sz w:val="18"/>
        </w:rPr>
        <w:t>——————————————————————————————————————————————————————————————————————</w:t>
      </w:r>
    </w:p>
    <w:p>
      <w:pPr>
        <w:spacing w:before="160" w:after="40" w:line="240" w:lineRule="auto"/>
      </w:pPr>
      <w:r>
        <w:rPr>
          <w:b/>
        </w:rPr>
        <w:t xml:space="preserve">[173] </w:t>
      </w:r>
      <w:hyperlink r:id="rId525">
        <w:r>
          <w:rPr>
            <w:color w:val="1155CC"/>
            <w:u w:val="single"/>
          </w:rPr>
          <w:t>超快激光诱导金刚石色心的宏观对称性破缺</w:t>
        </w:r>
      </w:hyperlink>
    </w:p>
    <w:p>
      <w:pPr>
        <w:spacing w:before="0" w:after="80"/>
      </w:pPr>
      <w:r>
        <w:rPr>
          <w:i/>
          <w:sz w:val="20"/>
        </w:rPr>
        <w:t>EN: Ultrafast laser induces macroscopic symmetry-breaking of diamond color centers</w:t>
      </w:r>
    </w:p>
    <w:p>
      <w:pPr>
        <w:spacing w:before="0" w:after="120"/>
      </w:pPr>
      <w:r>
        <w:rPr>
          <w:b/>
        </w:rPr>
        <w:t xml:space="preserve">Source: </w:t>
      </w:r>
      <w:r>
        <w:t>Nature Communications</w:t>
      </w:r>
      <w:r>
        <w:t xml:space="preserve">    </w:t>
      </w:r>
      <w:r>
        <w:rPr>
          <w:b/>
        </w:rPr>
        <w:t xml:space="preserve">Pub date: </w:t>
      </w:r>
      <w:r>
        <w:t>2026-05-12 00:00:00+00:00</w:t>
      </w:r>
      <w:r>
        <w:t xml:space="preserve">    </w:t>
      </w:r>
      <w:r>
        <w:rPr>
          <w:b/>
        </w:rPr>
        <w:t xml:space="preserve">DOI: </w:t>
      </w:r>
      <w:hyperlink r:id="rId526">
        <w:r>
          <w:rPr>
            <w:color w:val="1155CC"/>
            <w:u w:val="single"/>
          </w:rPr>
          <w:t>10.1038/s41467-026-72813-x</w:t>
        </w:r>
      </w:hyperlink>
    </w:p>
    <w:p>
      <w:pPr>
        <w:spacing w:before="0" w:after="120"/>
      </w:pPr>
      <w:r>
        <w:rPr>
          <w:b/>
        </w:rPr>
        <w:t xml:space="preserve">Notes: </w:t>
      </w:r>
      <w:r>
        <w:t>abstract_source=nature_html</w:t>
      </w:r>
    </w:p>
    <w:p>
      <w:pPr>
        <w:spacing w:before="0" w:after="80" w:lineRule="auto" w:line="276"/>
      </w:pPr>
      <w:r>
        <w:rPr>
          <w:b/>
        </w:rPr>
        <w:t xml:space="preserve">摘要（ZH）: </w:t>
      </w:r>
      <w:r>
        <w:t>负电荷氮空位中心因其优异的自旋相干性和稳定的相互作用而成为领先的量子平台。理解其超快动力学对于量子应用至关重要，但对实验表征和原子尺度建模提出了重大挑战。在此，我们采用实时时间依赖密度泛函理论研究负电荷氮空位中心中耦合的电子-声子-自旋动力学。激光激发在100 fs内促进少数自旋电子，建立C3v对称性破缺的电荷排序。随后，激发电子的势能面上的离子运动产生碳-氮键的对称振荡和具有C3v对称性破缺的动态Jahn-Teller畸变。这些畸变随后在金刚石晶格中诱导非局部相干声子，以声速（~2 Å/fs）传播并伴随C3v对称性破缺。我们的模拟提供了这些过程的直接时间分辨可视化，为氮空位中心中电子、声子和自旋的微观相互作用提供了新的见解。</w:t>
      </w:r>
    </w:p>
    <w:p>
      <w:pPr>
        <w:spacing w:before="0" w:after="200" w:lineRule="auto" w:line="276"/>
      </w:pPr>
      <w:r>
        <w:rPr>
          <w:b/>
        </w:rPr>
        <w:t xml:space="preserve">Abstract (EN): </w:t>
      </w:r>
      <w:r>
        <w:t>The negatively charged nitrogen-vacancy center is a leading quantum platform due to its excellent spin coherence and stable interactions. Understanding its ultrafast dynamics is crucial for quantum applications but presents significant challenges for both experimental characterization and atomic-scale modeling. Here, we employ real-time time-dependent density functional theory to investigate the coupled electron-phonon-spin dynamics in negatively charged nitrogen-vacancy centers. Laser excitation promotes minority-spin electrons within 100 fs, establishing a C3v-symmetry breaking charge ordering. Subsequently, ionic motion on the potential energy surface of the excited electrons generates both symmetric oscillations of carbon-nitrogen bonds and dynamic Jahn-Teller distortions with a C3v-symmetry breaking. These distortions subsequently induce nonlocal coherent phonons in the diamond lattice, which propagate with the C3v-symmetry breaking at the sound velocity ( ~ 2 Å/fs). Our simulations provide direct time-resolved visualization of these processes, offering novel insights into the microscopic interplay of electrons, phonons, and spins in nitrogen-vacancy centers.</w:t>
      </w:r>
    </w:p>
    <w:p>
      <w:pPr>
        <w:spacing w:before="120" w:after="120"/>
      </w:pPr>
      <w:r>
        <w:rPr>
          <w:sz w:val="18"/>
        </w:rPr>
        <w:t>——————————————————————————————————————————————————————————————————————</w:t>
      </w:r>
    </w:p>
    <w:p>
      <w:pPr>
        <w:spacing w:before="160" w:after="40" w:line="240" w:lineRule="auto"/>
      </w:pPr>
      <w:r>
        <w:rPr>
          <w:b/>
        </w:rPr>
        <w:t xml:space="preserve">[174] </w:t>
      </w:r>
      <w:hyperlink r:id="rId527">
        <w:r>
          <w:rPr>
            <w:color w:val="1155CC"/>
            <w:u w:val="single"/>
          </w:rPr>
          <w:t>细胞内N-乙酰氨基葡萄糖修饰糖核糖核酸的识别和定量</w:t>
        </w:r>
      </w:hyperlink>
    </w:p>
    <w:p>
      <w:pPr>
        <w:spacing w:before="0" w:after="80"/>
      </w:pPr>
      <w:r>
        <w:rPr>
          <w:i/>
          <w:sz w:val="20"/>
        </w:rPr>
        <w:t>EN: Identification and quantification of intracellular N-acetylglucosamine modified glycoRNAs</w:t>
      </w:r>
    </w:p>
    <w:p>
      <w:pPr>
        <w:spacing w:before="0" w:after="120"/>
      </w:pPr>
      <w:r>
        <w:rPr>
          <w:b/>
        </w:rPr>
        <w:t xml:space="preserve">Source: </w:t>
      </w:r>
      <w:r>
        <w:t>Nature Communications</w:t>
      </w:r>
      <w:r>
        <w:t xml:space="preserve">    </w:t>
      </w:r>
      <w:r>
        <w:rPr>
          <w:b/>
        </w:rPr>
        <w:t xml:space="preserve">Pub date: </w:t>
      </w:r>
      <w:r>
        <w:t>2026-05-12 00:00:00+00:00</w:t>
      </w:r>
      <w:r>
        <w:t xml:space="preserve">    </w:t>
      </w:r>
      <w:r>
        <w:rPr>
          <w:b/>
        </w:rPr>
        <w:t xml:space="preserve">DOI: </w:t>
      </w:r>
      <w:hyperlink r:id="rId528">
        <w:r>
          <w:rPr>
            <w:color w:val="1155CC"/>
            <w:u w:val="single"/>
          </w:rPr>
          <w:t>10.1038/s41467-026-72909-4</w:t>
        </w:r>
      </w:hyperlink>
    </w:p>
    <w:p>
      <w:pPr>
        <w:spacing w:before="0" w:after="120"/>
      </w:pPr>
      <w:r>
        <w:rPr>
          <w:b/>
        </w:rPr>
        <w:t xml:space="preserve">Notes: </w:t>
      </w:r>
      <w:r>
        <w:t>abstract_source=nature_html</w:t>
      </w:r>
    </w:p>
    <w:p>
      <w:pPr>
        <w:spacing w:before="0" w:after="80" w:lineRule="auto" w:line="276"/>
      </w:pPr>
      <w:r>
        <w:rPr>
          <w:b/>
        </w:rPr>
        <w:t xml:space="preserve">摘要（ZH）: </w:t>
      </w:r>
      <w:r>
        <w:t>GlycoRNA是最近发现的糖缀合物，其不同成分和分布是亟待研究的问题。在此，我们设计了一种从多个角度研究GlycoRNA的一般范式。利用代谢标记技术和设计的荧光DNA探针，通过荧光共振能量转移成像，鉴定出N-乙酰氨基葡萄糖（GlcNAc）修饰的Y5 RNA主要位于细胞核中。在通过目标特异性捕获程序收集后，可以通过凝胶电泳和质谱分析确定GlcNAc缀合的核糖核苷酸的成分。不同细胞系中细胞内GlcNAc修饰的Y5 RNA水平通过GlcNAc特异性原位杂交介导的邻近连接分析以单细胞和单分子分辨率进行原位定量。这些发现创新了GlycoRNA的分布和定量信息，极大地促进了GlycoRNA的功能研究。</w:t>
      </w:r>
    </w:p>
    <w:p>
      <w:pPr>
        <w:spacing w:before="0" w:after="200" w:lineRule="auto" w:line="276"/>
      </w:pPr>
      <w:r>
        <w:rPr>
          <w:b/>
        </w:rPr>
        <w:t xml:space="preserve">Abstract (EN): </w:t>
      </w:r>
      <w:r>
        <w:t>GlycoRNAs are recently discovered glycoconjugates, their different components and distributions are urgently-to-study issues. Here, we design a general paradigm to study glycoRNA from multiple perspectives. Using the metabolic labelling technology and the designed fluorescent DNA probes, the N-acetylglucosamine (GlcNAc) modified Y5 RNA is identified to be mainly in nucleus by fluorescence resonance energy transfer imaging. After it is collected by a target-specific capture procedure, the component of GlcNAc conjugated ribonucleotide can be determined by gel electrophoresis and mass spectrometric analysis. The levels of intracellular GlcNAc modified Y5 RNA in different cell lines are in situ quantified with a GlcNAc-specific in situ hybridization-mediated proximity ligation assay with single-cell and single-molecule resolution. These findings innovate the distribution and quantitation information of glycoRNAs, which greatly promotes the functional research of glycoRNAs.</w:t>
      </w:r>
    </w:p>
    <w:p>
      <w:pPr>
        <w:spacing w:before="120" w:after="120"/>
      </w:pPr>
      <w:r>
        <w:rPr>
          <w:sz w:val="18"/>
        </w:rPr>
        <w:t>——————————————————————————————————————————————————————————————————————</w:t>
      </w:r>
    </w:p>
    <w:p>
      <w:pPr>
        <w:spacing w:before="160" w:after="40" w:line="240" w:lineRule="auto"/>
      </w:pPr>
      <w:r>
        <w:rPr>
          <w:b/>
        </w:rPr>
        <w:t xml:space="preserve">[175] </w:t>
      </w:r>
      <w:hyperlink r:id="rId529">
        <w:r>
          <w:rPr>
            <w:color w:val="1155CC"/>
            <w:u w:val="single"/>
          </w:rPr>
          <w:t>气溶胶-云相互作用导致的瞬态和平衡有效辐射强迫的对立</w:t>
        </w:r>
      </w:hyperlink>
    </w:p>
    <w:p>
      <w:pPr>
        <w:spacing w:before="0" w:after="80"/>
      </w:pPr>
      <w:r>
        <w:rPr>
          <w:i/>
          <w:sz w:val="20"/>
        </w:rPr>
        <w:t>EN: Opposing transient and equilibrium effective radiative forcing from aerosol-cloud interactions</w:t>
      </w:r>
    </w:p>
    <w:p>
      <w:pPr>
        <w:spacing w:before="0" w:after="120"/>
      </w:pPr>
      <w:r>
        <w:rPr>
          <w:b/>
        </w:rPr>
        <w:t xml:space="preserve">Source: </w:t>
      </w:r>
      <w:r>
        <w:t>Nature Communications</w:t>
      </w:r>
      <w:r>
        <w:t xml:space="preserve">    </w:t>
      </w:r>
      <w:r>
        <w:rPr>
          <w:b/>
        </w:rPr>
        <w:t xml:space="preserve">Pub date: </w:t>
      </w:r>
      <w:r>
        <w:t>2026-05-12 00:00:00+00:00</w:t>
      </w:r>
      <w:r>
        <w:t xml:space="preserve">    </w:t>
      </w:r>
      <w:r>
        <w:rPr>
          <w:b/>
        </w:rPr>
        <w:t xml:space="preserve">DOI: </w:t>
      </w:r>
      <w:hyperlink r:id="rId530">
        <w:r>
          <w:rPr>
            <w:color w:val="1155CC"/>
            <w:u w:val="single"/>
          </w:rPr>
          <w:t>10.1038/s41467-026-72896-6</w:t>
        </w:r>
      </w:hyperlink>
    </w:p>
    <w:p>
      <w:pPr>
        <w:spacing w:before="0" w:after="120"/>
      </w:pPr>
      <w:r>
        <w:rPr>
          <w:b/>
        </w:rPr>
        <w:t xml:space="preserve">Notes: </w:t>
      </w:r>
      <w:r>
        <w:t>abstract_source=nature_html</w:t>
      </w:r>
    </w:p>
    <w:p>
      <w:pPr>
        <w:spacing w:before="0" w:after="80" w:lineRule="auto" w:line="276"/>
      </w:pPr>
      <w:r>
        <w:rPr>
          <w:b/>
        </w:rPr>
        <w:t xml:space="preserve">摘要（ZH）: </w:t>
      </w:r>
      <w:r>
        <w:t>气溶胶通过在多个相互作用的时间尺度上运行的过程影响云层，从而影响地球的辐射预算，使气溶胶-云相互作用（ACI）成为有效辐射强迫（ERF）估算中持续的不确定性来源。在此，我们使用从不同大气状态初始化并受到瞬时气溶胶扰动的高分辨率模拟集合，结合气溶胶浓度随规定周期变化的模拟，研究局部、对流集中的ERFACI的时间依赖响应。我们发现，在最初约2天内，瞬态ERFACI为正，由快速微物理激励、增强的高云分数和增加的长波捕获驱动。相反，平衡ERFACI变为负值，因为上对流层变暖增加了静态稳定性并减少了砧云分数。因此，时间平均强迫取决于环境调整时间尺度（τadj）与气溶胶扰动时间尺度（τaer）之间的比率。对于τaer仅比τadj稍长的中间状态，系统表现出明显的滞后现象：ERFACI不仅取决于瞬时气溶胶负载，还取决于其近期历史。这些结果表明，基于快照的观测约束和近瞬时平衡对流参数化可能系统性地误估ERFACI。</w:t>
      </w:r>
    </w:p>
    <w:p>
      <w:pPr>
        <w:spacing w:before="0" w:after="200" w:lineRule="auto" w:line="276"/>
      </w:pPr>
      <w:r>
        <w:rPr>
          <w:b/>
        </w:rPr>
        <w:t xml:space="preserve">Abstract (EN): </w:t>
      </w:r>
      <w:r>
        <w:t>Aerosols influence clouds, and therefore Earth’s radiation budget, through processes that operate across multiple and interacting time scales, making aerosol-cloud interactions (ACI) a persistent source of uncertainty in estimates of effective radiative forcing (ERF). Here we examine the time-dependent response of the local, convection-focused ERFACI using an ensemble of high-resolution simulations initialized from different atmospheric states and subjected to an instantaneous aerosol perturbation, together with simulations in which aerosol concentration changes with prescribed periods. We find that the transient ERFACI during the first ~ 2 days is positive, driven by rapid microphysical invigoration, enhanced high-cloud fraction, and increased longwave trapping. In contrast, the equilibrium ERFACI becomes negative as upper-tropospheric warming increases static stability and reduces anvil cloud fraction. As a result, the time-mean forcing depends on the ratio between the environmental adjustment time scale (τadj) and the aerosol-perturbation time scale (τaer). For intermediate regimes, where τaer is only moderately longer than τadj, the system exhibits pronounced hysteresis: ERFACI depends not only on the instantaneous aerosol loading but also on its recent history. These results imply that snapshot-based observational constraints and near-instantaneous-equilibrium convective parameterizations may systematically misestimate ERFACI.</w:t>
      </w:r>
    </w:p>
    <w:p>
      <w:pPr>
        <w:spacing w:before="120" w:after="120"/>
      </w:pPr>
      <w:r>
        <w:rPr>
          <w:sz w:val="18"/>
        </w:rPr>
        <w:t>——————————————————————————————————————————————————————————————————————</w:t>
      </w:r>
    </w:p>
    <w:p>
      <w:pPr>
        <w:spacing w:before="160" w:after="40" w:line="240" w:lineRule="auto"/>
      </w:pPr>
      <w:r>
        <w:rPr>
          <w:b/>
        </w:rPr>
        <w:t xml:space="preserve">[176] </w:t>
      </w:r>
      <w:hyperlink r:id="rId531">
        <w:r>
          <w:rPr>
            <w:color w:val="1155CC"/>
            <w:u w:val="single"/>
          </w:rPr>
          <w:t>手性诱导的自旋选择性作为控制电化学CO2还原过程中产物选择性的机制</w:t>
        </w:r>
      </w:hyperlink>
    </w:p>
    <w:p>
      <w:pPr>
        <w:spacing w:before="0" w:after="80"/>
      </w:pPr>
      <w:r>
        <w:rPr>
          <w:i/>
          <w:sz w:val="20"/>
        </w:rPr>
        <w:t>EN: Chirality-induced spin selectivity as a mechanism to control product selectivity during electrochemical CO2 reduction</w:t>
      </w:r>
    </w:p>
    <w:p>
      <w:pPr>
        <w:spacing w:before="0" w:after="120"/>
      </w:pPr>
      <w:r>
        <w:rPr>
          <w:b/>
        </w:rPr>
        <w:t xml:space="preserve">Source: </w:t>
      </w:r>
      <w:r>
        <w:t>Nature Energy</w:t>
      </w:r>
      <w:r>
        <w:t xml:space="preserve">    </w:t>
      </w:r>
      <w:r>
        <w:rPr>
          <w:b/>
        </w:rPr>
        <w:t xml:space="preserve">Pub date: </w:t>
      </w:r>
      <w:r>
        <w:t>2026-05-12 00:00:00+00:00</w:t>
      </w:r>
      <w:r>
        <w:t xml:space="preserve">    </w:t>
      </w:r>
      <w:r>
        <w:rPr>
          <w:b/>
        </w:rPr>
        <w:t xml:space="preserve">DOI: </w:t>
      </w:r>
      <w:hyperlink r:id="rId532">
        <w:r>
          <w:rPr>
            <w:color w:val="1155CC"/>
            <w:u w:val="single"/>
          </w:rPr>
          <w:t>10.1038/s41560-026-02062-1</w:t>
        </w:r>
      </w:hyperlink>
    </w:p>
    <w:p>
      <w:pPr>
        <w:spacing w:before="0" w:after="120"/>
      </w:pPr>
      <w:r>
        <w:rPr>
          <w:b/>
        </w:rPr>
        <w:t xml:space="preserve">Notes: </w:t>
      </w:r>
      <w:r>
        <w:t>abstract_source=nature_html</w:t>
      </w:r>
    </w:p>
    <w:p>
      <w:pPr>
        <w:spacing w:before="0" w:after="80" w:lineRule="auto" w:line="276"/>
      </w:pPr>
      <w:r>
        <w:rPr>
          <w:b/>
        </w:rPr>
        <w:t xml:space="preserve">摘要（ZH）: </w:t>
      </w:r>
      <w:r>
        <w:t>电催化CO2还原通常受到与氢析出反应（HER）的竞争影响，这降低了效率并限制了产物选择性。最近的研究表明，当电子自旋在电极表面受到控制时，可以影响反应路径，但直接将自旋效应与抑制HER联系起来的证据有限。在此，我们展示了螺旋手性铜（Cu）电极在CO2还原过程中减少了竞争性HER，这与通过手性诱导自旋选择效应引起的自旋极化一致。螺旋结构的Cu电极通过使用手性模板试剂的电沉积制备。时间分辨克尔椭圆度测量，跟踪由超快塞贝克电流产生的自旋极化载流子，证实了在手性Cu表面上的自旋积累。这种自旋极化不利于H–H键的形成，从而抑制HER并实现甲酸盐与CO的共同生产。这些发现表明，基于手性的自旋控制为在CO2还原和其他HER为不期望竞争者的反应中引导选择性提供了一种策略。</w:t>
      </w:r>
    </w:p>
    <w:p>
      <w:pPr>
        <w:spacing w:before="0" w:after="200" w:lineRule="auto" w:line="276"/>
      </w:pPr>
      <w:r>
        <w:rPr>
          <w:b/>
        </w:rPr>
        <w:t xml:space="preserve">Abstract (EN): </w:t>
      </w:r>
      <w:r>
        <w:t>Electrocatalytic CO2 reduction often suffers from competition with the hydrogen evolution reaction (HER), which lowers efficiency and limits product selectivity. Recent studies suggest that electron spin, when controlled at an electrode surface, can influence reaction pathways, but direct evidence linking spin effects to suppressed HER has been limited. Here we show that helical chiral copper (Cu) electrodes reduce competing HER during CO2 reduction, consistent with spin polarization induced via the chiral-induced spin selectivity effect. The helically structured Cu electrodes are fabricated by electrodeposition with a chiral templating reagent. Time-resolved Kerr ellipticity measurements, which track spin-polarized carriers generated by an ultrafast Seebeck current, confirm spin accumulation at the chiral Cu surface. This spin polarization disfavours H–H bond formation, thereby suppressing HER and enabling formate production alongside CO. These findings demonstrate that chirality-based spin control offers a strategy for steering selectivity in CO2 reduction and other reactions where HER is an undesired competitor.</w:t>
      </w:r>
    </w:p>
    <w:p>
      <w:pPr>
        <w:spacing w:before="120" w:after="120"/>
      </w:pPr>
      <w:r>
        <w:rPr>
          <w:sz w:val="18"/>
        </w:rPr>
        <w:t>——————————————————————————————————————————————————————————————————————</w:t>
      </w:r>
    </w:p>
    <w:p>
      <w:pPr>
        <w:spacing w:before="160" w:after="40" w:line="240" w:lineRule="auto"/>
      </w:pPr>
      <w:r>
        <w:rPr>
          <w:b/>
        </w:rPr>
        <w:t xml:space="preserve">[177] </w:t>
      </w:r>
      <w:hyperlink r:id="rId533">
        <w:r>
          <w:rPr>
            <w:color w:val="1155CC"/>
            <w:u w:val="single"/>
          </w:rPr>
          <w:t>解锁隐藏的钠</w:t>
        </w:r>
      </w:hyperlink>
    </w:p>
    <w:p>
      <w:pPr>
        <w:spacing w:before="0" w:after="80"/>
      </w:pPr>
      <w:r>
        <w:rPr>
          <w:i/>
          <w:sz w:val="20"/>
        </w:rPr>
        <w:t>EN: Unlocking hidden sodium</w:t>
      </w:r>
    </w:p>
    <w:p>
      <w:pPr>
        <w:spacing w:before="0" w:after="120"/>
      </w:pPr>
      <w:r>
        <w:rPr>
          <w:b/>
        </w:rPr>
        <w:t xml:space="preserve">Source: </w:t>
      </w:r>
      <w:r>
        <w:t>Nature Energy</w:t>
      </w:r>
      <w:r>
        <w:t xml:space="preserve">    </w:t>
      </w:r>
      <w:r>
        <w:rPr>
          <w:b/>
        </w:rPr>
        <w:t xml:space="preserve">Pub date: </w:t>
      </w:r>
      <w:r>
        <w:t>2026-05-12 00:00:00+00:00</w:t>
      </w:r>
      <w:r>
        <w:t xml:space="preserve">    </w:t>
      </w:r>
      <w:r>
        <w:rPr>
          <w:b/>
        </w:rPr>
        <w:t xml:space="preserve">DOI: </w:t>
      </w:r>
      <w:hyperlink r:id="rId534">
        <w:r>
          <w:rPr>
            <w:color w:val="1155CC"/>
            <w:u w:val="single"/>
          </w:rPr>
          <w:t>10.1038/s41560-026-02060-3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[178] </w:t>
      </w:r>
      <w:hyperlink r:id="rId535">
        <w:r>
          <w:rPr>
            <w:color w:val="1155CC"/>
            <w:u w:val="single"/>
          </w:rPr>
          <w:t>由非局域光子模式生成的可调极化拓扑</w:t>
        </w:r>
      </w:hyperlink>
    </w:p>
    <w:p>
      <w:pPr>
        <w:spacing w:before="0" w:after="80"/>
      </w:pPr>
      <w:r>
        <w:rPr>
          <w:i/>
          <w:sz w:val="20"/>
        </w:rPr>
        <w:t>EN: Tunable polaritonic topologies generated by non-local photonic modes</w:t>
      </w:r>
    </w:p>
    <w:p>
      <w:pPr>
        <w:spacing w:before="0" w:after="120"/>
      </w:pPr>
      <w:r>
        <w:rPr>
          <w:b/>
        </w:rPr>
        <w:t xml:space="preserve">Source: </w:t>
      </w:r>
      <w:r>
        <w:t>Nature Nanotechnology</w:t>
      </w:r>
      <w:r>
        <w:t xml:space="preserve">    </w:t>
      </w:r>
      <w:r>
        <w:rPr>
          <w:b/>
        </w:rPr>
        <w:t xml:space="preserve">Pub date: </w:t>
      </w:r>
      <w:r>
        <w:t>2026-05-12 00:00:00+00:00</w:t>
      </w:r>
      <w:r>
        <w:t xml:space="preserve">    </w:t>
      </w:r>
      <w:r>
        <w:rPr>
          <w:b/>
        </w:rPr>
        <w:t xml:space="preserve">DOI: </w:t>
      </w:r>
      <w:hyperlink r:id="rId536">
        <w:r>
          <w:rPr>
            <w:color w:val="1155CC"/>
            <w:u w:val="single"/>
          </w:rPr>
          <w:t>10.1038/s41565-026-02174-5</w:t>
        </w:r>
      </w:hyperlink>
    </w:p>
    <w:p>
      <w:pPr>
        <w:spacing w:before="0" w:after="120"/>
      </w:pPr>
      <w:r>
        <w:rPr>
          <w:b/>
        </w:rPr>
        <w:t xml:space="preserve">Notes: </w:t>
      </w:r>
      <w:r>
        <w:t>abstract_source=nature_html</w:t>
      </w:r>
    </w:p>
    <w:p>
      <w:pPr>
        <w:spacing w:before="0" w:after="80" w:lineRule="auto" w:line="276"/>
      </w:pPr>
      <w:r>
        <w:rPr>
          <w:b/>
        </w:rPr>
        <w:t xml:space="preserve">摘要（ZH）: </w:t>
      </w:r>
      <w:r>
        <w:t>光子斯格明子是拓扑结构，表现出对环境扰动的显著抗性，并支持深亚波长特征，使其成为高分辨率显微镜、光学计算设备和超高密度信息编码的有前途的候选者。然而，与自由空间光学斯格明子相比，所有现有的产生极化子场斯格明子的方法都受到动态可调性缺乏的限制。通常情况下，如果不对入射光的相位进行工程设计，其晶格点直径和总拓扑电荷在制造后保持不变。这些限制源于对波长依赖耦合结构或复杂激发条件的共同依赖。为了克服这些限制，我们引入了由非局部光子模式生成的动态可控极化子拓扑的概念。在这里，我们利用介电超表面中的准连续谱共振来激发六方氮化硼中的双曲面声子极化子，这些极化子相互干涉以创建高度限制的光子斯格明子晶格，其直径可达271 nm (λ/25)。由于六方氮化硼的陡峭色散，我们可以改变激发频率，以实现对同一物理谐振器结构中单个光子斯格明子尺寸的控制。此外，我们的平台不限于一种类型的拓扑，而是可以通过简单的谐振器形状变化生成光学梅隆晶格和kπ-扭曲斯格明子，为斯格明子多路复用提供了一条可行的路径。</w:t>
      </w:r>
    </w:p>
    <w:p>
      <w:pPr>
        <w:spacing w:before="0" w:after="200" w:lineRule="auto" w:line="276"/>
      </w:pPr>
      <w:r>
        <w:rPr>
          <w:b/>
        </w:rPr>
        <w:t xml:space="preserve">Abstract (EN): </w:t>
      </w:r>
      <w:r>
        <w:t>Photonic skyrmions are topological textures that exhibit remarkable resilience to environmental perturbations and support deeply subwavelength features, making them promising candidates for high-resolution microscopy, optical computing devices and ultrahigh-density information encoding. However, in contrast to free-space optical skyrmions, all existing approaches to generate polaritonic field skyrmions are limited by a lack of dynamic tunability. In general, without engineering the phase of the incident light, both their lattice site diameter and total topological charges remain fixed after fabrication. These constraints originate from a shared reliance on wavelength-dependent coupling structures or complex excitation conditions. To overcome these limitations, we introduce the concept of dynamically controllable polaritonic topologies generated by non-local photonic modes. Here we leverage quasi-bound states in the continuum resonances in dielectric metasurfaces to launch hyperbolic phonon polaritons in hexagonal boron nitride that interfere to create highly confined photonic skyrmion lattices with diameters down to 271 nm (λ/25). Thanks to the steep dispersion of hexagonal boron nitride, we can change the excitation frequency to achieve control over the size of individual photonic skyrmions within the same physical resonator structure. In addition, our platform is not limited to one type of topology but can generate optical meron lattices and kπ-twist skyrmions through straightforward variations in resonator shape, providing a feasible path towards skyrmion multiplexing and near-arbitrary topologies. The synergistic integration of resonant metasurfaces with polaritonic topologies has potential applications for nanophotonics, such as topological lasing, nonlinear optics and twistronics, as well as for condensed matter physics, such as Chern insulators and topological edge states.</w:t>
      </w:r>
    </w:p>
    <w:p>
      <w:pPr>
        <w:spacing w:before="120" w:after="120"/>
      </w:pPr>
      <w:r>
        <w:rPr>
          <w:sz w:val="18"/>
        </w:rPr>
        <w:t>——————————————————————————————————————————————————————————————————————</w:t>
      </w:r>
    </w:p>
    <w:p>
      <w:pPr>
        <w:spacing w:before="160" w:after="40" w:line="240" w:lineRule="auto"/>
      </w:pPr>
      <w:r>
        <w:rPr>
          <w:b/>
        </w:rPr>
        <w:t xml:space="preserve">[179] </w:t>
      </w:r>
      <w:hyperlink r:id="rId537">
        <w:r>
          <w:rPr>
            <w:color w:val="1155CC"/>
            <w:u w:val="single"/>
          </w:rPr>
          <w:t>zeptojoule量热法</w:t>
        </w:r>
      </w:hyperlink>
    </w:p>
    <w:p>
      <w:pPr>
        <w:spacing w:before="0" w:after="80"/>
      </w:pPr>
      <w:r>
        <w:rPr>
          <w:i/>
          <w:sz w:val="20"/>
        </w:rPr>
        <w:t>EN: Zeptojoule calorimetry</w:t>
      </w:r>
    </w:p>
    <w:p>
      <w:pPr>
        <w:spacing w:before="0" w:after="120"/>
      </w:pPr>
      <w:r>
        <w:rPr>
          <w:b/>
        </w:rPr>
        <w:t xml:space="preserve">Source: </w:t>
      </w:r>
      <w:r>
        <w:t>Nature Electronics</w:t>
      </w:r>
      <w:r>
        <w:t xml:space="preserve">    </w:t>
      </w:r>
      <w:r>
        <w:rPr>
          <w:b/>
        </w:rPr>
        <w:t xml:space="preserve">Pub date: </w:t>
      </w:r>
      <w:r>
        <w:t>2026-05-12 00:00:00+00:00</w:t>
      </w:r>
      <w:r>
        <w:t xml:space="preserve">    </w:t>
      </w:r>
      <w:r>
        <w:rPr>
          <w:b/>
        </w:rPr>
        <w:t xml:space="preserve">DOI: </w:t>
      </w:r>
      <w:hyperlink r:id="rId538">
        <w:r>
          <w:rPr>
            <w:color w:val="1155CC"/>
            <w:u w:val="single"/>
          </w:rPr>
          <w:t>10.1038/s41928-026-01615-2</w:t>
        </w:r>
      </w:hyperlink>
    </w:p>
    <w:p>
      <w:pPr>
        <w:spacing w:before="0" w:after="120"/>
      </w:pPr>
      <w:r>
        <w:rPr>
          <w:b/>
        </w:rPr>
        <w:t xml:space="preserve">Notes: </w:t>
      </w:r>
      <w:r>
        <w:t>abstract_source=nature_html</w:t>
      </w:r>
    </w:p>
    <w:p>
      <w:pPr>
        <w:spacing w:before="0" w:after="80" w:lineRule="auto" w:line="276"/>
      </w:pPr>
      <w:r>
        <w:rPr>
          <w:b/>
        </w:rPr>
        <w:t xml:space="preserve">摘要（ZH）: </w:t>
      </w:r>
      <w:r>
        <w:t>能量测量是量子技术和计算中的基本工具。一些最灵敏的能量探测器——辐射热计和量热计——是热的，这意味着它们通过吸收入射能量，将其转化为热量，并使用温度计电气读取由此产生的温度变化。最近，具有金属和石墨烯吸收体的超导-正常导体-超导辐射传感器被预测能够实现0.75 zJ和0.05 zJ的半高全宽能量分辨率。然而，这些估计仅从稳态噪声和响应度测量中数学提取。在这里，我们展示了一种金属超导-正常导体-超导传感器可以用于zeptojoule量热法。通过这种方法，我们测量了1-μs长8.4-GHz微波脉冲的能量，其半高全宽能量分辨率优于0.95 ± 0.02 zJ (=5.9 ± 0.12 meV)，对应于8.4 GHz下的170个光子。该技术为10-GHz范围内单光子的实时量热检测提供了一条潜在路径。</w:t>
      </w:r>
    </w:p>
    <w:p>
      <w:pPr>
        <w:spacing w:before="0" w:after="200" w:lineRule="auto" w:line="276"/>
      </w:pPr>
      <w:r>
        <w:rPr>
          <w:b/>
        </w:rPr>
        <w:t xml:space="preserve">Abstract (EN): </w:t>
      </w:r>
      <w:r>
        <w:t>The measurement of energy is a fundamental tool used in quantum technology and computing. Some of the most sensitive energy detectors—bolometers and calorimeters—are thermal, meaning that they operate by absorbing incoming energy, converting it into heat and reading out the resulting temperature change electrically using a thermometer. Recently, superconductor–normal-conductor–superconductor radiation sensors with metallic and graphene absorbers haven been predicted to be capable of full-width at half-maximum energy resolutions of 0.75 zJ and 0.05 zJ, respectively. However, these estimates are only mathematically extracted from steady-state noise and responsivity measurements. Here we show that a metallic superconductor–normal-conductor–superconductor sensor can be used for zeptojoule calorimetry. With the approach, we measure the energy of 1-μs-long 8.4-GHz microwave pulses with a full-width at half-maximum energy resolution finer than 0.95 ± 0.02 zJ (=5.9 ± 0.12 meV) corresponding to 170 photons at 8.4 GHz. The technique provides a potential path to real-time calorimetric detection of single photons in the 10-GHz range.</w:t>
      </w:r>
    </w:p>
    <w:p>
      <w:pPr>
        <w:spacing w:before="120" w:after="120"/>
      </w:pPr>
      <w:r>
        <w:rPr>
          <w:sz w:val="18"/>
        </w:rPr>
        <w:t>——————————————————————————————————————————————————————————————————————</w:t>
      </w:r>
    </w:p>
    <w:p>
      <w:pPr>
        <w:spacing w:before="160" w:after="40" w:line="240" w:lineRule="auto"/>
      </w:pPr>
      <w:r>
        <w:rPr>
          <w:b/>
        </w:rPr>
        <w:t xml:space="preserve">[180] </w:t>
      </w:r>
      <w:hyperlink r:id="rId539">
        <w:r>
          <w:rPr>
            <w:color w:val="1155CC"/>
            <w:u w:val="single"/>
          </w:rPr>
          <w:t>通过极化双重抑制选择性配体修饰金属有机框架用于超快电化学氟离子捕获</w:t>
        </w:r>
      </w:hyperlink>
    </w:p>
    <w:p>
      <w:pPr>
        <w:spacing w:before="0" w:after="80"/>
      </w:pPr>
      <w:r>
        <w:rPr>
          <w:i/>
          <w:sz w:val="20"/>
        </w:rPr>
        <w:t>EN: Selective ligand tailoring of metal-organic frameworks for ultrafast electrochemical fluorion capture via polarization double suppression</w:t>
      </w:r>
    </w:p>
    <w:p>
      <w:pPr>
        <w:spacing w:before="0" w:after="120"/>
      </w:pPr>
      <w:r>
        <w:rPr>
          <w:b/>
        </w:rPr>
        <w:t xml:space="preserve">Source: </w:t>
      </w:r>
      <w:r>
        <w:t>Matter</w:t>
      </w:r>
      <w:r>
        <w:t xml:space="preserve">    </w:t>
      </w:r>
      <w:r>
        <w:rPr>
          <w:b/>
        </w:rPr>
        <w:t xml:space="preserve">Pub date: </w:t>
      </w:r>
      <w:r>
        <w:t>2026-05-12 00:00:00+00:00</w:t>
      </w:r>
      <w:r>
        <w:t xml:space="preserve">    </w:t>
      </w:r>
      <w:r>
        <w:rPr>
          <w:b/>
        </w:rPr>
        <w:t xml:space="preserve">DOI: </w:t>
      </w:r>
      <w:hyperlink r:id="rId540">
        <w:r>
          <w:rPr>
            <w:color w:val="1155CC"/>
            <w:u w:val="single"/>
          </w:rPr>
          <w:t>10.1016/j.matt.2026.102819</w:t>
        </w:r>
      </w:hyperlink>
    </w:p>
    <w:p>
      <w:pPr>
        <w:spacing w:before="0" w:after="120"/>
      </w:pPr>
      <w:r>
        <w:rPr>
          <w:b/>
        </w:rPr>
        <w:t xml:space="preserve">Notes: </w:t>
      </w:r>
      <w:r>
        <w:t>abstract_source=rss_cell</w:t>
      </w:r>
    </w:p>
    <w:p>
      <w:pPr>
        <w:spacing w:before="0" w:after="80" w:lineRule="auto" w:line="276"/>
      </w:pPr>
      <w:r>
        <w:rPr>
          <w:b/>
        </w:rPr>
        <w:t xml:space="preserve">摘要（ZH）: </w:t>
      </w:r>
      <w:r>
        <w:t>极化是电化学离子捕获中工作电压的障碍，因为它反映了电子转移和离子传输的动力学限制。锆基金属有机框架的配体定制同时加速了这两个过程，使得电化学和浓度极化的操作解耦和抑制超越了单一过程优化。</w:t>
      </w:r>
    </w:p>
    <w:p>
      <w:pPr>
        <w:spacing w:before="0" w:after="200" w:lineRule="auto" w:line="276"/>
      </w:pPr>
      <w:r>
        <w:rPr>
          <w:b/>
        </w:rPr>
        <w:t xml:space="preserve">Abstract (EN): </w:t>
      </w:r>
      <w:r>
        <w:t>Polarization is a barrier to working voltage in electrochemical ion capture because it reflects kinetic constraints on electron transfer and ion transport. Ligand tailoring of a zirconium-based metal-organic framework simultaneously accelerates both processes, enabling operando decoupling and suppression of electrochemical and concentration polarization beyond single-process optimization.</w:t>
      </w:r>
    </w:p>
    <w:p>
      <w:pPr>
        <w:spacing w:before="120" w:after="120"/>
      </w:pPr>
      <w:r>
        <w:rPr>
          <w:sz w:val="18"/>
        </w:rPr>
        <w:t>——————————————————————————————————————————————————————————————————————</w:t>
      </w:r>
    </w:p>
    <w:p>
      <w:pPr>
        <w:spacing w:before="160" w:after="40" w:line="240" w:lineRule="auto"/>
      </w:pPr>
      <w:r>
        <w:rPr>
          <w:b/>
        </w:rPr>
        <w:t xml:space="preserve">[181] </w:t>
      </w:r>
      <w:hyperlink r:id="rId541">
        <w:r>
          <w:rPr>
            <w:color w:val="1155CC"/>
            <w:u w:val="single"/>
          </w:rPr>
          <w:t>一种深红吸收的锇(II)络合物作为光敏剂用于光动力疗法诱导免疫原性细胞死亡</w:t>
        </w:r>
      </w:hyperlink>
    </w:p>
    <w:p>
      <w:pPr>
        <w:spacing w:before="0" w:after="80"/>
      </w:pPr>
      <w:r>
        <w:rPr>
          <w:i/>
          <w:sz w:val="20"/>
        </w:rPr>
        <w:t>EN: A Deep‐Red‐Absorbing Osmium(II) Complex as a Photosensitizer for Photodynamic Therapy Inducing Immunogenic Cell Death</w:t>
      </w:r>
    </w:p>
    <w:p>
      <w:pPr>
        <w:spacing w:before="0" w:after="120"/>
      </w:pPr>
      <w:r>
        <w:rPr>
          <w:b/>
        </w:rPr>
        <w:t xml:space="preserve">Source: </w:t>
      </w:r>
      <w:r>
        <w:t>Wiley: Angewandte Chemie International Edition: Table of Contents</w:t>
      </w:r>
      <w:r>
        <w:t xml:space="preserve">    </w:t>
      </w:r>
      <w:r>
        <w:rPr>
          <w:b/>
        </w:rPr>
        <w:t xml:space="preserve">Pub date: </w:t>
      </w:r>
      <w:r>
        <w:t>2026-05-12 04:40:47+00:00</w:t>
      </w:r>
      <w:r>
        <w:t xml:space="preserve">    </w:t>
      </w:r>
      <w:r>
        <w:rPr>
          <w:b/>
        </w:rPr>
        <w:t xml:space="preserve">DOI: </w:t>
      </w:r>
      <w:hyperlink r:id="rId542">
        <w:r>
          <w:rPr>
            <w:color w:val="1155CC"/>
            <w:u w:val="single"/>
          </w:rPr>
          <w:t>10.1002/anie.8677989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免疫原性细胞死亡（ICD）将肿瘤细胞转化为自身疫苗，在新型抗癌疗法的发展中起着关键作用。在此，合成了一小系列的锇(II)多吡啶配合物，并研究了它们在黑暗和光照下对各种癌细胞系的生物活性。发现化合物Os2（含有两个4,7-二苯基-1,10-菲咯啉和一个取代的联吡啶配体）是该系列中最有效的光敏剂（PS），通过光生成1O2和•OH用于光动力疗法（PDT）。此外，发现Os2在深红光照射下在常氧和缺氧条件下表现出有前景的毒性。这些观察表明该PS通过I型和II型机制的混合作用。更有趣的是，在740 nm照射下，Os2可以在体外和体内对CT26和MCA205细胞刺激强烈的ICD反应。全面的免疫分析显示，用Os2处理的CT26-luc细胞接种的小鼠增强了系统特异性适应性免疫反应，包括CD8+ T细胞的激活和巨噬细胞的重编程，导致肿瘤生长的有效抑制。Os2</w:t>
      </w:r>
    </w:p>
    <w:p>
      <w:pPr>
        <w:spacing w:before="0" w:after="200" w:lineRule="auto" w:line="276"/>
      </w:pPr>
      <w:r>
        <w:rPr>
          <w:b/>
        </w:rPr>
        <w:t xml:space="preserve">Abstract (EN): </w:t>
      </w:r>
      <w:r>
        <w:t>Immunogenic cell death (ICD), which converts tumor cells into their own vaccine, plays a pivotal role in the development of novel anticancer therapies. Here, a small series of osmium(II) polypyridyl complexes was synthesized, and their biological activity in the dark and upon light irradiation against various cancer cell lines was studied. The compound</w:t>
      </w:r>
      <w:r>
        <w:t xml:space="preserve"> </w:t>
      </w:r>
      <w:r>
        <w:t>Os2</w:t>
      </w:r>
      <w:r>
        <w:t xml:space="preserve"> </w:t>
      </w:r>
      <w:r>
        <w:t>(bearing two 4,7‐diphenyl‐1,10‐phenanthrolines and one substituted bipyridine ligand) was discovered to be the most effective photosensitizer (PS) for photodynamic therapy (PDT) of this series through the photogeneration of</w:t>
      </w:r>
      <w:r>
        <w:rPr>
          <w:vertAlign w:val="subscript"/>
        </w:rPr>
        <w:t>1</w:t>
      </w:r>
      <w:r>
        <w:t>O</w:t>
      </w:r>
      <w:r>
        <w:rPr>
          <w:vertAlign w:val="subscript"/>
        </w:rPr>
        <w:t>2</w:t>
      </w:r>
      <w:r>
        <w:t>and •OH. In addition,</w:t>
      </w:r>
      <w:r>
        <w:t xml:space="preserve"> </w:t>
      </w:r>
      <w:r>
        <w:t>Os2</w:t>
      </w:r>
      <w:r>
        <w:t xml:space="preserve"> </w:t>
      </w:r>
      <w:r>
        <w:t>was found to exhibit promising toxicity upon deep‐red irradiation under both normoxia and hypoxia. These observations indicate that this PS is working through a mixture of Type‐I and Type‐II mechanisms. More interestingly, upon 740 nm irradiation,</w:t>
      </w:r>
      <w:r>
        <w:t xml:space="preserve"> </w:t>
      </w:r>
      <w:r>
        <w:t>Os2</w:t>
      </w:r>
      <w:r>
        <w:t xml:space="preserve"> </w:t>
      </w:r>
      <w:r>
        <w:t>can stimulate a strong ICD response on CT26 and MCA205 cells both in vitro and in vivo. A comprehensive immune analysis showed that mice vaccinated with</w:t>
      </w:r>
      <w:r>
        <w:t xml:space="preserve"> </w:t>
      </w:r>
      <w:r>
        <w:t>Os2</w:t>
      </w:r>
      <w:r>
        <w:t xml:space="preserve"> </w:t>
      </w:r>
      <w:r>
        <w:t>‐treated CT26‐luc cells boosted the systemic specific adaptive immune responses, including the activation of CD8</w:t>
      </w:r>
      <w:r>
        <w:t xml:space="preserve"> </w:t>
      </w:r>
      <w:r>
        <w:t>+</w:t>
      </w:r>
      <w:r>
        <w:t xml:space="preserve"> </w:t>
      </w:r>
      <w:r>
        <w:t>T cells and reprogramming of macrophages, leading to effective inhibition of tumor growth.</w:t>
      </w:r>
      <w:r>
        <w:t xml:space="preserve"> </w:t>
      </w:r>
      <w:r>
        <w:t>Os2</w:t>
      </w:r>
      <w:r>
        <w:t xml:space="preserve"> </w:t>
      </w:r>
      <w:r>
        <w:t>is, to the best of our knowledge, the first photoactive osmium‐based complex inducing ICD.</w:t>
      </w:r>
    </w:p>
    <w:p>
      <w:pPr>
        <w:spacing w:before="120" w:after="120"/>
      </w:pPr>
      <w:r>
        <w:rPr>
          <w:sz w:val="18"/>
        </w:rPr>
        <w:t>——————————————————————————————————————————————————————————————————————</w:t>
      </w:r>
    </w:p>
    <w:p>
      <w:pPr>
        <w:spacing w:before="160" w:after="40" w:line="240" w:lineRule="auto"/>
      </w:pPr>
      <w:r>
        <w:rPr>
          <w:b/>
        </w:rPr>
        <w:t xml:space="preserve">[182] </w:t>
      </w:r>
      <w:hyperlink r:id="rId543">
        <w:r>
          <w:rPr>
            <w:color w:val="1155CC"/>
            <w:u w:val="single"/>
          </w:rPr>
          <w:t>蛋白水解辅助环化促进异硫氰酸酯的位点中心靶标解卷</w:t>
        </w:r>
      </w:hyperlink>
    </w:p>
    <w:p>
      <w:pPr>
        <w:spacing w:before="0" w:after="80"/>
      </w:pPr>
      <w:r>
        <w:rPr>
          <w:i/>
          <w:sz w:val="20"/>
        </w:rPr>
        <w:t>EN: Proteolysis‐Assisted Cyclization Facilitates Site‐Centric Target Deconvolution of Isothiocyanates</w:t>
      </w:r>
    </w:p>
    <w:p>
      <w:pPr>
        <w:spacing w:before="0" w:after="120"/>
      </w:pPr>
      <w:r>
        <w:rPr>
          <w:b/>
        </w:rPr>
        <w:t xml:space="preserve">Source: </w:t>
      </w:r>
      <w:r>
        <w:t>Wiley: Angewandte Chemie International Edition: Table of Contents</w:t>
      </w:r>
      <w:r>
        <w:t xml:space="preserve">    </w:t>
      </w:r>
      <w:r>
        <w:rPr>
          <w:b/>
        </w:rPr>
        <w:t xml:space="preserve">Pub date: </w:t>
      </w:r>
      <w:r>
        <w:t>2026-05-12 04:42:17+00:00</w:t>
      </w:r>
      <w:r>
        <w:t xml:space="preserve">    </w:t>
      </w:r>
      <w:r>
        <w:rPr>
          <w:b/>
        </w:rPr>
        <w:t xml:space="preserve">DOI: </w:t>
      </w:r>
      <w:hyperlink r:id="rId544">
        <w:r>
          <w:rPr>
            <w:color w:val="1155CC"/>
            <w:u w:val="single"/>
          </w:rPr>
          <w:t>10.1002/anie.5512891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异硫氰酸酯（ITCs）是一类独特的亲电天然产物，通过与蛋白质半胱氨酸反应生成硫酰基加合物来发挥生物效应。然而，由于此类加合物的高不稳定性，ITCs的靶点识别仍然是一个未解决的任务。在此，我们报告了一种意外的化学反应，通过该反应，ITC-蛋白加合物在蛋白水解过程中形成稳定的N末端二氢噻唑肽加合物。这种蛋白水解辅助环化（PAC）反应可以用于开发基于亲和力和基于活性的化学蛋白质组学方法，以特定位点分析ITCs的靶点。应用这些方法不仅增加了已知的萝卜硫素多药理学景观的复杂性，还通过一个55成员的ITC库扩展了可配位的半胱氨酸组，具有位点级分辨率。鉴于ITCs的化学预防和治疗效果良好，基于PAC的化学蛋白质组学平台可能为阐明其作用机制奠定基础，并最终多样化半胱氨酸的靶向性以用于药物发现。</w:t>
      </w:r>
    </w:p>
    <w:p>
      <w:pPr>
        <w:spacing w:before="0" w:after="200" w:lineRule="auto" w:line="276"/>
      </w:pPr>
      <w:r>
        <w:rPr>
          <w:b/>
        </w:rPr>
        <w:t xml:space="preserve">Abstract (EN): </w:t>
      </w:r>
      <w:r>
        <w:t>Isothiocyanates (ITCs) are a unique class of electrophilic natural products that exert biological effects by reacting with proteinous cysteines to generate thionoacyl adducts. However, the identification of ITCs’ target sites is still an unmet task due to the high lability of such adducts. Here, we report an unexpected chemistry through which the ITC‐protein adduct forms a stable N‐terminal dihydrothiazole peptide adduct during proteolysis. This proteolysis‐assisted cyclization (PAC) reaction can be harnessed for developing affinity‐based and activity‐based chemoproteomic methods to site‐specifically profile targets of ITCs. Applying these methods not only adds further complexity to the known polypharmacological landscape of sulforaphane but also expands the ligandable cysteinome with site‐level resolution through a 55‐member ITC library. Given the promising chemopreventive and therapeutic effects of ITCs, the PAC‐based chemoproteomic platform may lay the groundwork for elucidating their mechanisms of action and ultimately diversifying cysteine targetability for drug discovery.</w:t>
      </w:r>
    </w:p>
    <w:p>
      <w:pPr>
        <w:spacing w:before="120" w:after="120"/>
      </w:pPr>
      <w:r>
        <w:rPr>
          <w:sz w:val="18"/>
        </w:rPr>
        <w:t>——————————————————————————————————————————————————————————————————————</w:t>
      </w:r>
    </w:p>
    <w:p>
      <w:pPr>
        <w:spacing w:before="160" w:after="40" w:line="240" w:lineRule="auto"/>
      </w:pPr>
      <w:r>
        <w:rPr>
          <w:b/>
        </w:rPr>
        <w:t xml:space="preserve">[183] </w:t>
      </w:r>
      <w:hyperlink r:id="rId545">
        <w:r>
          <w:rPr>
            <w:color w:val="1155CC"/>
            <w:u w:val="single"/>
          </w:rPr>
          <w:t>对“热稳定单位点Pd在CeO2催化剂上用于苯酚选择性胺化为芳香胺而无需外部氢气”的更正</w:t>
        </w:r>
      </w:hyperlink>
    </w:p>
    <w:p>
      <w:pPr>
        <w:spacing w:before="0" w:after="80"/>
      </w:pPr>
      <w:r>
        <w:rPr>
          <w:i/>
          <w:sz w:val="20"/>
        </w:rPr>
        <w:t>EN: Correction to “Thermally‐Stable Single‐Site Pd on CeO2 Catalyst for Selective Amination of Phenols to Aromatic Amines Without External Hydrogen”</w:t>
      </w:r>
    </w:p>
    <w:p>
      <w:pPr>
        <w:spacing w:before="0" w:after="120"/>
      </w:pPr>
      <w:r>
        <w:rPr>
          <w:b/>
        </w:rPr>
        <w:t xml:space="preserve">Source: </w:t>
      </w:r>
      <w:r>
        <w:t>Wiley: Angewandte Chemie International Edition: Table of Contents</w:t>
      </w:r>
      <w:r>
        <w:t xml:space="preserve">    </w:t>
      </w:r>
      <w:r>
        <w:rPr>
          <w:b/>
        </w:rPr>
        <w:t xml:space="preserve">Pub date: </w:t>
      </w:r>
      <w:r>
        <w:t>2026-05-12 04:43:19+00:00</w:t>
      </w:r>
      <w:r>
        <w:t xml:space="preserve">    </w:t>
      </w:r>
      <w:r>
        <w:rPr>
          <w:b/>
        </w:rPr>
        <w:t xml:space="preserve">DOI: </w:t>
      </w:r>
      <w:hyperlink r:id="rId546">
        <w:r>
          <w:rPr>
            <w:color w:val="1155CC"/>
            <w:u w:val="single"/>
          </w:rPr>
          <w:t>10.1002/anie.6349130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547">
        <w:r>
          <w:rPr>
            <w:color w:val="1155CC"/>
            <w:u w:val="single"/>
          </w:rPr>
          <w:t>SPECTRAL：一种用于基于生物标志物的癌症预测的智能超灵敏光子水凝胶平台</w:t>
        </w:r>
      </w:hyperlink>
    </w:p>
    <w:p>
      <w:pPr>
        <w:spacing w:before="0" w:after="80"/>
      </w:pPr>
      <w:r>
        <w:rPr>
          <w:i/>
          <w:sz w:val="20"/>
        </w:rPr>
        <w:t>EN: SPECTRAL: An Intelligent and Ultra‐Sensitive Photonic Hydrogel Platform for Biomarker‐Based Cancer Prediction</w:t>
      </w:r>
    </w:p>
    <w:p>
      <w:pPr>
        <w:spacing w:before="0" w:after="120"/>
      </w:pPr>
      <w:r>
        <w:rPr>
          <w:b/>
        </w:rPr>
        <w:t xml:space="preserve">Source: </w:t>
      </w:r>
      <w:r>
        <w:t>Wiley: Angewandte Chemie International Edition: Table of Contents</w:t>
      </w:r>
      <w:r>
        <w:t xml:space="preserve">    </w:t>
      </w:r>
      <w:r>
        <w:rPr>
          <w:b/>
        </w:rPr>
        <w:t xml:space="preserve">Pub date: </w:t>
      </w:r>
      <w:r>
        <w:t>2026-05-12 04:44:25+00:00</w:t>
      </w:r>
      <w:r>
        <w:t xml:space="preserve">    </w:t>
      </w:r>
      <w:r>
        <w:rPr>
          <w:b/>
        </w:rPr>
        <w:t xml:space="preserve">DOI: </w:t>
      </w:r>
      <w:hyperlink r:id="rId548">
        <w:r>
          <w:rPr>
            <w:color w:val="1155CC"/>
            <w:u w:val="single"/>
          </w:rPr>
          <w:t>10.1002/anie.7454058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即时检测（POC）生物传感在无创癌症诊断中具有巨大潜力，因为循环肿瘤DNA（ctDNA）作为早期检测的微创生物标志物。然而，由于低丰度和复杂的工作流程，有效的ctDNA检测仍然具有挑战性。在此，我们提出了SPECTRAL（用于癌症类型识别和分析的智能光子水凝胶增强芯片），这是一种无测序平台，将光子晶体水凝胶与电中性肽核酸（PNA）探针结合，用于高效的体积信号传输和单核苷酸鉴别。光子晶体增强荧光放大了荧光标记的重组酶聚合酶扩增（RPA）扩增子的信号，实现了每微升100拷贝的检测限，相较于传统荧光检测方法显著提高了灵敏度。单个SPECTRAL芯片可同时分析来自血浆样本的205种ctDNA突变和八种蛋白质生物标志物。PNA传感器库通过机器学习（ML）预测的探针难度指导的自动合成系统生成。使用基于云的ML分析多模态信号，以分类多种癌症类型（肺癌、乳腺癌和结直肠癌），在从样本到诊断的100分钟内实现了90.0%的特异性和86.7%的灵敏度（总体准确率为87.5%），基于患者血浆样本的验证。通过结合分子生物传感、光子信号放大和AI驱动的分析，SPECTRAL提供了一种低仪器依赖的平台，用于去中心化的液体活检癌症</w:t>
      </w:r>
    </w:p>
    <w:p>
      <w:pPr>
        <w:spacing w:before="0" w:after="200" w:lineRule="auto" w:line="276"/>
      </w:pPr>
      <w:r>
        <w:rPr>
          <w:b/>
        </w:rPr>
        <w:t xml:space="preserve">Abstract (EN): </w:t>
      </w:r>
      <w:r>
        <w:t>Point‐of‐care (POC) biosensing holds great promise for noninvasive cancer diagnostics, as circulating tumor DNA (ctDNA) serves as a minimally invasive biomarker for early detection. However, effective ctDNA detection remains challenging due to low abundance and complex workflows. Herein, we present SPECTRAL (Smart Photonic‐hydrogel Enhanced chip for Cancer Type Recognition and AnaLysis), a sequencing‐free platform integrating photonic‐crystal hydrogels with charge‐neutral peptide nucleic acid (PNA) probes for efficient volumetric signal transduction and single‐nucleotide discrimination. Photonic‐crystal‐enhanced fluorescence amplifies signals of fluorescently labeled recombinase polymerase amplification (RPA) amplicons, achieving a detection limit of 100 copies per µL, with substantially improved sensitivity over conventional fluorescence assays. A single SPECTRAL chip simultaneously profiles 205 ctDNA mutations and eight protein biomarkers from plasma samples. The PNA sensor library is generated via an automated synthesis system guided by machine learning (ML)‐predicted probe difficulty. Multimodal signals are analyzed using cloud‐based ML to classify multiple cancer types (lung, breast, and colorectal), achieving 90.0% specificity and 86.7% sensitivity (87.5% overall accuracy) within 100 min from sample to diagnosis, based on validation with patient plasma samples. By combining molecular biosensing, photonic signal amplification, and AI‐driven analysis, SPECTRAL provides a low‐instrument‐dependent platform for decentralized liquid‐biopsy cancer diagnostics.</w:t>
      </w:r>
    </w:p>
    <w:p>
      <w:pPr>
        <w:spacing w:before="120" w:after="120"/>
      </w:pPr>
      <w:r>
        <w:rPr>
          <w:sz w:val="18"/>
        </w:rPr>
        <w:t>——————————————————————————————————————————————————————————————————————</w:t>
      </w:r>
    </w:p>
    <w:p>
      <w:pPr>
        <w:spacing w:before="160" w:after="40" w:line="240" w:lineRule="auto"/>
      </w:pPr>
      <w:r>
        <w:rPr>
          <w:b/>
        </w:rPr>
        <w:t xml:space="preserve">[185] </w:t>
      </w:r>
      <w:hyperlink r:id="rId549">
        <w:r>
          <w:rPr>
            <w:color w:val="1155CC"/>
            <w:u w:val="single"/>
          </w:rPr>
          <w:t>超越超荧光：利用主客体激基复合物显著抑制效率滚降并提高窄带发光器件的操作稳定性</w:t>
        </w:r>
      </w:hyperlink>
    </w:p>
    <w:p>
      <w:pPr>
        <w:spacing w:before="0" w:after="80"/>
      </w:pPr>
      <w:r>
        <w:rPr>
          <w:i/>
          <w:sz w:val="20"/>
        </w:rPr>
        <w:t>EN: Beyond Hyperfluorescence: Leveraging a Host‐Guest Exciplex to Significantly Suppress the Efficiency Roll‐Off and Improve the Operational Stability in Narrowband Emissive Devices</w:t>
      </w:r>
    </w:p>
    <w:p>
      <w:pPr>
        <w:spacing w:before="0" w:after="120"/>
      </w:pPr>
      <w:r>
        <w:rPr>
          <w:b/>
        </w:rPr>
        <w:t xml:space="preserve">Source: </w:t>
      </w:r>
      <w:r>
        <w:t>Wiley: Angewandte Chemie International Edition: Table of Contents</w:t>
      </w:r>
      <w:r>
        <w:t xml:space="preserve">    </w:t>
      </w:r>
      <w:r>
        <w:rPr>
          <w:b/>
        </w:rPr>
        <w:t xml:space="preserve">Pub date: </w:t>
      </w:r>
      <w:r>
        <w:t>2026-05-12 04:44:30+00:00</w:t>
      </w:r>
      <w:r>
        <w:t xml:space="preserve">    </w:t>
      </w:r>
      <w:r>
        <w:rPr>
          <w:b/>
        </w:rPr>
        <w:t xml:space="preserve">DOI: </w:t>
      </w:r>
      <w:hyperlink r:id="rId550">
        <w:r>
          <w:rPr>
            <w:color w:val="1155CC"/>
            <w:u w:val="single"/>
          </w:rPr>
          <w:t>10.1002/anie.5182394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使用多重共振（MR）热激活延迟荧光（TADF）发射器的窄带发射设备显示出强烈的效率滚降和低操作稳定性，主要是由于发射器的低反向系间窜跃（RISC）速率（</w:t>
      </w:r>
      <w:r>
        <w:t xml:space="preserve"> </w:t>
      </w:r>
      <w:r>
        <w:t>k</w:t>
      </w:r>
      <w:r>
        <w:t xml:space="preserve"> </w:t>
      </w:r>
      <w:r>
        <w:t>RISC</w:t>
      </w:r>
      <w:r>
        <w:t xml:space="preserve"> </w:t>
      </w:r>
      <w:r>
        <w:t>）。TADF/磷光敏化荧光（即超荧光）有效解决了这个问题，但需要合适的敏化剂。在此，“主客体激基复合物促进RISC”策略有效解决了超荧光机制之外的问题。开发了三种具有2,4,6-三苯基-1,3,5-三嗪基团的电子传输主材料，即</w:t>
      </w:r>
      <w:r>
        <w:t xml:space="preserve"> </w:t>
      </w:r>
      <w:r>
        <w:t>SF3‐TRZ</w:t>
      </w:r>
      <w:r>
        <w:t xml:space="preserve"> </w:t>
      </w:r>
      <w:r>
        <w:t>、</w:t>
      </w:r>
      <w:r>
        <w:t xml:space="preserve"> </w:t>
      </w:r>
      <w:r>
        <w:t>SF3‐TRZ‐DBF</w:t>
      </w:r>
      <w:r>
        <w:t xml:space="preserve"> </w:t>
      </w:r>
      <w:r>
        <w:t>和</w:t>
      </w:r>
      <w:r>
        <w:t xml:space="preserve"> </w:t>
      </w:r>
      <w:r>
        <w:t>SF3‐TRZ‐DBSe</w:t>
      </w:r>
      <w:r>
        <w:t xml:space="preserve"> </w:t>
      </w:r>
      <w:r>
        <w:t>，用于典型的MR-TADF客体（DtBuCzB）。主客体之间形成的激基复合物有效促进了DtBuCzB的RISC，特别是对于嵌入硒的</w:t>
      </w:r>
      <w:r>
        <w:t xml:space="preserve"> </w:t>
      </w:r>
      <w:r>
        <w:t>SF3‐TRZ‐DBSe</w:t>
      </w:r>
      <w:r>
        <w:t xml:space="preserve"> </w:t>
      </w:r>
      <w:r>
        <w:t>。主客体薄膜显示出来自DtBuCzB的窄带发射，[</w:t>
      </w:r>
      <w:r>
        <w:t xml:space="preserve"> </w:t>
      </w:r>
      <w:r>
        <w:t>SF3‐TRZ‐DBSe</w:t>
      </w:r>
      <w:r>
        <w:t xml:space="preserve"> </w:t>
      </w:r>
      <w:r>
        <w:t>: DtBuCzB]薄膜的</w:t>
      </w:r>
      <w:r>
        <w:t xml:space="preserve"> </w:t>
      </w:r>
      <w:r>
        <w:t>k</w:t>
      </w:r>
      <w:r>
        <w:t xml:space="preserve"> </w:t>
      </w:r>
      <w:r>
        <w:t>RISC</w:t>
      </w:r>
      <w:r>
        <w:t xml:space="preserve"> </w:t>
      </w:r>
      <w:r>
        <w:t>提升了近60倍至4.7 × 10</w:t>
      </w:r>
      <w:r>
        <w:rPr>
          <w:vertAlign w:val="subscript"/>
        </w:rPr>
        <w:t>5</w:t>
      </w:r>
      <w:r>
        <w:t>s</w:t>
      </w:r>
      <w:r>
        <w:t xml:space="preserve"> </w:t>
      </w:r>
      <w:r>
        <w:t>−1</w:t>
      </w:r>
      <w:r>
        <w:t xml:space="preserve"> </w:t>
      </w:r>
      <w:r>
        <w:t>。基于[</w:t>
      </w:r>
      <w:r>
        <w:t xml:space="preserve"> </w:t>
      </w:r>
      <w:r>
        <w:t>SF3‐TRZ‐DBSe</w:t>
      </w:r>
      <w:r>
        <w:t xml:space="preserve"> </w:t>
      </w:r>
      <w:r>
        <w:t>: DtBuC</w:t>
      </w:r>
    </w:p>
    <w:p>
      <w:pPr>
        <w:spacing w:before="0" w:after="200" w:lineRule="auto" w:line="276"/>
      </w:pPr>
      <w:r>
        <w:rPr>
          <w:b/>
        </w:rPr>
        <w:t xml:space="preserve">Abstract (EN): </w:t>
      </w:r>
      <w:r>
        <w:t>Narrowband emissive devices using multiple resonance (MR) thermally activated delayed fluorescence (TADF) emitters show strong efficiency roll‐offs and low operational stability, largely due to the low reverse intersystem crossing (RISC) rates (</w:t>
      </w:r>
      <w:r>
        <w:t xml:space="preserve"> </w:t>
      </w:r>
      <w:r>
        <w:t>k</w:t>
      </w:r>
      <w:r>
        <w:t xml:space="preserve"> </w:t>
      </w:r>
      <w:r>
        <w:t>RISC</w:t>
      </w:r>
      <w:r>
        <w:t xml:space="preserve"> </w:t>
      </w:r>
      <w:r>
        <w:t>) of the emitters. TADF/phosphorescence‐sensitized fluorescence (i.e., hyperfluorescence) effectively solves this issue but requires a suitable sensitizer. Here, a “host‐guest exciplex promoted RISC” strategy effectively solves the issue beyond the hyperfluorescence mechanism. Three electron‐transporting hosts with a 2,4,6‐triphenyl‐1,3,5‐triazine motif, namely</w:t>
      </w:r>
      <w:r>
        <w:t xml:space="preserve"> </w:t>
      </w:r>
      <w:r>
        <w:t>SF3‐TRZ</w:t>
      </w:r>
      <w:r>
        <w:t xml:space="preserve"> </w:t>
      </w:r>
      <w:r>
        <w:t>,</w:t>
      </w:r>
      <w:r>
        <w:t xml:space="preserve"> </w:t>
      </w:r>
      <w:r>
        <w:t>SF3‐TRZ‐DBF</w:t>
      </w:r>
      <w:r>
        <w:t xml:space="preserve"> </w:t>
      </w:r>
      <w:r>
        <w:t>, and</w:t>
      </w:r>
      <w:r>
        <w:t xml:space="preserve"> </w:t>
      </w:r>
      <w:r>
        <w:t>SF3‐TRZ‐DBSe</w:t>
      </w:r>
      <w:r>
        <w:t xml:space="preserve"> </w:t>
      </w:r>
      <w:r>
        <w:t>, are developed for a typical MR‐TADF guest (DtBuCzB). The exciplex formed between the host and DtBuCzB effectively promotes the RISC of DtBuCzB, especially for selenium‐embedded</w:t>
      </w:r>
      <w:r>
        <w:t xml:space="preserve"> </w:t>
      </w:r>
      <w:r>
        <w:t>SF3‐TRZ‐DBSe</w:t>
      </w:r>
      <w:r>
        <w:t xml:space="preserve"> </w:t>
      </w:r>
      <w:r>
        <w:t>. The host‐guest films show narrowband emission from DtBuCzB, with the</w:t>
      </w:r>
      <w:r>
        <w:t xml:space="preserve"> </w:t>
      </w:r>
      <w:r>
        <w:t>k</w:t>
      </w:r>
      <w:r>
        <w:t xml:space="preserve"> </w:t>
      </w:r>
      <w:r>
        <w:t>RISC</w:t>
      </w:r>
      <w:r>
        <w:t xml:space="preserve"> </w:t>
      </w:r>
      <w:r>
        <w:t>of the [</w:t>
      </w:r>
      <w:r>
        <w:t xml:space="preserve"> </w:t>
      </w:r>
      <w:r>
        <w:t>SF3‐TRZ‐DBSe</w:t>
      </w:r>
      <w:r>
        <w:t xml:space="preserve"> </w:t>
      </w:r>
      <w:r>
        <w:t>: DtBuCzB] film being boosted by nearly 60‐fold to 4.7 × 10</w:t>
      </w:r>
      <w:r>
        <w:rPr>
          <w:vertAlign w:val="subscript"/>
        </w:rPr>
        <w:t>5</w:t>
      </w:r>
      <w:r>
        <w:t>s</w:t>
      </w:r>
      <w:r>
        <w:t xml:space="preserve"> </w:t>
      </w:r>
      <w:r>
        <w:t>−1</w:t>
      </w:r>
      <w:r>
        <w:t xml:space="preserve"> </w:t>
      </w:r>
      <w:r>
        <w:t>. A narrowband blue‐green organic light‐emitting diode (OLED) based on a [</w:t>
      </w:r>
      <w:r>
        <w:t xml:space="preserve"> </w:t>
      </w:r>
      <w:r>
        <w:t>SF3‐TRZ‐DBSe</w:t>
      </w:r>
      <w:r>
        <w:t xml:space="preserve"> </w:t>
      </w:r>
      <w:r>
        <w:t>: DtBuCzB] emissive layer shows maximum external quantum efficiency (EQE</w:t>
      </w:r>
      <w:r>
        <w:t xml:space="preserve"> </w:t>
      </w:r>
      <w:r>
        <w:t>max</w:t>
      </w:r>
      <w:r>
        <w:t xml:space="preserve"> </w:t>
      </w:r>
      <w:r>
        <w:t>)/EQE at 1000 cd m</w:t>
      </w:r>
      <w:r>
        <w:t xml:space="preserve"> </w:t>
      </w:r>
      <w:r>
        <w:t>−2</w:t>
      </w:r>
      <w:r>
        <w:t xml:space="preserve"> </w:t>
      </w:r>
      <w:r>
        <w:t>(EQE</w:t>
      </w:r>
      <w:r>
        <w:rPr>
          <w:vertAlign w:val="subscript"/>
        </w:rPr>
        <w:t>1000</w:t>
      </w:r>
      <w:r>
        <w:t>) of 30.1%/28.1%, with the EQE</w:t>
      </w:r>
      <w:r>
        <w:rPr>
          <w:vertAlign w:val="subscript"/>
        </w:rPr>
        <w:t>1000</w:t>
      </w:r>
      <w:r>
        <w:t>being the highest and the efficiency roll‐off being the lowest among narrowband OLEDs (including hyperfluorescence ones) based on DtBuCzB reported so far. The device also shows markedly improved operational stability compared to counterpart devices using the other two hosts or counterpart hyperfluorescence devices.</w:t>
      </w:r>
    </w:p>
    <w:p>
      <w:pPr>
        <w:spacing w:before="120" w:after="120"/>
      </w:pPr>
      <w:r>
        <w:rPr>
          <w:sz w:val="18"/>
        </w:rPr>
        <w:t>——————————————————————————————————————————————————————————————————————</w:t>
      </w:r>
    </w:p>
    <w:p>
      <w:pPr>
        <w:spacing w:before="160" w:after="40" w:line="240" w:lineRule="auto"/>
      </w:pPr>
      <w:r>
        <w:rPr>
          <w:b/>
        </w:rPr>
        <w:t xml:space="preserve">[186] </w:t>
      </w:r>
      <w:hyperlink r:id="rId551">
        <w:r>
          <w:rPr>
            <w:color w:val="1155CC"/>
            <w:u w:val="single"/>
          </w:rPr>
          <w:t>超越预平衡近似：基本步骤（不）可逆性对塔菲尔斜率机理解释的影响</w:t>
        </w:r>
      </w:hyperlink>
    </w:p>
    <w:p>
      <w:pPr>
        <w:spacing w:before="0" w:after="80"/>
      </w:pPr>
      <w:r>
        <w:rPr>
          <w:i/>
          <w:sz w:val="20"/>
        </w:rPr>
        <w:t>EN: Beyond the Pre‐Equilibrium Approximation: Consequences of Elementary Step (Ir)reversibility on the Mechanistic Interpretation of Tafel Slope</w:t>
      </w:r>
    </w:p>
    <w:p>
      <w:pPr>
        <w:spacing w:before="0" w:after="120"/>
      </w:pPr>
      <w:r>
        <w:rPr>
          <w:b/>
        </w:rPr>
        <w:t xml:space="preserve">Source: </w:t>
      </w:r>
      <w:r>
        <w:t>Wiley: Angewandte Chemie International Edition: Table of Contents</w:t>
      </w:r>
      <w:r>
        <w:t xml:space="preserve">    </w:t>
      </w:r>
      <w:r>
        <w:rPr>
          <w:b/>
        </w:rPr>
        <w:t xml:space="preserve">Pub date: </w:t>
      </w:r>
      <w:r>
        <w:t>2026-05-12 04:47:03+00:00</w:t>
      </w:r>
      <w:r>
        <w:t xml:space="preserve">    </w:t>
      </w:r>
      <w:r>
        <w:rPr>
          <w:b/>
        </w:rPr>
        <w:t xml:space="preserve">DOI: </w:t>
      </w:r>
      <w:hyperlink r:id="rId552">
        <w:r>
          <w:rPr>
            <w:color w:val="1155CC"/>
            <w:u w:val="single"/>
          </w:rPr>
          <w:t>10.1002/anie.1052729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势与反应速率（或塔菲尔斜率）之间的关系是多步电荷转移反应研究的基础。然而，尽管其重要性和广泛使用，塔菲尔斜率很少在“基准”值之外进行解释。基准塔菲尔斜率的机理解释基于预平衡近似（PEA）：即催化剂静止态与速率决定步骤之间的路径处于平衡状态。这一严格的近似严重限制了从电化学过程中获取机理信息的机会。在这篇科学视角中，我们通过一个简单、通用的方程扩展了现有的塔菲尔斜率机理解释框架，该方程通常以基本步骤对称因子和趋向平衡（即趋向PEA准确性）来描述塔菲尔斜率。这些理论发展的预测性和机理实用性通过对文献中广泛的电化学和热化学催化反应（包括O</w:t>
      </w:r>
      <w:r>
        <w:rPr>
          <w:vertAlign w:val="subscript"/>
        </w:rPr>
        <w:t>2</w:t>
      </w:r>
      <w:r>
        <w:t>、H</w:t>
      </w:r>
      <w:r>
        <w:rPr>
          <w:vertAlign w:val="subscript"/>
        </w:rPr>
        <w:t>2</w:t>
      </w:r>
      <w:r>
        <w:t>、Cl</w:t>
      </w:r>
      <w:r>
        <w:rPr>
          <w:vertAlign w:val="subscript"/>
        </w:rPr>
        <w:t>2</w:t>
      </w:r>
      <w:r>
        <w:t>和CO氧化还原）的实验数据分析得以展示。这些案例研究中积累的经验为所有多步电荷转移反应的动力学研究提供了信息，特别是对于近年来被证明是预平衡驱动的热化学催化机制尤为相关。</w:t>
      </w:r>
    </w:p>
    <w:p>
      <w:pPr>
        <w:spacing w:before="0" w:after="200" w:lineRule="auto" w:line="276"/>
      </w:pPr>
      <w:r>
        <w:rPr>
          <w:b/>
        </w:rPr>
        <w:t xml:space="preserve">Abstract (EN): </w:t>
      </w:r>
      <w:r>
        <w:t>The relationship between electrochemical potential and reaction rate—or Tafel slope—is fundamental to the study of multi‐step charge transfer reactions. However, despite its importance and ubiquitous use, Tafel slope is seldom interpreted outside of “cardinal” values. The mechanistic interpretation of cardinal Tafel slopes is predicated on the pre‐equilibrium approximation (PEA): that the path between the (catalyst) resting state and rate‐determining step is in equilibrium. This stringent approximation severely limits opportunities to elicit mechanistic information from electrochemical processes. In this Scientific Perspective, we broaden the existing framework for mechanistic interpretation of Tafel slope through a simple, universal equation that generally describes Tafel slope in terms of elementary‐step symmetry factors and approach‐to‐equilibrium (i.e., approach to PEA accuracy). The predictiveness and mechanistic utility of these theoretical developments are showcased through analysis of experimental data available in the literature for a broad range of electrochemical and thermochemical catalytic reactions, including O</w:t>
      </w:r>
      <w:r>
        <w:rPr>
          <w:vertAlign w:val="subscript"/>
        </w:rPr>
        <w:t>2</w:t>
      </w:r>
      <w:r>
        <w:t>, H</w:t>
      </w:r>
      <w:r>
        <w:rPr>
          <w:vertAlign w:val="subscript"/>
        </w:rPr>
        <w:t>2</w:t>
      </w:r>
      <w:r>
        <w:t>, Cl</w:t>
      </w:r>
      <w:r>
        <w:rPr>
          <w:vertAlign w:val="subscript"/>
        </w:rPr>
        <w:t>2</w:t>
      </w:r>
      <w:r>
        <w:t>, and CO redox. The learnings accrued in these case studies inform kinetic studies of all multi‐step charge transfer reactions and are particularly relevant for mixed‐potential‐driven mechanisms of thermochemical catalysis, which in recent years have been shown to be preponderant at metal‐liquid interfaces.</w:t>
      </w:r>
    </w:p>
    <w:p>
      <w:pPr>
        <w:spacing w:before="120" w:after="120"/>
      </w:pPr>
      <w:r>
        <w:rPr>
          <w:sz w:val="18"/>
        </w:rPr>
        <w:t>——————————————————————————————————————————————————————————————————————</w:t>
      </w:r>
    </w:p>
    <w:p>
      <w:pPr>
        <w:spacing w:before="160" w:after="40" w:line="240" w:lineRule="auto"/>
      </w:pPr>
      <w:r>
        <w:rPr>
          <w:b/>
        </w:rPr>
        <w:t xml:space="preserve">[187] </w:t>
      </w:r>
      <w:hyperlink r:id="rId553">
        <w:r>
          <w:rPr>
            <w:color w:val="1155CC"/>
            <w:u w:val="single"/>
          </w:rPr>
          <w:t>高熵催化剂活化分子氧用于环境条件下的氧化偶联</w:t>
        </w:r>
      </w:hyperlink>
    </w:p>
    <w:p>
      <w:pPr>
        <w:spacing w:before="0" w:after="80"/>
      </w:pPr>
      <w:r>
        <w:rPr>
          <w:i/>
          <w:sz w:val="20"/>
        </w:rPr>
        <w:t>EN: High‐Entropy Catalyst Activated Molecular Oxygen for Oxidative Coupling Under Ambient Conditions</w:t>
      </w:r>
    </w:p>
    <w:p>
      <w:pPr>
        <w:spacing w:before="0" w:after="120"/>
      </w:pPr>
      <w:r>
        <w:rPr>
          <w:b/>
        </w:rPr>
        <w:t xml:space="preserve">Source: </w:t>
      </w:r>
      <w:r>
        <w:t>Wiley: Angewandte Chemie International Edition: Table of Contents</w:t>
      </w:r>
      <w:r>
        <w:t xml:space="preserve">    </w:t>
      </w:r>
      <w:r>
        <w:rPr>
          <w:b/>
        </w:rPr>
        <w:t xml:space="preserve">Pub date: </w:t>
      </w:r>
      <w:r>
        <w:t>2026-05-12 04:50:18+00:00</w:t>
      </w:r>
      <w:r>
        <w:t xml:space="preserve">    </w:t>
      </w:r>
      <w:r>
        <w:rPr>
          <w:b/>
        </w:rPr>
        <w:t xml:space="preserve">DOI: </w:t>
      </w:r>
      <w:hyperlink r:id="rId554">
        <w:r>
          <w:rPr>
            <w:color w:val="1155CC"/>
            <w:u w:val="single"/>
          </w:rPr>
          <w:t>10.1002/anie.1664539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分子氧（O</w:t>
      </w:r>
      <w:r>
        <w:rPr>
          <w:vertAlign w:val="subscript"/>
        </w:rPr>
        <w:t>2</w:t>
      </w:r>
      <w:r>
        <w:t>）活化以生成活性氧物种（ROS）是催化氧化偶联过程的基础，但传统方法依赖于外部能量输入，阻碍了可持续性。在此，我们首次展示了多元素协同非贵金属高熵硫化物纳米晶体（HESNCs）通过丰富的自生成晶格畸变在环境条件下实现自发氧（O</w:t>
      </w:r>
      <w:r>
        <w:rPr>
          <w:vertAlign w:val="subscript"/>
        </w:rPr>
        <w:t>2</w:t>
      </w:r>
      <w:r>
        <w:t>）活化以生成超氧自由基（•O</w:t>
      </w:r>
      <w:r>
        <w:rPr>
          <w:vertAlign w:val="subscript"/>
        </w:rPr>
        <w:t>2</w:t>
      </w:r>
      <w:r>
        <w:t>−），驱动多种氧化偶联反应（S─N、C─S、C─N），具有高催化活性和卓越的稳定性（&gt; 300天）。同时，这种HESNCs驱动的无场催化方案实现了药物合成，具有优异的产率（&gt; 90%），可扩展至摩尔级生产，显示出巨大的工业应用潜力。实验和计算分析表明，HESNCs中的严重内在晶格畸变调整了d带中心并增强了泡利排斥，使得电子从有机供体（如胺）转移到O</w:t>
      </w:r>
      <w:r>
        <w:rPr>
          <w:vertAlign w:val="subscript"/>
        </w:rPr>
        <w:t>2</w:t>
      </w:r>
      <w:r>
        <w:t>以产生•O</w:t>
      </w:r>
      <w:r>
        <w:rPr>
          <w:vertAlign w:val="subscript"/>
        </w:rPr>
        <w:t>2</w:t>
      </w:r>
      <w:r>
        <w:t>−和供体自由基（Don•）。随后，•O</w:t>
      </w:r>
      <w:r>
        <w:rPr>
          <w:vertAlign w:val="subscript"/>
        </w:rPr>
        <w:t>2</w:t>
      </w:r>
      <w:r>
        <w:t>−诱导的底物氧化形成偶联活性中间体（Sub•），与Don•结合生成氧化偶联产物。</w:t>
      </w:r>
    </w:p>
    <w:p>
      <w:pPr>
        <w:spacing w:before="0" w:after="200" w:lineRule="auto" w:line="276"/>
      </w:pPr>
      <w:r>
        <w:rPr>
          <w:b/>
        </w:rPr>
        <w:t xml:space="preserve">Abstract (EN): </w:t>
      </w:r>
      <w:r>
        <w:t>Molecular oxygen (O</w:t>
      </w:r>
      <w:r>
        <w:rPr>
          <w:vertAlign w:val="subscript"/>
        </w:rPr>
        <w:t>2</w:t>
      </w:r>
      <w:r>
        <w:t>) activation to generate reactive oxygen species (ROS) underpins catalytic oxidative coupling processes, yet conventional methods rely on external energy inputs that hinder sustainability. Here, we first demonstrate that the multielement synergistic nonnoble high‐entropy sulfide nanocrystal (HESNCs) with rich self‐generated lattice distortions enables spontaneous oxygen (O</w:t>
      </w:r>
      <w:r>
        <w:rPr>
          <w:vertAlign w:val="subscript"/>
        </w:rPr>
        <w:t>2</w:t>
      </w:r>
      <w:r>
        <w:t>) activation to generate superoxide radicals (•O</w:t>
      </w:r>
      <w:r>
        <w:rPr>
          <w:vertAlign w:val="subscript"/>
        </w:rPr>
        <w:t>2</w:t>
      </w:r>
      <w:r>
        <w:t>−</w:t>
      </w:r>
      <w:r>
        <w:t>) under ambient conditions, driving diverse oxidative coupling reactions (S─N, C─S, C─N) with high catalytic activity and exceptional stability (&amp;gt; 300 days). Meanwhile, this HESNCs‐driven field‐free catalytic protocol achieves pharmaceutical synthesis with excellent yields (&amp;gt; 90%), scalable to mol‐scale production, showing great potential for industrial applications. The experimental and computational analyses reveal that severe intrinsic lattice distortions in HESNCs tailor d‐band centers and reinforce Pauli repulsion, enabling electron transfer from organic donors (e.g., amines) to O</w:t>
      </w:r>
      <w:r>
        <w:rPr>
          <w:vertAlign w:val="subscript"/>
        </w:rPr>
        <w:t>2</w:t>
      </w:r>
      <w:r>
        <w:t>to produce •O</w:t>
      </w:r>
      <w:r>
        <w:rPr>
          <w:vertAlign w:val="subscript"/>
        </w:rPr>
        <w:t>2</w:t>
      </w:r>
      <w:r>
        <w:t>−</w:t>
      </w:r>
      <w:r>
        <w:t>and donor radicals (Don•). Subsequent •O</w:t>
      </w:r>
      <w:r>
        <w:rPr>
          <w:vertAlign w:val="subscript"/>
        </w:rPr>
        <w:t>2</w:t>
      </w:r>
      <w:r>
        <w:t>−</w:t>
      </w:r>
      <w:r>
        <w:t>‐induced substrate oxidation to form coupling‐active intermediates (Sub•), which combine with Don• to yield oxidative coupling products while reducing •O</w:t>
      </w:r>
      <w:r>
        <w:rPr>
          <w:vertAlign w:val="subscript"/>
        </w:rPr>
        <w:t>2</w:t>
      </w:r>
      <w:r>
        <w:t>−</w:t>
      </w:r>
      <w:r>
        <w:t>to water. Our work establishes a new “electron donor‐assisted high‐entropy catalysts (HECs)‐mediated” ambient‐condition O</w:t>
      </w:r>
      <w:r>
        <w:rPr>
          <w:vertAlign w:val="subscript"/>
        </w:rPr>
        <w:t>2</w:t>
      </w:r>
      <w:r>
        <w:t>activation paradigm for realizing oxidative coupling reactions without external energy input.</w:t>
      </w:r>
    </w:p>
    <w:p>
      <w:pPr>
        <w:spacing w:before="120" w:after="120"/>
      </w:pPr>
      <w:r>
        <w:rPr>
          <w:sz w:val="18"/>
        </w:rPr>
        <w:t>——————————————————————————————————————————————————————————————————————</w:t>
      </w:r>
    </w:p>
    <w:p>
      <w:pPr>
        <w:spacing w:before="160" w:after="40" w:line="240" w:lineRule="auto"/>
      </w:pPr>
      <w:r>
        <w:rPr>
          <w:b/>
        </w:rPr>
        <w:t xml:space="preserve">[188] </w:t>
      </w:r>
      <w:hyperlink r:id="rId555">
        <w:r>
          <w:rPr>
            <w:color w:val="1155CC"/>
            <w:u w:val="single"/>
          </w:rPr>
          <w:t>全平面化供体实现蓝色空间电荷转移发射的创纪录高效率</w:t>
        </w:r>
      </w:hyperlink>
    </w:p>
    <w:p>
      <w:pPr>
        <w:spacing w:before="0" w:after="80"/>
      </w:pPr>
      <w:r>
        <w:rPr>
          <w:i/>
          <w:sz w:val="20"/>
        </w:rPr>
        <w:t>EN: Fully Planarized Donor Enables Record‐High Efficiency for Blue Through‐Space Charge Transfer Emission</w:t>
      </w:r>
    </w:p>
    <w:p>
      <w:pPr>
        <w:spacing w:before="0" w:after="120"/>
      </w:pPr>
      <w:r>
        <w:rPr>
          <w:b/>
        </w:rPr>
        <w:t xml:space="preserve">Source: </w:t>
      </w:r>
      <w:r>
        <w:t>Wiley: Angewandte Chemie International Edition: Table of Contents</w:t>
      </w:r>
      <w:r>
        <w:t xml:space="preserve">    </w:t>
      </w:r>
      <w:r>
        <w:rPr>
          <w:b/>
        </w:rPr>
        <w:t xml:space="preserve">Pub date: </w:t>
      </w:r>
      <w:r>
        <w:t>2026-05-12 04:51:07+00:00</w:t>
      </w:r>
      <w:r>
        <w:t xml:space="preserve">    </w:t>
      </w:r>
      <w:r>
        <w:rPr>
          <w:b/>
        </w:rPr>
        <w:t xml:space="preserve">DOI: </w:t>
      </w:r>
      <w:hyperlink r:id="rId556">
        <w:r>
          <w:rPr>
            <w:color w:val="1155CC"/>
            <w:u w:val="single"/>
          </w:rPr>
          <w:t>10.1002/anie.4991944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空间电荷转移（TSCT）发射体具有空间分离的供体-受体结构，为设计热激活延迟荧光材料提供了一种有前途的策略。然而，由于宽带隙与足够的空间电子相互作用之间的内在权衡，开发高性能蓝色TSCT发射体仍然具有挑战性。在此，提出了一种完全平面化的供体，有利于增强空间相互作用并抑制非辐射衰减，用于构建蓝色TSCT发射体。所得发射体表现出467 nm的发射峰，98%的高光致发光量子产率和1.8×10</w:t>
      </w:r>
      <w:r>
        <w:rPr>
          <w:vertAlign w:val="subscript"/>
        </w:rPr>
        <w:t>6</w:t>
      </w:r>
      <w:r>
        <w:t>s</w:t>
      </w:r>
      <w:r>
        <w:t xml:space="preserve"> </w:t>
      </w:r>
      <w:r>
        <w:t>−1</w:t>
      </w:r>
      <w:r>
        <w:t xml:space="preserve"> </w:t>
      </w:r>
      <w:r>
        <w:t>的高反向系间窜越（RISC）速率。基于该发射体的有机发光二极管实现了34.0%的最大外部量子效率（EQE</w:t>
      </w:r>
      <w:r>
        <w:t xml:space="preserve"> </w:t>
      </w:r>
      <w:r>
        <w:t>max</w:t>
      </w:r>
      <w:r>
        <w:t xml:space="preserve"> </w:t>
      </w:r>
      <w:r>
        <w:t>），国际照明委员会（CIE）坐标为（0.16, 0.29），最大亮度为21560 cd m</w:t>
      </w:r>
      <w:r>
        <w:t xml:space="preserve"> </w:t>
      </w:r>
      <w:r>
        <w:t>−2</w:t>
      </w:r>
      <w:r>
        <w:t xml:space="preserve"> </w:t>
      </w:r>
      <w:r>
        <w:t>，据我们所知，这代表了蓝色TSCT发射体的最先进性能。此外，采用该发射体作为敏化剂的超荧光器件展示了35.8%的高EQE</w:t>
      </w:r>
      <w:r>
        <w:t xml:space="preserve"> </w:t>
      </w:r>
      <w:r>
        <w:t>max</w:t>
      </w:r>
      <w:r>
        <w:t xml:space="preserve"> </w:t>
      </w:r>
      <w:r>
        <w:t>，半峰全宽为20 nm，CIE坐标为（0.12, 0.14）。这项工作展示了完全平面化供体对于开发高性能蓝色TSCT发射体的关键重要性。</w:t>
      </w:r>
    </w:p>
    <w:p>
      <w:pPr>
        <w:spacing w:before="0" w:after="200" w:lineRule="auto" w:line="276"/>
      </w:pPr>
      <w:r>
        <w:rPr>
          <w:b/>
        </w:rPr>
        <w:t xml:space="preserve">Abstract (EN): </w:t>
      </w:r>
      <w:r>
        <w:t>Through‐space charge transfer (TSCT) emitters featuring spatially separated donor‐acceptor architecture offer a promising strategy for designing thermally activated delayed fluorescence materials. However, developing high‐performance blue TSCT emitter remains challenging due to the intrinsic trade‐off between a wide bandgap and sufficient spatial electronic interactions. Herein, a fully planarized donor, in favor of strengthening spatial interactions and suppressing non‐radiative decay, is proposed to construct blue TSCT emitter. The resulting emitter exhibits an emission peak of 467 nm, a high photoluminescence quantum yield of 98% and a large reverse intersystem crossing (RISC) rate of 1.8×10</w:t>
      </w:r>
      <w:r>
        <w:rPr>
          <w:vertAlign w:val="subscript"/>
        </w:rPr>
        <w:t>6</w:t>
      </w:r>
      <w:r>
        <w:t>s</w:t>
      </w:r>
      <w:r>
        <w:t xml:space="preserve"> </w:t>
      </w:r>
      <w:r>
        <w:t>−1</w:t>
      </w:r>
      <w:r>
        <w:t xml:space="preserve"> </w:t>
      </w:r>
      <w:r>
        <w:t>. Organic light‐emitting diodes based on the emitter achieve a maximum external quantum efficiency (EQE</w:t>
      </w:r>
      <w:r>
        <w:t xml:space="preserve"> </w:t>
      </w:r>
      <w:r>
        <w:t>max</w:t>
      </w:r>
      <w:r>
        <w:t xml:space="preserve"> </w:t>
      </w:r>
      <w:r>
        <w:t>) of 34.0% with Commission Internationale de L'Eclairage (CIE) coordinates of (0.16, 0.29) and a maximum luminance of 21560 cd m</w:t>
      </w:r>
      <w:r>
        <w:t xml:space="preserve"> </w:t>
      </w:r>
      <w:r>
        <w:t>−2</w:t>
      </w:r>
      <w:r>
        <w:t xml:space="preserve"> </w:t>
      </w:r>
      <w:r>
        <w:t>, which, to the best of our knowledge, represents the state‐of‐the‐art performances for blue TSCT emitters. Furthermore, hyperfluorescent devices employing the emitter as sensitizer demonstrate a high EQE</w:t>
      </w:r>
      <w:r>
        <w:t xml:space="preserve"> </w:t>
      </w:r>
      <w:r>
        <w:t>max</w:t>
      </w:r>
      <w:r>
        <w:t xml:space="preserve"> </w:t>
      </w:r>
      <w:r>
        <w:t>of 35.8% with a narrow full width at half maximum of 20 nm and CIE coordinates of (0.12, 0.14). This work demonstrates the critical importance of the fully planarized donor for developing high‐efficiency blue TSCT emitter.</w:t>
      </w:r>
    </w:p>
    <w:p>
      <w:pPr>
        <w:spacing w:before="120" w:after="120"/>
      </w:pPr>
      <w:r>
        <w:rPr>
          <w:sz w:val="18"/>
        </w:rPr>
        <w:t>——————————————————————————————————————————————————————————————————————</w:t>
      </w:r>
    </w:p>
    <w:p>
      <w:pPr>
        <w:spacing w:before="160" w:after="40" w:line="240" w:lineRule="auto"/>
      </w:pPr>
      <w:r>
        <w:rPr>
          <w:b/>
        </w:rPr>
        <w:t xml:space="preserve">[189] </w:t>
      </w:r>
      <w:hyperlink r:id="rId557">
        <w:r>
          <w:rPr>
            <w:color w:val="1155CC"/>
            <w:u w:val="single"/>
          </w:rPr>
          <w:t>通过N-杂环卡宾连接子增强金纳米粒子@聚苯胺杂化物的界面电荷传输</w:t>
        </w:r>
      </w:hyperlink>
    </w:p>
    <w:p>
      <w:pPr>
        <w:spacing w:before="0" w:after="80"/>
      </w:pPr>
      <w:r>
        <w:rPr>
          <w:i/>
          <w:sz w:val="20"/>
        </w:rPr>
        <w:t>EN: Enhancing Interfacial Charge Transport in Gold Nanoparticle@Polyaniline Hybrids via N‐Heterocyclic Carbene Linkers</w:t>
      </w:r>
    </w:p>
    <w:p>
      <w:pPr>
        <w:spacing w:before="0" w:after="120"/>
      </w:pPr>
      <w:r>
        <w:rPr>
          <w:b/>
        </w:rPr>
        <w:t xml:space="preserve">Source: </w:t>
      </w:r>
      <w:r>
        <w:t>Wiley: Angewandte Chemie International Edition: Table of Contents</w:t>
      </w:r>
      <w:r>
        <w:t xml:space="preserve">    </w:t>
      </w:r>
      <w:r>
        <w:rPr>
          <w:b/>
        </w:rPr>
        <w:t xml:space="preserve">Pub date: </w:t>
      </w:r>
      <w:r>
        <w:t>2026-05-12 05:37:25+00:00</w:t>
      </w:r>
      <w:r>
        <w:t xml:space="preserve">    </w:t>
      </w:r>
      <w:r>
        <w:rPr>
          <w:b/>
        </w:rPr>
        <w:t xml:space="preserve">DOI: </w:t>
      </w:r>
      <w:hyperlink r:id="rId558">
        <w:r>
          <w:rPr>
            <w:color w:val="1155CC"/>
            <w:u w:val="single"/>
          </w:rPr>
          <w:t>10.1002/anie.202526136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N‐杂环卡宾（NHCs）作为金纳米颗粒（Au NPs）的一类独特配体，结合了强金属结合能力和内在电子导电性。然而，在过去十年中，对Au NP@NHC系统的研究主要集中在其稳定性上，而NHCs的导电性由于合成挑战而基本未被探索。在此，我们提出了一种合成策略，通过在水介质中原位氧化聚合聚苯胺（PANI）来合成氨基功能化NHC‐Au复合物，从而生成电子耦合的Au NP@NHC‐PANI杂化物。该策略实现了受控的PANI壳层生长和电子活性NHC中间层的引入。单颗粒散射光谱显示，NHCs改善了界面电子耦合，表现为显著的等离子体线宽展宽。导电性测量进一步证实NHCs增强了电荷传输：导电原子力显微镜（C‐AFM）显示在300 mV偏压下接触电流从14.6增加到99.4 pA，而横向四探针电导从0.17增加到3.5 nS。这些结果首次提供了NHCs在杂化纳米颗粒‐聚合物系统中导电作用的直接实验证据，为电子离域纳米结构的合理设计及其在纳米电子学中的应用建立了一种新的界面工程策略。</w:t>
      </w:r>
    </w:p>
    <w:p>
      <w:pPr>
        <w:spacing w:before="0" w:after="200" w:lineRule="auto" w:line="276"/>
      </w:pPr>
      <w:r>
        <w:rPr>
          <w:b/>
        </w:rPr>
        <w:t xml:space="preserve">Abstract (EN): </w:t>
      </w:r>
      <w:r>
        <w:t>N</w:t>
      </w:r>
      <w:r>
        <w:t xml:space="preserve"> </w:t>
      </w:r>
      <w:r>
        <w:t>‐Heterocyclic carbenes (NHCs) have emerged as a unique class of ligands for gold nanoparticles (Au NPs), combining strong metal binding with intrinsic electronic conductivity. Yet over the past decade, studies on Au NP@NHC systems have primarily focused on their stability, while the conductivity of NHCs has remained largely unexplored due to synthesis challenges. Here, we present a synthetic strategy that addresses this gap by employing amino‐functionalized NHC‐Au complexes with in situ oxidative polymerization of polyaniline (PANI) to yield electronically coupled Au NP@NHC‐PANI hybrids in aqueous media. This strategy enables both a controlled PANI shell growth and introduction of an electronically active NHC interlayer. Single‐particle scattering spectroscopy reveals that NHCs improve the interfacial electronic coupling as evidenced by pronounced plasmonic linewidth broadening. Conductivity measurements further confirm that NHCs enhance charge transport: conductive atomic force microscopy (C‐AFM) shows an increase in contact current from 14.6 to 99.4 pA under a 300‐mV bias, while lateral four‐probe conductance increases from 0.17 to 3.5 nS. These results provide the first direct experimental evidence of the conductive role of NHCs in hybrid NP‐polymer systems, establishing a new interface‐engineering strategy for the rational design of electronically delocalized nanostructures and their applications in nanoelectronics.</w:t>
      </w:r>
    </w:p>
    <w:p>
      <w:pPr>
        <w:spacing w:before="120" w:after="120"/>
      </w:pPr>
      <w:r>
        <w:rPr>
          <w:sz w:val="18"/>
        </w:rPr>
        <w:t>——————————————————————————————————————————————————————————————————————</w:t>
      </w:r>
    </w:p>
    <w:p>
      <w:pPr>
        <w:spacing w:before="160" w:after="40" w:line="240" w:lineRule="auto"/>
      </w:pPr>
      <w:r>
        <w:rPr>
          <w:b/>
        </w:rPr>
        <w:t xml:space="preserve">[190] </w:t>
      </w:r>
      <w:hyperlink r:id="rId559">
        <w:r>
          <w:rPr>
            <w:color w:val="1155CC"/>
            <w:u w:val="single"/>
          </w:rPr>
          <w:t>柱芳烃基供体-受体共轭聚合物中的局部电子调制用于选择性光催化氧还原</w:t>
        </w:r>
      </w:hyperlink>
    </w:p>
    <w:p>
      <w:pPr>
        <w:spacing w:before="0" w:after="80"/>
      </w:pPr>
      <w:r>
        <w:rPr>
          <w:i/>
          <w:sz w:val="20"/>
        </w:rPr>
        <w:t>EN: Local Electronic Modulation in Pillararene‐Based Donor–Acceptor Conjugated Polymers for Selective Photocatalytic Oxygen Reduction</w:t>
      </w:r>
    </w:p>
    <w:p>
      <w:pPr>
        <w:spacing w:before="0" w:after="120"/>
      </w:pPr>
      <w:r>
        <w:rPr>
          <w:b/>
        </w:rPr>
        <w:t xml:space="preserve">Source: </w:t>
      </w:r>
      <w:r>
        <w:t>Wiley: Angewandte Chemie International Edition: Table of Contents</w:t>
      </w:r>
      <w:r>
        <w:t xml:space="preserve">    </w:t>
      </w:r>
      <w:r>
        <w:rPr>
          <w:b/>
        </w:rPr>
        <w:t xml:space="preserve">Pub date: </w:t>
      </w:r>
      <w:r>
        <w:t>2026-05-12 06:32:37+00:00</w:t>
      </w:r>
      <w:r>
        <w:t xml:space="preserve">    </w:t>
      </w:r>
      <w:r>
        <w:rPr>
          <w:b/>
        </w:rPr>
        <w:t xml:space="preserve">DOI: </w:t>
      </w:r>
      <w:hyperlink r:id="rId560">
        <w:r>
          <w:rPr>
            <w:color w:val="1155CC"/>
            <w:u w:val="single"/>
          </w:rPr>
          <w:t>10.1002/anie.9577048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构建供体-受体（D-A）结构是一种广泛采用的策略，用于调节光催化聚合物的整体能带结构。然而，将这种方法应用于精确微调活性位点的局部电子环境以优化基本催化步骤，同时保持整体共轭网络，仍然具有挑战性。在这项工作中，将富电子空腔的柱芳烃引入D-A共轭聚合物中，构建了一种名为BTzAP[5]的新材料，其在光催化过氧化氢合成中的反应机制进行了系统研究。柱芳烃的富电子空腔通过扩展的π-共轭系统调节相邻的亚胺氮活性位点，显著增加了它们的电子密度、氧气吸附和活化能力。定制的结构促进了O</w:t>
      </w:r>
      <w:r>
        <w:rPr>
          <w:vertAlign w:val="subscript"/>
        </w:rPr>
        <w:t>2</w:t>
      </w:r>
      <w:r>
        <w:t>到H</w:t>
      </w:r>
      <w:r>
        <w:rPr>
          <w:vertAlign w:val="subscript"/>
        </w:rPr>
        <w:t>2</w:t>
      </w:r>
      <w:r>
        <w:t>O</w:t>
      </w:r>
      <w:r>
        <w:rPr>
          <w:vertAlign w:val="subscript"/>
        </w:rPr>
        <w:t>2</w:t>
      </w:r>
      <w:r>
        <w:t>的快速逐步两电子ORR路径，超氧自由基积累最小，实现了4086 µmol g</w:t>
      </w:r>
      <w:r>
        <w:t xml:space="preserve"> </w:t>
      </w:r>
      <w:r>
        <w:t>−1</w:t>
      </w:r>
      <w:r>
        <w:t xml:space="preserve"> </w:t>
      </w:r>
      <w:r>
        <w:t>h</w:t>
      </w:r>
      <w:r>
        <w:t xml:space="preserve"> </w:t>
      </w:r>
      <w:r>
        <w:t>−1</w:t>
      </w:r>
      <w:r>
        <w:t xml:space="preserve"> </w:t>
      </w:r>
      <w:r>
        <w:t>的生产速率。这项工作为在D-A型共轭聚合物中实现整体电子工程和活性位点局部设计的协同优化提供了一种新策略。</w:t>
      </w:r>
    </w:p>
    <w:p>
      <w:pPr>
        <w:spacing w:before="0" w:after="200" w:lineRule="auto" w:line="276"/>
      </w:pPr>
      <w:r>
        <w:rPr>
          <w:b/>
        </w:rPr>
        <w:t xml:space="preserve">Abstract (EN): </w:t>
      </w:r>
      <w:r>
        <w:t>Constructing donor–acceptor (D–A) architectures is a widely adopted strategy for modulating the global band structures of photocatalytic polymers. However, it remains challenging to apply this approach to precisely fine‐tune the local electronic environment of active sites to optimize elementary catalytic steps while preserving the overall conjugated network. In this work, pillararenes with electron‐rich cavities are introduced into D–A conjugated polymers to construct a new material named BTzAP[5], whose reaction mechanism in photocatalytic hydrogen peroxide synthesis is systematically investigated. The electron‐rich cavity of pillararene modulates adjacent imine nitrogen active sites via the extended π‐conjugated system, significantly increasing their electron density, oxygen adsorption, and activation capacities. The tailored structure promotes a rapid stepwise two‐electron ORR pathway of O</w:t>
      </w:r>
      <w:r>
        <w:rPr>
          <w:vertAlign w:val="subscript"/>
        </w:rPr>
        <w:t>2</w:t>
      </w:r>
      <w:r>
        <w:t>to H</w:t>
      </w:r>
      <w:r>
        <w:rPr>
          <w:vertAlign w:val="subscript"/>
        </w:rPr>
        <w:t>2</w:t>
      </w:r>
      <w:r>
        <w:t>O</w:t>
      </w:r>
      <w:r>
        <w:rPr>
          <w:vertAlign w:val="subscript"/>
        </w:rPr>
        <w:t>2</w:t>
      </w:r>
      <w:r>
        <w:t>, with minimal free superoxide accumulation, achieving a production rate of 4086 µmol g</w:t>
      </w:r>
      <w:r>
        <w:t xml:space="preserve"> </w:t>
      </w:r>
      <w:r>
        <w:t>−1</w:t>
      </w:r>
      <w:r>
        <w:t xml:space="preserve"> </w:t>
      </w:r>
      <w:r>
        <w:t>h</w:t>
      </w:r>
      <w:r>
        <w:t xml:space="preserve"> </w:t>
      </w:r>
      <w:r>
        <w:t>−1</w:t>
      </w:r>
      <w:r>
        <w:t xml:space="preserve"> </w:t>
      </w:r>
      <w:r>
        <w:t>. This work offers a new strategy for achieving synergistic optimization of overall electronic engineering and local design of active sites in D–A type conjugated polymers.</w:t>
      </w:r>
    </w:p>
    <w:p>
      <w:pPr>
        <w:spacing w:before="120" w:after="120"/>
      </w:pPr>
      <w:r>
        <w:rPr>
          <w:sz w:val="18"/>
        </w:rPr>
        <w:t>——————————————————————————————————————————————————————————————————————</w:t>
      </w:r>
    </w:p>
    <w:p>
      <w:pPr>
        <w:spacing w:before="160" w:after="40" w:line="240" w:lineRule="auto"/>
      </w:pPr>
      <w:r>
        <w:rPr>
          <w:b/>
        </w:rPr>
        <w:t xml:space="preserve">[191] </w:t>
      </w:r>
      <w:hyperlink r:id="rId561">
        <w:r>
          <w:rPr>
            <w:color w:val="1155CC"/>
            <w:u w:val="single"/>
          </w:rPr>
          <w:t>通过摩擦电自感知实现压电微流体的通用原位流速监测</w:t>
        </w:r>
      </w:hyperlink>
    </w:p>
    <w:p>
      <w:pPr>
        <w:spacing w:before="0" w:after="80"/>
      </w:pPr>
      <w:r>
        <w:rPr>
          <w:i/>
          <w:sz w:val="20"/>
        </w:rPr>
        <w:t>EN: Universal In Situ Flowrate Monitoring for Piezoelectric Microfluidics via Triboelectric Self‐Sensing</w:t>
      </w:r>
    </w:p>
    <w:p>
      <w:pPr>
        <w:spacing w:before="0" w:after="120"/>
      </w:pPr>
      <w:r>
        <w:rPr>
          <w:b/>
        </w:rPr>
        <w:t xml:space="preserve">Source: </w:t>
      </w:r>
      <w:r>
        <w:t>Wiley: Advanced Materials: Table of Contents</w:t>
      </w:r>
      <w:r>
        <w:t xml:space="preserve">    </w:t>
      </w:r>
      <w:r>
        <w:rPr>
          <w:b/>
        </w:rPr>
        <w:t xml:space="preserve">Pub date: </w:t>
      </w:r>
      <w:r>
        <w:t>2026-05-12 06:42:04+00:00</w:t>
      </w:r>
      <w:r>
        <w:t xml:space="preserve">    </w:t>
      </w:r>
      <w:r>
        <w:rPr>
          <w:b/>
        </w:rPr>
        <w:t xml:space="preserve">DOI: </w:t>
      </w:r>
      <w:hyperlink r:id="rId562">
        <w:r>
          <w:rPr>
            <w:color w:val="1155CC"/>
            <w:u w:val="single"/>
          </w:rPr>
          <w:t>10.1002/adma.73364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压电微泵流量监测方法存在集成能力有限、污染风险和实验室依赖性等问题。在此，我们提出了一种通过摩擦电传感的通用原位流量监测方法，克服了这些基本限制。通过将摩擦电传感器直接集成到压电微泵腔体内，我们通过检测摩擦电信号中的压电振动器变形，实现了实时流量监测。对三种不同微泵结构的实验验证表明，两种流量监测方法（电压幅度和频率脉冲）的显著通用性，线性拟合系数超过0.99，平均监测误差低于2.49%。我们进一步开发了一种用于药物注射应用的微型计算机驱动系统，实现了高达2.2 mL/min的流量，并保持了2.298%的监测精度。这项工作为完全集成的微流体设备建立了一个范例，并为智能药物输送系统铺平了道路。</w:t>
      </w:r>
    </w:p>
    <w:p>
      <w:pPr>
        <w:spacing w:before="0" w:after="200" w:lineRule="auto" w:line="276"/>
      </w:pPr>
      <w:r>
        <w:rPr>
          <w:b/>
        </w:rPr>
        <w:t xml:space="preserve">Abstract (EN): </w:t>
      </w:r>
      <w:r>
        <w:t>Conventional flowrate monitoring methods for piezoelectric micropumps suffer from limited integration capability, contamination risks, and laboratory dependence. Here, we propose a universal in situ flowrate monitoring method through triboelectric sensing that overcomes these fundamental limitations. By integrating a triboelectric sensor directly within the piezoelectric micropump cavity, we achieve real‐time flowrate monitoring by detecting the piezoelectric vibrator deformation through triboelectric signals. Experimental validation across three distinct micropump architectures demonstrates the remarkable universality of two flowrate monitoring methods (voltage amplitude and frequency pulse), achieving linear fitting coefficients exceeding 0.99 and average monitoring errors below 2.49%. We further develop a microcomputer‐driven system for drug injection applications, achieving flowrates up to 2.2 mL/min with maintained monitoring accuracy of 2.298%. This work establishes a paradigm for fully integrated microfluidic devices and paves the way for intelligent drug delivery systems.</w:t>
      </w:r>
    </w:p>
    <w:p>
      <w:pPr>
        <w:spacing w:before="120" w:after="120"/>
      </w:pPr>
      <w:r>
        <w:rPr>
          <w:sz w:val="18"/>
        </w:rPr>
        <w:t>——————————————————————————————————————————————————————————————————————</w:t>
      </w:r>
    </w:p>
    <w:p>
      <w:pPr>
        <w:spacing w:before="160" w:after="40" w:line="240" w:lineRule="auto"/>
      </w:pPr>
      <w:r>
        <w:rPr>
          <w:b/>
        </w:rPr>
        <w:t xml:space="preserve">[192] </w:t>
      </w:r>
      <w:hyperlink r:id="rId563">
        <w:r>
          <w:rPr>
            <w:color w:val="1155CC"/>
            <w:u w:val="single"/>
          </w:rPr>
          <w:t>田间数据挑战在变暖条件下普遍作物害虫繁殖的预测</w:t>
        </w:r>
      </w:hyperlink>
    </w:p>
    <w:p>
      <w:pPr>
        <w:spacing w:before="0" w:after="80"/>
      </w:pPr>
      <w:r>
        <w:rPr>
          <w:i/>
          <w:sz w:val="20"/>
        </w:rPr>
        <w:t>EN: Field data challenge predictions of universal crop pest proliferation under warming</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64">
        <w:r>
          <w:rPr>
            <w:color w:val="1155CC"/>
            <w:u w:val="single"/>
          </w:rPr>
          <w:t>10.1073/pnas.2606726123</w:t>
        </w:r>
      </w:hyperlink>
    </w:p>
    <w:p>
      <w:pPr>
        <w:spacing w:before="0" w:after="120"/>
      </w:pPr>
      <w:r>
        <w:rPr>
          <w:b/>
        </w:rPr>
        <w:t xml:space="preserve">Notes: </w:t>
      </w:r>
      <w:r>
        <w:t>abstract_source=crossref</w:t>
      </w:r>
    </w:p>
    <w:p>
      <w:pPr>
        <w:spacing w:before="0" w:after="80" w:lineRule="auto" w:line="276"/>
      </w:pPr>
      <w:r>
        <w:rPr>
          <w:b/>
        </w:rPr>
        <w:t xml:space="preserve">摘要（ZH）: </w:t>
      </w:r>
      <w:r>
        <w:t>实验室基础的热性能实验生成的模型预测，节肢动物作物害虫密度将在温度升高的情况下增加。相反，预测自然敌人在变暖的情况下会减少，加剧害虫爆发。我们使用43个节肢动物种群在空间和时间温度梯度上的141,562个田间年度观察来测试这些预测。害虫对升高温度的反应表现出显著的异质性，一些种群增加而其他种群减少。自然敌人对升高温度的反应也表现出可变性，部分支持自然敌人比害虫更易受变暖影响的假设。实验室测量的热性能和生活史特征未能解释不同类群反应的变异性。我们的研究结果挑战了普遍害虫繁殖的预测，强调了在农业气候适应中迫切需要物种特异性监测方法。</w:t>
      </w:r>
    </w:p>
    <w:p>
      <w:pPr>
        <w:spacing w:before="0" w:after="200" w:lineRule="auto" w:line="276"/>
      </w:pPr>
      <w:r>
        <w:rPr>
          <w:b/>
        </w:rPr>
        <w:t xml:space="preserve">Abstract (EN): </w:t>
      </w:r>
      <w:r>
        <w:t>Models generated from laboratory-based thermal performance experiments predict that arthropod crop pest densities will escalate under rising temperatures. Conversely, natural enemies are predicted to decline under warming, exacerbating pest outbreaks. We tested these predictions using 141,562 field-year observations of 43 arthropod populations across spatial and temporal temperature gradients. Pests exhibited remarkable heterogeneity of responses to elevated temperatures, with some populations increasing and others decreasing. Natural enemies also showed variable responses to elevated temperatures, with partial support emerging for the hypothesis that natural enemies are more vulnerable to warming than pests. Laboratory-measured thermal performance and life-history traits failed to explain the variability of responses across taxa. Our findings challenge predictions of universal pest proliferation, highlighting the urgent need for species-specific monitoring approaches in agricultural climate adaptation.</w:t>
      </w:r>
    </w:p>
    <w:p>
      <w:pPr>
        <w:spacing w:before="120" w:after="120"/>
      </w:pPr>
      <w:r>
        <w:rPr>
          <w:sz w:val="18"/>
        </w:rPr>
        <w:t>——————————————————————————————————————————————————————————————————————</w:t>
      </w:r>
    </w:p>
    <w:p>
      <w:pPr>
        <w:spacing w:before="160" w:after="40" w:line="240" w:lineRule="auto"/>
      </w:pPr>
      <w:r>
        <w:rPr>
          <w:b/>
        </w:rPr>
        <w:t xml:space="preserve">[193] </w:t>
      </w:r>
      <w:hyperlink r:id="rId565">
        <w:r>
          <w:rPr>
            <w:color w:val="1155CC"/>
            <w:u w:val="single"/>
          </w:rPr>
          <w:t>双眼视觉源于眼窝收敛、眼睛定向和高视力视网膜特化的协调发展</w:t>
        </w:r>
      </w:hyperlink>
    </w:p>
    <w:p>
      <w:pPr>
        <w:spacing w:before="0" w:after="80"/>
      </w:pPr>
      <w:r>
        <w:rPr>
          <w:i/>
          <w:sz w:val="20"/>
        </w:rPr>
        <w:t>EN: Binocular vision emerges from the coordinated development of orbit convergence, eye orientation, and high-acuity retinal specializations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66">
        <w:r>
          <w:rPr>
            <w:color w:val="1155CC"/>
            <w:u w:val="single"/>
          </w:rPr>
          <w:t>10.1073/pnas.2537038123</w:t>
        </w:r>
      </w:hyperlink>
    </w:p>
    <w:p>
      <w:pPr>
        <w:spacing w:before="0" w:after="120"/>
      </w:pPr>
      <w:r>
        <w:rPr>
          <w:b/>
        </w:rPr>
        <w:t xml:space="preserve">Notes: </w:t>
      </w:r>
      <w:r>
        <w:t>abstract_source=crossref</w:t>
      </w:r>
    </w:p>
    <w:p>
      <w:pPr>
        <w:spacing w:before="0" w:after="80" w:lineRule="auto" w:line="276"/>
      </w:pPr>
      <w:r>
        <w:rPr>
          <w:b/>
        </w:rPr>
        <w:t xml:space="preserve">摘要（ZH）: </w:t>
      </w:r>
      <w:r>
        <w:t>双眼视觉要求两只眼睛对齐，使它们的视野重叠。一个长期以来的前提是，眼眶的方向决定了眼睛的位置，从而决定了这种重叠的范围，即双眼视野。此外，为了产生准确的神经表征，双眼视野必须与视网膜高精度区域的位置以及未交叉视网膜投射的范围相结合。然而，目前尚不清楚双眼视野是否在眼睛睁开时已经形成，以及在发育过程中何时以及如何与神经解剖学视觉特征整合。使用昼行性啮齿动物八齿鼠，一个适合视觉神经科学的动物模型，我们结合基于CT的3D颅骨重建、视觉场几何的定量测量、全装视网膜拓扑、视网膜投射的神经追踪和行为测试来重建双眼视觉系统的出生后组装。我们显示，眼眶和眼球的方向在出生后显著变化，扩大了背侧双眼视野；视网膜神经节细胞分布锐化为水平视觉条纹和定义的中央区；并且到上丘的同侧投射与双眼扩展平行成熟。这些变化与双眼依赖行为的出现相吻合，如深度辨别和逼近逃避反应。我们的研究结果表明</w:t>
      </w:r>
    </w:p>
    <w:p>
      <w:pPr>
        <w:spacing w:before="0" w:after="200" w:lineRule="auto" w:line="276"/>
      </w:pPr>
      <w:r>
        <w:rPr>
          <w:b/>
        </w:rPr>
        <w:t xml:space="preserve">Abstract (EN): </w:t>
      </w:r>
      <w:r>
        <w:t>Binocular vision requires both eyes to be aligned such that their visual fields overlap. A long-standing premise derived from comparative studies is that the orientation of the orbits determines eye position, and thereby the extension of this overlap, the binocular field. In addition, to produce an accurate neural representation, the binocular field must integrate with the position of retinal high-acuity areas and with the extent of uncrossed retinal projections. It remains unknown, however, whether the binocular field is already formed at the time of eye-opening, as well as when and how it integrates with neuroanatomical visual traits during development. Using the diurnal rodent</w:t>
      </w:r>
      <w:r>
        <w:t xml:space="preserve"> </w:t>
      </w:r>
      <w:r>
        <w:t>Octodon degus</w:t>
      </w:r>
      <w:r>
        <w:t xml:space="preserve"> </w:t>
      </w:r>
      <w:r>
        <w:t>, a suitable animal model for visual neuroscience, we combined CT-based 3D cranial reconstructions, quantitative measurements of visual-field geometry, whole-mount retinal topography, neural tracing of retinal projections, and behavioral assays to reconstruct the postnatal assembly of the binocular visual system. We show that orbital and ocular orientations shift substantially after birth, broadening the dorsal binocular field; that retinal ganglion cell distributions sharpen into a horizontal visual streak and a defined</w:t>
      </w:r>
      <w:r>
        <w:t xml:space="preserve"> </w:t>
      </w:r>
      <w:r>
        <w:t>area centralis</w:t>
      </w:r>
      <w:r>
        <w:t xml:space="preserve"> </w:t>
      </w:r>
      <w:r>
        <w:t>; and that ipsilateral projections to the superior colliculus mature in parallel to binocular expansion. These changes coincide with the emergence of binocular-dependent behaviors such as depth discrimination and looming-evoked escape responses. Together, our findings demonstrate that binocular vision emerges through the coordinated alignment of multiple developmental processes across levels of organization.</w:t>
      </w:r>
    </w:p>
    <w:p>
      <w:pPr>
        <w:spacing w:before="120" w:after="120"/>
      </w:pPr>
      <w:r>
        <w:rPr>
          <w:sz w:val="18"/>
        </w:rPr>
        <w:t>——————————————————————————————————————————————————————————————————————</w:t>
      </w:r>
    </w:p>
    <w:p>
      <w:pPr>
        <w:spacing w:before="160" w:after="40" w:line="240" w:lineRule="auto"/>
      </w:pPr>
      <w:r>
        <w:rPr>
          <w:b/>
        </w:rPr>
        <w:t xml:space="preserve">[194] </w:t>
      </w:r>
      <w:hyperlink r:id="rId567">
        <w:r>
          <w:rPr>
            <w:color w:val="1155CC"/>
            <w:u w:val="single"/>
          </w:rPr>
          <w:t>模块化遗传架构是人类手足进化的基础</w:t>
        </w:r>
      </w:hyperlink>
    </w:p>
    <w:p>
      <w:pPr>
        <w:spacing w:before="0" w:after="80"/>
      </w:pPr>
      <w:r>
        <w:rPr>
          <w:i/>
          <w:sz w:val="20"/>
        </w:rPr>
        <w:t>EN: Modular genetic architecture underlies human hand and foot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68">
        <w:r>
          <w:rPr>
            <w:color w:val="1155CC"/>
            <w:u w:val="single"/>
          </w:rPr>
          <w:t>10.1073/pnas.2603297123</w:t>
        </w:r>
      </w:hyperlink>
    </w:p>
    <w:p>
      <w:pPr>
        <w:spacing w:before="0" w:after="120"/>
      </w:pPr>
      <w:r>
        <w:rPr>
          <w:b/>
        </w:rPr>
        <w:t xml:space="preserve">Notes: </w:t>
      </w:r>
      <w:r>
        <w:t>abstract_source=crossref</w:t>
      </w:r>
    </w:p>
    <w:p>
      <w:pPr>
        <w:spacing w:before="0" w:after="80" w:lineRule="auto" w:line="276"/>
      </w:pPr>
      <w:r>
        <w:rPr>
          <w:b/>
        </w:rPr>
        <w:t xml:space="preserve">摘要（ZH）: </w:t>
      </w:r>
      <w:r>
        <w:t>手和脚在抓握和运动功能上的分化长期以来被认为是人类进化中的一个关键事件，并涉及骨骼的重大变化。古人类进化出更强壮和对生的拇指，而其他手指相对较短，增强了操作能力。脚进化出强壮的第一趾和短的侧趾，以应对双足行走和奔跑的挑战。虽然手和脚的适应性变化通常被单独考虑，但灵长类动物的前肢和后肢是形态上整合的、连续同源的结构，这提出了自然选择可能在任何一个自足上驱动相应变化的可能性。为了探索人类自足进化的遗传架构，我们使用功能基因组学方法识别在人类手和脚发育中的指骨和掌骨的调控元件和基因表达。我们基于基因表达或调控活动模式识别遗传模块，这些模块强烈区分掌骨与指骨，并在较小程度上沿前后轴或在肢体类型之间分离组织。我们显示，这些遗传模块中的一些富含人类特有的基因组特征，这可能是人类与其他猿类自足骨骼解剖差异的基础。我们发现与脚相关的人类特有基因组特征的富集程度比手更强，这与假设脚受到更强选择压力的模型一致。</w:t>
      </w:r>
    </w:p>
    <w:p>
      <w:pPr>
        <w:spacing w:before="0" w:after="200" w:lineRule="auto" w:line="276"/>
      </w:pPr>
      <w:r>
        <w:rPr>
          <w:b/>
        </w:rPr>
        <w:t xml:space="preserve">Abstract (EN): </w:t>
      </w:r>
      <w:r>
        <w:t>The functional divergence of the hand and foot for prehension and locomotion, respectively, has long been recognized as a critical event in human evolution, and involved substantial changes to the skeleton. Hominins evolved a more muscular and opposable thumb while the other fingers are relatively shorter, enhancing manipulative capacity. The feet evolved robust first toes and short lateral toes to meet the challenges of bipedal walking and running. While adaptations in the hand and foot have often been considered separately, the fore- and hind limbs of primates are morphologically integrated, serially homologous structures, raising the possibility that natural selection on either autopod may have driven corresponding changes in the other. To explore the genetic architecture underlying human autopod evolution, we used functional genomics methods to identify regulatory elements and gene expression in the developing phalanges and metacarpals of the human hand and foot. We identified genetic modules based on patterns of gene expression or regulatory activity, which strongly distinguish the metapodials from the phalanges and separate tissues to a lesser extent along the anterior–posterior axis or between limb types. We show that some of these genetic modules are enriched for human-specific genomic features, which potentially underlie anatomical differences in the autopod skeleton between humans and other apes. We find stronger enrichments for human-specific genomic features related to the foot than the hand, consistent with models hypothesizing stronger selective pressure on the human foot during the transition to bipedalism. Our results highlight the modular genetic architecture underlying human autopod evolution.</w:t>
      </w:r>
    </w:p>
    <w:p>
      <w:pPr>
        <w:spacing w:before="120" w:after="120"/>
      </w:pPr>
      <w:r>
        <w:rPr>
          <w:sz w:val="18"/>
        </w:rPr>
        <w:t>——————————————————————————————————————————————————————————————————————</w:t>
      </w:r>
    </w:p>
    <w:p>
      <w:pPr>
        <w:spacing w:before="160" w:after="40" w:line="240" w:lineRule="auto"/>
      </w:pPr>
      <w:r>
        <w:rPr>
          <w:b/>
        </w:rPr>
        <w:t xml:space="preserve">[195] </w:t>
      </w:r>
      <w:hyperlink r:id="rId569">
        <w:r>
          <w:rPr>
            <w:color w:val="1155CC"/>
            <w:u w:val="single"/>
          </w:rPr>
          <w:t>侧杏仁核中时间门控的离线记忆痕迹集体回响是恐惧记忆巩固所必需的</w:t>
        </w:r>
      </w:hyperlink>
    </w:p>
    <w:p>
      <w:pPr>
        <w:spacing w:before="0" w:after="80"/>
      </w:pPr>
      <w:r>
        <w:rPr>
          <w:i/>
          <w:sz w:val="20"/>
        </w:rPr>
        <w:t>EN: Temporally gated offline engram ensemble reverberation in the lateral amygdala is required for fear memory consolidation</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70">
        <w:r>
          <w:rPr>
            <w:color w:val="1155CC"/>
            <w:u w:val="single"/>
          </w:rPr>
          <w:t>10.1073/pnas.2602678123</w:t>
        </w:r>
      </w:hyperlink>
    </w:p>
    <w:p>
      <w:pPr>
        <w:spacing w:before="0" w:after="120"/>
      </w:pPr>
      <w:r>
        <w:rPr>
          <w:b/>
        </w:rPr>
        <w:t xml:space="preserve">Notes: </w:t>
      </w:r>
      <w:r>
        <w:t>abstract_source=crossref</w:t>
      </w:r>
    </w:p>
    <w:p>
      <w:pPr>
        <w:spacing w:before="0" w:after="80" w:lineRule="auto" w:line="276"/>
      </w:pPr>
      <w:r>
        <w:rPr>
          <w:b/>
        </w:rPr>
        <w:t xml:space="preserve">摘要（ZH）: </w:t>
      </w:r>
      <w:r>
        <w:t>记忆是由稀疏分布的神经元集合体或记忆痕迹（engrams）编码的，但新分配的记忆痕迹神经元如何巩固以支持后续记忆检索仍不清楚。虽然离线再激活在海马回路中已被广泛研究，但是否有类似的集合体级别动态支持杏仁核中情感记忆的巩固尚不清楚。在此，我们结合纵向体内钙成像、时间精确的活动依赖性神经元标记和光遗传操控，研究小鼠外侧杏仁核（LA）中恐惧记忆痕迹集合体的学习后动态。我们发现分配给恐惧记忆痕迹的神经元在学习后立即表现出短暂的、时间门控的自发活动和功能协调增加，这种现象在数小时内衰减。在早期训练后窗口中破坏LA活动会导致持久的遗忘，而在较晚时间点则不会。选择性抑制训练后立即活跃的神经元足以损害记忆，而抑制训练后12小时活跃的神经元或对不相关感官刺激有反应的神经元则没有影响。关键是，训练后记忆痕迹抑制导致的记忆中断无法通过直接光遗传再激活记忆痕迹集合体来恢复，表明是记忆痕迹巩固失败而非检索缺陷。我们进一步表明，记忆检索后同样需要记忆痕迹集合体活动，暗示巩固和再巩固的共享电路级机制。总之，这些发现确定了</w:t>
      </w:r>
    </w:p>
    <w:p>
      <w:pPr>
        <w:spacing w:before="0" w:after="200" w:lineRule="auto" w:line="276"/>
      </w:pPr>
      <w:r>
        <w:rPr>
          <w:b/>
        </w:rPr>
        <w:t xml:space="preserve">Abstract (EN): </w:t>
      </w:r>
      <w:r>
        <w:t>Memories are encoded by sparsely distributed neuronal ensembles, or engrams, yet how newly allocated engram neurons are consolidated to support subsequent memory retrieval remains unclear. While offline reactivation has been extensively studied in hippocampal circuits, whether similar ensemble-level dynamics support consolidation of emotional memories in the amygdala is unknown. Here we combine longitudinal in vivo calcium imaging, temporally precise activity-dependent neuronal tagging, and optogenetic manipulations to examine postlearning dynamics of fear engram ensembles in the lateral amygdala (LA) of mice. We find that neurons allocated to a fear engram exhibit a transient, temporally gated increase in spontaneous activity and functional coordination immediately after learning, which decay within hours. Disrupting LA activity during this early posttraining window, but not at later time points, produces persistent amnesia. Selective inhibition of neurons active immediately after training is sufficient to impair memory, whereas inhibition of neurons active 12 h posttraining or neurons responsive to an unrelated sensory stimulus has no effect. Critically, memories disrupted by posttraining engram inhibition cannot be rescued by direct optogenetic reactivation of the engram ensemble, indicating a failure of engram consolidation rather than a retrieval deficit. We further show that engram ensemble activity is similarly required following memory retrieval, implicating a shared circuit-level mechanism for consolidation and reconsolidation. Together, these findings identify offline engram ensemble reverberation in the LA as a causal mechanism for transforming a transient, cellularly allocated trace into a stable, retrievable emotional memory.</w:t>
      </w:r>
    </w:p>
    <w:p>
      <w:pPr>
        <w:spacing w:before="120" w:after="120"/>
      </w:pPr>
      <w:r>
        <w:rPr>
          <w:sz w:val="18"/>
        </w:rPr>
        <w:t>——————————————————————————————————————————————————————————————————————</w:t>
      </w:r>
    </w:p>
    <w:p>
      <w:pPr>
        <w:spacing w:before="160" w:after="40" w:line="240" w:lineRule="auto"/>
      </w:pPr>
      <w:r>
        <w:rPr>
          <w:b/>
        </w:rPr>
        <w:t xml:space="preserve">[196] </w:t>
      </w:r>
      <w:hyperlink r:id="rId571">
        <w:r>
          <w:rPr>
            <w:color w:val="1155CC"/>
            <w:u w:val="single"/>
          </w:rPr>
          <w:t>仿生超声驱动的超快速软微夹持器</w:t>
        </w:r>
      </w:hyperlink>
    </w:p>
    <w:p>
      <w:pPr>
        <w:spacing w:before="0" w:after="80"/>
      </w:pPr>
      <w:r>
        <w:rPr>
          <w:i/>
          <w:sz w:val="20"/>
        </w:rPr>
        <w:t>EN: Bioinspired ultrasound-driven ultrafast soft microgripper</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72">
        <w:r>
          <w:rPr>
            <w:color w:val="1155CC"/>
            <w:u w:val="single"/>
          </w:rPr>
          <w:t>10.1073/pnas.2537655123</w:t>
        </w:r>
      </w:hyperlink>
    </w:p>
    <w:p>
      <w:pPr>
        <w:spacing w:before="0" w:after="120"/>
      </w:pPr>
      <w:r>
        <w:rPr>
          <w:b/>
        </w:rPr>
        <w:t xml:space="preserve">Notes: </w:t>
      </w:r>
      <w:r>
        <w:t>abstract_source=crossref</w:t>
      </w:r>
    </w:p>
    <w:p>
      <w:pPr>
        <w:spacing w:before="0" w:after="80" w:lineRule="auto" w:line="276"/>
      </w:pPr>
      <w:r>
        <w:rPr>
          <w:b/>
        </w:rPr>
        <w:t xml:space="preserve">摘要（ZH）: </w:t>
      </w:r>
      <w:r>
        <w:t>理解声波如何与软物质相互作用对于开发动态控制、驱动、传感器和小尺度操控的新策略至关重要。软物质和微型机器人领域的一个主要挑战是如何在不牺牲顺应性或生物相容性的情况下，实现微尺度的快速、精确和远程控制的驱动。在此，我们介绍了一种基于声激活软水凝胶微结构的无线人工微纤毛，灵感来自捕蝇草和</w:t>
      </w:r>
      <w:r>
        <w:t xml:space="preserve"> </w:t>
      </w:r>
      <w:r>
        <w:t>vorticella</w:t>
      </w:r>
      <w:r>
        <w:t xml:space="preserve"> </w:t>
      </w:r>
      <w:r>
        <w:t>。这些结构被称为SonoGrippers，由双微纤毛（≤120 µm长度）组成，具有向外的尖锐尖端。在声激发下，SonoGrippers实现超快（~2 ms）、可逆和可控的驱动，能够远程吸引、抓取和释放物体。通过调整结构设计和声学参数，SonoGrippers展示了多样的变形模式和可调的响应动态，允许在各种应用场景中实现适应性抓取性能。通过对静止和移动生物样本的概念验证演示，确认了其强大的功能性。结合简单的制造、无添加剂操作、无线快速控制和生物相容性，SonoGrippers为下一代生物医学操控、软微型机器人和生物工程应用提供了一个有前景的平台。</w:t>
      </w:r>
    </w:p>
    <w:p>
      <w:pPr>
        <w:spacing w:before="0" w:after="200" w:lineRule="auto" w:line="276"/>
      </w:pPr>
      <w:r>
        <w:rPr>
          <w:b/>
        </w:rPr>
        <w:t xml:space="preserve">Abstract (EN): </w:t>
      </w:r>
      <w:r>
        <w:t>Understanding how acoustic waves interact with soft matter is critical for developing new strategies for dynamic control, actuation, sensors, and manipulation at small scales. A major challenge in soft matter and microrobotics is how to achieve fast, precise, and remotely controlled actuation at the microscale without sacrificing compliance or biocompatibility. Here, we introduce wireless artificial microcilia based on acoustically activated soft hydrogel microstructures inspired by Venus flytrap and</w:t>
      </w:r>
      <w:r>
        <w:t xml:space="preserve"> </w:t>
      </w:r>
      <w:r>
        <w:t>vorticella</w:t>
      </w:r>
      <w:r>
        <w:t xml:space="preserve"> </w:t>
      </w:r>
      <w:r>
        <w:t>. The structures, termed SonoGrippers, consist of dual microcilia (≤120 µm length) with outward-facing sharp tips. Upon acoustic excitation, SonoGrippers deliver ultrafast (~2 ms), reversible, and controllable actuation, enabling remote attraction, gripping, and release of objects. By tuning structural designs and acoustic parameters, SonoGrippers exhibit diverse deformation modes and tunable response dynamics, allowing adaptable gripping performance across various application scenarios. Proof-of-concept demonstrations with stationary and mobile biological samples confirm their robust functionality. Combining simple fabrication, additive-free operation, wireless rapid control, and biocompatibility, SonoGrippers provide a promising platform toward next-generation biomedical manipulation, soft microrobotics, and bioengineering applications.</w:t>
      </w:r>
    </w:p>
    <w:p>
      <w:pPr>
        <w:spacing w:before="120" w:after="120"/>
      </w:pPr>
      <w:r>
        <w:rPr>
          <w:sz w:val="18"/>
        </w:rPr>
        <w:t>——————————————————————————————————————————————————————————————————————</w:t>
      </w:r>
    </w:p>
    <w:p>
      <w:pPr>
        <w:spacing w:before="160" w:after="40" w:line="240" w:lineRule="auto"/>
      </w:pPr>
      <w:r>
        <w:rPr>
          <w:b/>
        </w:rPr>
        <w:t xml:space="preserve">[197] </w:t>
      </w:r>
      <w:hyperlink r:id="rId573">
        <w:r>
          <w:rPr>
            <w:color w:val="1155CC"/>
            <w:u w:val="single"/>
          </w:rPr>
          <w:t>鉴定A组链球菌来源囊泡中的免疫刺激性抗原</w:t>
        </w:r>
      </w:hyperlink>
    </w:p>
    <w:p>
      <w:pPr>
        <w:spacing w:before="0" w:after="80"/>
      </w:pPr>
      <w:r>
        <w:rPr>
          <w:i/>
          <w:sz w:val="20"/>
        </w:rPr>
        <w:t>EN: Identification of immunostimulatory antigens in Group A Streptococcus–derived vesicles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74">
        <w:r>
          <w:rPr>
            <w:color w:val="1155CC"/>
            <w:u w:val="single"/>
          </w:rPr>
          <w:t>10.1073/pnas.2537351123</w:t>
        </w:r>
      </w:hyperlink>
    </w:p>
    <w:p>
      <w:pPr>
        <w:spacing w:before="0" w:after="120"/>
      </w:pPr>
      <w:r>
        <w:rPr>
          <w:b/>
        </w:rPr>
        <w:t xml:space="preserve">Notes: </w:t>
      </w:r>
      <w:r>
        <w:t>abstract_source=crossref</w:t>
      </w:r>
    </w:p>
    <w:p>
      <w:pPr>
        <w:spacing w:before="0" w:after="80" w:lineRule="auto" w:line="276"/>
      </w:pPr>
      <w:r>
        <w:rPr>
          <w:b/>
        </w:rPr>
        <w:t xml:space="preserve">摘要（ZH）: </w:t>
      </w:r>
      <w:r>
        <w:t>一种针对</w:t>
      </w:r>
      <w:r>
        <w:t xml:space="preserve"> </w:t>
      </w:r>
      <w:r>
        <w:t>化脓性链球菌</w:t>
      </w:r>
      <w:r>
        <w:t xml:space="preserve"> </w:t>
      </w:r>
      <w:r>
        <w:t>（A组</w:t>
      </w:r>
      <w:r>
        <w:t xml:space="preserve"> </w:t>
      </w:r>
      <w:r>
        <w:t>链球菌</w:t>
      </w:r>
      <w:r>
        <w:t xml:space="preserve"> </w:t>
      </w:r>
      <w:r>
        <w:t>，GAS）的有效疫苗迫切需要。细菌衍生的细胞外囊泡（EVs）正在成为有前景的疫苗平台。在这项研究中，我们评估了GAS衍生EVs在小鼠鼻内给药时的免疫刺激特性。免疫接种引发了强烈的体液反应，包括病原体特异性免疫球蛋白G（IgG）和免疫球蛋白A（IgA）抗体。此外，我们观察到了局部和系统的T细胞反应，特别是强烈的Th17反应以及适度但统计显著的Th1反应。通过免疫沉淀结合质谱和西方印迹，我们鉴定了七种免疫原性蛋白，包括脂蛋白MtsA、BMP、PrsA1、PrsA2、MetQ、MalX和谷氨酰胺转运蛋白GlnP。这些抗原被健康个体和坏死性软组织感染患者的人类血清识别。最后，我们证明这些抗原刺激肺细胞和脾细胞产生和分泌IL-17A，并且它们在不同GAS M型中高度保守，突显其作为广泛保护性疫苗候选者的潜力。</w:t>
      </w:r>
    </w:p>
    <w:p>
      <w:pPr>
        <w:spacing w:before="0" w:after="200" w:lineRule="auto" w:line="276"/>
      </w:pPr>
      <w:r>
        <w:rPr>
          <w:b/>
        </w:rPr>
        <w:t xml:space="preserve">Abstract (EN): </w:t>
      </w:r>
      <w:r>
        <w:t>An effective vaccine against</w:t>
      </w:r>
      <w:r>
        <w:t xml:space="preserve"> </w:t>
      </w:r>
      <w:r>
        <w:t>Streptococcus pyogenes</w:t>
      </w:r>
      <w:r>
        <w:t xml:space="preserve"> </w:t>
      </w:r>
      <w:r>
        <w:t>(Group A</w:t>
      </w:r>
      <w:r>
        <w:t xml:space="preserve"> </w:t>
      </w:r>
      <w:r>
        <w:t>Streptococcus</w:t>
      </w:r>
      <w:r>
        <w:t xml:space="preserve"> </w:t>
      </w:r>
      <w:r>
        <w:t>, GAS) is urgently needed. Bacteria-derived extracellular vesicles (EVs) are emerging as promising vaccine platforms. In this study, we evaluated the immunostimulatory properties of GAS-derived EVs when administered intranasally in mice. Immunization induced a strong humoral response, including pathogen-specific immunoglobulin G (IgG) and immunoglobulin A (IgA) antibodies. Additionally, we observed local and systemic T cell responses, specifically a robust Th17 response along with a modest but statistically significant Th1 response. Through immunoprecipitation coupled with mass spectrometry and western blotting, we identified seven immunogenic proteins, including the lipoproteins MtsA, BMP, PrsA1, PrsA2, MetQ, MalX, and the glutamine transporter GlnP. These antigens were recognized by human sera from both healthy individuals and patients with necrotizing soft tissue infection. Finally, we demonstrate that these antigens stimulate production and secretion of IL-17A by lung cells and splenocytes and that they are highly conserved across diverse GAS M-types, highlighting their potential as broadly protective vaccine candidates.</w:t>
      </w:r>
    </w:p>
    <w:p>
      <w:pPr>
        <w:spacing w:before="120" w:after="120"/>
      </w:pPr>
      <w:r>
        <w:rPr>
          <w:sz w:val="18"/>
        </w:rPr>
        <w:t>——————————————————————————————————————————————————————————————————————</w:t>
      </w:r>
    </w:p>
    <w:p>
      <w:pPr>
        <w:spacing w:before="160" w:after="40" w:line="240" w:lineRule="auto"/>
      </w:pPr>
      <w:r>
        <w:rPr>
          <w:b/>
        </w:rPr>
        <w:t xml:space="preserve">[198] </w:t>
      </w:r>
      <w:hyperlink r:id="rId575">
        <w:r>
          <w:rPr>
            <w:color w:val="1155CC"/>
            <w:u w:val="single"/>
          </w:rPr>
          <w:t>北美白垩纪-古近纪大灭绝事件前后的真菌繁殖</w:t>
        </w:r>
      </w:hyperlink>
    </w:p>
    <w:p>
      <w:pPr>
        <w:spacing w:before="0" w:after="80"/>
      </w:pPr>
      <w:r>
        <w:rPr>
          <w:i/>
          <w:sz w:val="20"/>
        </w:rPr>
        <w:t>EN: Fungal proliferation before and after the Cretaceous–Paleogene mass extinction event in North America</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76">
        <w:r>
          <w:rPr>
            <w:color w:val="1155CC"/>
            <w:u w:val="single"/>
          </w:rPr>
          <w:t>10.1073/pnas.2536899123</w:t>
        </w:r>
      </w:hyperlink>
    </w:p>
    <w:p>
      <w:pPr>
        <w:spacing w:before="0" w:after="120"/>
      </w:pPr>
      <w:r>
        <w:rPr>
          <w:b/>
        </w:rPr>
        <w:t xml:space="preserve">Notes: </w:t>
      </w:r>
      <w:r>
        <w:t>abstract_source=crossref</w:t>
      </w:r>
    </w:p>
    <w:p>
      <w:pPr>
        <w:spacing w:before="0" w:after="80" w:lineRule="auto" w:line="276"/>
      </w:pPr>
      <w:r>
        <w:rPr>
          <w:b/>
        </w:rPr>
        <w:t xml:space="preserve">摘要（ZH）: </w:t>
      </w:r>
      <w:r>
        <w:t>在全球灾难后真菌繁殖的孢粉学证据已在二叠纪-三叠纪和白垩纪-古近纪（K/Pg）灭绝事件中被发现。然而，与全球记录的二叠纪后真菌繁殖不同，白垩纪后事件的证据此前仅限于新西兰的一个地点。我们对科罗拉多州丹佛盆地的K/Pg边界段的分析显示，在Chicxulub陨石撞击后立即发生了真菌繁殖高峰。在北美发现的撞击后真菌繁殖证实了新西兰的发现，并支持这一现象是全球性的解释。我们还确定了在晚白垩纪期间真菌丰度升高的延长时期，约在撞击前30,000至10,000年，与该地点的气候冷却时期时间相关，并与德干暗色岩火山喷发的Poladpur阶段高体积喷发巧合。结合先前全球灾难后真菌扩张的报告，这些发现表明真菌在生态系统崩溃后往往能够繁盛。鉴于真菌能够引起植物和动物疾病，真菌繁殖事件的发生对幸存全球灾难的物种恢复具有潜在影响。</w:t>
      </w:r>
    </w:p>
    <w:p>
      <w:pPr>
        <w:spacing w:before="0" w:after="200" w:lineRule="auto" w:line="276"/>
      </w:pPr>
      <w:r>
        <w:rPr>
          <w:b/>
        </w:rPr>
        <w:t xml:space="preserve">Abstract (EN): </w:t>
      </w:r>
      <w:r>
        <w:t>Palynological evidence of postcatastrophe fungal proliferation after global calamities has been found for the Permian–Triassic and Cretaceous–Paleogene (K/Pg) extinction events. However, unlike the globally documented post-Permian fungal bloom, evidence of a post-Cretaceous event has previously been limited to a single site in New Zealand. Our analysis of a K/Pg boundary section from the Denver Basin in Colorado revealed a fungal proliferative spike occurring immediately after the Chicxulub meteorite impact. The discovery of a postimpact fungal bloom in North America corroborates the New Zealand finding and supports the interpretation that this was a global phenomenon. We also identified a prolonged interval of elevated fungal abundance in the Late Cretaceous, dating to approximately 30,000 to 10,000 y before the impact, temporally correlated to a period of climatic cooling at the site and intriguingly coincident with the high-volume Poladpur phase of the Deccan Traps volcanic eruptions. Taken together with reports of fungal expansion following prior global calamities, these findings indicate that fungi can often flourish in the aftermath of ecosystem-level collapse. Given the capacity of fungi to cause disease in both plants and animals, the occurrence of fungal proliferative events has potential implications for the recovery of species surviving global cataclysms.</w:t>
      </w:r>
    </w:p>
    <w:p>
      <w:pPr>
        <w:spacing w:before="120" w:after="120"/>
      </w:pPr>
      <w:r>
        <w:rPr>
          <w:sz w:val="18"/>
        </w:rPr>
        <w:t>——————————————————————————————————————————————————————————————————————</w:t>
      </w:r>
    </w:p>
    <w:p>
      <w:pPr>
        <w:spacing w:before="160" w:after="40" w:line="240" w:lineRule="auto"/>
      </w:pPr>
      <w:r>
        <w:rPr>
          <w:b/>
        </w:rPr>
        <w:t xml:space="preserve">[199] </w:t>
      </w:r>
      <w:hyperlink r:id="rId577">
        <w:r>
          <w:rPr>
            <w:color w:val="1155CC"/>
            <w:u w:val="single"/>
          </w:rPr>
          <w:t>富含皱纹应变的高熵金属烯促进交叉位点串联硝酸盐转化为氨</w:t>
        </w:r>
      </w:hyperlink>
    </w:p>
    <w:p>
      <w:pPr>
        <w:spacing w:before="0" w:after="80"/>
      </w:pPr>
      <w:r>
        <w:rPr>
          <w:i/>
          <w:sz w:val="20"/>
        </w:rPr>
        <w:t>EN: Wrinkled Strain‐Enriched High‐Entropy Metallene Enables Cross‐Site Tandem Nitrate‐to‐Ammonia</w:t>
      </w:r>
    </w:p>
    <w:p>
      <w:pPr>
        <w:spacing w:before="0" w:after="120"/>
      </w:pPr>
      <w:r>
        <w:rPr>
          <w:b/>
        </w:rPr>
        <w:t xml:space="preserve">Source: </w:t>
      </w:r>
      <w:r>
        <w:t>Wiley: Angewandte Chemie International Edition: Table of Contents</w:t>
      </w:r>
      <w:r>
        <w:t xml:space="preserve">    </w:t>
      </w:r>
      <w:r>
        <w:rPr>
          <w:b/>
        </w:rPr>
        <w:t xml:space="preserve">Pub date: </w:t>
      </w:r>
      <w:r>
        <w:t>2026-05-12 07:00:00+00:00</w:t>
      </w:r>
      <w:r>
        <w:t xml:space="preserve">    </w:t>
      </w:r>
      <w:r>
        <w:rPr>
          <w:b/>
        </w:rPr>
        <w:t xml:space="preserve">DOI: </w:t>
      </w:r>
      <w:hyperlink r:id="rId578">
        <w:r>
          <w:rPr>
            <w:color w:val="1155CC"/>
            <w:u w:val="single"/>
          </w:rPr>
          <w:t>10.1002/anie.5828704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合金（HEAs）在可持续电催化硝酸盐转化为氨方面具有吸引力，但存在原子利用率低和活性位点暴露不足的问题。在此，我们报告了一种皱纹状的PdFeCoNiCuIn高熵金属（HEM），利用结构-电子双重调控策略来超越这些限制。p区元素铟（In）的引入触发了强p-d轨道杂化，与内在的金属结构协同作用，构建了广泛的吸附能量景观。该结构实现了跨位点串联催化路径，空间上解耦了硝酸盐活化与氨的解吸，从而规避了尺度限制。因此，PdFeCoNiCuIn-HEM提供了显著的氨法拉第效率99.3%和产率4.55 mmol h</w:t>
      </w:r>
      <w:r>
        <w:t xml:space="preserve"> </w:t>
      </w:r>
      <w:r>
        <w:t>−1</w:t>
      </w:r>
      <w:r>
        <w:t xml:space="preserve"> </w:t>
      </w:r>
      <w:r>
        <w:t>mg</w:t>
      </w:r>
      <w:r>
        <w:t xml:space="preserve"> </w:t>
      </w:r>
      <w:r>
        <w:t>cat</w:t>
      </w:r>
      <w:r>
        <w:t xml:space="preserve"> </w:t>
      </w:r>
      <w:r>
        <w:t>−1</w:t>
      </w:r>
      <w:r>
        <w:t xml:space="preserve"> </w:t>
      </w:r>
      <w:r>
        <w:t>。此外，使用PdFeCoNiCuIn-HEM作为阴极组装的可充电Zn-NO</w:t>
      </w:r>
      <w:r>
        <w:rPr>
          <w:vertAlign w:val="subscript"/>
        </w:rPr>
        <w:t>3</w:t>
      </w:r>
      <w:r>
        <w:t>−</w:t>
      </w:r>
      <w:r>
        <w:t>电池实现了1.48 V的高开路电压，7.36 mW cm</w:t>
      </w:r>
      <w:r>
        <w:t xml:space="preserve"> </w:t>
      </w:r>
      <w:r>
        <w:t>−2</w:t>
      </w:r>
      <w:r>
        <w:t xml:space="preserve"> </w:t>
      </w:r>
      <w:r>
        <w:t>的功率密度，并在100小时内稳定循环。该工作为开发高效NRA催化剂提供了实用且可推广的设计策略。</w:t>
      </w:r>
    </w:p>
    <w:p>
      <w:pPr>
        <w:spacing w:before="0" w:after="200" w:lineRule="auto" w:line="276"/>
      </w:pPr>
      <w:r>
        <w:rPr>
          <w:b/>
        </w:rPr>
        <w:t xml:space="preserve">Abstract (EN): </w:t>
      </w:r>
      <w:r>
        <w:t>High‐entropy alloys (HEAs) are interesting for sustainable electrocatalytic nitrate‐to‐ammonia but suffer from low atom utilization and insufficient exposure of active sites. Here, we report a wrinkled PdFeCoNiCuIn high‐entropy metallene (HEM) that leverages a structural‐electronic dual regulation strategy to transcend these limitations. The incorporation of the p‐block element indium (In) triggers a strong p‐d orbital hybridization that synergizes with the intrinsic metallene architecture to construct a broad adsorption energy landscape. This architecture enables a cross‐site tandem catalytic pathway that spatially decouples nitrate activation from ammonia desorption, thereby circumventing scaling constraints. Consequently, the PdFeCoNiCuIn‐HEM delivers a remarkable ammonia Faradaic efficiency of 99.3% and a yield rate of 4.55 mmol h</w:t>
      </w:r>
      <w:r>
        <w:t xml:space="preserve"> </w:t>
      </w:r>
      <w:r>
        <w:t>−1</w:t>
      </w:r>
      <w:r>
        <w:t xml:space="preserve"> </w:t>
      </w:r>
      <w:r>
        <w:t>mg</w:t>
      </w:r>
      <w:r>
        <w:t xml:space="preserve"> </w:t>
      </w:r>
      <w:r>
        <w:t>cat</w:t>
      </w:r>
      <w:r>
        <w:t xml:space="preserve"> </w:t>
      </w:r>
      <w:r>
        <w:t>−1</w:t>
      </w:r>
      <w:r>
        <w:t xml:space="preserve"> </w:t>
      </w:r>
      <w:r>
        <w:t>. Furthermore, the rechargeable Zn‐NO</w:t>
      </w:r>
      <w:r>
        <w:rPr>
          <w:vertAlign w:val="subscript"/>
        </w:rPr>
        <w:t>3</w:t>
      </w:r>
      <w:r>
        <w:t>−</w:t>
      </w:r>
      <w:r>
        <w:t>battery assembled with the PdFeCoNiCuIn‐HEM as cathode achieves a high open‐circuit voltage of 1.48 V, a power density of 7.36 mW cm</w:t>
      </w:r>
      <w:r>
        <w:t xml:space="preserve"> </w:t>
      </w:r>
      <w:r>
        <w:t>−2</w:t>
      </w:r>
      <w:r>
        <w:t xml:space="preserve"> </w:t>
      </w:r>
      <w:r>
        <w:t>, and stable cycling over 100 h. This work provides a practical and generalizable design strategy for developing efficient NRA catalysts.</w:t>
      </w:r>
    </w:p>
    <w:p>
      <w:pPr>
        <w:spacing w:before="120" w:after="120"/>
      </w:pPr>
      <w:r>
        <w:rPr>
          <w:sz w:val="18"/>
        </w:rPr>
        <w:t>——————————————————————————————————————————————————————————————————————</w:t>
      </w:r>
    </w:p>
    <w:p>
      <w:pPr>
        <w:spacing w:before="160" w:after="40" w:line="240" w:lineRule="auto"/>
      </w:pPr>
      <w:r>
        <w:rPr>
          <w:b/>
        </w:rPr>
        <w:t xml:space="preserve">[200] </w:t>
      </w:r>
      <w:hyperlink r:id="rId579">
        <w:r>
          <w:rPr>
            <w:color w:val="1155CC"/>
            <w:u w:val="single"/>
          </w:rPr>
          <w:t>多倍体植物及其二倍体祖先中谱系特异性调控景观的进化</w:t>
        </w:r>
      </w:hyperlink>
    </w:p>
    <w:p>
      <w:pPr>
        <w:spacing w:before="0" w:after="80"/>
      </w:pPr>
      <w:r>
        <w:rPr>
          <w:i/>
          <w:sz w:val="20"/>
        </w:rPr>
        <w:t>EN: Lineage-specific evolution of regulatory landscapes in a polyploid plant and its diploid progenitors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80">
        <w:r>
          <w:rPr>
            <w:color w:val="1155CC"/>
            <w:u w:val="single"/>
          </w:rPr>
          <w:t>10.1073/pnas.2530814123</w:t>
        </w:r>
      </w:hyperlink>
    </w:p>
    <w:p>
      <w:pPr>
        <w:spacing w:before="0" w:after="120"/>
      </w:pPr>
      <w:r>
        <w:rPr>
          <w:b/>
        </w:rPr>
        <w:t xml:space="preserve">Notes: </w:t>
      </w:r>
      <w:r>
        <w:t>abstract_source=crossref</w:t>
      </w:r>
    </w:p>
    <w:p>
      <w:pPr>
        <w:spacing w:before="0" w:after="80" w:lineRule="auto" w:line="276"/>
      </w:pPr>
      <w:r>
        <w:rPr>
          <w:b/>
        </w:rPr>
        <w:t xml:space="preserve">摘要（ZH）: </w:t>
      </w:r>
      <w:r>
        <w:t>顺式调控元件是特定的DNA序列，以时空方式控制基因表达，这些元件内的变异是表型多样性和进化创新的主要来源。然而，调控元件如何进化并塑造基因表达仍然知之甚少，特别是在植物中。异源多倍体花生（Arachis hypogaea）及其二倍体祖先Arachis duranensis和Arachis ipaensis的良好解析的系统发育提供了一个理想的系统来研究谱系特异性水平的调控进化。通过整合序列相似性、染色质可及性、组蛋白修饰、保守非编码序列（CNSs）和基因表达的比较分析，我们重建了可及染色质区域（ACRs）的进化轨迹，调控元件通常位于其中，并揭示了它们对同源表达偏倚、不平等表达的不同贡献。大多数ACRs表现出高序列相似性、可比的染色质可及性和H3K4me3、H3K56ac和H3K36me3的保守状态，表明杂交和多倍化后调控的稳定性。然而，一部分新的ACRs从先前的非调控区域或通过现有ACRs的序列突变中de novo出现，以不同的速率和进化阶段出现。值得注意的是，即使是高度序列保守的ACRs也表现出显著的</w:t>
      </w:r>
    </w:p>
    <w:p>
      <w:pPr>
        <w:spacing w:before="0" w:after="200" w:lineRule="auto" w:line="276"/>
      </w:pPr>
      <w:r>
        <w:rPr>
          <w:b/>
        </w:rPr>
        <w:t xml:space="preserve">Abstract (EN): </w:t>
      </w:r>
      <w:r>
        <w:t>Cis</w:t>
      </w:r>
      <w:r>
        <w:t xml:space="preserve"> </w:t>
      </w:r>
      <w:r>
        <w:t>-regulatory elements are specific DNA sequences that control gene expression in a spatiotemporal manner, and variation within these elements represents a major source of phenotypic diversity and evolutionary innovation. Nevertheless, how regulatory elements evolve and shape gene expression remains poorly understood, particularly in plants. The well-resolved phylogeny of allopolyploid peanut (</w:t>
      </w:r>
      <w:r>
        <w:t xml:space="preserve"> </w:t>
      </w:r>
      <w:r>
        <w:t>Arachis hypogaea</w:t>
      </w:r>
      <w:r>
        <w:t xml:space="preserve"> </w:t>
      </w:r>
      <w:r>
        <w:t>) and its diploid progenitors,</w:t>
      </w:r>
      <w:r>
        <w:t xml:space="preserve"> </w:t>
      </w:r>
      <w:r>
        <w:t>Arachis duranensis</w:t>
      </w:r>
      <w:r>
        <w:t xml:space="preserve"> </w:t>
      </w:r>
      <w:r>
        <w:t>and</w:t>
      </w:r>
      <w:r>
        <w:t xml:space="preserve"> </w:t>
      </w:r>
      <w:r>
        <w:t>Arachis ipaensis</w:t>
      </w:r>
      <w:r>
        <w:t xml:space="preserve"> </w:t>
      </w:r>
      <w:r>
        <w:t>, provides an ideal system to investigate the regulatory evolution at a lineage-specific level. By integrating comparative analyses of sequence similarity, chromatin accessibility, histone modifications, conserved noncoding sequences (CNSs), and gene expression, we reconstructed the evolutionary trajectories of Accessible Chromatin Regions (ACRs), where regulatory elements typically reside, and revealed their distinct contributions to homoeolog expression bias, unequal expressions between homoeologs. Most ACRs exhibited high sequence similarity, comparable chromatin accessibility, and conserved states for H3K4me3, H3K56ac, and H3K36me3, indicating regulatory stability after hybridization and polyploidization. However, a subset of novel ACRs emerged de novo from previously nonregulatory regions or through sequence mutations in preexisting ACRs, arising at different rates and evolutionary stages. Notably, even highly sequence-conserved ACRs exhibited substantial variation in chromatin accessibility, consistent with CNS composition differences and minor sequence variation, although causal relationships remain to be demonstrated. Our analyses further revealed a complex spectrum of CNS dynamics within the diploid-polyploid framework. Overall, our study provides empirical insights into the fine-scale evolution of plant regulatory landscapes and complements previous large-scale comparisons across distant lineages.</w:t>
      </w:r>
    </w:p>
    <w:p>
      <w:pPr>
        <w:spacing w:before="120" w:after="120"/>
      </w:pPr>
      <w:r>
        <w:rPr>
          <w:sz w:val="18"/>
        </w:rPr>
        <w:t>——————————————————————————————————————————————————————————————————————</w:t>
      </w:r>
    </w:p>
    <w:p>
      <w:pPr>
        <w:spacing w:before="160" w:after="40" w:line="240" w:lineRule="auto"/>
      </w:pPr>
      <w:r>
        <w:rPr>
          <w:b/>
        </w:rPr>
        <w:t xml:space="preserve">[201] </w:t>
      </w:r>
      <w:hyperlink r:id="rId581">
        <w:r>
          <w:rPr>
            <w:color w:val="1155CC"/>
            <w:u w:val="single"/>
          </w:rPr>
          <w:t>线粒体支架对PIWI区室化的时空控制定义了粗线期piRNA通路的组织</w:t>
        </w:r>
      </w:hyperlink>
    </w:p>
    <w:p>
      <w:pPr>
        <w:spacing w:before="0" w:after="80"/>
      </w:pPr>
      <w:r>
        <w:rPr>
          <w:i/>
          <w:sz w:val="20"/>
        </w:rPr>
        <w:t>EN: Spatiotemporal control of PIWI compartmentalization by mitochondrial scaffolds defines pachytene piRNA pathway organization</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82">
        <w:r>
          <w:rPr>
            <w:color w:val="1155CC"/>
            <w:u w:val="single"/>
          </w:rPr>
          <w:t>10.1073/pnas.2533968123</w:t>
        </w:r>
      </w:hyperlink>
    </w:p>
    <w:p>
      <w:pPr>
        <w:spacing w:before="0" w:after="120"/>
      </w:pPr>
      <w:r>
        <w:rPr>
          <w:b/>
        </w:rPr>
        <w:t xml:space="preserve">Notes: </w:t>
      </w:r>
      <w:r>
        <w:t>abstract_source=crossref</w:t>
      </w:r>
    </w:p>
    <w:p>
      <w:pPr>
        <w:spacing w:before="0" w:after="80" w:lineRule="auto" w:line="276"/>
      </w:pPr>
      <w:r>
        <w:rPr>
          <w:b/>
        </w:rPr>
        <w:t xml:space="preserve">摘要（ZH）: </w:t>
      </w:r>
      <w:r>
        <w:t>粗线期piRNA是哺乳动物雄性生殖系中最不为人知的一类piRNA。在减数分裂期间，它们的生物合成发生在称为线粒体间水泥（IMC）的生殖颗粒中，靠近线粒体外膜。然而，线粒体因子如何调节PIWI蛋白进出IMC的运输仍然知之甚少。我们在此展示，细胞质PIWI蛋白MILI和MIWI通过不同的线粒体膜蛋白被招募用于粗线期piRNA的生物合成。在小鼠中，减数分裂期间线粒体支架蛋白ASZ1的缺失会破坏多个下游生物合成步骤，导致MILI、MIWI和MOV10L1的错误调节，IMC形成失败，以及几乎完全丧失成熟的粗线期piRNA。令人惊讶的是，尽管粗线期piRNA严重耗竭，LINE1转座子沉默仍不受影响。我们识别出三类粗线期piRNA途径成分，它们协调piRNA的生产和分区。我们的研究结果揭示了染色体体前体作为粗线期PIWI–piRNA复合物积累的中心枢纽，从而建立了IMC基础生物合成与下游piRNA功能之间的联系。</w:t>
      </w:r>
    </w:p>
    <w:p>
      <w:pPr>
        <w:spacing w:before="0" w:after="200" w:lineRule="auto" w:line="276"/>
      </w:pPr>
      <w:r>
        <w:rPr>
          <w:b/>
        </w:rPr>
        <w:t xml:space="preserve">Abstract (EN): </w:t>
      </w:r>
      <w:r>
        <w:t>Pachytene piRNAs are the least understood class of piRNAs in the mammalian male germ line. During meiosis, their biogenesis occurs near the mitochondrial outer membrane in germ granules known as intermitochondrial cement (IMC). However, how mitochondrial factors regulate the trafficking of PIWI proteins into and out of the IMC remain poorly understood. Here we show that the cytoplasmic PIWI proteins MILI and MIWI are recruited for pachytene piRNA biogenesis via distinct mitochondrial membrane proteins. Loss of the mitochondrial scaffold protein ASZ1 during meiosis in mice disrupts multiple downstream biogenesis steps, resulting in misregulation of MILI, MIWI, and MOV10L1, failure of IMC formation, and an almost complete loss of mature pachytene piRNAs. Strikingly, despite the drastic depletion of pachytene piRNAs, LINE1 transposon silencing remains unaffected. We identify three classes of pachytene piRNA pathway components that coordinate piRNA production and compartmentalization. Our findings reveal that chromatoid body precursors serve as a central hub for the accumulation of pachytene PIWI–piRNA complexes, thus establishing a connection between IMC-based biogenesis and downstream piRNA function.</w:t>
      </w:r>
    </w:p>
    <w:p>
      <w:pPr>
        <w:spacing w:before="120" w:after="120"/>
      </w:pPr>
      <w:r>
        <w:rPr>
          <w:sz w:val="18"/>
        </w:rPr>
        <w:t>——————————————————————————————————————————————————————————————————————</w:t>
      </w:r>
    </w:p>
    <w:p>
      <w:pPr>
        <w:spacing w:before="160" w:after="40" w:line="240" w:lineRule="auto"/>
      </w:pPr>
      <w:r>
        <w:rPr>
          <w:b/>
        </w:rPr>
        <w:t xml:space="preserve">[202] </w:t>
      </w:r>
      <w:hyperlink r:id="rId583">
        <w:r>
          <w:rPr>
            <w:color w:val="1155CC"/>
            <w:u w:val="single"/>
          </w:rPr>
          <w:t>博弈中噪声学习的进化</w:t>
        </w:r>
      </w:hyperlink>
    </w:p>
    <w:p>
      <w:pPr>
        <w:spacing w:before="0" w:after="80"/>
      </w:pPr>
      <w:r>
        <w:rPr>
          <w:i/>
          <w:sz w:val="20"/>
        </w:rPr>
        <w:t>EN: Evolution of noisy learning in games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84">
        <w:r>
          <w:rPr>
            <w:color w:val="1155CC"/>
            <w:u w:val="single"/>
          </w:rPr>
          <w:t>10.1073/pnas.2529959123</w:t>
        </w:r>
      </w:hyperlink>
    </w:p>
    <w:p>
      <w:pPr>
        <w:spacing w:before="0" w:after="120"/>
      </w:pPr>
      <w:r>
        <w:rPr>
          <w:b/>
        </w:rPr>
        <w:t xml:space="preserve">Notes: </w:t>
      </w:r>
      <w:r>
        <w:t>abstract_source=crossref</w:t>
      </w:r>
    </w:p>
    <w:p>
      <w:pPr>
        <w:spacing w:before="0" w:after="80" w:lineRule="auto" w:line="276"/>
      </w:pPr>
      <w:r>
        <w:rPr>
          <w:b/>
        </w:rPr>
        <w:t xml:space="preserve">摘要（ZH）: </w:t>
      </w:r>
      <w:r>
        <w:t>人们每天多次做出战略决策——在谈判中、与他人协调行动时，或在选择合作伙伴时。可以通过学习理论和进化博弈论研究由此产生的动态。这些框架探讨了人们如何随着时间的推移调整他们的决策，考虑到他们策略的有效性。这种学习过程的结果取决于个体对其策略表现的敏感程度。当他们更敏感时，他们系统地偏爱他们认为更成功的策略。当他们不太敏感时，他们的学习过程更为噪声和不稳定。传统上，大多数模型将这种敏感性视为一个固定参数——类似于进化模型中的“选择强度”参数。相反，我们研究策略和敏感性如何共同进化。我们发现，共同进化的终点取决于战略互动的类型和采用的学习规则。在囚徒困境中，我们经常观察到敏感性无限增加。但在雪堆和鹿猎游戏中，敏感性通常收敛到一个有限值，或者我们观察到进化分支。这些结果揭示了进化如何可能塑造社会行为的学习机制。它们表明，噪声学习不必是认知限制的副产品。相反，它可以作为获得战略优势的一种手段。</w:t>
      </w:r>
    </w:p>
    <w:p>
      <w:pPr>
        <w:spacing w:before="0" w:after="200" w:lineRule="auto" w:line="276"/>
      </w:pPr>
      <w:r>
        <w:rPr>
          <w:b/>
        </w:rPr>
        <w:t xml:space="preserve">Abstract (EN): </w:t>
      </w:r>
      <w:r>
        <w:t>People make strategic decisions many times a day—during negotiations, when coordinating actions with others, or when choosing partners for cooperation. The resulting dynamics can be studied with learning theory and evolutionary game theory. These frameworks explore how people adapt their decisions over time, in light of how effective their strategies have been. The outcomes of such learning processes depend on how sensitive individuals are to the performance of their strategies. When they are more sensitive, they systematically favor strategies they deem more successful. When they are less sensitive, their learning process is noisier and more erratic. Traditionally, most models treat this sensitivity as a fixed parameter—like the “selection strength” parameter in evolutionary models. Instead, we study how strategies and sensitivities coevolve. We find that the coevolutionary endpoints depend on both the type of strategic interaction and the learning rule employed. In prisoner’s dilemmas, we often observe sensitivities to increase indefinitely. But in snowdrift and stag-hunt games, sensitivities often converge to a finite value, or we observe evolutionary branching altogether. These results shed light on how evolution might shape learning mechanisms for social behavior. They suggest that noisy learning does not need to be a by-product of cognitive constraints. Instead, it can serve as a means to gain strategic advantages.</w:t>
      </w:r>
    </w:p>
    <w:p>
      <w:pPr>
        <w:spacing w:before="120" w:after="120"/>
      </w:pPr>
      <w:r>
        <w:rPr>
          <w:sz w:val="18"/>
        </w:rPr>
        <w:t>——————————————————————————————————————————————————————————————————————</w:t>
      </w:r>
    </w:p>
    <w:p>
      <w:pPr>
        <w:spacing w:before="160" w:after="40" w:line="240" w:lineRule="auto"/>
      </w:pPr>
      <w:r>
        <w:rPr>
          <w:b/>
        </w:rPr>
        <w:t xml:space="preserve">[203] </w:t>
      </w:r>
      <w:hyperlink r:id="rId585">
        <w:r>
          <w:rPr>
            <w:color w:val="1155CC"/>
            <w:u w:val="single"/>
          </w:rPr>
          <w:t>在与海水相关的电解过程中，相关IrO2表面吸附物配置与电化学性能的关系</w:t>
        </w:r>
      </w:hyperlink>
    </w:p>
    <w:p>
      <w:pPr>
        <w:spacing w:before="0" w:after="80"/>
      </w:pPr>
      <w:r>
        <w:rPr>
          <w:i/>
          <w:sz w:val="20"/>
        </w:rPr>
        <w:t>EN: Correlating surface adsorbate configuration and electrochemical performance of IrO2 during seawater-relevant electrolysis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86">
        <w:r>
          <w:rPr>
            <w:color w:val="1155CC"/>
            <w:u w:val="single"/>
          </w:rPr>
          <w:t>10.1073/pnas.2529533123</w:t>
        </w:r>
      </w:hyperlink>
    </w:p>
    <w:p>
      <w:pPr>
        <w:spacing w:before="0" w:after="120"/>
      </w:pPr>
      <w:r>
        <w:rPr>
          <w:b/>
        </w:rPr>
        <w:t xml:space="preserve">Notes: </w:t>
      </w:r>
      <w:r>
        <w:t>abstract_source=crossref</w:t>
      </w:r>
    </w:p>
    <w:p>
      <w:pPr>
        <w:spacing w:before="0" w:after="80" w:lineRule="auto" w:line="276"/>
      </w:pPr>
      <w:r>
        <w:rPr>
          <w:b/>
        </w:rPr>
        <w:t xml:space="preserve">摘要（ZH）: </w:t>
      </w:r>
      <w:r>
        <w:t>海水电解缓解了生产清洁氢气的淡水需求，同时消除了水净化步骤的需要。阳极过程，即海水氧化，通常需要高过电位，并通过氧气析出反应（OER）产生低选择性，主要是由于在pH中性条件下竞争的氯气析出反应（CER）和次氯酸盐析出反应（HCER）。在此，结合原位表面增强拉曼表征、大正则密度泛函理论计算和动力学蒙特卡罗模拟，我们报告了在IrO</w:t>
      </w:r>
      <w:r>
        <w:rPr>
          <w:vertAlign w:val="subscript"/>
        </w:rPr>
        <w:t>2</w:t>
      </w:r>
      <w:r>
        <w:t>上进行海水相关OER期间，由施加电位和pH驱动的表面吸附物配置的演变，这是一种高度OER活性和耐氯腐蚀的催化剂。因此，活性位点的化学性质以及OER和CER/HCER的动力学得到了有效调节。然而，结果表明，没有最佳的电位和pH组合可以同时实现海水相关OER的高活性和高选择性。为了解决这一限制，我们建立了活性/选择性与表面吸附物配置之间的相关性，从而通过调节活性位点的局部吸附物环境，优化在海水相关氧化中高度活性和OER选择性的IrO</w:t>
      </w:r>
      <w:r>
        <w:rPr>
          <w:vertAlign w:val="subscript"/>
        </w:rPr>
        <w:t>2</w:t>
      </w:r>
      <w:r>
        <w:t>基催化剂。</w:t>
      </w:r>
    </w:p>
    <w:p>
      <w:pPr>
        <w:spacing w:before="0" w:after="200" w:lineRule="auto" w:line="276"/>
      </w:pPr>
      <w:r>
        <w:rPr>
          <w:b/>
        </w:rPr>
        <w:t xml:space="preserve">Abstract (EN): </w:t>
      </w:r>
      <w:r>
        <w:t>Seawater electrolysis alleviates freshwater demand to produce clean hydrogen while eliminating the need for water purification steps. The anodic process, seawater oxidation, typically requires high overpotentials and yields low selectivity to oxygen via the oxygen evolution reaction (OER), primarily due to the competing chlorine evolution reaction (CER) and hypochlorite evolution reaction (HCER) in pH-neutral conditions. Here, combining in situ surface-enhanced Raman characterization, grand canonical density functional theory-based calculations, and kinetic Monte Carlo simulations, we report the evolution of surface adsorbate configurations driven by applied potential and pH during seawater-relevant OER over IrO</w:t>
      </w:r>
      <w:r>
        <w:rPr>
          <w:vertAlign w:val="subscript"/>
        </w:rPr>
        <w:t>2</w:t>
      </w:r>
      <w:r>
        <w:t>, a highly OER-active and chloride-corrosion-resistant catalyst. As a result, the chemical properties of active sites, and thereby the kinetics of OER and CER/HCER, are effectively tuned. However, it is revealed that there is no optimal combination of potential and pH to achieve both high activity and high selectivity for seawater-relevant OER. To address this limitation, we establish a correlation between activity/selectivity and surface adsorbate configurations, enabling the optimization of highly active and OER-selective IrO</w:t>
      </w:r>
      <w:r>
        <w:rPr>
          <w:vertAlign w:val="subscript"/>
        </w:rPr>
        <w:t>2</w:t>
      </w:r>
      <w:r>
        <w:t>-based catalysts in seawater-relevant oxidation by modulating the local adsorbate environment of active sites.</w:t>
      </w:r>
    </w:p>
    <w:p>
      <w:pPr>
        <w:spacing w:before="120" w:after="120"/>
      </w:pPr>
      <w:r>
        <w:rPr>
          <w:sz w:val="18"/>
        </w:rPr>
        <w:t>——————————————————————————————————————————————————————————————————————</w:t>
      </w:r>
    </w:p>
    <w:p>
      <w:pPr>
        <w:spacing w:before="160" w:after="40" w:line="240" w:lineRule="auto"/>
      </w:pPr>
      <w:r>
        <w:rPr>
          <w:b/>
        </w:rPr>
        <w:t xml:space="preserve">[204] </w:t>
      </w:r>
      <w:hyperlink r:id="rId587">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88">
        <w:r>
          <w:rPr>
            <w:color w:val="1155CC"/>
            <w:u w:val="single"/>
          </w:rPr>
          <w:t>10.1073/iti1926123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[205] </w:t>
      </w:r>
      <w:hyperlink r:id="rId589">
        <w:r>
          <w:rPr>
            <w:color w:val="1155CC"/>
            <w:u w:val="single"/>
          </w:rPr>
          <w:t>减轻租赁援助中的行政负担促进了获取和项目效率</w:t>
        </w:r>
      </w:hyperlink>
    </w:p>
    <w:p>
      <w:pPr>
        <w:spacing w:before="0" w:after="80"/>
      </w:pPr>
      <w:r>
        <w:rPr>
          <w:i/>
          <w:sz w:val="20"/>
        </w:rPr>
        <w:t>EN: Alleviating administrative burdens in rental assistance promotes access and program efficiency</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90">
        <w:r>
          <w:rPr>
            <w:color w:val="1155CC"/>
            <w:u w:val="single"/>
          </w:rPr>
          <w:t>10.1073/pnas.2512756123</w:t>
        </w:r>
      </w:hyperlink>
    </w:p>
    <w:p>
      <w:pPr>
        <w:spacing w:before="0" w:after="120"/>
      </w:pPr>
      <w:r>
        <w:rPr>
          <w:b/>
        </w:rPr>
        <w:t xml:space="preserve">Notes: </w:t>
      </w:r>
      <w:r>
        <w:t>abstract_source=crossref</w:t>
      </w:r>
    </w:p>
    <w:p>
      <w:pPr>
        <w:spacing w:before="0" w:after="80" w:lineRule="auto" w:line="276"/>
      </w:pPr>
      <w:r>
        <w:rPr>
          <w:b/>
        </w:rPr>
        <w:t xml:space="preserve">摘要（ZH）: </w:t>
      </w:r>
      <w:r>
        <w:t>申请政府项目的人经常面临“行政负担”，这可能阻止人们获得他们有资格享受的福利。然而，评估减轻行政负担的因果影响是困难的，因为项目要求很少以适合定量因果推断方法的方式进行更改。我们评估了减少紧急租赁援助（ERA）申请人行政负担的因果效应，该项目旨在支持COVID-19大流行期间的住房稳定，向符合条件的租户分发了超过460亿美元。我们分析了两个州住房管理局的申请数据，这些管理局根据美国财政部提供的指导，准随机地更改了申请人的文件要求。利用严格的资格截止线的准实验方法，我们发现将上传单独收入验证文件的要求替换为自动资格检查，使租赁援助申请被批准的概率增加了约15个百分点。此外，与工作人员报告的项目更改简化了耗时的文件审查程序一致，我们显示符合条件的申请处理速度快了近两周，这对面临租金债务和驱逐的租户来说是一个关键的改进。最后，我们使用ERA审计数据表明，申请批准和效率的提高并没有导致可检测到的涉嫌欺诈实例的相应增加。</w:t>
      </w:r>
    </w:p>
    <w:p>
      <w:pPr>
        <w:spacing w:before="0" w:after="200" w:lineRule="auto" w:line="276"/>
      </w:pPr>
      <w:r>
        <w:rPr>
          <w:b/>
        </w:rPr>
        <w:t xml:space="preserve">Abstract (EN): </w:t>
      </w:r>
      <w:r>
        <w:t>Applicants to government programs often face “administrative burdens” that can prevent people from accessing benefits for which they are qualified. However, it is difficult to evaluate the causal impact of relieving administrative burdens, as program requirements are rarely changed in ways that are amenable to quantitative causal inference methods. We evaluate the causal effect of reducing administrative burdens for applicants to emergency rental assistance (ERA), a program intended to support housing stability during the COVID-19 pandemic that distributed more than $46 billion to eligible renters. We analyze application data from two state housing authorities that quasi-randomly changed documentation requirements for applicants, in line with guidance provided by the U.S. Department of the Treasury. Using quasi-experimental methods that leverage strict eligibility cutoffs, we find that replacing the requirement to upload separate income verification documents with an automated eligibility check increased the probability that a rental assistance application was approved by approximately 15 percentage points. Further, and in line with staff reports that the program change streamlined time-consuming document review procedures, we show that eligible applications were processed nearly two weeks faster, a critical improvement for renters facing rental debts and eviction. Finally, we use data on ERA audits to show that increases in application approval and efficiency were met with no corresponding detectable increase in instances of suspected fraud.</w:t>
      </w:r>
    </w:p>
    <w:p>
      <w:pPr>
        <w:spacing w:before="120" w:after="120"/>
      </w:pPr>
      <w:r>
        <w:rPr>
          <w:sz w:val="18"/>
        </w:rPr>
        <w:t>——————————————————————————————————————————————————————————————————————</w:t>
      </w:r>
    </w:p>
    <w:p>
      <w:pPr>
        <w:spacing w:before="160" w:after="40" w:line="240" w:lineRule="auto"/>
      </w:pPr>
      <w:r>
        <w:rPr>
          <w:b/>
        </w:rPr>
        <w:t xml:space="preserve">[206] </w:t>
      </w:r>
      <w:hyperlink r:id="rId591">
        <w:r>
          <w:rPr>
            <w:color w:val="1155CC"/>
            <w:u w:val="single"/>
          </w:rPr>
          <w:t>祖先剪接变异是非洲慈鲷快速多样化的关键基础</w:t>
        </w:r>
      </w:hyperlink>
    </w:p>
    <w:p>
      <w:pPr>
        <w:spacing w:before="0" w:after="80"/>
      </w:pPr>
      <w:r>
        <w:rPr>
          <w:i/>
          <w:sz w:val="20"/>
        </w:rPr>
        <w:t>EN: Ancestral splice variation is a key substrate for rapid diversification in African cichlids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92">
        <w:r>
          <w:rPr>
            <w:color w:val="1155CC"/>
            <w:u w:val="single"/>
          </w:rPr>
          <w:t>10.1073/pnas.2516477123</w:t>
        </w:r>
      </w:hyperlink>
    </w:p>
    <w:p>
      <w:pPr>
        <w:spacing w:before="0" w:after="120"/>
      </w:pPr>
      <w:r>
        <w:rPr>
          <w:b/>
        </w:rPr>
        <w:t xml:space="preserve">Notes: </w:t>
      </w:r>
      <w:r>
        <w:t>abstract_source=crossref</w:t>
      </w:r>
    </w:p>
    <w:p>
      <w:pPr>
        <w:spacing w:before="0" w:after="80" w:lineRule="auto" w:line="276"/>
      </w:pPr>
      <w:r>
        <w:rPr>
          <w:b/>
        </w:rPr>
        <w:t xml:space="preserve">摘要（ZH）: </w:t>
      </w:r>
      <w:r>
        <w:t>适应性辐射是生物多样性的重要驱动力。在一些最大的辐射中，越来越多的证据表明，爆炸性的形态多样化通常由现有的遗传变异和混合驱动，而不是由新突变驱动。通过基因调控将这种遗传变异快速转化为新表型的过程仍然知之甚少。分析来自三个独立但系统发育嵌套的非洲慈鲷适应性辐射的200个转录组，我们发现可变剪接（AS）比基因表达（GE）进化得更快，在塑造维多利亚湖和马拉维湖中最年轻和物种最丰富的辐射中的新营养适应中发挥了关键作用。这种分歧主要由祖先的可变异构体驱动，这些异构体虽然在未形成辐射的相关谱系中存在于低水平，但在适应性辐射期间频率增加。此外，颅面基因的新异构体——一些在短短几千年内进化——进一步促进了适应。AS的快速周转与选择放松期后对可变异构体和剪接位点的定向选择一致，这种动态可能在这些辐射中保留了丰富的异构体变异缓存，并在适应区可用时实现生态多样化。我们认为，剪接与不同形式选择之间的相互作用促进了蛋白质编码多样性的产生和维持，推动了许多生态不同物种的进化创新。</w:t>
      </w:r>
    </w:p>
    <w:p>
      <w:pPr>
        <w:spacing w:before="0" w:after="200" w:lineRule="auto" w:line="276"/>
      </w:pPr>
      <w:r>
        <w:rPr>
          <w:b/>
        </w:rPr>
        <w:t xml:space="preserve">Abstract (EN): </w:t>
      </w:r>
      <w:r>
        <w:t>Adaptive radiation is a major driver of biodiversity. In some of the largest radiations, increasing evidence suggests that explosive morphological diversification is often fueled by standing genetic variation and admixture, rather than de novo mutations. The rapid translation of this genetic variation into novel phenotypes through gene regulation remains poorly understood. Analyzing 200 transcriptomes from three independent but phylogenetically nested African cichlid adaptive radiations, we show that alternative splicing (AS) evolved faster than gene expression (GE), playing a pivotal role in shaping novel trophic adaptations in the youngest and most species rich radiations in Lakes Victoria and Malawi. This divergence was largely driven by ancestral alternative isoforms, which, though present at low levels in related lineages that did not form radiations, increased in frequency during adaptive radiation. In addition, novel isoforms of craniofacial genes—some evolving within just a few thousand years—contributed further to adaptation. The rapid turnover of AS is consistent with periods of relaxed selection followed by directional selection on alternative isoforms and splice sites, a dynamic that may have preserved a rich cache of isoform variation in these radiations and enabled ecological diversification as adaptive zones became available. We argue that the interplay between splicing and different forms of selection facilitates the generation and maintenance of protein-coding diversity, promoting evolutionary innovation into many ecologically different species at extremely short timescales.</w:t>
      </w:r>
    </w:p>
    <w:p>
      <w:pPr>
        <w:spacing w:before="120" w:after="120"/>
      </w:pPr>
      <w:r>
        <w:rPr>
          <w:sz w:val="18"/>
        </w:rPr>
        <w:t>——————————————————————————————————————————————————————————————————————</w:t>
      </w:r>
    </w:p>
    <w:p>
      <w:pPr>
        <w:spacing w:before="160" w:after="40" w:line="240" w:lineRule="auto"/>
      </w:pPr>
      <w:r>
        <w:rPr>
          <w:b/>
        </w:rPr>
        <w:t xml:space="preserve">[207] </w:t>
      </w:r>
      <w:hyperlink r:id="rId593">
        <w:r>
          <w:rPr>
            <w:color w:val="1155CC"/>
            <w:u w:val="single"/>
          </w:rPr>
          <w:t>NEXT-FRET绘制大肠杆菌麦芽糖结合蛋白通过信号肽和伴侣蛋白的非平衡重定向折叠图</w:t>
        </w:r>
      </w:hyperlink>
    </w:p>
    <w:p>
      <w:pPr>
        <w:spacing w:before="0" w:after="80"/>
      </w:pPr>
      <w:r>
        <w:rPr>
          <w:i/>
          <w:sz w:val="20"/>
        </w:rPr>
        <w:t>EN: NEXT-FRET maps nonequilibrium rerouting of Escherichia coli maltose-binding protein folding by its signal peptide and chaperones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94">
        <w:r>
          <w:rPr>
            <w:color w:val="1155CC"/>
            <w:u w:val="single"/>
          </w:rPr>
          <w:t>10.1073/pnas.2529979123</w:t>
        </w:r>
      </w:hyperlink>
    </w:p>
    <w:p>
      <w:pPr>
        <w:spacing w:before="0" w:after="120"/>
      </w:pPr>
      <w:r>
        <w:rPr>
          <w:b/>
        </w:rPr>
        <w:t xml:space="preserve">Notes: </w:t>
      </w:r>
      <w:r>
        <w:t>abstract_source=crossref</w:t>
      </w:r>
    </w:p>
    <w:p>
      <w:pPr>
        <w:spacing w:before="0" w:after="80" w:lineRule="auto" w:line="276"/>
      </w:pPr>
      <w:r>
        <w:rPr>
          <w:b/>
        </w:rPr>
        <w:t xml:space="preserve">摘要（ZH）: </w:t>
      </w:r>
      <w:r>
        <w:t>蛋白质通过动态中间体折叠，这些中间体决定了它们到达功能结构的路径，集合体主要在纳秒到微秒时间尺度上显示出异质性。在溶液中直接观察这些状态仍然具有挑战性，因为单分子方法通常需要技术要求高的微流控、改变行为的表面附着或扭曲自然能量景观的变性剂。在此，我们介绍了NEXT-FRET，这是一种基于溶液的单分子平台，将单分子FRET（smFRET）与时间变化的高斯混合建模相结合，以解析扩散蛋白如何在近天然条件下填充和互换构象。通过将先前的平衡信息纳入时间依赖分析，NEXT-FRET每个条件只需少量分子和可访问的仪器，能够在伴侣蛋白和易聚集前体存在下应用。我们将NEXT-FRET应用于大肠杆菌麦芽糖结合蛋白（MBP）和前MBP，以揭示一个长期寻找的闭合在途中间体，该中间体与天然和未折叠状态交换。信号肽选择性地提高了中间体到天然状态转变的障碍。分析与伴侣蛋白的相互作用表明，每种伴侣蛋白都以不同方式稳定非天然构象，产生动力学陷阱。这些发现表明，序列特征和蛋白质稳态因子积极重塑折叠景观。通过跟踪非平衡状态的分子，NEXT-FRET揭示了不可见的中间体。</w:t>
      </w:r>
    </w:p>
    <w:p>
      <w:pPr>
        <w:spacing w:before="0" w:after="200" w:lineRule="auto" w:line="276"/>
      </w:pPr>
      <w:r>
        <w:rPr>
          <w:b/>
        </w:rPr>
        <w:t xml:space="preserve">Abstract (EN): </w:t>
      </w:r>
      <w:r>
        <w:t>Proteins fold through dynamic intermediates that dictate their routes to functional structures, with ensembles predominantly displaying heterogeneity across nanosecond-to-microsecond timescales. Directly observing these states in solution remains challenging as single-molecule methods often require technically demanding microfluidics, surface attachment that alters behavior, or denaturants that distort natural energy landscapes. Here we introduce NEXT-FRET, a solution-based single-molecule platform combining single-molecule FRET (smFRET) with time-varying Gaussian mixture modeling to resolve how diffusing proteins populate and interconvert between conformations under near-native conditions. By incorporating prior equilibrium information into time-dependent analysis, NEXT-FRET requires a few molecules per condition and accessible instrumentation, enabling application in the presence of chaperones and aggregation-prone precursors. We apply NEXT-FRET to the</w:t>
      </w:r>
      <w:r>
        <w:t xml:space="preserve"> </w:t>
      </w:r>
      <w:r>
        <w:t>Escherichia coli</w:t>
      </w:r>
      <w:r>
        <w:t xml:space="preserve"> </w:t>
      </w:r>
      <w:r>
        <w:t>Maltose-Binding Protein (MBP) and pre-MBP to reveal a long-sought closed on-pathway intermediate that exchanges with both native and unfolded states. The signal peptide raises the barrier selectively for the intermediate-to-native transition. Profiling interactions with chaperones shows that each stabilizes nonnative conformations distinctively, generating kinetic traps. These findings demonstrate that sequence features and proteostasis factors actively reshape the folding landscape. By following molecules out of equilibrium, NEXT-FRET reveals intermediates invisible at equilibrium. This reflects the inherent nonequilibrium character of cells, which maintain order through ongoing energy exchange and dissipation, with fluctuations governing the kinetics and connectivity of biomolecular states. By exposing transient intermediates and quantifying kinetic flows, NEXT-FRET offers a scalable strategy to interrogate nonequilibrium dynamics, providing mechanistic insights into protein (mis)folding, enzyme catalysis, ligand binding and broader biomolecular reactions with implications for biotechnology and therapeutics.</w:t>
      </w:r>
    </w:p>
    <w:p>
      <w:pPr>
        <w:spacing w:before="120" w:after="120"/>
      </w:pPr>
      <w:r>
        <w:rPr>
          <w:sz w:val="18"/>
        </w:rPr>
        <w:t>——————————————————————————————————————————————————————————————————————</w:t>
      </w:r>
    </w:p>
    <w:p>
      <w:pPr>
        <w:spacing w:before="160" w:after="40" w:line="240" w:lineRule="auto"/>
      </w:pPr>
      <w:r>
        <w:rPr>
          <w:b/>
        </w:rPr>
        <w:t xml:space="preserve">[208] </w:t>
      </w:r>
      <w:hyperlink r:id="rId595">
        <w:r>
          <w:rPr>
            <w:color w:val="1155CC"/>
            <w:u w:val="single"/>
          </w:rPr>
          <w:t>最有效的折纸环面</w:t>
        </w:r>
      </w:hyperlink>
    </w:p>
    <w:p>
      <w:pPr>
        <w:spacing w:before="0" w:after="80"/>
      </w:pPr>
      <w:r>
        <w:rPr>
          <w:i/>
          <w:sz w:val="20"/>
        </w:rPr>
        <w:t>EN: The most efficient origami torus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96">
        <w:r>
          <w:rPr>
            <w:color w:val="1155CC"/>
            <w:u w:val="single"/>
          </w:rPr>
          <w:t>10.1073/pnas.2523301123</w:t>
        </w:r>
      </w:hyperlink>
    </w:p>
    <w:p>
      <w:pPr>
        <w:spacing w:before="0" w:after="120"/>
      </w:pPr>
      <w:r>
        <w:rPr>
          <w:b/>
        </w:rPr>
        <w:t xml:space="preserve">Notes: </w:t>
      </w:r>
      <w:r>
        <w:t>abstract_source=crossref</w:t>
      </w:r>
    </w:p>
    <w:p>
      <w:pPr>
        <w:spacing w:before="0" w:after="80" w:lineRule="auto" w:line="276"/>
      </w:pPr>
      <w:r>
        <w:rPr>
          <w:b/>
        </w:rPr>
        <w:t xml:space="preserve">摘要（ZH）: </w:t>
      </w:r>
      <w:r>
        <w:t>一个纸环面，也称为折纸环面，是一个三维空间中的环面，由有限数量的三角形组成，这些三角形以一种方式组合在一起，使得每个顶点周围的角度之和为2π。本文宣布了一个结果，即不存在具有7个顶点的折纸环面，但存在具有8个顶点的折纸环面。这些结果解决了关于以顶点数量为标准构建折纸环面的最有效方法的问题。</w:t>
      </w:r>
    </w:p>
    <w:p>
      <w:pPr>
        <w:spacing w:before="0" w:after="200" w:lineRule="auto" w:line="276"/>
      </w:pPr>
      <w:r>
        <w:rPr>
          <w:b/>
        </w:rPr>
        <w:t xml:space="preserve">Abstract (EN): </w:t>
      </w:r>
      <w:r>
        <w:t>A paper torus, also called an origami torus, is a torus in three-dimensional space that is made from finitely many triangles which fit together in such a way that the sum of the angles around each vertex is 2</w:t>
      </w:r>
      <w:r>
        <w:t xml:space="preserve"> </w:t>
      </w:r>
      <w:r>
        <w:t>π</w:t>
      </w:r>
      <w:r>
        <w:t xml:space="preserve"> </w:t>
      </w:r>
      <w:r>
        <w:t>. This article announces the result that there does not exist an origami torus with 7 vertices and there does exist an origami torus with 8 vertices. These results settle the question about the most efficient way, in terms of the number of vertices, to construct an origami torus.</w:t>
      </w:r>
    </w:p>
    <w:p>
      <w:pPr>
        <w:spacing w:before="120" w:after="120"/>
      </w:pPr>
      <w:r>
        <w:rPr>
          <w:sz w:val="18"/>
        </w:rPr>
        <w:t>——————————————————————————————————————————————————————————————————————</w:t>
      </w:r>
    </w:p>
    <w:p>
      <w:pPr>
        <w:spacing w:before="160" w:after="40" w:line="240" w:lineRule="auto"/>
      </w:pPr>
      <w:r>
        <w:rPr>
          <w:b/>
        </w:rPr>
        <w:t xml:space="preserve">[209] </w:t>
      </w:r>
      <w:hyperlink r:id="rId597">
        <w:r>
          <w:rPr>
            <w:color w:val="1155CC"/>
            <w:u w:val="single"/>
          </w:rPr>
          <w:t>SFTSV NSs蛋白是蜱虫抗病毒RNAi反应抑制剂</w:t>
        </w:r>
      </w:hyperlink>
    </w:p>
    <w:p>
      <w:pPr>
        <w:spacing w:before="0" w:after="80"/>
      </w:pPr>
      <w:r>
        <w:rPr>
          <w:i/>
          <w:sz w:val="20"/>
        </w:rPr>
        <w:t>EN: SFTSV NSs protein is a tick antiviral RNAi response suppressor</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598">
        <w:r>
          <w:rPr>
            <w:color w:val="1155CC"/>
            <w:u w:val="single"/>
          </w:rPr>
          <w:t>10.1073/pnas.2524728123</w:t>
        </w:r>
      </w:hyperlink>
    </w:p>
    <w:p>
      <w:pPr>
        <w:spacing w:before="0" w:after="120"/>
      </w:pPr>
      <w:r>
        <w:rPr>
          <w:b/>
        </w:rPr>
        <w:t xml:space="preserve">Notes: </w:t>
      </w:r>
      <w:r>
        <w:t>abstract_source=crossref</w:t>
      </w:r>
    </w:p>
    <w:p>
      <w:pPr>
        <w:spacing w:before="0" w:after="80" w:lineRule="auto" w:line="276"/>
      </w:pPr>
      <w:r>
        <w:rPr>
          <w:b/>
        </w:rPr>
        <w:t xml:space="preserve">摘要（ZH）: </w:t>
      </w:r>
      <w:r>
        <w:t>严重发热伴血小板减少综合征病毒（SFTSV）是一种新兴的蜱传Phenuivirus，在人类中导致高死亡率。虽然非结构蛋白NSs在干扰素缺乏的哺乳动物细胞中对复制是可有可无的，但我们证明NSs对于病毒在蜱细胞中的复制是必不可少的。SFTSV感染在蜱细胞中触发经典的Dicer-2介导的抗病毒RNA干扰（RNAi），产生病毒衍生的小干扰RNA（siRNA），这些siRNA靶向病毒转录物进行降解。我们显示NSs通过选择性结合和消耗来自22核苷酸siRNA的单链RNA，可能限制其整合到RNA诱导的沉默复合物（RISC）中，从而作为RNAi的病毒抑制剂。用异源RNAi抑制剂（p19蛋白）补充部分恢复了NSs缺陷病毒的复制，验证了NSs的RNAi抑制功能。这些发现揭示了成功的蜱传病毒复制需要宿主特异性的免疫逃逸策略，并确立了NSs介导的RNAi抑制对于SFTSV在节肢动物载体中持久存在的重要性。</w:t>
      </w:r>
    </w:p>
    <w:p>
      <w:pPr>
        <w:spacing w:before="0" w:after="200" w:lineRule="auto" w:line="276"/>
      </w:pPr>
      <w:r>
        <w:rPr>
          <w:b/>
        </w:rPr>
        <w:t xml:space="preserve">Abstract (EN): </w:t>
      </w:r>
      <w:r>
        <w:t>Severe fever with thrombocytopenia syndrome virus (SFTSV) is an emerging tick-borne phenuivirus causing high mortality in humans. While the nonstructural protein NSs is dispensable for replication in interferon-deficient mammalian cells, we demonstrate that NSs is essential for viral replication in tick cells. SFTSV infection triggers canonical Dicer-2-mediated antiviral RNA interference (RNAi) in tick cells, producing virus-derived small interfering RNAs (siRNAs) that target viral transcripts for degradation. We show that NSs functions as a viral suppressor of RNAi by selectively engaging and depleting single-stranded RNAs derived from 22-nucleotide siRNAs, likely limiting their incorporation into RNA-induced silencing complexes (RISC). Complementation with a heterologous RNAi suppressor (p19 protein) partially rescues replication of NSs-deficient virus, validating the RNAi-suppressive function of NSs. These findings reveal that successful tick-borne viral replication requires host-specific immune evasion strategies and establish NSs-mediated RNAi suppression as essential for SFTSV persistence in arthropod vectors.</w:t>
      </w:r>
    </w:p>
    <w:p>
      <w:pPr>
        <w:spacing w:before="120" w:after="120"/>
      </w:pPr>
      <w:r>
        <w:rPr>
          <w:sz w:val="18"/>
        </w:rPr>
        <w:t>——————————————————————————————————————————————————————————————————————</w:t>
      </w:r>
    </w:p>
    <w:p>
      <w:pPr>
        <w:spacing w:before="160" w:after="40" w:line="240" w:lineRule="auto"/>
      </w:pPr>
      <w:r>
        <w:rPr>
          <w:b/>
        </w:rPr>
        <w:t xml:space="preserve">[210] </w:t>
      </w:r>
      <w:hyperlink r:id="rId599">
        <w:r>
          <w:rPr>
            <w:color w:val="1155CC"/>
            <w:u w:val="single"/>
          </w:rPr>
          <w:t>细菌群落中的几何排序</w:t>
        </w:r>
      </w:hyperlink>
    </w:p>
    <w:p>
      <w:pPr>
        <w:spacing w:before="0" w:after="80"/>
      </w:pPr>
      <w:r>
        <w:rPr>
          <w:i/>
          <w:sz w:val="20"/>
        </w:rPr>
        <w:t>EN: Geometric ordering in bacterial communities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600">
        <w:r>
          <w:rPr>
            <w:color w:val="1155CC"/>
            <w:u w:val="single"/>
          </w:rPr>
          <w:t>10.1073/pnas.2526643123</w:t>
        </w:r>
      </w:hyperlink>
    </w:p>
    <w:p>
      <w:pPr>
        <w:spacing w:before="0" w:after="120"/>
      </w:pPr>
      <w:r>
        <w:rPr>
          <w:b/>
        </w:rPr>
        <w:t xml:space="preserve">Notes: </w:t>
      </w:r>
      <w:r>
        <w:t>abstract_source=crossref</w:t>
      </w:r>
    </w:p>
    <w:p>
      <w:pPr>
        <w:spacing w:before="0" w:after="80" w:lineRule="auto" w:line="276"/>
      </w:pPr>
      <w:r>
        <w:rPr>
          <w:b/>
        </w:rPr>
        <w:t xml:space="preserve">摘要（ZH）: </w:t>
      </w:r>
      <w:r>
        <w:t>细菌的组织在塑造社区和微生物组内的相互作用、动态和组成方面具有核心作用。细菌形成独特的空间模式，这通常归因于微生物过程，如趋化性、营养运输和信号传导。然而，在不同的细菌和条件下观察到共同的模式，这表明可能存在一个普遍的组织原则来指导细菌的组织。在这里，我们发现细菌的组织可以通过几何排序来解释，这种排序促进了空间填充效率，产生了称为Voronoi镶嵌的几何图案。我们发现Voronoi生长模型准确预测了在包括液-气界面的生物膜、游泳群体、斑马鱼肠道以及促进群集的条件下的细菌模式形成。这些模式在二维和三维中观察到，在厘米和毫米的长度尺度上，跨越不同的物种（霍乱弧菌、铜绿假单胞菌、大肠杆菌），仅仅源于Voronoi镶嵌的原则，不需要对微生物过程的详细了解。熵的考虑表明，细菌对模式形成提供的信息很少或没有信息，这完全由它们的初始位置和环境条件决定。这些发现表明，细菌</w:t>
      </w:r>
    </w:p>
    <w:p>
      <w:pPr>
        <w:spacing w:before="0" w:after="200" w:lineRule="auto" w:line="276"/>
      </w:pPr>
      <w:r>
        <w:rPr>
          <w:b/>
        </w:rPr>
        <w:t xml:space="preserve">Abstract (EN): </w:t>
      </w:r>
      <w:r>
        <w:t>The organization of bacteria has a central role in shaping interactions, dynamics, and composition within communities and microbiomes. Bacteria form distinct spatial patterns that have often been attributed to microbial processes such as chemotaxis, nutrient transport, and signaling. However, common patterns are observed across distinct bacteria and conditions, suggesting that a general organizing principle could direct bacterial organization. Here, we find that the organization of bacteria is explained by geometric ordering that promotes space-filling efficiency, giving rise to geometric patterns known as Voronoi tessellations. We find that the Voronoi Growth Model accurately predicts bacterial pattern formation in diverse conditions including in biofilms at the liquid–air interface, swimming populations, the zebrafish gut, and conditions that promote swarming. The patterns are observed in two and three dimensions, at the cm and mm length scales, across diverse species (</w:t>
      </w:r>
      <w:r>
        <w:t xml:space="preserve"> </w:t>
      </w:r>
      <w:r>
        <w:t>Vibrio cholerae</w:t>
      </w:r>
      <w:r>
        <w:t xml:space="preserve"> </w:t>
      </w:r>
      <w:r>
        <w:t>,</w:t>
      </w:r>
      <w:r>
        <w:t xml:space="preserve"> </w:t>
      </w:r>
      <w:r>
        <w:t>Pseudomonas aeruginosa</w:t>
      </w:r>
      <w:r>
        <w:t xml:space="preserve"> </w:t>
      </w:r>
      <w:r>
        <w:t>,</w:t>
      </w:r>
      <w:r>
        <w:t xml:space="preserve"> </w:t>
      </w:r>
      <w:r>
        <w:t>Escherichia coli</w:t>
      </w:r>
      <w:r>
        <w:t xml:space="preserve"> </w:t>
      </w:r>
      <w:r>
        <w:t>), arise solely from the principles of Voronoi tessellation, and require no detailed knowledge of microbial processes. Entropic considerations show that bacteria provide little or no information about the pattern formation, which is determined solely by their initial positions and environmental conditions. These findings demonstrate that bacterial communities achieve robust, reproducible organization through a universal geometric principle, linking microbial patterning to the broader biological context of multicellular organization.</w:t>
      </w:r>
    </w:p>
    <w:p>
      <w:pPr>
        <w:spacing w:before="120" w:after="120"/>
      </w:pPr>
      <w:r>
        <w:rPr>
          <w:sz w:val="18"/>
        </w:rPr>
        <w:t>——————————————————————————————————————————————————————————————————————</w:t>
      </w:r>
    </w:p>
    <w:p>
      <w:pPr>
        <w:spacing w:before="160" w:after="40" w:line="240" w:lineRule="auto"/>
      </w:pPr>
      <w:r>
        <w:rPr>
          <w:b/>
        </w:rPr>
        <w:t xml:space="preserve">[211] </w:t>
      </w:r>
      <w:hyperlink r:id="rId601">
        <w:r>
          <w:rPr>
            <w:color w:val="1155CC"/>
            <w:u w:val="single"/>
          </w:rPr>
          <w:t>选择性靶向肝脏脂质滴上的驱动蛋白可降低血浆脂质</w:t>
        </w:r>
      </w:hyperlink>
    </w:p>
    <w:p>
      <w:pPr>
        <w:spacing w:before="0" w:after="80"/>
      </w:pPr>
      <w:r>
        <w:rPr>
          <w:i/>
          <w:sz w:val="20"/>
        </w:rPr>
        <w:t>EN: Selective targeting of kinesin on lipid droplets in the liver reduces plasma lipids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602">
        <w:r>
          <w:rPr>
            <w:color w:val="1155CC"/>
            <w:u w:val="single"/>
          </w:rPr>
          <w:t>10.1073/pnas.2528332123</w:t>
        </w:r>
      </w:hyperlink>
    </w:p>
    <w:p>
      <w:pPr>
        <w:spacing w:before="0" w:after="120"/>
      </w:pPr>
      <w:r>
        <w:rPr>
          <w:b/>
        </w:rPr>
        <w:t xml:space="preserve">Notes: </w:t>
      </w:r>
      <w:r>
        <w:t>abstract_source=crossref</w:t>
      </w:r>
    </w:p>
    <w:p>
      <w:pPr>
        <w:spacing w:before="0" w:after="80" w:lineRule="auto" w:line="276"/>
      </w:pPr>
      <w:r>
        <w:rPr>
          <w:b/>
        </w:rPr>
        <w:t xml:space="preserve">摘要（ZH）: </w:t>
      </w:r>
      <w:r>
        <w:t>肝脏通过向血液中分泌富含脂质的极低密度脂蛋白（VLDL）来控制血浆脂质。在肝脏的肝细胞内，脂滴（LDs）通过驱动蛋白-1马达运输到光滑内质网，在那里它们被分解以提供脂质用于VLDL的组装。我们发现驱动蛋白-1使用其尾部结构域结合LDs的单层磷脂膜，但通过其他机制结合具有双层膜的细胞器。因此，与驱动蛋白-1尾部结构域对应的肽与驱动蛋白-1竞争并选择性地从LDs中移除，而对其他细胞器影响最小。脂质用于VLDL组装的输送因此减少，导致细胞培养中分泌脂质（甘油三酯和胆固醇）显著减少约50%。令人惊讶的是，该肽不会导致细胞内脂质的意外积累，因为它在细胞中重新分布LDs，增强了LD到线粒体的脂质运输以供线粒体脂质利用。此外，我们展示了蛋黄脂质体可以用于口服递送驱动蛋白尾部结构域肽到斑马鱼。该肽在斑马鱼肝脏中积累，并逆转饮食引起的高脂血症，使斑马鱼恢复到正常脂质状态。反映其在细胞培养中的效果，该肽不会导致肝脏脂质的意外积累，没有毒性，也没有斑马鱼的发育或行为缺陷。使用肽选择性地从LDs中置换蛋白质（例如，驱动蛋白）提供了一种对抗脂质紊乱的全新方法。这种单层对比双层膜的机制。</w:t>
      </w:r>
    </w:p>
    <w:p>
      <w:pPr>
        <w:spacing w:before="0" w:after="200" w:lineRule="auto" w:line="276"/>
      </w:pPr>
      <w:r>
        <w:rPr>
          <w:b/>
        </w:rPr>
        <w:t xml:space="preserve">Abstract (EN): </w:t>
      </w:r>
      <w:r>
        <w:t>The liver controls plasma lipids by secreting lipid-rich very low density lipoproteins (VLDL) into blood. Inside hepatocytes in the liver, Lipid Droplets (LDs) are transported to the Smooth Endoplasmic Reticulum by kinesin-1 motors, where they are catabolized to supply lipids for VLDL assembly. Here we find that kinesin-1 uses its tail domain to bind the monolayer phospholipid membrane of LDs, but alternative mechanisms to bind cellular organelles with bilayer membranes. A peptide corresponding to the tail domain of kinesin-1 therefore competes with and removes kinesin-1 selectively from LDs with minimal effect on other organelles. Delivery of lipids for VLDL assembly is consequently reduced, causing a remarkable reduction of ~50% of secreted lipids (triglycerides and cholesterol) in cell culture. Strikingly, the peptide causes no unwanted accumulation of lipids inside cells because it redistributes LDs across the cell, enhancing LD-to-mitochondria lipid trafficking for mitochondrial lipid utilization. Further, we show that egg-liposomes can be used to orally deliver the kinesin tail domain peptide to zebrafish. The peptide accumulates in the zebrafish liver, and reverses diet-induced hyperlipidemia to bring zebrafish back to a normolipidemic state. Reflecting its effects in cell culture, the peptide causes no unwanted hepatic accumulation of lipids, no toxicity, and no developmental or behavioral defects in zebrafish. Using a peptide to displace proteins (e.g., kinesin) selectively from LDs provides a radically different approach against lipid disorders. This monolayer-vs.-bilayer strategy can potentially be extended to target other LD-bound proteins that function as key regulators of Lipid metabolism.</w:t>
      </w:r>
    </w:p>
    <w:p>
      <w:pPr>
        <w:spacing w:before="120" w:after="120"/>
      </w:pPr>
      <w:r>
        <w:rPr>
          <w:sz w:val="18"/>
        </w:rPr>
        <w:t>——————————————————————————————————————————————————————————————————————</w:t>
      </w:r>
    </w:p>
    <w:p>
      <w:pPr>
        <w:spacing w:before="160" w:after="40" w:line="240" w:lineRule="auto"/>
      </w:pPr>
      <w:r>
        <w:rPr>
          <w:b/>
        </w:rPr>
        <w:t xml:space="preserve">[212] </w:t>
      </w:r>
      <w:hyperlink r:id="rId603">
        <w:r>
          <w:rPr>
            <w:color w:val="1155CC"/>
            <w:u w:val="single"/>
          </w:rPr>
          <w:t>在种族多样化人群中对种族中立的规范性脑形态学模型进行实证验证</w:t>
        </w:r>
      </w:hyperlink>
    </w:p>
    <w:p>
      <w:pPr>
        <w:spacing w:before="0" w:after="80"/>
      </w:pPr>
      <w:r>
        <w:rPr>
          <w:i/>
          <w:sz w:val="20"/>
        </w:rPr>
        <w:t>EN: Empirical validation of race-neutral normative brain morphometry models across ethnoracially diverse populations</w:t>
      </w:r>
    </w:p>
    <w:p>
      <w:pPr>
        <w:spacing w:before="0" w:after="120"/>
      </w:pPr>
      <w:r>
        <w:rPr>
          <w:b/>
        </w:rPr>
        <w:t xml:space="preserve">Source: </w:t>
      </w:r>
      <w:r>
        <w:t>Proceedings of the National Academy of Sciences: Keyword search for query</w:t>
      </w:r>
      <w:r>
        <w:t xml:space="preserve">    </w:t>
      </w:r>
      <w:r>
        <w:rPr>
          <w:b/>
        </w:rPr>
        <w:t xml:space="preserve">Pub date: </w:t>
      </w:r>
      <w:r>
        <w:t>2026-05-12 07:00:00+00:00</w:t>
      </w:r>
      <w:r>
        <w:t xml:space="preserve">    </w:t>
      </w:r>
      <w:r>
        <w:rPr>
          <w:b/>
        </w:rPr>
        <w:t xml:space="preserve">DOI: </w:t>
      </w:r>
      <w:hyperlink r:id="rId604">
        <w:r>
          <w:rPr>
            <w:color w:val="1155CC"/>
            <w:u w:val="single"/>
          </w:rPr>
          <w:t>10.1073/pnas.2521055123</w:t>
        </w:r>
      </w:hyperlink>
    </w:p>
    <w:p>
      <w:pPr>
        <w:spacing w:before="0" w:after="120"/>
      </w:pPr>
      <w:r>
        <w:rPr>
          <w:b/>
        </w:rPr>
        <w:t xml:space="preserve">Notes: </w:t>
      </w:r>
      <w:r>
        <w:t>abstract_source=crossref</w:t>
      </w:r>
    </w:p>
    <w:p>
      <w:pPr>
        <w:spacing w:before="0" w:after="80" w:lineRule="auto" w:line="276"/>
      </w:pPr>
      <w:r>
        <w:rPr>
          <w:b/>
        </w:rPr>
        <w:t xml:space="preserve">摘要（ZH）: </w:t>
      </w:r>
      <w:r>
        <w:t>大脑形态学的规范模型量化个体偏离典型解剖模式的情况，并有望增强临床决策。然而，其临床实用性关键在于证明其在不同种族人群中的普遍性。我们之前开发了性别特异、种族中立的皮质厚度、表面积和皮质下体积的规范模型，使用来自大型国际健康个体样本的大脑扫描，作为CentileBrain项目的一部分，这是一个提供开放获取神经影像参考模型的全球倡议。本研究的主要目的是实证评估这些预训练模型在多个种族群体中的普遍性和准确性。为此，我们在来自非洲、亚洲、欧洲和美洲的健康个体的独立样本中测试了模型性能，种族分类由自我识别或遗传祖先定义（N = 4,862）。我们进一步将性能与仅从单一中国人群开发的规范模型进行比较。在所有群体中，以及在合并样本中，预训练的CentileBrain模型表现出一致的高准确性，皮质下体积和表面积的相对平均绝对误差值低于10%，皮质厚度低于5%。模型性能在自我识别和祖先定义的群体中高度一致。在单独的分析中，当应用于独立的</w:t>
      </w:r>
    </w:p>
    <w:p>
      <w:pPr>
        <w:spacing w:before="0" w:after="200" w:lineRule="auto" w:line="276"/>
      </w:pPr>
      <w:r>
        <w:rPr>
          <w:b/>
        </w:rPr>
        <w:t xml:space="preserve">Abstract (EN): </w:t>
      </w:r>
      <w:r>
        <w:t>Normative models of brain morphometry quantify individual deviations from typical anatomical patterns and hold promise for enhancing clinical decision-making. However, their clinical utility depends critically on demonstrating generalizability across diverse ethnoracial populations. We previously developed sex-specific, race-neutral normative models for cortical thickness, surface area, and subcortical volumes using brain scans from a large international sample of healthy individuals, as part of the CentileBrain Project, a global initiative to provide open-access, neuroimaging reference models. The primary aim of the present study was to empirically evaluate the generalizability and accuracy of these pretrained models across multiple ethnoracial groups. To this end, we tested model performance in independent samples of healthy individuals from Africa, Asia, Europe, and the Americas, with ethnoracial classification defined either by self-identification or genetic ancestry (N = 4,862). We further compared performance against normative models developed exclusively from a single-population Chinese cohort. Across all groups, as well as in the pooled sample, the pretrained CentileBrain models demonstrated consistently high accuracy, with relative mean absolute error values below 10% for subcortical volume and surface area and below 5% for cortical thickness. Model performance was highly concordant across self-identified and ancestry-defined groups. In a separate analysis, the CentileBrain models performed comparably to a population-specific model when applied to an independent ancestry-matched sample. These findings provide empirical support for the generalizability of race-neutral normative models developed on large and diverse samples and underscore their potential utility for individualized neuroimaging assessment across ethnoracially diverse populations.</w:t>
      </w:r>
    </w:p>
    <w:p>
      <w:pPr>
        <w:spacing w:before="120" w:after="120"/>
      </w:pPr>
      <w:r>
        <w:rPr>
          <w:sz w:val="18"/>
        </w:rPr>
        <w:t>——————————————————————————————————————————————————————————————————————</w:t>
      </w:r>
    </w:p>
    <w:p>
      <w:pPr>
        <w:spacing w:before="160" w:after="40" w:line="240" w:lineRule="auto"/>
      </w:pPr>
      <w:r>
        <w:rPr>
          <w:b/>
        </w:rPr>
        <w:t xml:space="preserve">[213] </w:t>
      </w:r>
      <w:hyperlink r:id="rId605">
        <w:r>
          <w:rPr>
            <w:color w:val="1155CC"/>
            <w:u w:val="single"/>
          </w:rPr>
          <w:t>ALP响应的发光纳米片通过共同靶向NLRP3和胆汁淤积促进精确的肝炎治疗诊断</w:t>
        </w:r>
      </w:hyperlink>
    </w:p>
    <w:p>
      <w:pPr>
        <w:spacing w:before="0" w:after="80"/>
      </w:pPr>
      <w:r>
        <w:rPr>
          <w:i/>
          <w:sz w:val="20"/>
        </w:rPr>
        <w:t>EN: ALP‐Responsive Luminescent Nanosheets Promote Precise Hepatitis Theragnostic by Co‐Targeting NLRP3 and Cholestasis</w:t>
      </w:r>
    </w:p>
    <w:p>
      <w:pPr>
        <w:spacing w:before="0" w:after="120"/>
      </w:pPr>
      <w:r>
        <w:rPr>
          <w:b/>
        </w:rPr>
        <w:t xml:space="preserve">Source: </w:t>
      </w:r>
      <w:r>
        <w:t>Wiley: Advanced Materials: Table of Contents</w:t>
      </w:r>
      <w:r>
        <w:t xml:space="preserve">    </w:t>
      </w:r>
      <w:r>
        <w:rPr>
          <w:b/>
        </w:rPr>
        <w:t xml:space="preserve">Pub date: </w:t>
      </w:r>
      <w:r>
        <w:t>2026-05-12 07:24:41+00:00</w:t>
      </w:r>
      <w:r>
        <w:t xml:space="preserve">    </w:t>
      </w:r>
      <w:r>
        <w:rPr>
          <w:b/>
        </w:rPr>
        <w:t xml:space="preserve">DOI: </w:t>
      </w:r>
      <w:hyperlink r:id="rId606">
        <w:r>
          <w:rPr>
            <w:color w:val="1155CC"/>
            <w:u w:val="single"/>
          </w:rPr>
          <w:t>10.1002/adma.73312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胆汁淤积性肝炎是一种进行性炎症性肝病，其特征是胆汁酸稳态紊乱、过量的活性氧（ROS）生成和慢性炎症，由于诊断精度有限和缺乏有效的靶向治疗，临床上仍具有挑战性。在此，我们开发了一种多功能治疗诊断纳米平台，CyP-CuGA-UDCA纳米片（NSs），将治疗干预与酶响应性疾病监测相结合。该平台具有铜-没食子酸（CuGA）纳米酶，具有超氧化物歧化酶、过氧化物酶和过氧化氢酶样活性，可有效清除ROS并抑制NLRP3炎症小体。与熊去氧胆酸（UDCA）共同负载以缓解胆汁酸毒性，并配备碱性磷酸酶（ALP）响应的近红外荧光探针（CyP），该纳米平台能够实现胆汁淤积病变的靶向治疗和实时成像。在DDC诱导的小鼠模型中，CyP-CuGA-UDCA NSs显著抑制了促炎细胞因子的产生，减少了肝巨噬细胞浸润，减轻了氧化应激和肝细胞凋亡，并缓解了纤维化，优于单一疗法。同时，ALP激活的荧光允许在体内精确可视化胆汁淤积的进展。这项研究展示了一种首创的纳米结构系统，将NLRP3炎症小体调节和胆汁酸调控与酶特异性诊断相结合，为胆汁淤积性肝炎的精准治疗和监测提供了强有力的策略。</w:t>
      </w:r>
    </w:p>
    <w:p>
      <w:pPr>
        <w:spacing w:before="0" w:after="200" w:lineRule="auto" w:line="276"/>
      </w:pPr>
      <w:r>
        <w:rPr>
          <w:b/>
        </w:rPr>
        <w:t xml:space="preserve">Abstract (EN): </w:t>
      </w:r>
      <w:r>
        <w:t>Cholestatic hepatitis is a progressive inflammatory liver disease characterized by disrupted bile acid homeostasis, excessive reactive oxygen species (ROS) generation, and chronic inflammation, remains clinically challenging due to limited diagnostic precision and lack of effective, targeted therapies. Here, we developed a multifunctional theranostic nanoplatform, CyP‐CuGA‐UDCA nanosheets (NSs), that integrates therapeutic intervention with enzyme‐responsive disease monitoring. The platform features copper‐gallic acid (CuGA) nanozymes with superoxide dismutase‐, peroxidase‐, and catalase‐like activities for effective ROS scavenging and NLRP3 inflammasome inhibition. Co‐loaded with ursodeoxycholic acid (UDCA) to alleviate bile acid toxicity, and with an alkaline phosphatase (ALP)‐responsive near‐infrared fluorescent probe (CyP), the nanoplatform enables targeted treatment and real‐time imaging of cholestatic lesions. In a DDC‐induced mice model, CyP‐CuGA‐UDCA NSs significantly suppressed pro‐inflammatory cytokine production, reduced hepatic macrophage infiltration, attenuated oxidative stress and hepatocyte apoptosis, and alleviated fibrosis, outperforming monotherapies. Concurrently, the ALP‐activated fluorescence allowed precise visualization of cholestatic progression in vivo. This study presents a first‐in‐class nanostructured system that couples NLRP3 inflammasome modulation and bile acid regulation with enzyme‐specific diagnostics, offering a robust strategy for precision therapy and monitoring of cholestatic hepatitis.</w:t>
      </w:r>
    </w:p>
    <w:p>
      <w:pPr>
        <w:spacing w:before="120" w:after="120"/>
      </w:pPr>
      <w:r>
        <w:rPr>
          <w:sz w:val="18"/>
        </w:rPr>
        <w:t>——————————————————————————————————————————————————————————————————————</w:t>
      </w:r>
    </w:p>
    <w:p>
      <w:pPr>
        <w:spacing w:before="160" w:after="40" w:line="240" w:lineRule="auto"/>
      </w:pPr>
      <w:r>
        <w:rPr>
          <w:b/>
        </w:rPr>
        <w:t xml:space="preserve">[214] </w:t>
      </w:r>
      <w:hyperlink r:id="rId607">
        <w:r>
          <w:rPr>
            <w:color w:val="1155CC"/>
            <w:u w:val="single"/>
          </w:rPr>
          <w:t>构象可变肽捕获和解毒斑块中的氧化低密度脂蛋白以减轻多物种动脉粥样硬化</w:t>
        </w:r>
      </w:hyperlink>
    </w:p>
    <w:p>
      <w:pPr>
        <w:spacing w:before="0" w:after="80"/>
      </w:pPr>
      <w:r>
        <w:rPr>
          <w:i/>
          <w:sz w:val="20"/>
        </w:rPr>
        <w:t>EN: Conformationally Variable Peptides Trap and Detoxify Ox‐LDL in Plaques for Attenuating Atherosclerosis in Multiple Species</w:t>
      </w:r>
    </w:p>
    <w:p>
      <w:pPr>
        <w:spacing w:before="0" w:after="120"/>
      </w:pPr>
      <w:r>
        <w:rPr>
          <w:b/>
        </w:rPr>
        <w:t xml:space="preserve">Source: </w:t>
      </w:r>
      <w:r>
        <w:t>Wiley: Advanced Materials: Table of Contents</w:t>
      </w:r>
      <w:r>
        <w:t xml:space="preserve">    </w:t>
      </w:r>
      <w:r>
        <w:rPr>
          <w:b/>
        </w:rPr>
        <w:t xml:space="preserve">Pub date: </w:t>
      </w:r>
      <w:r>
        <w:t>2026-05-12 07:28:16+00:00</w:t>
      </w:r>
      <w:r>
        <w:t xml:space="preserve">    </w:t>
      </w:r>
      <w:r>
        <w:rPr>
          <w:b/>
        </w:rPr>
        <w:t xml:space="preserve">DOI: </w:t>
      </w:r>
      <w:hyperlink r:id="rId608">
        <w:r>
          <w:rPr>
            <w:color w:val="1155CC"/>
            <w:u w:val="single"/>
          </w:rPr>
          <w:t>10.1002/adma.202521108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动脉粥样硬化（AS）引起的心血管和脑血管事件是全球死亡的主要原因。目前的治疗策略未能同时靶向脂质沉积、慢性炎症和内皮功能障碍。在此，我们开发了BIFD，一种构象可变的肽，靶向氧化低密度脂蛋白（ox-LDL）上的溶血磷脂酰胆碱（LPC），可结合ox-LDL形成纳米聚集体，阻止ox-LDL毒性，减少炎症，促进巨噬细胞中ox-LDL的代谢/排泄。此外，ox-LDL特异性分布在斑块部位以及BIFD对ox-LDL的靶向性使得BIFD能够靶向AS斑块。因此，设计将雷帕霉素（Rapa），一种抗炎药，封装到BIFD中形成Rapa@BIFD纳米颗粒（NPs）。Rapa@BIFD可以靶向斑块，增强Rapa@BIFD在AS病变上的积累和滞留。因此，Rapa@BIFD在对抗AS方面表现出高效能且副作用最小。在载脂蛋白E敲除小鼠和犬模型的体外和体内研究中，Rapa@BIFD有效减少了氧化损伤和炎症反应，同时促进了脂质代谢和排泄。Rapa@BIFD减轻了Rapa的副作用，如高脂血症和脾毒性。这些发现展示了一种变革性的多靶点AS治疗，结合了高效能、最小副作用和增强的临床可转化性。</w:t>
      </w:r>
    </w:p>
    <w:p>
      <w:pPr>
        <w:spacing w:before="0" w:after="200" w:lineRule="auto" w:line="276"/>
      </w:pPr>
      <w:r>
        <w:rPr>
          <w:b/>
        </w:rPr>
        <w:t xml:space="preserve">Abstract (EN): </w:t>
      </w:r>
      <w:r>
        <w:t>Cardiovascular and cerebrovascular events due to atherosclerosis (AS) are the leading causes of mortality worldwide. Current therapeutic strategies failed to simultaneously target lipid deposition, chronic inflammation, and endothelial dysfunction. Herein, we developed BIFD, a conformationally variable peptide targeting lysophosphatidylcholine (LPC) on oxidized low‐density lipoproteins (ox‐LDL), which binds ox‐LDL to form nanoaggregates, blocking ox‐LDL toxicity, reducing inflammation, promoting metabolism/excretion of ox‐LDL in macrophage. In addition, both ox‐LDL specifically distributed in plaque sites and the targetability of BIFD to ox‐LDL enable the BIFD targetability to plaque of AS. Therefore, rapamycin (Rapa), an anti‐inflammatory drug, is designed to be encapsulated into BIFD to form Rapa@BIFD nanoparticles (NPs). Rapa@BIFD may target plaque, enhancing accumulation and retention of Rapa@BIFD on the AS lesion. Consequently, Rapa@BIFD demonstrated high efficacy against AS with minimal side effects. In vitro and in vivo studies in apolipoprotein E‐knockout murine and canine models revealed that Rapa@BIFD effectively reduced oxidative damage, and inflammatory responses, while promoting lipid metabolism and excretion. Rapa@BIFD mitigated side effects of Rapa, such as hyperlipidemia and splenic toxicity. These findings present a transformative multitarget for AS, combining efficacy with minimal side effects and enhanced clinical translatability.</w:t>
      </w:r>
    </w:p>
    <w:p>
      <w:pPr>
        <w:spacing w:before="120" w:after="120"/>
      </w:pPr>
      <w:r>
        <w:rPr>
          <w:sz w:val="18"/>
        </w:rPr>
        <w:t>——————————————————————————————————————————————————————————————————————</w:t>
      </w:r>
    </w:p>
    <w:p>
      <w:pPr>
        <w:spacing w:before="160" w:after="40" w:line="240" w:lineRule="auto"/>
      </w:pPr>
      <w:r>
        <w:rPr>
          <w:b/>
        </w:rPr>
        <w:t xml:space="preserve">[215] </w:t>
      </w:r>
      <w:hyperlink r:id="rId609">
        <w:r>
          <w:rPr>
            <w:color w:val="1155CC"/>
            <w:u w:val="single"/>
          </w:rPr>
          <w:t>用于能源材料的机器学习原子间势：架构、训练策略和应用</w:t>
        </w:r>
      </w:hyperlink>
    </w:p>
    <w:p>
      <w:pPr>
        <w:spacing w:before="0" w:after="80"/>
      </w:pPr>
      <w:r>
        <w:rPr>
          <w:i/>
          <w:sz w:val="20"/>
        </w:rPr>
        <w:t>EN: Machine Learning Interatomic Potentials for Energy Materials: Architectures, Training Strategies, and Applications</w:t>
      </w:r>
    </w:p>
    <w:p>
      <w:pPr>
        <w:spacing w:before="0" w:after="120"/>
      </w:pPr>
      <w:r>
        <w:rPr>
          <w:b/>
        </w:rPr>
        <w:t xml:space="preserve">Source: </w:t>
      </w:r>
      <w:r>
        <w:t>Wiley: Advanced Energy Materials: Table of Contents</w:t>
      </w:r>
      <w:r>
        <w:t xml:space="preserve">    </w:t>
      </w:r>
      <w:r>
        <w:rPr>
          <w:b/>
        </w:rPr>
        <w:t xml:space="preserve">Pub date: </w:t>
      </w:r>
      <w:r>
        <w:t>2026-05-12 07:42:40+00:00</w:t>
      </w:r>
      <w:r>
        <w:t xml:space="preserve">    </w:t>
      </w:r>
      <w:r>
        <w:rPr>
          <w:b/>
        </w:rPr>
        <w:t xml:space="preserve">DOI: </w:t>
      </w:r>
      <w:hyperlink r:id="rId610">
        <w:r>
          <w:rPr>
            <w:color w:val="1155CC"/>
            <w:u w:val="single"/>
          </w:rPr>
          <w:t>10.1002/aenm.71046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机器学习原子间势（MLIPs）提供了一条实用途径，将第一性原理的准确性与建模复杂能量材料所需的时空尺度相结合。通过从密度泛函理论（DFT）数据中学习势能面，MLIPs能够进行多达10^4–10^6个原子的原子模拟，时间尺度达到纳秒，从而扩展了对从头算分子动力学无法访问的现象的研究。本文综述了MLIP开发的现象导向综合，涵盖基于描述符的模型、高斯过程框架的不确定性量化、等变图神经网络和在大规模数据集上训练的基础模型。我们评估了架构选择、训练策略（包括主动学习和多保真度方法）以及数据集设计如何影响代表性能源系统的准确性、可转移性和计算效率。讨论了在固态电解质、电池电极、电催化剂、钙钛矿光伏和高熵材料中的应用，结合性能指标和方法论理由。虽然MLIPs捕捉到定性趋势和相对属性变化，但绝对预测仍对DFT泛函选择、数据集代表性和长程相互作用的处理敏感。我们提出了一个结构化的验证框架，将模型保真度与实验相关的可观测量和系统c</w:t>
      </w:r>
    </w:p>
    <w:p>
      <w:pPr>
        <w:spacing w:before="0" w:after="200" w:lineRule="auto" w:line="276"/>
      </w:pPr>
      <w:r>
        <w:rPr>
          <w:b/>
        </w:rPr>
        <w:t xml:space="preserve">Abstract (EN): </w:t>
      </w:r>
      <w:r>
        <w:t>Machine learning interatomic potentials (MLIPs) provide a practical route to bridge first‐principles accuracy with the spatiotemporal scales required for modeling complex energy materials. By learning potential‐energy surfaces from density functional theory (DFT) data, MLIPs enable atomistic simulations up to 10</w:t>
      </w:r>
      <w:r>
        <w:rPr>
          <w:vertAlign w:val="subscript"/>
        </w:rPr>
        <w:t>4</w:t>
      </w:r>
      <w:r>
        <w:t>–10</w:t>
      </w:r>
      <w:r>
        <w:rPr>
          <w:vertAlign w:val="subscript"/>
        </w:rPr>
        <w:t>6</w:t>
      </w:r>
      <w:r>
        <w:t>atoms over nanosecond timescales, thereby extending access to phenomena inaccessible to ab initio molecular dynamics. This review presents a phenomenon‐oriented synthesis of MLIP development, spanning descriptor‐based models, Gaussian process frameworks with uncertainty quantification, equivariant graph neural networks, and foundation models trained on large‐scale datasets. We assess how architectural choices, training strategies (including active learning and multi‐fidelity approaches), and dataset design influence accuracy, transferability, and computational efficiency across representative energy systems. Applications in solid‐state electrolytes, battery electrodes, electrocatalysts, perovskite photovoltaics, and high‐entropy materials are discussed with both performance metrics and methodological rationale. While MLIPs capture qualitative trends and relative property variations, absolute predictions remain sensitive to DFT functional choices, dataset representativeness, and treatment of long‐range interactions. We address a structured validation framework linking model fidelity to experimentally relevant observables and system complexity. Also, we outline emerging directions including generative inverse design, autonomous discovery workflows, and foundation‐model fine‐tuning, highlighting opportunities and limitations for predictive deployment in energy materials research.</w:t>
      </w:r>
    </w:p>
    <w:p>
      <w:pPr>
        <w:spacing w:before="120" w:after="120"/>
      </w:pPr>
      <w:r>
        <w:rPr>
          <w:sz w:val="18"/>
        </w:rPr>
        <w:t>——————————————————————————————————————————————————————————————————————</w:t>
      </w:r>
    </w:p>
    <w:p>
      <w:pPr>
        <w:spacing w:before="160" w:after="40" w:line="240" w:lineRule="auto"/>
      </w:pPr>
      <w:r>
        <w:rPr>
          <w:b/>
        </w:rPr>
        <w:t xml:space="preserve">[216] </w:t>
      </w:r>
      <w:hyperlink r:id="rId611">
        <w:r>
          <w:rPr>
            <w:color w:val="1155CC"/>
            <w:u w:val="single"/>
          </w:rPr>
          <w:t>通过可扩展和不可逆的C─C交叉偶联反应实现的高稳定性二维共轭聚合物</w:t>
        </w:r>
      </w:hyperlink>
    </w:p>
    <w:p>
      <w:pPr>
        <w:spacing w:before="0" w:after="80"/>
      </w:pPr>
      <w:r>
        <w:rPr>
          <w:i/>
          <w:sz w:val="20"/>
        </w:rPr>
        <w:t>EN: Highly Stable Two‐Dimensional Conjugated Polymers Enabled by Scalable and Irreversible C─C Cross‐Coupling Reactions</w:t>
      </w:r>
    </w:p>
    <w:p>
      <w:pPr>
        <w:spacing w:before="0" w:after="120"/>
      </w:pPr>
      <w:r>
        <w:rPr>
          <w:b/>
        </w:rPr>
        <w:t xml:space="preserve">Source: </w:t>
      </w:r>
      <w:r>
        <w:t>Wiley: Advanced Materials: Table of Contents</w:t>
      </w:r>
      <w:r>
        <w:t xml:space="preserve">    </w:t>
      </w:r>
      <w:r>
        <w:rPr>
          <w:b/>
        </w:rPr>
        <w:t xml:space="preserve">Pub date: </w:t>
      </w:r>
      <w:r>
        <w:t>2026-05-12 08:28:23+00:00</w:t>
      </w:r>
      <w:r>
        <w:t xml:space="preserve">    </w:t>
      </w:r>
      <w:r>
        <w:rPr>
          <w:b/>
        </w:rPr>
        <w:t xml:space="preserve">DOI: </w:t>
      </w:r>
      <w:hyperlink r:id="rId612">
        <w:r>
          <w:rPr>
            <w:color w:val="1155CC"/>
            <w:u w:val="single"/>
          </w:rPr>
          <w:t>10.1002/adma.202522500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共轭聚合物（2DCPs）因其高表面积、可调拓扑结构和广泛的应用而引起了极大的兴趣。然而，生产高度稳定的2DCPs的可扩展合成方法仍然未知。本研究提出了一种通过不可逆C─C交叉偶联反应合成高度稳定2DCPs的快速且可扩展的方法。机制研究表明，精确的交叉偶联和π–π聚集模板驱动了规则二维网络的快速形成。值得注意的是，所得的2DCPs表现出卓越的化学稳定性，作为C‒N交叉偶联和氧化羟基化反应的稳健光催化剂。此外，自支撑的2DCP薄膜在光电子突触中表现出卓越的性能，对恶劣条件具有高度的抵抗力。这项工作建立了一种合成稳定2DCPs的新方法，使其在极端条件下的各种应用成为可能。</w:t>
      </w:r>
    </w:p>
    <w:p>
      <w:pPr>
        <w:spacing w:before="0" w:after="200" w:lineRule="auto" w:line="276"/>
      </w:pPr>
      <w:r>
        <w:rPr>
          <w:b/>
        </w:rPr>
        <w:t xml:space="preserve">Abstract (EN): </w:t>
      </w:r>
      <w:r>
        <w:t>Two‐dimensional conjugated polymers (2DCPs) have garnered significant interest due to their high surface area, tunable topologies, and broad applicability across diverse fields. However, scalable synthetic methods for producing highly stable 2DCPs remain unknown. This study presents a fast and scalable method to synthesize highly stable 2DCPs via irreversible C─C cross‐coupling reactions. Mechanistic investigations reveal that precise cross‐coupling and π–π aggregate templates drive the rapid formation of regular 2D networks. Notably, the resulting 2DCPs exhibit exceptional chemical stability, serving as robust photocatalysts for C‒N cross‐coupling and oxidative hydroxylation reactions. Furthermore, a self‐standing 2DCP film demonstrates outstanding performance in optoelectronic synapses, with high resilience to harsh conditions. This work establishes a novel approach for synthesizing stable 2DCPs, enabling various applications under extreme conditions.</w:t>
      </w:r>
    </w:p>
    <w:p>
      <w:pPr>
        <w:spacing w:before="120" w:after="120"/>
      </w:pPr>
      <w:r>
        <w:rPr>
          <w:sz w:val="18"/>
        </w:rPr>
        <w:t>——————————————————————————————————————————————————————————————————————</w:t>
      </w:r>
    </w:p>
    <w:p>
      <w:pPr>
        <w:spacing w:before="160" w:after="40" w:line="240" w:lineRule="auto"/>
      </w:pPr>
      <w:r>
        <w:rPr>
          <w:b/>
        </w:rPr>
        <w:t xml:space="preserve">[217] </w:t>
      </w:r>
      <w:hyperlink r:id="rId613">
        <w:r>
          <w:rPr>
            <w:color w:val="1155CC"/>
            <w:u w:val="single"/>
          </w:rPr>
          <w:t>[ASAP] 通过柱后在线光化学反应和质谱法阐明不饱和脂质中碳-碳双键位置的广泛可及方法</w:t>
        </w:r>
      </w:hyperlink>
    </w:p>
    <w:p>
      <w:pPr>
        <w:spacing w:before="0" w:after="80"/>
      </w:pPr>
      <w:r>
        <w:rPr>
          <w:i/>
          <w:sz w:val="20"/>
        </w:rPr>
        <w:t>EN: [ASAP] A Broadly Accessible Approach to Elucidate the Carbon–Carbon Double Bond Position in Unsaturated Lipids by a Post-column In-Line Photochemical Reaction and Mass Spectrometry</w:t>
      </w:r>
    </w:p>
    <w:p>
      <w:pPr>
        <w:spacing w:before="0" w:after="120"/>
      </w:pPr>
      <w:r>
        <w:rPr>
          <w:b/>
        </w:rPr>
        <w:t xml:space="preserve">Source: </w:t>
      </w:r>
      <w:r>
        <w:t>Journal of the American Chemical Society: Latest Articles (ACS Publications)</w:t>
      </w:r>
      <w:r>
        <w:t xml:space="preserve">    </w:t>
      </w:r>
      <w:r>
        <w:rPr>
          <w:b/>
        </w:rPr>
        <w:t xml:space="preserve">Pub date: </w:t>
      </w:r>
      <w:r>
        <w:t>2026-05-12 08:58:12+00:00</w:t>
      </w:r>
      <w:r>
        <w:t xml:space="preserve">    </w:t>
      </w:r>
      <w:r>
        <w:rPr>
          <w:b/>
        </w:rPr>
        <w:t xml:space="preserve">DOI: </w:t>
      </w:r>
      <w:hyperlink r:id="rId614">
        <w:r>
          <w:rPr>
            <w:color w:val="1155CC"/>
            <w:u w:val="single"/>
          </w:rPr>
          <w:t>10.1021/jacs.6c01876</w:t>
        </w:r>
      </w:hyperlink>
    </w:p>
    <w:p>
      <w:pPr>
        <w:spacing w:before="0" w:after="120"/>
      </w:pPr>
      <w:r>
        <w:rPr>
          <w:b/>
        </w:rPr>
        <w:t xml:space="preserve">Notes: </w:t>
      </w:r>
      <w:r>
        <w:t>abstract_source=pubmed</w:t>
      </w:r>
    </w:p>
    <w:p>
      <w:pPr>
        <w:spacing w:before="0" w:after="80" w:lineRule="auto" w:line="276"/>
      </w:pPr>
      <w:r>
        <w:rPr>
          <w:b/>
        </w:rPr>
        <w:t xml:space="preserve">摘要（ZH）: </w:t>
      </w:r>
      <w:r>
        <w:t>在过去几十年中，质谱的显著进步使得能够进行全面的蛋白质组学、代谢组学和脂质组学实验，从而描述复杂的生物过程。尽管新一代质谱仪通常具有更快的扫描速率、更高的分辨率和更高的通量，但一些化学上不复杂的结构表征仍然是一个挑战，例如阐明脂肪酰链中碳-碳双键的位置。尽管已经开发了广泛的策略来区分脂质组学中的双键位置异构体，通常使用化学衍生化和专用仪器，但仍然非常需要一种简单且广泛可及的方法。在本研究中，开发了一种在常用的光电二极管阵列（PDA）检测器内启动的柱后在线光化学反应，以裂解碳-碳双键并监测生成的醛产物离子以阐明双键位置。基于同位素追踪研究和补充实验的观察，提出了一种光化学反应机制。通过多种脂质类别评估了这种脂质表征方法，以展示其在结构阐明和易于实施方面的广泛适用性。评估了常用于脂质分析方法的流动相添加剂对醛产物生成效率的影响，以支持其在全球结构脂质组学实验中的适用性。这种方法有潜力成为一种强大的分析工具，提供</w:t>
      </w:r>
    </w:p>
    <w:p>
      <w:pPr>
        <w:spacing w:before="0" w:after="200" w:lineRule="auto" w:line="276"/>
      </w:pPr>
      <w:r>
        <w:rPr>
          <w:b/>
        </w:rPr>
        <w:t xml:space="preserve">Abstract (EN): </w:t>
      </w:r>
      <w:r>
        <w:t>Significant advancements in mass spectrometry in the past few decades have enabled comprehensive proteomics, metabolomics, and lipidomics experiments that can describe complex biological processes. Despite faster scan rates, greater resolution, and higher throughput commonly available for new-generation mass spectrometers, some chemically unsophisticated structural characterizations remain a challenge, such as elucidating the carbon-carbon double bond position in fatty acyl chains. Although extensive strategies have been developed to differentiate double bond positional isomers in lipidomics, typically with chemical derivatizations and specialized instrumentation, a simple and broadly accessible approach is still highly desired. In this study, a postcolumn in-line photochemical reaction initiated within a commonly available photodiode array (PDA) detector was developed to cleave carbon-carbon double bonds and monitor the resulting aldehyde product ions to elucidate double bond positions. A photochemical reaction mechanism was proposed based on observations in isotope tracing studies and supplemental experiments. This approach to lipid characterization has been evaluated with multiple lipid classes to demonstrate its broad applicability for structural elucidation and ease of implementation. The effects of aldehyde product generation efficiency with mobile-phase additives commonly used in lipid profiling methods were evaluated to support the applicability in a global structural lipidomics experiment. This approach has the potential to become a powerful analytical tool, providing widespread access to structural lipidomics and further understanding of lipid biology.</w:t>
      </w:r>
    </w:p>
    <w:p>
      <w:pPr>
        <w:spacing w:before="120" w:after="120"/>
      </w:pPr>
      <w:r>
        <w:rPr>
          <w:sz w:val="18"/>
        </w:rPr>
        <w:t>——————————————————————————————————————————————————————————————————————</w:t>
      </w:r>
    </w:p>
    <w:p>
      <w:pPr>
        <w:spacing w:before="160" w:after="40" w:line="240" w:lineRule="auto"/>
      </w:pPr>
      <w:r>
        <w:rPr>
          <w:b/>
        </w:rPr>
        <w:t xml:space="preserve">[218] </w:t>
      </w:r>
      <w:hyperlink r:id="rId615">
        <w:r>
          <w:rPr>
            <w:color w:val="1155CC"/>
            <w:u w:val="single"/>
          </w:rPr>
          <w:t>[ASAP] 使用有机金属质子穿梭体的不对称脱羧质子化和氘化氰基乙酸</w:t>
        </w:r>
      </w:hyperlink>
    </w:p>
    <w:p>
      <w:pPr>
        <w:spacing w:before="0" w:after="80"/>
      </w:pPr>
      <w:r>
        <w:rPr>
          <w:i/>
          <w:sz w:val="20"/>
        </w:rPr>
        <w:t>EN: [ASAP] Asymmetric Decarboxylative Protonation and Deuteration of Cyanoacetic Acids Using an Organometallic Proton Shuttle</w:t>
      </w:r>
    </w:p>
    <w:p>
      <w:pPr>
        <w:spacing w:before="0" w:after="120"/>
      </w:pPr>
      <w:r>
        <w:rPr>
          <w:b/>
        </w:rPr>
        <w:t xml:space="preserve">Source: </w:t>
      </w:r>
      <w:r>
        <w:t>Journal of the American Chemical Society: Latest Articles (ACS Publications)</w:t>
      </w:r>
      <w:r>
        <w:t xml:space="preserve">    </w:t>
      </w:r>
      <w:r>
        <w:rPr>
          <w:b/>
        </w:rPr>
        <w:t xml:space="preserve">Pub date: </w:t>
      </w:r>
      <w:r>
        <w:t>2026-05-12 08:59:17+00:00</w:t>
      </w:r>
      <w:r>
        <w:t xml:space="preserve">    </w:t>
      </w:r>
      <w:r>
        <w:rPr>
          <w:b/>
        </w:rPr>
        <w:t xml:space="preserve">DOI: </w:t>
      </w:r>
      <w:hyperlink r:id="rId616">
        <w:r>
          <w:rPr>
            <w:color w:val="1155CC"/>
            <w:u w:val="single"/>
          </w:rPr>
          <w:t>10.1021/jacs.6c05281</w:t>
        </w:r>
      </w:hyperlink>
    </w:p>
    <w:p>
      <w:pPr>
        <w:spacing w:before="0" w:after="120"/>
      </w:pPr>
      <w:r>
        <w:rPr>
          <w:b/>
        </w:rPr>
        <w:t xml:space="preserve">Notes: </w:t>
      </w:r>
      <w:r>
        <w:t>abstract_source=pubmed</w:t>
      </w:r>
    </w:p>
    <w:p>
      <w:pPr>
        <w:spacing w:before="0" w:after="80" w:lineRule="auto" w:line="276"/>
      </w:pPr>
      <w:r>
        <w:rPr>
          <w:b/>
        </w:rPr>
        <w:t xml:space="preserve">摘要（ZH）: </w:t>
      </w:r>
      <w:r>
        <w:t>质子轨迹难以控制。被称为“质子穿梭器”的手性催化剂是涉及质子转移反应的关键，通过容纳质子并实现其立体选择性添加。尽管有机酸和碱通常用于此目的，但我们在此展示了一种铑-磷酰胺络合物可以作为一种有机金属质子穿梭器，拦截氰基乙酸的脱羧反应中的去质子化/CO2 挤出/质子化序列并决定其立体化学。虽然配体中的氨基基序容纳了质子，但附近的铑通过配位键帮助固定酮亚胺中间体的取向以进行质子化。此外，脱羧途径与使用氘代溶剂的 H/D 交换兼容，从而允许不对称脱羧氘化。该方法连接了氰基乙酸酯的大规模生产及其与腈的脱羧后转化的便捷取代，以获取结构多样的立体中心和氘代实体。</w:t>
      </w:r>
    </w:p>
    <w:p>
      <w:pPr>
        <w:spacing w:before="0" w:after="200" w:lineRule="auto" w:line="276"/>
      </w:pPr>
      <w:r>
        <w:rPr>
          <w:b/>
        </w:rPr>
        <w:t xml:space="preserve">Abstract (EN): </w:t>
      </w:r>
      <w:r>
        <w:t>The trajectory of proton is hard to control. Chiral catalysts known as "proton shuttles" are key to reactions involving proton transfers by hosting a proton and enabling its stereoselective addition. Although organic acids and bases are commonly used for this purpose, we demonstrate here that a rhodium-phosphoramidite complex can serve as an organometallic proton shuttle to intercept the deprotonation/CO2 extrusion/protonation sequence in the decarboxylation of cyanoacetic acids and dictate its stereochemistry. While the amino motif in the ligand accommodates the proton, the nearby rhodium helps fix the orientation of the ketenimine intermediate for protonation via a dative bond. Furthermore, the decarboxylation pathway is compatible with H/D exchange using deuterated solvent, thus allowing an asymmetric decarboxylative deuteration. This method bridges the bulk production of cyanoacetates and their facile substitution with postdecarboxylation transformations of nitrile to access structurally diverse stereocenters and deuterated entities.</w:t>
      </w:r>
    </w:p>
    <w:p>
      <w:pPr>
        <w:spacing w:before="120" w:after="120"/>
      </w:pPr>
      <w:r>
        <w:rPr>
          <w:sz w:val="18"/>
        </w:rPr>
        <w:t>——————————————————————————————————————————————————————————————————————</w:t>
      </w:r>
    </w:p>
    <w:p>
      <w:pPr>
        <w:spacing w:before="160" w:after="40" w:line="240" w:lineRule="auto"/>
      </w:pPr>
      <w:r>
        <w:rPr>
          <w:b/>
        </w:rPr>
        <w:t xml:space="preserve">[219] </w:t>
      </w:r>
      <w:hyperlink r:id="rId617">
        <w:r>
          <w:rPr>
            <w:color w:val="1155CC"/>
            <w:u w:val="single"/>
          </w:rPr>
          <w:t>[ASAP] α-突触核蛋白NACore聚集机制：稳定的寡聚体形成与纤维形成竞争，对帕金森病病因学的影响</w:t>
        </w:r>
      </w:hyperlink>
    </w:p>
    <w:p>
      <w:pPr>
        <w:spacing w:before="0" w:after="80"/>
      </w:pPr>
      <w:r>
        <w:rPr>
          <w:i/>
          <w:sz w:val="20"/>
        </w:rPr>
        <w:t>EN: [ASAP] Mechanism of Aggregation of the NACore of α-Synuclein: Stable Oligomer Formation Competes with Fibril Formation with Implications for the Etiology of Parkinson’s Disease</w:t>
      </w:r>
    </w:p>
    <w:p>
      <w:pPr>
        <w:spacing w:before="0" w:after="120"/>
      </w:pPr>
      <w:r>
        <w:rPr>
          <w:b/>
        </w:rPr>
        <w:t xml:space="preserve">Source: </w:t>
      </w:r>
      <w:r>
        <w:t>Journal of the American Chemical Society: Latest Articles (ACS Publications)</w:t>
      </w:r>
      <w:r>
        <w:t xml:space="preserve">    </w:t>
      </w:r>
      <w:r>
        <w:rPr>
          <w:b/>
        </w:rPr>
        <w:t xml:space="preserve">Pub date: </w:t>
      </w:r>
      <w:r>
        <w:t>2026-05-12 08:59:46+00:00</w:t>
      </w:r>
      <w:r>
        <w:t xml:space="preserve">    </w:t>
      </w:r>
      <w:r>
        <w:rPr>
          <w:b/>
        </w:rPr>
        <w:t xml:space="preserve">DOI: </w:t>
      </w:r>
      <w:hyperlink r:id="rId618">
        <w:r>
          <w:rPr>
            <w:color w:val="1155CC"/>
            <w:u w:val="single"/>
          </w:rPr>
          <w:t>10.1021/jacs.6c01293</w:t>
        </w:r>
      </w:hyperlink>
    </w:p>
    <w:p>
      <w:pPr>
        <w:spacing w:before="0" w:after="120"/>
      </w:pPr>
      <w:r>
        <w:rPr>
          <w:b/>
        </w:rPr>
        <w:t xml:space="preserve">Notes: </w:t>
      </w:r>
      <w:r>
        <w:t>abstract_source=pubmed</w:t>
      </w:r>
    </w:p>
    <w:p>
      <w:pPr>
        <w:spacing w:before="0" w:after="80" w:lineRule="auto" w:line="276"/>
      </w:pPr>
      <w:r>
        <w:rPr>
          <w:b/>
        </w:rPr>
        <w:t xml:space="preserve">摘要（ZH）: </w:t>
      </w:r>
      <w:r>
        <w:t>NACore 肽源自 α-突触核蛋白的疏水核心区域，是理解淀粉样纤维形成的关键模型，这是帕金森病等神经退行性疾病的标志。本研究整合了原子力显微镜 (AFM)、离子迁移率质谱 (IM-MS) 和分子动力学 (MD) 模拟，以研究 NACore 聚集在不同时间、浓度和 pH 条件下的结构动态。结果揭示了不同浓度依赖的聚集途径，在低浓度下形成稳定的早期寡聚体如四聚体和六聚体，而在高浓度下纤维形成占主导地位。环境 pH 的微妙变化显著调节了这些途径：中性 pH (7.4) 促进了多样且相对稳定的寡聚体物种的形成，包括六聚体和八聚体，而碱性 pH (8.0) 稳定了作为非途径中间体的四聚体，可能延迟纤维形成。相反，在酸性 pH (6.8) 下，寡聚化受到限制，系统主要保持单体和小型，不稳定的寡聚体可能作为纤维前体。AFM 和 IM-MS 表征了寡聚体的大小和稳定性，而 MD 模拟突出了圆柱状四聚体和六聚体的分子稳定性。这些发现强调了 NACore 聚集的复杂性，并提供了关于寡聚体形成途径的宝贵见解，从而提供了设计潜在治疗策略以靶向特定中间体以调节淀粉样蛋白形成的机会。</w:t>
      </w:r>
    </w:p>
    <w:p>
      <w:pPr>
        <w:spacing w:before="0" w:after="200" w:lineRule="auto" w:line="276"/>
      </w:pPr>
      <w:r>
        <w:rPr>
          <w:b/>
        </w:rPr>
        <w:t xml:space="preserve">Abstract (EN): </w:t>
      </w:r>
      <w:r>
        <w:t>NACore peptides, derived from the hydrophobic core region of α-synuclein, serve as a critical model for understanding amyloid fibril formation, a hallmark of neurodegenerative diseases such as Parkinson's. This study integrates atomic force microscopy (AFM), ion mobility-mass spectrometry (IM-MS), and molecular dynamics (MD) simulations to investigate the structural dynamics of NACore aggregation under varying conditions of time, concentration, and pH. The results reveal distinct concentration-dependent aggregation pathways, where stable early-stage oligomers such as tetramers and hexamers form at low concentrations while fibril formation predominates at higher concentrations. A subtle change in environmental pH significantly modulates these pathways: neutral pH (7.4) facilitates the formation of diverse and relatively stable oligomeric species, including hexamers and octamers, while basic pH (8.0) stabilizes tetramers as off-pathway intermediates that may delay fibril formation. Conversely, at acidic pH (6.8), oligomerization is limited, with the system predominantly remaining monomeric and small, with unstable oligomers likely acting as fibril precursors. AFM and IM-MS characterize oligomer size and stability, while MD simulations highlight the molecular stability of cylindrin-like tetramers and hexamers. These findings emphasize the complexity of NACore aggregation and provide valuable insights into oligomer formation pathways, thereby providing opportunities to design potential therapeutic strategies targeting specific intermediates to modulate amyloid formation.</w:t>
      </w:r>
    </w:p>
    <w:p>
      <w:pPr>
        <w:spacing w:before="120" w:after="120"/>
      </w:pPr>
      <w:r>
        <w:rPr>
          <w:sz w:val="18"/>
        </w:rPr>
        <w:t>——————————————————————————————————————————————————————————————————————</w:t>
      </w:r>
    </w:p>
    <w:p>
      <w:pPr>
        <w:spacing w:before="160" w:after="40" w:line="240" w:lineRule="auto"/>
      </w:pPr>
      <w:r>
        <w:rPr>
          <w:b/>
        </w:rPr>
        <w:t xml:space="preserve">[220] </w:t>
      </w:r>
      <w:hyperlink r:id="rId619">
        <w:r>
          <w:rPr>
            <w:color w:val="1155CC"/>
            <w:u w:val="single"/>
          </w:rPr>
          <w:t>通过化学键工程实现混合锗碘化物铁电体的创纪录低矫顽场和大极化</w:t>
        </w:r>
      </w:hyperlink>
    </w:p>
    <w:p>
      <w:pPr>
        <w:spacing w:before="0" w:after="80"/>
      </w:pPr>
      <w:r>
        <w:rPr>
          <w:i/>
          <w:sz w:val="20"/>
        </w:rPr>
        <w:t>EN: Enabling Record‐Low Coercive Field and Large Polarization in Hybrid Germanium Iodide Ferroelectric Through Chemical Bonding Engineering</w:t>
      </w:r>
    </w:p>
    <w:p>
      <w:pPr>
        <w:spacing w:before="0" w:after="120"/>
      </w:pPr>
      <w:r>
        <w:rPr>
          <w:b/>
        </w:rPr>
        <w:t xml:space="preserve">Source: </w:t>
      </w:r>
      <w:r>
        <w:t>Wiley: Angewandte Chemie International Edition: Table of Contents</w:t>
      </w:r>
      <w:r>
        <w:t xml:space="preserve">    </w:t>
      </w:r>
      <w:r>
        <w:rPr>
          <w:b/>
        </w:rPr>
        <w:t xml:space="preserve">Pub date: </w:t>
      </w:r>
      <w:r>
        <w:t>2026-05-12 09:24:28+00:00</w:t>
      </w:r>
      <w:r>
        <w:t xml:space="preserve">    </w:t>
      </w:r>
      <w:r>
        <w:rPr>
          <w:b/>
        </w:rPr>
        <w:t xml:space="preserve">DOI: </w:t>
      </w:r>
      <w:hyperlink r:id="rId620">
        <w:r>
          <w:rPr>
            <w:color w:val="1155CC"/>
            <w:u w:val="single"/>
          </w:rPr>
          <w:t>10.1002/anie.6374949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铁电材料因其天然可切换的极化特性而引起了极大的兴趣，因其在电子学、微机电和电光学中的变革潜力。尽管取得了显著进展，但传统铁电材料中重新配置稳固化学键所需的高矫顽场从根本上阻碍了其在下一代节能设备中的应用。在此，我们提出了一种创新的化学键工程方法，开发了一种混合金属卤化物铁电体，（异戊基铵）2CsGe2I7（ICGI），展示了超低势垒铁电性。通过增强化学键各向异性，通过ns2孤对立体化学表达，ICGI中的Ge-I键采用不对称的金字塔配位几何形状，打破了结构反演对称性，导致自发极化高达19.09 µC/cm2。特别是，平滑的切换路径避免了短程键相互作用的突然断裂和重组，导致创纪录的低矫顽场&lt;0.35 kV/cm（对应的切换能量&lt;0.0575 J/cm3），远低于传统铁电材料。</w:t>
      </w:r>
    </w:p>
    <w:p>
      <w:pPr>
        <w:spacing w:before="0" w:after="200" w:lineRule="auto" w:line="276"/>
      </w:pPr>
      <w:r>
        <w:rPr>
          <w:b/>
        </w:rPr>
        <w:t xml:space="preserve">Abstract (EN): </w:t>
      </w:r>
      <w:r>
        <w:t>Ferroelectrics, featuring a natural switchable polarization, have motivated immense interest due to their transformative potential in electronics, micromechatronics and electro‐optics. Despite the remarkable advances achieved, the high coercive field required to reconfigure robust chemical bonds in traditional ferroelectrics fundamentally precludes their applications in next‐generation energy‐efficient devices. Herein, we present an innovative chemical bonding engineering approach to develop a hybrid metal halide ferroelectric, (iso‐amylammonium)</w:t>
      </w:r>
      <w:r>
        <w:rPr>
          <w:vertAlign w:val="subscript"/>
        </w:rPr>
        <w:t>2</w:t>
      </w:r>
      <w:r>
        <w:t>CsGe</w:t>
      </w:r>
      <w:r>
        <w:rPr>
          <w:vertAlign w:val="subscript"/>
        </w:rPr>
        <w:t>2</w:t>
      </w:r>
      <w:r>
        <w:t>I</w:t>
      </w:r>
      <w:r>
        <w:rPr>
          <w:vertAlign w:val="subscript"/>
        </w:rPr>
        <w:t>7</w:t>
      </w:r>
      <w:r>
        <w:t>(</w:t>
      </w:r>
      <w:r>
        <w:t xml:space="preserve"> </w:t>
      </w:r>
      <w:r>
        <w:t>ICGI</w:t>
      </w:r>
      <w:r>
        <w:t xml:space="preserve"> </w:t>
      </w:r>
      <w:r>
        <w:t>), which demonstrates ultra‐low barrier ferroelectricity. Through enhancing the chemical bonding anisotropy via</w:t>
      </w:r>
      <w:r>
        <w:t xml:space="preserve"> </w:t>
      </w:r>
      <w:r>
        <w:t>n</w:t>
      </w:r>
      <w:r>
        <w:t xml:space="preserve"> </w:t>
      </w:r>
      <w:r>
        <w:t>s</w:t>
      </w:r>
      <w:r>
        <w:rPr>
          <w:vertAlign w:val="subscript"/>
        </w:rPr>
        <w:t>2</w:t>
      </w:r>
      <w:r>
        <w:t>lone pairs stereochemical expression, the Ge‐I bonding in</w:t>
      </w:r>
      <w:r>
        <w:t xml:space="preserve"> </w:t>
      </w:r>
      <w:r>
        <w:t>ICGI</w:t>
      </w:r>
      <w:r>
        <w:t xml:space="preserve"> </w:t>
      </w:r>
      <w:r>
        <w:t>adopts an asymmetrical pyramidal coordination geometry, which breaks structural inversion symmetry and results in a large spontaneous polarization up to 19.09 µC/cm</w:t>
      </w:r>
      <w:r>
        <w:rPr>
          <w:vertAlign w:val="subscript"/>
        </w:rPr>
        <w:t>2</w:t>
      </w:r>
      <w:r>
        <w:t>. Particularly, the smooth switching pathway refrained from abrupt breaking and reformation of weakened short‐range bonding interactions results in a record‐low coercive field &amp;lt; 0.35 kV/cm (corresponding to switching energy &amp;lt; 0.0575 J/cm</w:t>
      </w:r>
      <w:r>
        <w:rPr>
          <w:vertAlign w:val="subscript"/>
        </w:rPr>
        <w:t>3</w:t>
      </w:r>
      <w:r>
        <w:t>), much lower than traditional ferroelectrics such as BaTiO</w:t>
      </w:r>
      <w:r>
        <w:rPr>
          <w:vertAlign w:val="subscript"/>
        </w:rPr>
        <w:t>3</w:t>
      </w:r>
      <w:r>
        <w:t>(&amp;gt; 1.0 kV/cm) and HfO</w:t>
      </w:r>
      <w:r>
        <w:rPr>
          <w:vertAlign w:val="subscript"/>
        </w:rPr>
        <w:t>2</w:t>
      </w:r>
      <w:r>
        <w:t>(&amp;gt; 1000 kV/cm). Furthermore, benefiting from the low barrier ferroelectricity,</w:t>
      </w:r>
      <w:r>
        <w:t xml:space="preserve"> </w:t>
      </w:r>
      <w:r>
        <w:t>ICGI</w:t>
      </w:r>
      <w:r>
        <w:t xml:space="preserve"> </w:t>
      </w:r>
      <w:r>
        <w:t>demonstrates a low electric field driven pronounced electrocaloric effect with an adiabatic Δ</w:t>
      </w:r>
      <w:r>
        <w:t xml:space="preserve"> </w:t>
      </w:r>
      <w:r>
        <w:t>T</w:t>
      </w:r>
      <w:r>
        <w:t xml:space="preserve"> </w:t>
      </w:r>
      <w:r>
        <w:t>/Δ</w:t>
      </w:r>
      <w:r>
        <w:t xml:space="preserve"> </w:t>
      </w:r>
      <w:r>
        <w:t>E</w:t>
      </w:r>
      <w:r>
        <w:t xml:space="preserve"> </w:t>
      </w:r>
      <w:r>
        <w:t>of 800 mK·cm/kV. This work encourages the targeted design of low barrier ferroelectrics, which sheds light on their applications in next‐generation ultralow‐power devices.</w:t>
      </w:r>
    </w:p>
    <w:p>
      <w:pPr>
        <w:spacing w:before="120" w:after="120"/>
      </w:pPr>
      <w:r>
        <w:rPr>
          <w:sz w:val="18"/>
        </w:rPr>
        <w:t>——————————————————————————————————————————————————————————————————————</w:t>
      </w:r>
    </w:p>
    <w:p>
      <w:pPr>
        <w:spacing w:before="160" w:after="40" w:line="240" w:lineRule="auto"/>
      </w:pPr>
      <w:r>
        <w:rPr>
          <w:b/>
        </w:rPr>
        <w:t xml:space="preserve">[221] </w:t>
      </w:r>
      <w:hyperlink r:id="rId621">
        <w:r>
          <w:rPr>
            <w:color w:val="1155CC"/>
            <w:u w:val="single"/>
          </w:rPr>
          <w:t>金属光催化无受体脱氢羰基化反应，使用苄基C─H键作为限制底物</w:t>
        </w:r>
      </w:hyperlink>
    </w:p>
    <w:p>
      <w:pPr>
        <w:spacing w:before="0" w:after="80"/>
      </w:pPr>
      <w:r>
        <w:rPr>
          <w:i/>
          <w:sz w:val="20"/>
        </w:rPr>
        <w:t>EN: Metallaphotoredox‐Catalyzed Acceptorless Dehydrogenative Carbonylation Employing Benzylic C─H Bonds as Limiting Substrates</w:t>
      </w:r>
    </w:p>
    <w:p>
      <w:pPr>
        <w:spacing w:before="0" w:after="120"/>
      </w:pPr>
      <w:r>
        <w:rPr>
          <w:b/>
        </w:rPr>
        <w:t xml:space="preserve">Source: </w:t>
      </w:r>
      <w:r>
        <w:t>Wiley: Angewandte Chemie International Edition: Table of Contents</w:t>
      </w:r>
      <w:r>
        <w:t xml:space="preserve">    </w:t>
      </w:r>
      <w:r>
        <w:rPr>
          <w:b/>
        </w:rPr>
        <w:t xml:space="preserve">Pub date: </w:t>
      </w:r>
      <w:r>
        <w:t>2026-05-12 09:26:00+00:00</w:t>
      </w:r>
      <w:r>
        <w:t xml:space="preserve">    </w:t>
      </w:r>
      <w:r>
        <w:rPr>
          <w:b/>
        </w:rPr>
        <w:t xml:space="preserve">DOI: </w:t>
      </w:r>
      <w:hyperlink r:id="rId622">
        <w:r>
          <w:rPr>
            <w:color w:val="1155CC"/>
            <w:u w:val="single"/>
          </w:rPr>
          <w:t>10.1002/anie.9220846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可见光驱动的、金属光氧化还原催化的无受体脱氢羰基化反应，涉及苄基C─H键与一氧化碳和亲核试剂的反应。通过长链二膦配位的溴化镍(II)复合物实现，该方法独特地将C(sp3)─H键作为限制试剂，在常温和CO气氛下进行，生成酯和相关羰基化合物，无需氧化剂，副产物仅为H2。该反应表现出广泛的底物范围，耐受多种官能团和复杂的生物活性骨架。机制研究与涉及光诱导氢原子转移和镍介导的羰基化路径一致。</w:t>
      </w:r>
    </w:p>
    <w:p>
      <w:pPr>
        <w:spacing w:before="0" w:after="200" w:lineRule="auto" w:line="276"/>
      </w:pPr>
      <w:r>
        <w:rPr>
          <w:b/>
        </w:rPr>
        <w:t xml:space="preserve">Abstract (EN): </w:t>
      </w:r>
      <w:r>
        <w:t>We report a visible light‐driven, metallaphotoredox‐catalyzed acceptorless dehydrogenative carbonylation of benzylic C─H bonds with carbon monoxide and nucleophiles. Enabled by a long‐chain diphosphine ligated nickel(II) bromide complex, this protocol uniquely employs C(sp</w:t>
      </w:r>
      <w:r>
        <w:rPr>
          <w:vertAlign w:val="subscript"/>
        </w:rPr>
        <w:t>3</w:t>
      </w:r>
      <w:r>
        <w:t>)─H bonds as limiting reagents under ambient temperature and CO atmosphere, affording esters and related carbonyls under oxidant‐free conditions with H</w:t>
      </w:r>
      <w:r>
        <w:rPr>
          <w:vertAlign w:val="subscript"/>
        </w:rPr>
        <w:t>2</w:t>
      </w:r>
      <w:r>
        <w:t>as the sole byproduct. The reaction exhibits broad substrate scope, tolerating diverse functional groups and complex bioactive scaffolds. Mechanistic studies are consistent with a pathway involving photoinduced hydrogen atom transfer and nickel‐mediated carbonylation.</w:t>
      </w:r>
    </w:p>
    <w:p>
      <w:pPr>
        <w:spacing w:before="120" w:after="120"/>
      </w:pPr>
      <w:r>
        <w:rPr>
          <w:sz w:val="18"/>
        </w:rPr>
        <w:t>——————————————————————————————————————————————————————————————————————</w:t>
      </w:r>
    </w:p>
    <w:p>
      <w:pPr>
        <w:spacing w:before="160" w:after="40" w:line="240" w:lineRule="auto"/>
      </w:pPr>
      <w:r>
        <w:rPr>
          <w:b/>
        </w:rPr>
        <w:t xml:space="preserve">[222] </w:t>
      </w:r>
      <w:hyperlink r:id="rId623">
        <w:r>
          <w:rPr>
            <w:color w:val="1155CC"/>
            <w:u w:val="single"/>
          </w:rPr>
          <w:t>光催化烯烃的氢氰基丙烯腈化反应</w:t>
        </w:r>
      </w:hyperlink>
    </w:p>
    <w:p>
      <w:pPr>
        <w:spacing w:before="0" w:after="80"/>
      </w:pPr>
      <w:r>
        <w:rPr>
          <w:i/>
          <w:sz w:val="20"/>
        </w:rPr>
        <w:t>EN: Photocatalyzed Hydro‐acrylonitrilation of Alkenes</w:t>
      </w:r>
    </w:p>
    <w:p>
      <w:pPr>
        <w:spacing w:before="0" w:after="120"/>
      </w:pPr>
      <w:r>
        <w:rPr>
          <w:b/>
        </w:rPr>
        <w:t xml:space="preserve">Source: </w:t>
      </w:r>
      <w:r>
        <w:t>Wiley: Angewandte Chemie International Edition: Table of Contents</w:t>
      </w:r>
      <w:r>
        <w:t xml:space="preserve">    </w:t>
      </w:r>
      <w:r>
        <w:rPr>
          <w:b/>
        </w:rPr>
        <w:t xml:space="preserve">Pub date: </w:t>
      </w:r>
      <w:r>
        <w:t>2026-05-12 09:29:21+00:00</w:t>
      </w:r>
      <w:r>
        <w:t xml:space="preserve">    </w:t>
      </w:r>
      <w:r>
        <w:rPr>
          <w:b/>
        </w:rPr>
        <w:t xml:space="preserve">DOI: </w:t>
      </w:r>
      <w:hyperlink r:id="rId624">
        <w:r>
          <w:rPr>
            <w:color w:val="1155CC"/>
            <w:u w:val="single"/>
          </w:rPr>
          <w:t>10.1002/anie.7680895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烯烃原料的催化氰化是一种强有力的方法，可以将高度多功能的烯基腈基团引入有机分子中。这些反应传统上依赖于过渡金属催化剂、危险的腈源或预功能化的烯烃，这限制了它们在药物发现中的潜在应用。在此，我们首次展示了使用稳定的4-氰基-3-氧代四氢噻吩（c-THT）作为氰源对自由烯烃进行光催化氢-丙烯腈化反应，以产生具有广泛底物范围和优良官能团耐受性的稠合烯基腈。与之前的极性催化不同，c-THT首次在可见光催化中作为丙烯腈替代物应用，使得这种自由基介导的反应能够在操作简单和温和的条件下进行，并使许多功能化的活化和非活化烯烃能够以高效的方式进行丙烯腈化。通过克级制备和下游合成扩展至各种有价值的构建模块，进一步展示了其合成实用性。</w:t>
      </w:r>
    </w:p>
    <w:p>
      <w:pPr>
        <w:spacing w:before="0" w:after="200" w:lineRule="auto" w:line="276"/>
      </w:pPr>
      <w:r>
        <w:rPr>
          <w:b/>
        </w:rPr>
        <w:t xml:space="preserve">Abstract (EN): </w:t>
      </w:r>
      <w:r>
        <w:t>The catalytic cyanation of alkene feedstocks is a powerful method for introducing highly versatile alkenyl nitrile moieties into organic molecules. These reactions have traditionally relied on transition metal catalysts, hazardous nitrile sources, or prefunctionalized alkenes, which have restricted their potential application in drug discovery. Here, we present the first photocatalytic hydro‐acrylonitrilation of free alkenes using stable 4‐cyano‐3‐oxotetrahydrothiophene (c‐THT) as the cyano source to produce fused alkenyl nitriles with broad substrate scope and excellent functional group tolerance. Unlike previous polar catalysis, c‐THT was first applied in visible‐light catalysis as an acrylonitrile surrogate, allowing this radical‐mediated reaction to occur under operationally simple and mild conditions and enabling numerous functionalized activated and nonactivated alkenes to proceed acrylonitrilation in a highly efficient manner. The synthetic utility was further demonstrated by the gram‐scale preparation and downstream synthetic elaboration toward various valuable building blocks.</w:t>
      </w:r>
    </w:p>
    <w:p>
      <w:pPr>
        <w:spacing w:before="120" w:after="120"/>
      </w:pPr>
      <w:r>
        <w:rPr>
          <w:sz w:val="18"/>
        </w:rPr>
        <w:t>——————————————————————————————————————————————————————————————————————</w:t>
      </w:r>
    </w:p>
    <w:p>
      <w:pPr>
        <w:spacing w:before="160" w:after="40" w:line="240" w:lineRule="auto"/>
      </w:pPr>
      <w:r>
        <w:rPr>
          <w:b/>
        </w:rPr>
        <w:t xml:space="preserve">[223] </w:t>
      </w:r>
      <w:hyperlink r:id="rId625">
        <w:r>
          <w:rPr>
            <w:color w:val="1155CC"/>
            <w:u w:val="single"/>
          </w:rPr>
          <w:t>[ASAP] 通过高熵支撑稳定钌单原子上的晶格氧机制以促进酸性氧气演化</w:t>
        </w:r>
      </w:hyperlink>
    </w:p>
    <w:p>
      <w:pPr>
        <w:spacing w:before="0" w:after="80"/>
      </w:pPr>
      <w:r>
        <w:rPr>
          <w:i/>
          <w:sz w:val="20"/>
        </w:rPr>
        <w:t>EN: [ASAP] Stabilizing Lattice Oxygen Mechanism on Ru Single Atoms via a High-Entropy Support for Acidic Oxygen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2026-05-12 10:01:36+00:00</w:t>
      </w:r>
      <w:r>
        <w:t xml:space="preserve">    </w:t>
      </w:r>
      <w:r>
        <w:rPr>
          <w:b/>
        </w:rPr>
        <w:t xml:space="preserve">DOI: </w:t>
      </w:r>
      <w:hyperlink r:id="rId626">
        <w:r>
          <w:rPr>
            <w:color w:val="1155CC"/>
            <w:u w:val="single"/>
          </w:rPr>
          <w:t>10.1021/jacs.6c02539</w:t>
        </w:r>
      </w:hyperlink>
    </w:p>
    <w:p>
      <w:pPr>
        <w:spacing w:before="0" w:after="120"/>
      </w:pPr>
      <w:r>
        <w:rPr>
          <w:b/>
        </w:rPr>
        <w:t xml:space="preserve">Notes: </w:t>
      </w:r>
      <w:r>
        <w:t>abstract_source=pubmed</w:t>
      </w:r>
    </w:p>
    <w:p>
      <w:pPr>
        <w:spacing w:before="0" w:after="80" w:lineRule="auto" w:line="276"/>
      </w:pPr>
      <w:r>
        <w:rPr>
          <w:b/>
        </w:rPr>
        <w:t xml:space="preserve">摘要（ZH）: </w:t>
      </w:r>
      <w:r>
        <w:t>晶格氧机制（LOM）已成为提高酸性氧析出反应（OER）活性的一条有效途径。然而，广泛的晶格氧参与通常导致缺陷积累和框架不稳定，严重限制了催化剂的耐久性。在此，我们提出在高熵氧化物（Ru-(FeCoNiCrMn)3O4）上锚定Ru单原子，在Ru位点建立稳定的LOM路径，结合高活性和长期结构完整性。高熵效应增强了Ru 4d-O 2p杂化，降低了晶格氧化的能量障碍，并促进了Ru位点附近的晶格氧与吸附氧物种之间的直接Olat-Oad耦合。同时，界面氢键网络的破坏丰富了弱氢键结合的自由水的高反应性，使水源氧迅速掺入晶格氧缺陷中。这一动态缺陷填充过程保持了Ru位点的局部配位环境，防止了不可逆的结构退化。因此，Ru-(FeCoNiCrMn)3O4催化剂仅需204 mV的过电位即可在0.5 M H2SO4中达到10 mA cm-2，并在1.50 V vs RHE时提供5235.42 A gRu-1的高质量活性。使用Ru-(FeCoNiCrMn)3O4阳极的质子交换膜电解槽可以在500 mA cm-2下稳定运行超过320小时。这项工作提出了一种同时提高催化剂活性和稳定性的创新策略。</w:t>
      </w:r>
    </w:p>
    <w:p>
      <w:pPr>
        <w:spacing w:before="0" w:after="200" w:lineRule="auto" w:line="276"/>
      </w:pPr>
      <w:r>
        <w:rPr>
          <w:b/>
        </w:rPr>
        <w:t xml:space="preserve">Abstract (EN): </w:t>
      </w:r>
      <w:r>
        <w:t>The lattice oxygen mechanism (LOM) has emerged as an effective route to enhance acidic oxygen evolution reaction (OER) activity. However, extensive lattice-oxygen participation often leads to defect accumulation and framework destabilization, severely limiting catalyst durability. Herein, we propose that anchoring Ru single atoms on a high-entropy oxide (Ru-(FeCoNiCrMn)3O4) establishes a stabilized LOM pathway at the Ru sites, combining high activity with long-term structural integrity. The high-entropy effect strengthens Ru 4d-O 2p hybridization, lowering the energetic barrier for lattice-oxygen oxidation and facilitating direct Olat-Oad coupling between lattice oxygen near the Ru sites and adsorbed oxygen species. In parallel, disruption of the interfacial hydrogen-bond network enriches weakly hydrogen-bonded free water with high reactivity, enabling rapid incorporation of water-derived oxygen into lattice-oxygen defects. This dynamic defect-refilling process preserves the local coordination environment of Ru sites and prevents irreversible structural degradation. Consequently, the Ru-(FeCoNiCrMn)3O4 catalyst only needs an overpotential of 204 mV to reach 10 mA cm-2 in 0.5 M H2SO4 and delivers a high mass activity of 5235.42 A gRu-1 at 1.50 V vs RHE. The proton exchange membrane electrolyzer with a Ru-(FeCoNiCrMn)3O4 anode can operate stably for over 320 h at 500 mA cm-2. This work presents a novel strategy for simultaneously enhancing catalyst activity and stability.</w:t>
      </w:r>
    </w:p>
    <w:p>
      <w:pPr>
        <w:spacing w:before="120" w:after="120"/>
      </w:pPr>
      <w:r>
        <w:rPr>
          <w:sz w:val="18"/>
        </w:rPr>
        <w:t>——————————————————————————————————————————————————————————————————————</w:t>
      </w:r>
    </w:p>
    <w:p>
      <w:pPr>
        <w:spacing w:before="160" w:after="40" w:line="240" w:lineRule="auto"/>
      </w:pPr>
      <w:r>
        <w:rPr>
          <w:b/>
        </w:rPr>
        <w:t xml:space="preserve">[224] </w:t>
      </w:r>
      <w:hyperlink r:id="rId627">
        <w:r>
          <w:rPr>
            <w:color w:val="1155CC"/>
            <w:u w:val="single"/>
          </w:rPr>
          <w:t>[ASAP] 配体触发的拓扑切换将瞬时识别转化为持久的纳米纤维锚定</w:t>
        </w:r>
      </w:hyperlink>
    </w:p>
    <w:p>
      <w:pPr>
        <w:spacing w:before="0" w:after="80"/>
      </w:pPr>
      <w:r>
        <w:rPr>
          <w:i/>
          <w:sz w:val="20"/>
        </w:rPr>
        <w:t>EN: [ASAP] Ligand-Triggered Topology Switching Converts Transient Recognition into Durable Nanofibrillar Anchoring</w:t>
      </w:r>
    </w:p>
    <w:p>
      <w:pPr>
        <w:spacing w:before="0" w:after="120"/>
      </w:pPr>
      <w:r>
        <w:rPr>
          <w:b/>
        </w:rPr>
        <w:t xml:space="preserve">Source: </w:t>
      </w:r>
      <w:r>
        <w:t>Journal of the American Chemical Society: Latest Articles (ACS Publications)</w:t>
      </w:r>
      <w:r>
        <w:t xml:space="preserve">    </w:t>
      </w:r>
      <w:r>
        <w:rPr>
          <w:b/>
        </w:rPr>
        <w:t xml:space="preserve">Pub date: </w:t>
      </w:r>
      <w:r>
        <w:t>2026-05-12 10:02:42+00:00</w:t>
      </w:r>
      <w:r>
        <w:t xml:space="preserve">    </w:t>
      </w:r>
      <w:r>
        <w:rPr>
          <w:b/>
        </w:rPr>
        <w:t xml:space="preserve">DOI: </w:t>
      </w:r>
      <w:hyperlink r:id="rId628">
        <w:r>
          <w:rPr>
            <w:color w:val="1155CC"/>
            <w:u w:val="single"/>
          </w:rPr>
          <w:t>10.1021/jacs.6c06778</w:t>
        </w:r>
      </w:hyperlink>
    </w:p>
    <w:p>
      <w:pPr>
        <w:spacing w:before="0" w:after="120"/>
      </w:pPr>
      <w:r>
        <w:rPr>
          <w:b/>
        </w:rPr>
        <w:t xml:space="preserve">Notes: </w:t>
      </w:r>
      <w:r>
        <w:t>abstract_source=pubmed</w:t>
      </w:r>
    </w:p>
    <w:p>
      <w:pPr>
        <w:spacing w:before="0" w:after="80" w:lineRule="auto" w:line="276"/>
      </w:pPr>
      <w:r>
        <w:rPr>
          <w:b/>
        </w:rPr>
        <w:t xml:space="preserve">摘要（ZH）: </w:t>
      </w:r>
      <w:r>
        <w:t>在非平衡条件下将瞬态分子识别转化为持久的界面结构仍然是超分子化学中的一个基本挑战。在此，我们报告了一种配体触发的拓扑切换策略，通过将受体结合与原位相变耦合，克服了血流动力学冲刷。我们的系统被合理化为一种动力学捕获的亚稳态组装，作为离散纳米球循环，但在特定整合素识别后执行协同拓扑切换为缠结的纳米纤维网络。这种配体诱导的纤维化将组装从移动状态转变为粘附状态，将短暂的结合事件转化为持久的界面保留。以血栓形成为严格模型，我们证明了这种机制能够实现特定部位锚定和门控生物活性，有效恢复血管稳态。这些发现确立了配体触发的拓扑切换作为将瞬态生物相互作用转化为稳健功能材料的一般化学范式。</w:t>
      </w:r>
    </w:p>
    <w:p>
      <w:pPr>
        <w:spacing w:before="0" w:after="200" w:lineRule="auto" w:line="276"/>
      </w:pPr>
      <w:r>
        <w:rPr>
          <w:b/>
        </w:rPr>
        <w:t xml:space="preserve">Abstract (EN): </w:t>
      </w:r>
      <w:r>
        <w:t>Converting transient molecular recognition into persistent interfacial architectures under nonequilibrium conditions remains a fundamental challenge in supramolecular chemistry. Here, we report a ligand-triggered topology-switching strategy that overcomes hemodynamic washout by coupling receptor engagement with an in situ phase transition. Rationalized as a kinetically trapped metastable assembly, our system circulates as discrete nanospheres but executes a cooperative topological switch into an entangled nanofibrillar network upon specific integrin recognition. This ligand-induced fibrillation shifts the assembly from a mobile to an adhesive state, transforming short-lived binding events into durable interfacial retention. Using thrombosis as a stringent model, we demonstrate that this mechanism enables site-specific anchoring and gated bioactivity, effectively restoring vascular homeostasis. These findings establish ligand-triggered topology switching as a general chemical paradigm for translating transient biological interactions into robust functional materials.</w:t>
      </w:r>
    </w:p>
    <w:p>
      <w:pPr>
        <w:spacing w:before="120" w:after="120"/>
      </w:pPr>
      <w:r>
        <w:rPr>
          <w:sz w:val="18"/>
        </w:rPr>
        <w:t>——————————————————————————————————————————————————————————————————————</w:t>
      </w:r>
    </w:p>
    <w:p>
      <w:pPr>
        <w:spacing w:before="160" w:after="40" w:line="240" w:lineRule="auto"/>
      </w:pPr>
      <w:r>
        <w:rPr>
          <w:b/>
        </w:rPr>
        <w:t xml:space="preserve">[225] </w:t>
      </w:r>
      <w:hyperlink r:id="rId629">
        <w:r>
          <w:rPr>
            <w:color w:val="1155CC"/>
            <w:u w:val="single"/>
          </w:rPr>
          <w:t>[ASAP] 光催化膜反应器中活性氧物种的识别和定量：重新评估方法的有效性</w:t>
        </w:r>
      </w:hyperlink>
    </w:p>
    <w:p>
      <w:pPr>
        <w:spacing w:before="0" w:after="80"/>
      </w:pPr>
      <w:r>
        <w:rPr>
          <w:i/>
          <w:sz w:val="20"/>
        </w:rPr>
        <w:t>EN: [ASAP] Identification and Quantification of Reactive Oxygen Species in Photocatalytic Membrane Reactors: Reassessment of the Validity of Methods</w:t>
      </w:r>
    </w:p>
    <w:p>
      <w:pPr>
        <w:spacing w:before="0" w:after="120"/>
      </w:pPr>
      <w:r>
        <w:rPr>
          <w:b/>
        </w:rPr>
        <w:t xml:space="preserve">Source: </w:t>
      </w:r>
      <w:r>
        <w:t>Chemical Reviews: Latest Articles (ACS Publications)</w:t>
      </w:r>
      <w:r>
        <w:t xml:space="preserve">    </w:t>
      </w:r>
      <w:r>
        <w:rPr>
          <w:b/>
        </w:rPr>
        <w:t xml:space="preserve">Pub date: </w:t>
      </w:r>
      <w:r>
        <w:t>2026-05-12 11:04:43+00:00</w:t>
      </w:r>
      <w:r>
        <w:t xml:space="preserve">    </w:t>
      </w:r>
      <w:r>
        <w:rPr>
          <w:b/>
        </w:rPr>
        <w:t xml:space="preserve">DOI: </w:t>
      </w:r>
      <w:hyperlink r:id="rId630">
        <w:r>
          <w:rPr>
            <w:color w:val="1155CC"/>
            <w:u w:val="single"/>
          </w:rPr>
          <w:t>10.1021/acs.chemrev.5c01120</w:t>
        </w:r>
      </w:hyperlink>
    </w:p>
    <w:p>
      <w:pPr>
        <w:spacing w:before="0" w:after="120"/>
      </w:pPr>
      <w:r>
        <w:rPr>
          <w:b/>
        </w:rPr>
        <w:t xml:space="preserve">Notes: </w:t>
      </w:r>
      <w:r>
        <w:t>abstract_source=pubmed</w:t>
      </w:r>
    </w:p>
    <w:p>
      <w:pPr>
        <w:spacing w:before="0" w:after="80" w:lineRule="auto" w:line="276"/>
      </w:pPr>
      <w:r>
        <w:rPr>
          <w:b/>
        </w:rPr>
        <w:t xml:space="preserve">摘要（ZH）: </w:t>
      </w:r>
      <w:r>
        <w:t>活性氧（ROS），如羟基自由基（·OH）、超氧自由基（·O2-）和单线态氧（1O2），在使用光催化膜反应器（PMR）进行可持续微污染物修复中起着关键作用，其中反应物在膜结构内空间受限。然而，关于ROS生成的反应机制的理解仍然存在争议，不同检测方法得到的报告结果各异且常常相互矛盾。这篇综述全面调查了检测ROS的流行方法，包括清除、化学探针和电子自旋共振（ESR）技术。它着重于最近研究中遇到的不确定性和可能的误解。通过比较不同方法的结果，将所得见解应用于重新评估这些技术在PMR中准确检测ROS的可靠性。文献综述和实验结果表明，由于极短的水力停留时间以及复杂共存自由基和光的干扰，许多方法中ROS测量的基础假设在PMR系统中通常不切实际。因此，在应用这些方法解释光催化降解机制时需要谨慎。采用多种检测技术的组合可以提高ROS识别的准确性，但许多验证挑战仍然存在，并且高度依赖于实验条件和溶液化学。</w:t>
      </w:r>
    </w:p>
    <w:p>
      <w:pPr>
        <w:spacing w:before="0" w:after="200" w:lineRule="auto" w:line="276"/>
      </w:pPr>
      <w:r>
        <w:rPr>
          <w:b/>
        </w:rPr>
        <w:t xml:space="preserve">Abstract (EN): </w:t>
      </w:r>
      <w:r>
        <w:t>Reactive oxygen species (ROS), such as hydroxyl radicals (·OH), superoxide radicals (·O2-), and singlet oxygen (1O2), play a critical role in sustainable micropollutant remediation using a photocatalytic membrane reactor (PMR) where the reactants are spatially confined within the membrane structure. However, the understanding of its reaction mechanisms regarding ROS generation remains contentious, with varying and often contradictory reported findings obtained using different detection methodologies. This review comprehensively surveys prevalent methods for detecting ROS, including scavenging, chemical-probing, and electron spin resonance (ESR) techniques. It focuses on the uncertainties and possible misinterpretations encountered in recent studies. The resulting insights are applied to reassess the reliability of these techniques in accurately detecting ROS within a PMR by comparing outcomes from diverse methods. The literature review and experimental findings presented reveal that the foundational assumptions for ROS measurement in many approaches are often unrealistic in PMR systems due to the extremely short hydraulic residence time and interference from complex coexisting radicals and light. Therefore, caution is necessary when applying these methods to interpret the mechanisms of photocatalytic degradation. Employing a combination of detection techniques can enhance the accuracy of ROS identification, while many validation challenges remain and are highly dependent on experimental conditions and solution chemistry.</w:t>
      </w:r>
    </w:p>
    <w:p>
      <w:pPr>
        <w:spacing w:before="120" w:after="120"/>
      </w:pPr>
      <w:r>
        <w:rPr>
          <w:sz w:val="18"/>
        </w:rPr>
        <w:t>——————————————————————————————————————————————————————————————————————</w:t>
      </w:r>
    </w:p>
    <w:p>
      <w:pPr>
        <w:spacing w:before="160" w:after="40" w:line="240" w:lineRule="auto"/>
      </w:pPr>
      <w:r>
        <w:rPr>
          <w:b/>
        </w:rPr>
        <w:t xml:space="preserve">[226] </w:t>
      </w:r>
      <w:hyperlink r:id="rId631">
        <w:r>
          <w:rPr>
            <w:color w:val="1155CC"/>
            <w:u w:val="single"/>
          </w:rPr>
          <w:t>甘氨酸诱导的八氰化钨酸盐的独特晶体堆积，具有强分子间反铁磁相互作用、近红外发射和二次谐波生成</w:t>
        </w:r>
      </w:hyperlink>
    </w:p>
    <w:p>
      <w:pPr>
        <w:spacing w:before="0" w:after="80"/>
      </w:pPr>
      <w:r>
        <w:rPr>
          <w:i/>
          <w:sz w:val="20"/>
        </w:rPr>
        <w:t>EN: Glycine‐Induced Unique Crystal Packing of Octacyanidetungstates With Strong Intermolecular Antiferromagnetic Interaction, Near‐Infrared Emission, and Second Harmonic Generation</w:t>
      </w:r>
    </w:p>
    <w:p>
      <w:pPr>
        <w:spacing w:before="0" w:after="120"/>
      </w:pPr>
      <w:r>
        <w:rPr>
          <w:b/>
        </w:rPr>
        <w:t xml:space="preserve">Source: </w:t>
      </w:r>
      <w:r>
        <w:t>Wiley: Angewandte Chemie International Edition: Table of Contents</w:t>
      </w:r>
      <w:r>
        <w:t xml:space="preserve">    </w:t>
      </w:r>
      <w:r>
        <w:rPr>
          <w:b/>
        </w:rPr>
        <w:t xml:space="preserve">Pub date: </w:t>
      </w:r>
      <w:r>
        <w:t>2026-05-12 11:18:36+00:00</w:t>
      </w:r>
      <w:r>
        <w:t xml:space="preserve">    </w:t>
      </w:r>
      <w:r>
        <w:rPr>
          <w:b/>
        </w:rPr>
        <w:t xml:space="preserve">DOI: </w:t>
      </w:r>
      <w:hyperlink r:id="rId632">
        <w:r>
          <w:rPr>
            <w:color w:val="1155CC"/>
            <w:u w:val="single"/>
          </w:rPr>
          <w:t>10.1002/anie.9994402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我们报告了一种由甘氨酸和八氰化钨酸盐（S = 1/2）组成的超分子组装，Cs3[WV(CN)8](glycine)，其特征是一维柱状结构，由于其有效的范德华接触包装，邻近八氰化钨酸盐之间具有显著强的分子间反铁磁超交换相互作用J = −42.41(2) K。这代表了迄今为止在氰化金属盐中报道的最强的分子间自旋-自旋相互作用。当暴露于470 nm光时，该化合物表现出近红外发射，峰值在763 nm，源自[WV(CN)8]3−的配体到金属电荷转移激发态。对于d1金属配合物来说，这种发射是非常罕见的。此外，该化合物的非中心对称晶体结构使其能够进行二次谐波生成，当用1300 nm入射光照射时，发射650 nm的二次谐波光。</w:t>
      </w:r>
    </w:p>
    <w:p>
      <w:pPr>
        <w:spacing w:before="0" w:after="200" w:lineRule="auto" w:line="276"/>
      </w:pPr>
      <w:r>
        <w:rPr>
          <w:b/>
        </w:rPr>
        <w:t xml:space="preserve">Abstract (EN): </w:t>
      </w:r>
      <w:r>
        <w:t>We report a supramolecular assembly of octacyanidetungstates (</w:t>
      </w:r>
      <w:r>
        <w:t xml:space="preserve"> </w:t>
      </w:r>
      <w:r>
        <w:t>S</w:t>
      </w:r>
      <w:r>
        <w:t xml:space="preserve"> </w:t>
      </w:r>
      <w:r>
        <w:t>= 1/2) with glycine, Cs</w:t>
      </w:r>
      <w:r>
        <w:rPr>
          <w:vertAlign w:val="subscript"/>
        </w:rPr>
        <w:t>3</w:t>
      </w:r>
      <w:r>
        <w:t>[W</w:t>
      </w:r>
      <w:r>
        <w:t xml:space="preserve"> </w:t>
      </w:r>
      <w:r>
        <w:t>V</w:t>
      </w:r>
      <w:r>
        <w:t xml:space="preserve"> </w:t>
      </w:r>
      <w:r>
        <w:t>(CN)</w:t>
      </w:r>
      <w:r>
        <w:rPr>
          <w:vertAlign w:val="subscript"/>
        </w:rPr>
        <w:t>8</w:t>
      </w:r>
      <w:r>
        <w:t>](glycine), featuring a one‐dimensional columnar structure with a remarkably strong intermolecular antiferromagnetic superexchange interaction of</w:t>
      </w:r>
      <w:r>
        <w:t xml:space="preserve"> </w:t>
      </w:r>
      <w:r>
        <w:t>J</w:t>
      </w:r>
      <w:r>
        <w:t xml:space="preserve"> </w:t>
      </w:r>
      <w:r>
        <w:t>= −42.41(2) K between adjacent octacyanidetungstates due to their effective packing close to van der Waals contacts. This represents the strongest intermolecular spin‐spin interaction reported to date among cyanidemetallates. When exposed to 470 nm light, this compound exhibits a near‐infrared emission with a peak at 763 nm originating from the ligand‐to‐metal charge‐transfer excited state of [W</w:t>
      </w:r>
      <w:r>
        <w:t xml:space="preserve"> </w:t>
      </w:r>
      <w:r>
        <w:t>V</w:t>
      </w:r>
      <w:r>
        <w:t xml:space="preserve"> </w:t>
      </w:r>
      <w:r>
        <w:t>(CN)</w:t>
      </w:r>
      <w:r>
        <w:rPr>
          <w:vertAlign w:val="subscript"/>
        </w:rPr>
        <w:t>8</w:t>
      </w:r>
      <w:r>
        <w:t>]</w:t>
      </w:r>
      <w:r>
        <w:t xml:space="preserve"> </w:t>
      </w:r>
      <w:r>
        <w:t>3−</w:t>
      </w:r>
      <w:r>
        <w:t>. Such emission is notably rare for d</w:t>
      </w:r>
      <w:r>
        <w:rPr>
          <w:vertAlign w:val="subscript"/>
        </w:rPr>
        <w:t>1</w:t>
      </w:r>
      <w:r>
        <w:t>metal complexes. Additionally, the noncentrosymmetric crystal structure of this compound enables second harmonic generation, emitting second harmonic light at 650 nm when irradiated with 1300 nm incident light.</w:t>
      </w:r>
    </w:p>
    <w:p>
      <w:pPr>
        <w:spacing w:before="120" w:after="120"/>
      </w:pPr>
      <w:r>
        <w:rPr>
          <w:sz w:val="18"/>
        </w:rPr>
        <w:t>——————————————————————————————————————————————————————————————————————</w:t>
      </w:r>
    </w:p>
    <w:p>
      <w:pPr>
        <w:spacing w:before="160" w:after="40" w:line="240" w:lineRule="auto"/>
      </w:pPr>
      <w:r>
        <w:rPr>
          <w:b/>
        </w:rPr>
        <w:t xml:space="preserve">[227] </w:t>
      </w:r>
      <w:hyperlink r:id="rId633">
        <w:r>
          <w:rPr>
            <w:color w:val="1155CC"/>
            <w:u w:val="single"/>
          </w:rPr>
          <w:t>通过顺序原位析出定制纳米颗粒的活性成分以实现高性能固体氧化物CO2电解槽</w:t>
        </w:r>
      </w:hyperlink>
    </w:p>
    <w:p>
      <w:pPr>
        <w:spacing w:before="0" w:after="80"/>
      </w:pPr>
      <w:r>
        <w:rPr>
          <w:i/>
          <w:sz w:val="20"/>
        </w:rPr>
        <w:t>EN: Tailoring Active Components of Nanoparticles via Sequential In Situ Exsolution for High‐Performance Solid Oxide CO2 Electrolyzers</w:t>
      </w:r>
    </w:p>
    <w:p>
      <w:pPr>
        <w:spacing w:before="0" w:after="120"/>
      </w:pPr>
      <w:r>
        <w:rPr>
          <w:b/>
        </w:rPr>
        <w:t xml:space="preserve">Source: </w:t>
      </w:r>
      <w:r>
        <w:t>Wiley: Advanced Energy Materials: Table of Contents</w:t>
      </w:r>
      <w:r>
        <w:t xml:space="preserve">    </w:t>
      </w:r>
      <w:r>
        <w:rPr>
          <w:b/>
        </w:rPr>
        <w:t xml:space="preserve">Pub date: </w:t>
      </w:r>
      <w:r>
        <w:t>2026-05-12 11:26:49+00:00</w:t>
      </w:r>
      <w:r>
        <w:t xml:space="preserve">    </w:t>
      </w:r>
      <w:r>
        <w:rPr>
          <w:b/>
        </w:rPr>
        <w:t xml:space="preserve">DOI: </w:t>
      </w:r>
      <w:hyperlink r:id="rId634">
        <w:r>
          <w:rPr>
            <w:color w:val="1155CC"/>
            <w:u w:val="single"/>
          </w:rPr>
          <w:t>10.1002/aenm.71074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原位析出锚定在氧化物载体上的纳米颗粒（NPs）具有嵌入结构，表现出卓越的活性，使其成为多相催化的核心。为了满足对具有精确可调性的多功能活性NPs日益增长的需求，我们提出了一种策略，采用氧分压（pO</w:t>
      </w:r>
      <w:r>
        <w:rPr>
          <w:vertAlign w:val="subscript"/>
        </w:rPr>
        <w:t>2</w:t>
      </w:r>
      <w:r>
        <w:t>）作为精确定制析出NPs组成的关键控制参数。以Sr</w:t>
      </w:r>
      <w:r>
        <w:rPr>
          <w:vertAlign w:val="subscript"/>
        </w:rPr>
        <w:t>2</w:t>
      </w:r>
      <w:r>
        <w:t>Fe</w:t>
      </w:r>
      <w:r>
        <w:t xml:space="preserve"> </w:t>
      </w:r>
      <w:r>
        <w:t>1.2</w:t>
      </w:r>
      <w:r>
        <w:t xml:space="preserve"> </w:t>
      </w:r>
      <w:r>
        <w:t>Cu</w:t>
      </w:r>
      <w:r>
        <w:t xml:space="preserve"> </w:t>
      </w:r>
      <w:r>
        <w:t>0.2</w:t>
      </w:r>
      <w:r>
        <w:t xml:space="preserve"> </w:t>
      </w:r>
      <w:r>
        <w:t>Co</w:t>
      </w:r>
      <w:r>
        <w:t xml:space="preserve"> </w:t>
      </w:r>
      <w:r>
        <w:t>0.2</w:t>
      </w:r>
      <w:r>
        <w:t xml:space="preserve"> </w:t>
      </w:r>
      <w:r>
        <w:t>Mo</w:t>
      </w:r>
      <w:r>
        <w:t xml:space="preserve"> </w:t>
      </w:r>
      <w:r>
        <w:t>0.4</w:t>
      </w:r>
      <w:r>
        <w:t xml:space="preserve"> </w:t>
      </w:r>
      <w:r>
        <w:t>O</w:t>
      </w:r>
      <w:r>
        <w:t xml:space="preserve"> </w:t>
      </w:r>
      <w:r>
        <w:t>6‐δ</w:t>
      </w:r>
      <w:r>
        <w:t xml:space="preserve"> </w:t>
      </w:r>
      <w:r>
        <w:t>钙钛矿为模型，我们证明了pO</w:t>
      </w:r>
      <w:r>
        <w:rPr>
          <w:vertAlign w:val="subscript"/>
        </w:rPr>
        <w:t>2</w:t>
      </w:r>
      <w:r>
        <w:t>梯度驱动Cu和Co的顺序析出，从而实现从单一Cu到二元CuCo合金的精确成分控制。此过程同时引发钙钛矿主体向Ruddlesden‐Popper结构的相重构，NPs的密度从27.31增加到163.64 µm</w:t>
      </w:r>
      <w:r>
        <w:t xml:space="preserve"> </w:t>
      </w:r>
      <w:r>
        <w:t>−2</w:t>
      </w:r>
      <w:r>
        <w:t xml:space="preserve"> </w:t>
      </w:r>
      <w:r>
        <w:t>。CuCo合金的目标形成优化了活性位点的电子状态并增强了界面稳定性。当作为高温CO</w:t>
      </w:r>
      <w:r>
        <w:rPr>
          <w:vertAlign w:val="subscript"/>
        </w:rPr>
        <w:t>2</w:t>
      </w:r>
      <w:r>
        <w:t>还原的阴极应用时，CuCo@SFO电极实现了1.81 A·cm</w:t>
      </w:r>
      <w:r>
        <w:t xml:space="preserve"> </w:t>
      </w:r>
      <w:r>
        <w:t>−2</w:t>
      </w:r>
      <w:r>
        <w:t xml:space="preserve"> </w:t>
      </w:r>
      <w:r>
        <w:t>的显著电流密度。</w:t>
      </w:r>
    </w:p>
    <w:p>
      <w:pPr>
        <w:spacing w:before="0" w:after="200" w:lineRule="auto" w:line="276"/>
      </w:pPr>
      <w:r>
        <w:rPr>
          <w:b/>
        </w:rPr>
        <w:t xml:space="preserve">Abstract (EN): </w:t>
      </w:r>
      <w:r>
        <w:t>Anchored on oxide supports through in situ exsolution, nanoparticles (NPs) with embedded structures exhibit outstanding activity, making them central to heterogeneous catalysis. To meet the growing demand for multifunctional active NPs with precise tunability, we propose a strategy that employs oxygen partial pressure (pO</w:t>
      </w:r>
      <w:r>
        <w:rPr>
          <w:vertAlign w:val="subscript"/>
        </w:rPr>
        <w:t>2</w:t>
      </w:r>
      <w:r>
        <w:t>) as a key control parameter for the accurate customization of exsolved NP composition. Using Sr</w:t>
      </w:r>
      <w:r>
        <w:rPr>
          <w:vertAlign w:val="subscript"/>
        </w:rPr>
        <w:t>2</w:t>
      </w:r>
      <w:r>
        <w:t>Fe</w:t>
      </w:r>
      <w:r>
        <w:t xml:space="preserve"> </w:t>
      </w:r>
      <w:r>
        <w:t>1.2</w:t>
      </w:r>
      <w:r>
        <w:t xml:space="preserve"> </w:t>
      </w:r>
      <w:r>
        <w:t>Cu</w:t>
      </w:r>
      <w:r>
        <w:t xml:space="preserve"> </w:t>
      </w:r>
      <w:r>
        <w:t>0.2</w:t>
      </w:r>
      <w:r>
        <w:t xml:space="preserve"> </w:t>
      </w:r>
      <w:r>
        <w:t>Co</w:t>
      </w:r>
      <w:r>
        <w:t xml:space="preserve"> </w:t>
      </w:r>
      <w:r>
        <w:t>0.2</w:t>
      </w:r>
      <w:r>
        <w:t xml:space="preserve"> </w:t>
      </w:r>
      <w:r>
        <w:t>Mo</w:t>
      </w:r>
      <w:r>
        <w:t xml:space="preserve"> </w:t>
      </w:r>
      <w:r>
        <w:t>0.4</w:t>
      </w:r>
      <w:r>
        <w:t xml:space="preserve"> </w:t>
      </w:r>
      <w:r>
        <w:t>O</w:t>
      </w:r>
      <w:r>
        <w:t xml:space="preserve"> </w:t>
      </w:r>
      <w:r>
        <w:t>6‐δ</w:t>
      </w:r>
      <w:r>
        <w:t xml:space="preserve"> </w:t>
      </w:r>
      <w:r>
        <w:t>perovskite as a model, we demonstrate that a pO</w:t>
      </w:r>
      <w:r>
        <w:rPr>
          <w:vertAlign w:val="subscript"/>
        </w:rPr>
        <w:t>2</w:t>
      </w:r>
      <w:r>
        <w:t>gradient drives the sequential exsolution of Cu and Co, allowing precise compositional control from unitary Cu to binary CuCo alloys. This process concurrently triggers a phase reconstruction of the perovskite host into a Ruddlesden‐Popper structure, accompanied by a sixfold increase in NP population density from 27.31 to 163.64 µm</w:t>
      </w:r>
      <w:r>
        <w:t xml:space="preserve"> </w:t>
      </w:r>
      <w:r>
        <w:t>−2</w:t>
      </w:r>
      <w:r>
        <w:t xml:space="preserve"> </w:t>
      </w:r>
      <w:r>
        <w:t>. The targeted formation of CuCo alloys optimizes the electronic states of active sites and strengthens interface stability. When applied as a cathode for high‐temperature CO</w:t>
      </w:r>
      <w:r>
        <w:rPr>
          <w:vertAlign w:val="subscript"/>
        </w:rPr>
        <w:t>2</w:t>
      </w:r>
      <w:r>
        <w:t>reduction, the CuCo@SFO electrode achieves a remarkable current density of 1.81 A·cm</w:t>
      </w:r>
      <w:r>
        <w:t xml:space="preserve"> </w:t>
      </w:r>
      <w:r>
        <w:t>−2</w:t>
      </w:r>
      <w:r>
        <w:t xml:space="preserve"> </w:t>
      </w:r>
      <w:r>
        <w:t>at 1.5 V and 800°C. Our results provide an atomic‐level design principle that enables superior catalytic activity in high‐temperature electrolysis cells and establishes a new paradigm for nanointerface engineering in exsolution systems.</w:t>
      </w:r>
    </w:p>
    <w:p>
      <w:pPr>
        <w:spacing w:before="120" w:after="120"/>
      </w:pPr>
      <w:r>
        <w:rPr>
          <w:sz w:val="18"/>
        </w:rPr>
        <w:t>——————————————————————————————————————————————————————————————————————</w:t>
      </w:r>
    </w:p>
    <w:p>
      <w:pPr>
        <w:spacing w:before="160" w:after="40" w:line="240" w:lineRule="auto"/>
      </w:pPr>
      <w:r>
        <w:rPr>
          <w:b/>
        </w:rPr>
        <w:t xml:space="preserve">[228] </w:t>
      </w:r>
      <w:hyperlink r:id="rId635">
        <w:r>
          <w:rPr>
            <w:color w:val="1155CC"/>
            <w:u w:val="single"/>
          </w:rPr>
          <w:t>利用先进的表征技术解开Fe–N–C燃料电池中的多尺度降解途径</w:t>
        </w:r>
      </w:hyperlink>
    </w:p>
    <w:p>
      <w:pPr>
        <w:spacing w:before="0" w:after="80"/>
      </w:pPr>
      <w:r>
        <w:rPr>
          <w:i/>
          <w:sz w:val="20"/>
        </w:rPr>
        <w:t>EN: Disentangling the Multiscale Degradation Pathways in Fe–N–C Fuel Cells With Advanced Characterization Techniques</w:t>
      </w:r>
    </w:p>
    <w:p>
      <w:pPr>
        <w:spacing w:before="0" w:after="120"/>
      </w:pPr>
      <w:r>
        <w:rPr>
          <w:b/>
        </w:rPr>
        <w:t xml:space="preserve">Source: </w:t>
      </w:r>
      <w:r>
        <w:t>Wiley: Advanced Energy Materials: Table of Contents</w:t>
      </w:r>
      <w:r>
        <w:t xml:space="preserve">    </w:t>
      </w:r>
      <w:r>
        <w:rPr>
          <w:b/>
        </w:rPr>
        <w:t xml:space="preserve">Pub date: </w:t>
      </w:r>
      <w:r>
        <w:t>2026-05-12 11:32:13+00:00</w:t>
      </w:r>
      <w:r>
        <w:t xml:space="preserve">    </w:t>
      </w:r>
      <w:r>
        <w:rPr>
          <w:b/>
        </w:rPr>
        <w:t xml:space="preserve">DOI: </w:t>
      </w:r>
      <w:hyperlink r:id="rId636">
        <w:r>
          <w:rPr>
            <w:color w:val="1155CC"/>
            <w:u w:val="single"/>
          </w:rPr>
          <w:t>10.1002/aenm.202502265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交换膜燃料电池在可持续氢能利用方面具有巨大潜力，但由于依赖昂贵的铂族金属（PGM）催化剂而面临商业化障碍。在无PGM替代品中，Fe‒N‒C催化剂因其高氧还原反应活性而成为领先候选者；然而，它们在初始操作期间性能迅速下降。理解Fe‒N‒C催化剂的降解机制对于提高其稳定性和实现商业化至关重要。主要降解途径包括活性位点的去金属化、碳载体的氧化和三相边界的崩溃。然而，这些途径在不同操作条件下的驱动力、时间顺序和相对贡献仍不清楚。本综述综合了开创性研究，阐明了Fe‒N‒C燃料电池中的多尺度降解途径，强调了先进表征技术在解开机制复杂性中的作用。通过将结构演变时间线与内在结构和操作参数的影响相关联，我们建立了一个框架，以指导针对性的稳定化策略，帮助解决耐用Fe–N–C燃料电池的关键知识空白。</w:t>
      </w:r>
    </w:p>
    <w:p>
      <w:pPr>
        <w:spacing w:before="0" w:after="200" w:lineRule="auto" w:line="276"/>
      </w:pPr>
      <w:r>
        <w:rPr>
          <w:b/>
        </w:rPr>
        <w:t xml:space="preserve">Abstract (EN): </w:t>
      </w:r>
      <w:r>
        <w:t>Proton exchange membrane fuel cells hold immense potential for sustainable hydrogen energy utilization but face commercialization barriers due to reliance on costly platinum‐group‐metal (PGM) catalysts. Among PGM‐free alternatives, Fe‒N‒C catalysts have emerged as leading candidates due to their high oxygen reduction reaction activity; however, they suffer from rapid performance decay during initial operation. Understanding the degradation mechanisms of Fe‒N‒C catalysts is crucial for improving their stability and enabling their commercialization. Major degradation pathways include the demetalation of active sites, oxidation of carbon support, and collapse of triple‐phase boundaries. However, these pathways’ driving forces, temporal sequences, and relative contributions under varying operating conditions remain unclear. This review synthesizes pioneering studies elucidating the multiscale degradation pathways in Fe‒N‒C fuel cells, emphasizing the role of advanced characterization techniques in disentangling mechanistic complexities. By correlating structural evolution timelines with impacts of intrinsic structures and operational parameters, we establish a framework to guide targeted stabilization strategies, helping to address critical knowledge gaps toward durable Fe–N–C fuel cells.</w:t>
      </w:r>
    </w:p>
    <w:p>
      <w:pPr>
        <w:spacing w:before="120" w:after="120"/>
      </w:pPr>
      <w:r>
        <w:rPr>
          <w:sz w:val="18"/>
        </w:rPr>
        <w:t>——————————————————————————————————————————————————————————————————————</w:t>
      </w:r>
    </w:p>
    <w:p>
      <w:pPr>
        <w:spacing w:before="160" w:after="40" w:line="240" w:lineRule="auto"/>
      </w:pPr>
      <w:r>
        <w:rPr>
          <w:b/>
        </w:rPr>
        <w:t xml:space="preserve">[229] </w:t>
      </w:r>
      <w:hyperlink r:id="rId637">
        <w:r>
          <w:rPr>
            <w:color w:val="1155CC"/>
            <w:u w:val="single"/>
          </w:rPr>
          <w:t>[ASAP] pH驱动的水化层重构和阳离子吸附在氧化铝-水界面</w:t>
        </w:r>
      </w:hyperlink>
    </w:p>
    <w:p>
      <w:pPr>
        <w:spacing w:before="0" w:after="80"/>
      </w:pPr>
      <w:r>
        <w:rPr>
          <w:i/>
          <w:sz w:val="20"/>
        </w:rPr>
        <w:t>EN: [ASAP] pH-Driven Restructuring of Hydration Layers and Cation Adsorption at the Alumina–Water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2026-05-12 11:34:46+00:00</w:t>
      </w:r>
      <w:r>
        <w:t xml:space="preserve">    </w:t>
      </w:r>
      <w:r>
        <w:rPr>
          <w:b/>
        </w:rPr>
        <w:t xml:space="preserve">DOI: </w:t>
      </w:r>
      <w:hyperlink r:id="rId638">
        <w:r>
          <w:rPr>
            <w:color w:val="1155CC"/>
            <w:u w:val="single"/>
          </w:rPr>
          <w:t>10.1021/jacs.5c21453</w:t>
        </w:r>
      </w:hyperlink>
    </w:p>
    <w:p>
      <w:pPr>
        <w:spacing w:before="0" w:after="120"/>
      </w:pPr>
      <w:r>
        <w:rPr>
          <w:b/>
        </w:rPr>
        <w:t xml:space="preserve">Notes: </w:t>
      </w:r>
      <w:r>
        <w:t>abstract_source=pubmed</w:t>
      </w:r>
    </w:p>
    <w:p>
      <w:pPr>
        <w:spacing w:before="0" w:after="80" w:lineRule="auto" w:line="276"/>
      </w:pPr>
      <w:r>
        <w:rPr>
          <w:b/>
        </w:rPr>
        <w:t xml:space="preserve">摘要（ZH）: </w:t>
      </w:r>
      <w:r>
        <w:t>氧化物-水界面是离子分离、催化和电化学能量技术的基础，其中电双层（EDL）控制吸附、传输和反应性。然而，pH依赖的表面质子化、溶剂化层结构和反离子吸附之间的分子尺度联系仍然定义不清。在此，我们结合原位晶体截断杆（CTR）和共振异常X射线反射（RAXR）与流动电位测量和从头算分子动力学（AIMD）模拟，解析在pH 3-12的10 mM Rb+条件下单晶氧化铝（012）-水界面EDL的化学和结构演变。CTR测量揭示了在表面上方约2.2和约3.5 Å处的两个不同的吸附水层。每个水层在接近6.5和10.6的过渡pH处向基底移动，反映了由于桥接和末端铝羟基去质子化而导致的主要溶剂化层结构变化。RAXR显示Rb+覆盖率增加10倍，平均吸附高度从约3.5 Å下降到约2.7 Å，表明伴随Stern层收缩的反离子结合增强。流动电位测量表明，zeta电位，即在流体动力学剪切面处的电位，在pH 3时为正，并在pH ≥ 3.5时变为负。负电荷幅度随着pH增加而增加，与较高pH下的表面去质子化逐步一致。AIMD识别出内球和外球Rb+复合物，其吸附高度和配位</w:t>
      </w:r>
    </w:p>
    <w:p>
      <w:pPr>
        <w:spacing w:before="0" w:after="200" w:lineRule="auto" w:line="276"/>
      </w:pPr>
      <w:r>
        <w:rPr>
          <w:b/>
        </w:rPr>
        <w:t xml:space="preserve">Abstract (EN): </w:t>
      </w:r>
      <w:r>
        <w:t>Oxide-water interfaces underpin ion separations, catalysis, and electrochemical energy technologies, where the electrical double layer (EDL) controls adsorption, transport, and reactivity. However, the molecular-scale links between pH-dependent surface protonation, hydration-layer structure, and counterion adsorption remain poorly defined. Here, we combine in situ crystal truncation rod (CTR) and resonant anomalous X-ray reflectivity (RAXR) with streaming potential measurements and ab initio molecular dynamics (AIMD) simulations to resolve the chemical and structural evolution of the EDL at the single-crystal alumina (012)-water interface in 10 mM Rb+ over pH 3-12. CTR measurements reveal two distinct adsorbed water layers at ∼2.2 and ∼3.5 Å above the surface. Each water layer shifts toward the substrate at transition pHs near 6.5 and 10.6, respectively, reflecting changes in primary hydration layer structure in response to the deprotonation of bridging and terminal aluminol groups. RAXR shows a 10-fold increase in Rb+ coverage and a decrease in mean adsorption height from ∼3.5 to ∼2.7 Å with increasing pH, indicating enhanced counterion binding accompanied by Stern layer contraction. Streaming potential measurements demonstrate that the zeta potential, i.e., the potential at the hydrodynamic shear plane, is positive at pH 3 and becomes negative at pH ≥ 3.5. The negative charge magnitude increases with increasing pH, consistent with progressive surface deprotonation at higher pH. AIMD identifies inner- and outer-sphere Rb+ complexes whose adsorption heights and coordination geometries depend sensitively on the protonation state of surface oxygens, providing atomistic support for the experimentally inferred trends. These measurements establish two discrete, site-specific pH transitions in hydration-layer structure that track aluminol (de)protonation and quantitatively link them to a pH-driven contraction of the Stern layer (increasing Rb+ coverage and decreasing adsorption height). This provides a direct structural basis for connecting surface acid-base chemistry to ion binding distances at an oxide-water interface.</w:t>
      </w:r>
    </w:p>
    <w:p>
      <w:pPr>
        <w:spacing w:before="120" w:after="120"/>
      </w:pPr>
      <w:r>
        <w:rPr>
          <w:sz w:val="18"/>
        </w:rPr>
        <w:t>——————————————————————————————————————————————————————————————————————</w:t>
      </w:r>
    </w:p>
    <w:p>
      <w:pPr>
        <w:spacing w:before="160" w:after="40" w:line="240" w:lineRule="auto"/>
      </w:pPr>
      <w:r>
        <w:rPr>
          <w:b/>
        </w:rPr>
        <w:t xml:space="preserve">[230] </w:t>
      </w:r>
      <w:hyperlink r:id="rId639">
        <w:r>
          <w:rPr>
            <w:color w:val="1155CC"/>
            <w:u w:val="single"/>
          </w:rPr>
          <w:t>[ASAP] 打破权衡：通过在(BaS)1/3TaS2中独特的链插层实现高Tc和巨大层间距的体2D Ising超导性</w:t>
        </w:r>
      </w:hyperlink>
    </w:p>
    <w:p>
      <w:pPr>
        <w:spacing w:before="0" w:after="80"/>
      </w:pPr>
      <w:r>
        <w:rPr>
          <w:i/>
          <w:sz w:val="20"/>
        </w:rPr>
        <w:t>EN: [ASAP] Breaking the Trade-off: Bulk 2D Ising Superconductivity with High Tc and Giant Interlayer Spacing via a Unique Chain Intercalation in (BaS)1/3TaS2</w:t>
      </w:r>
    </w:p>
    <w:p>
      <w:pPr>
        <w:spacing w:before="0" w:after="120"/>
      </w:pPr>
      <w:r>
        <w:rPr>
          <w:b/>
        </w:rPr>
        <w:t xml:space="preserve">Source: </w:t>
      </w:r>
      <w:r>
        <w:t>Journal of the American Chemical Society: Latest Articles (ACS Publications)</w:t>
      </w:r>
      <w:r>
        <w:t xml:space="preserve">    </w:t>
      </w:r>
      <w:r>
        <w:rPr>
          <w:b/>
        </w:rPr>
        <w:t xml:space="preserve">Pub date: </w:t>
      </w:r>
      <w:r>
        <w:t>2026-05-12 11:47:22+00:00</w:t>
      </w:r>
      <w:r>
        <w:t xml:space="preserve">    </w:t>
      </w:r>
      <w:r>
        <w:rPr>
          <w:b/>
        </w:rPr>
        <w:t xml:space="preserve">DOI: </w:t>
      </w:r>
      <w:hyperlink r:id="rId640">
        <w:r>
          <w:rPr>
            <w:color w:val="1155CC"/>
            <w:u w:val="single"/>
          </w:rPr>
          <w:t>10.1021/jacs.6c01737</w:t>
        </w:r>
      </w:hyperlink>
    </w:p>
    <w:p>
      <w:pPr>
        <w:spacing w:before="0" w:after="120"/>
      </w:pPr>
      <w:r>
        <w:rPr>
          <w:b/>
        </w:rPr>
        <w:t xml:space="preserve">Notes: </w:t>
      </w:r>
      <w:r>
        <w:t>abstract_source=pubmed</w:t>
      </w:r>
    </w:p>
    <w:p>
      <w:pPr>
        <w:spacing w:before="0" w:after="80" w:lineRule="auto" w:line="276"/>
      </w:pPr>
      <w:r>
        <w:rPr>
          <w:b/>
        </w:rPr>
        <w:t xml:space="preserve">摘要（ZH）: </w:t>
      </w:r>
      <w:r>
        <w:t>二维（2D）过渡金属二硫化物（TMDs）是低维超导的有前途的平台。然而，在传统的插层系统中，实现高超导转变温度（Tc）通常以减少层间间距和削弱2D特性为代价。在此，我们通过一种独特的链状插层策略克服了这一长期存在的妥协。我们报告了一种新多晶型（BaS）1/3TaS2的合成和性质，其中独特的Ba-S-S-Ba链结构插入在TaS2双层之间。这种独特的配置打破了体c轴镜像对称性，同时实现了卓越的层间解耦，层间间距为12.75 Å，比原始2H-TaS2大三倍以上。通过抑制层间电子耦合，这种结构演变允许单个TaS2层内的局部反演对称性破坏占主导地位。这防止了典型于中心对称体相的Ising自旋轨道场的补偿，使得强大的2D Ising超导性成为可能。值得注意的是，该化合物在不牺牲其大层间间距的情况下表现出增强的Tc，从而打破了“较大间距/高各向异性”和“高Tc”之间的传统权衡。全面的传输、磁性和热力学测量证实了其强大的超导状态。我们的工作建立了一种多功能的插层框架，用于设计类体2D Ising超导体，提供了一条新的途径来调和竞争的材料需求，并扩展了Ising超导性的范围</w:t>
      </w:r>
    </w:p>
    <w:p>
      <w:pPr>
        <w:spacing w:before="0" w:after="200" w:lineRule="auto" w:line="276"/>
      </w:pPr>
      <w:r>
        <w:rPr>
          <w:b/>
        </w:rPr>
        <w:t xml:space="preserve">Abstract (EN): </w:t>
      </w:r>
      <w:r>
        <w:t>Two-dimensional (2D) transition-metal dichalcogenides (TMDs) are promising platforms for low-dimensional superconductivity. However, in conventional intercalated systems, achieving a high superconducting transition temperature (Tc) often comes at the expense of reduced interlayer spacing and weakened 2D character. Here, we overcome this long-standing compromise through a unique chain-like intercalation strategy. We report the synthesis and properties of a new polymorph, (BaS)1/3TaS2, in which a distinctive Ba-S-S-Ba chain structure is inserted between TaS2 bilayers. This unique configuration breaks the bulk c-axis mirror symmetry while achieving exceptional interlayer decoupling, with an interbilayer spacing of 12.75 Å─more than three times that of pristine 2H-TaS2. By suppressing interlayer electronic coupling, this structural evolution allows local inversion symmetry breaking within individual TaS2 layers to dominate. This prevents compensation of the Ising spin-orbit fields typical of centrosymmetric bulk phases, enabling robust 2D Ising superconductivity. Remarkably, the compound exhibits an enhanced Tc without sacrificing its large interlayer spacing, thereby breaking the conventional trade-off between "large spacing/high anisotropy" and "high Tc". Comprehensive transport, magnetic, and thermodynamic measurements confirm its robust superconducting state. Our work establishes a versatile intercalation framework for designing bulk-like 2D Ising superconductors, providing a new route to reconcile competing material demands and expanding the scope of Ising superconductivity research.</w:t>
      </w:r>
    </w:p>
    <w:p>
      <w:pPr>
        <w:spacing w:before="120" w:after="120"/>
      </w:pPr>
      <w:r>
        <w:rPr>
          <w:sz w:val="18"/>
        </w:rPr>
        <w:t>——————————————————————————————————————————————————————————————————————</w:t>
      </w:r>
    </w:p>
    <w:p>
      <w:pPr>
        <w:spacing w:before="160" w:after="40" w:line="240" w:lineRule="auto"/>
      </w:pPr>
      <w:r>
        <w:rPr>
          <w:b/>
        </w:rPr>
        <w:t xml:space="preserve">[231] </w:t>
      </w:r>
      <w:hyperlink r:id="rId641">
        <w:r>
          <w:rPr>
            <w:color w:val="1155CC"/>
            <w:u w:val="single"/>
          </w:rPr>
          <w:t>[ASAP] 界面的热力学控制指导MnO2成核化学以实现致密和一致的电沉积</w:t>
        </w:r>
      </w:hyperlink>
    </w:p>
    <w:p>
      <w:pPr>
        <w:spacing w:before="0" w:after="80"/>
      </w:pPr>
      <w:r>
        <w:rPr>
          <w:i/>
          <w:sz w:val="20"/>
        </w:rPr>
        <w:t>EN: [ASAP] Thermodynamic Control of Interface Directs MnO2 Nucleation Chemistry for Dense and Conformal Electrodeposition</w:t>
      </w:r>
    </w:p>
    <w:p>
      <w:pPr>
        <w:spacing w:before="0" w:after="120"/>
      </w:pPr>
      <w:r>
        <w:rPr>
          <w:b/>
        </w:rPr>
        <w:t xml:space="preserve">Source: </w:t>
      </w:r>
      <w:r>
        <w:t>Journal of the American Chemical Society: Latest Articles (ACS Publications)</w:t>
      </w:r>
      <w:r>
        <w:t xml:space="preserve">    </w:t>
      </w:r>
      <w:r>
        <w:rPr>
          <w:b/>
        </w:rPr>
        <w:t xml:space="preserve">Pub date: </w:t>
      </w:r>
      <w:r>
        <w:t>2026-05-12 11:48:22+00:00</w:t>
      </w:r>
      <w:r>
        <w:t xml:space="preserve">    </w:t>
      </w:r>
      <w:r>
        <w:rPr>
          <w:b/>
        </w:rPr>
        <w:t xml:space="preserve">DOI: </w:t>
      </w:r>
      <w:hyperlink r:id="rId642">
        <w:r>
          <w:rPr>
            <w:color w:val="1155CC"/>
            <w:u w:val="single"/>
          </w:rPr>
          <w:t>10.1021/jacs.6c03948</w:t>
        </w:r>
      </w:hyperlink>
    </w:p>
    <w:p>
      <w:pPr>
        <w:spacing w:before="0" w:after="120"/>
      </w:pPr>
      <w:r>
        <w:rPr>
          <w:b/>
        </w:rPr>
        <w:t xml:space="preserve">Notes: </w:t>
      </w:r>
      <w:r>
        <w:t>abstract_source=pubmed</w:t>
      </w:r>
    </w:p>
    <w:p>
      <w:pPr>
        <w:spacing w:before="0" w:after="80" w:lineRule="auto" w:line="276"/>
      </w:pPr>
      <w:r>
        <w:rPr>
          <w:b/>
        </w:rPr>
        <w:t xml:space="preserve">摘要（ZH）: </w:t>
      </w:r>
      <w:r>
        <w:t>二氧化锰（MnO2）因其广泛的应用性和易于电沉积而被广泛认为是高能量密度储能系统的有前途材料。然而，在高表面积电极上实现均匀、薄且高质量负载的MnO2涂层仍然是一个重大挑战。传统的电沉积方法通常产生不均匀、厚的层，导电性差，材料利用率有限，限制了其实际应用。在此，我们揭示了一种热力学工程的钒氧/过钒氧（VO2+/VO2+）界面，根本重塑了MnO2电沉积化学，使得高度均匀和致密的涂层成为可能。结合原位AFM测量、经典成核理论和Johnson-Mehl-Avrami-Kolmogorov建模，我们表明该界面将早期可检测的MnO2岛尺寸减少了35倍，并将MnO2生长从扩散限制转变为反应限制的渐进成核。这种热力学控制的界面产生了高度致密和一致的MnO2薄膜，在3D打印石墨烯气凝胶上实现了创纪录的高质量负载241 mg cm-2（1607 mg cm-3），而不损害孔隙率或引起厚度梯度。作为原型演示，所得的MnO2电极在电容器（106 F cm-3）和Zn//MnO2袋式电池（162 mAh cm-3）中提供了创纪录的体积性能。超越储能，我们的研究结果展示了在MnO2成核化学中实现致密和均匀涂层的热力学界面控制的重要性，对各种基材具有意义</w:t>
      </w:r>
    </w:p>
    <w:p>
      <w:pPr>
        <w:spacing w:before="0" w:after="200" w:lineRule="auto" w:line="276"/>
      </w:pPr>
      <w:r>
        <w:rPr>
          <w:b/>
        </w:rPr>
        <w:t xml:space="preserve">Abstract (EN): </w:t>
      </w:r>
      <w:r>
        <w:t>Manganese dioxide (MnO2) is widely recognized as a promising material for high-energy-density energy storage systems due to its broad applicability and facile electrodeposition. However, achieving uniform, thin, and high-mass-loading MnO2 coatings on high-surface-area electrodes remains a significant challenge. Conventional electrodeposition methods typically yield nonuniform, thick layers with poor conductivity and limited material utilization, restricting their practical use. Here, we uncover a thermodynamically engineered vanadyl/pervanadyl (VO2+/VO2+) interface that fundamentally reshapes MnO2 electrodeposition chemistry, enabling highly uniform and dense coatings. Combining in situ AFM measurement, Classical Nucleation Theory, and Johnson-Mehl-Avrami-Kolmogorov modeling, we show that this interface reduces early-stage detectable MnO2 island size by 35-fold and shifts the MnO2 growth from diffusion-limited to reaction-limited progressive nucleation. This thermodynamically controlled interface yields highly dense and conformal MnO2 films with record-high mass loading of 241 mg cm-2 (1607 mg cm-3) on 3D-printed graphene aerogels, without compromising porosity or inducing thickness gradient. As a prototype demonstration, the resulting MnO2 electrodes deliver record-setting volumetric performance in both capacitors (106 F cm-3) and Zn//MnO2 pouch cells (162 mAh cm-3). Beyond energy storage, our findings demonstrate the significance of thermodynamic interface control in MnO2 nucleation chemistry for achieving dense and uniform coatings on various substrates, with implications for electrocatalysis, semiconductor processing, and advanced materials manufacturing.</w:t>
      </w:r>
    </w:p>
    <w:p>
      <w:pPr>
        <w:spacing w:before="120" w:after="120"/>
      </w:pPr>
      <w:r>
        <w:rPr>
          <w:sz w:val="18"/>
        </w:rPr>
        <w:t>——————————————————————————————————————————————————————————————————————</w:t>
      </w:r>
    </w:p>
    <w:p>
      <w:pPr>
        <w:spacing w:before="160" w:after="40" w:line="240" w:lineRule="auto"/>
      </w:pPr>
      <w:r>
        <w:rPr>
          <w:b/>
        </w:rPr>
        <w:t xml:space="preserve">[232] </w:t>
      </w:r>
      <w:hyperlink r:id="rId643">
        <w:r>
          <w:rPr>
            <w:color w:val="1155CC"/>
            <w:u w:val="single"/>
          </w:rPr>
          <w:t>[ASAP] 镍催化的烯烃区域选择性二氢硅化反应</w:t>
        </w:r>
      </w:hyperlink>
    </w:p>
    <w:p>
      <w:pPr>
        <w:spacing w:before="0" w:after="80"/>
      </w:pPr>
      <w:r>
        <w:rPr>
          <w:i/>
          <w:sz w:val="20"/>
        </w:rPr>
        <w:t>EN: [ASAP] Nickel-Catalyzed Regioselective Dihydrosilylation of Allenes</w:t>
      </w:r>
    </w:p>
    <w:p>
      <w:pPr>
        <w:spacing w:before="0" w:after="120"/>
      </w:pPr>
      <w:r>
        <w:rPr>
          <w:b/>
        </w:rPr>
        <w:t xml:space="preserve">Source: </w:t>
      </w:r>
      <w:r>
        <w:t>Journal of the American Chemical Society: Latest Articles (ACS Publications)</w:t>
      </w:r>
      <w:r>
        <w:t xml:space="preserve">    </w:t>
      </w:r>
      <w:r>
        <w:rPr>
          <w:b/>
        </w:rPr>
        <w:t xml:space="preserve">Pub date: </w:t>
      </w:r>
      <w:r>
        <w:t>2026-05-12 12:11:33+00:00</w:t>
      </w:r>
      <w:r>
        <w:t xml:space="preserve">    </w:t>
      </w:r>
      <w:r>
        <w:rPr>
          <w:b/>
        </w:rPr>
        <w:t xml:space="preserve">DOI: </w:t>
      </w:r>
      <w:hyperlink r:id="rId644">
        <w:r>
          <w:rPr>
            <w:color w:val="1155CC"/>
            <w:u w:val="single"/>
          </w:rPr>
          <w:t>10.1021/jacs.6c05077</w:t>
        </w:r>
      </w:hyperlink>
    </w:p>
    <w:p>
      <w:pPr>
        <w:spacing w:before="0" w:after="120"/>
      </w:pPr>
      <w:r>
        <w:rPr>
          <w:b/>
        </w:rPr>
        <w:t xml:space="preserve">Notes: </w:t>
      </w:r>
      <w:r>
        <w:t>abstract_source=pubmed</w:t>
      </w:r>
    </w:p>
    <w:p>
      <w:pPr>
        <w:spacing w:before="0" w:after="80" w:lineRule="auto" w:line="276"/>
      </w:pPr>
      <w:r>
        <w:rPr>
          <w:b/>
        </w:rPr>
        <w:t xml:space="preserve">摘要（ZH）: </w:t>
      </w:r>
      <w:r>
        <w:t>在此，我们报告了一种镍催化的区域选择性二氢硅烷化反应，用于合成含有两个远程硅基团的1,3-双(硅烷)烯烃。通过一种市售的二膦配体（Xantphos）实现，该方法在温和条件下进行，具有独特的区域选择性、广泛的底物范围和优异的官能团耐受性。机制研究支持一个两步序列，涉及初始的支链选择性氢硅烷化，随后是对生成的末端烯烃的线性选择性氢硅烷化。1,3-双(硅烷)烯烃可以进行正交转化为各种1,3-双官能化分子，并参与与二炔的铂催化氢硅烷化聚合，突显了这种结构基元在合成化学和材料科学中的潜力。</w:t>
      </w:r>
    </w:p>
    <w:p>
      <w:pPr>
        <w:spacing w:before="0" w:after="200" w:lineRule="auto" w:line="276"/>
      </w:pPr>
      <w:r>
        <w:rPr>
          <w:b/>
        </w:rPr>
        <w:t xml:space="preserve">Abstract (EN): </w:t>
      </w:r>
      <w:r>
        <w:t>Herein, we report a nickel-catalyzed regioselective dihydrosilylation of allenes to access 1,3-bis(silane)s bearing two remote silyl groups. Enabled by a commercially available diphosphine ligand (Xantphos), this method proceeds under mild conditions with exclusive regioselectivity, a broad substrate scope, and excellent functional group tolerance. Mechanistic studies support a two-step sequence involving an initial branch-selective hydrosilylation, followed by a linear-selective hydrosilylation of the resulting terminal alkene. 1,3-Bis(silane)s could undergo orthogonal transformations into a variety of 1,3-difunctionalized molecules and participate in Pt-catalyzed hydrosilylation polymerization with dialkynes, highlighting the potential of this structural motif in both synthetic chemistry and materials science.</w:t>
      </w:r>
    </w:p>
    <w:p>
      <w:pPr>
        <w:spacing w:before="120" w:after="120"/>
      </w:pPr>
      <w:r>
        <w:rPr>
          <w:sz w:val="18"/>
        </w:rPr>
        <w:t>——————————————————————————————————————————————————————————————————————</w:t>
      </w:r>
    </w:p>
    <w:p>
      <w:pPr>
        <w:spacing w:before="160" w:after="40" w:line="240" w:lineRule="auto"/>
      </w:pPr>
      <w:r>
        <w:rPr>
          <w:b/>
        </w:rPr>
        <w:t xml:space="preserve">[233] </w:t>
      </w:r>
      <w:hyperlink r:id="rId645">
        <w:r>
          <w:rPr>
            <w:color w:val="1155CC"/>
            <w:u w:val="single"/>
          </w:rPr>
          <w:t>[ASAP] 配体调节的钴催化烯烃碳羰基化解锁脂肪酮合成</w:t>
        </w:r>
      </w:hyperlink>
    </w:p>
    <w:p>
      <w:pPr>
        <w:spacing w:before="0" w:after="80"/>
      </w:pPr>
      <w:r>
        <w:rPr>
          <w:i/>
          <w:sz w:val="20"/>
        </w:rPr>
        <w:t>EN: [ASAP] Ligand-Modulated Cobalt-Catalyzed Alkene Carbocarbonylation Unlocks Aliphatic Ketone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2026-05-12 12:13:48+00:00</w:t>
      </w:r>
      <w:r>
        <w:t xml:space="preserve">    </w:t>
      </w:r>
      <w:r>
        <w:rPr>
          <w:b/>
        </w:rPr>
        <w:t xml:space="preserve">DOI: </w:t>
      </w:r>
      <w:hyperlink r:id="rId646">
        <w:r>
          <w:rPr>
            <w:color w:val="1155CC"/>
            <w:u w:val="single"/>
          </w:rPr>
          <w:t>10.1021/jacs.6c06343</w:t>
        </w:r>
      </w:hyperlink>
    </w:p>
    <w:p>
      <w:pPr>
        <w:spacing w:before="0" w:after="120"/>
      </w:pPr>
      <w:r>
        <w:rPr>
          <w:b/>
        </w:rPr>
        <w:t xml:space="preserve">Notes: </w:t>
      </w:r>
      <w:r>
        <w:t>abstract_source=pubmed</w:t>
      </w:r>
    </w:p>
    <w:p>
      <w:pPr>
        <w:spacing w:before="0" w:after="80" w:lineRule="auto" w:line="276"/>
      </w:pPr>
      <w:r>
        <w:rPr>
          <w:b/>
        </w:rPr>
        <w:t xml:space="preserve">摘要（ZH）: </w:t>
      </w:r>
      <w:r>
        <w:t>不对称脂肪族酮是最通用的官能团之一，常见于大量有机分子和生物活性化合物中。然而，通过直接羰基化策略简洁构建脂肪族酮仍然具有挑战性，特别是在使用烯烃作为多功能原料时。通过使用新开发的双吡唑基吡啶型NNN-钳式配体，我们在此报告了一种通过钴催化的四组分碳羰基化合成不对称脂肪族酮的方法，该方法适用于活化和未活化的烯烃，在1 atm的CO气体下进行。该方法涵盖了广泛的烯烃、烷基锌试剂和烷基卤化物。特别值得注意的是使用高度官能化的CCl4、CF2Br2及其衍生物作为亲电试剂，从而提供了对结构多样的脂肪族酮的模块化访问，这可能在合成和药物化学中具有潜在应用。此外，该方案还以其简单的操作、优异的官能团兼容性以及高区域和化学选择性而著称。</w:t>
      </w:r>
    </w:p>
    <w:p>
      <w:pPr>
        <w:spacing w:before="0" w:after="200" w:lineRule="auto" w:line="276"/>
      </w:pPr>
      <w:r>
        <w:rPr>
          <w:b/>
        </w:rPr>
        <w:t xml:space="preserve">Abstract (EN): </w:t>
      </w:r>
      <w:r>
        <w:t>Unsymmetric aliphatic ketones are one of the most versatile functional groups and are commonly found in a plethora of organic molecules and bioactive compounds. Yet, a concise construction of aliphatic ketones via a direct carbonylation strategy still remains challenging, particularly when employing alkenes as versatile feedstocks. By the use of a newly developed bispyrazolylpyridine-type NNN-pincer ligand, we herein report a divergent synthesis of unsymmetric aliphatic ketones through cobalt-catalyzed four-component carbocarbonylation of both activated and unactivated alkenes under 1 atm of CO gas. This methodology encompasses a wide range of alkenes, alkylzinc reagents, and alkyl halides. Of particular interest is the use of highly functionalized CCl4, CF2Br2, and their derivatives as the electrophiles, thus affording modular access to structurally diverse aliphatic ketones, which might find potential applications in synthetic and medicinal chemistry. Moreover, this protocol is also distinguished by its simple operation, excellent functional group compatibility, and high regio- and chemoselectivity.</w:t>
      </w:r>
    </w:p>
    <w:p>
      <w:pPr>
        <w:spacing w:before="120" w:after="120"/>
      </w:pPr>
      <w:r>
        <w:rPr>
          <w:sz w:val="18"/>
        </w:rPr>
        <w:t>——————————————————————————————————————————————————————————————————————</w:t>
      </w:r>
    </w:p>
    <w:p>
      <w:pPr>
        <w:spacing w:before="160" w:after="40" w:line="240" w:lineRule="auto"/>
      </w:pPr>
      <w:r>
        <w:rPr>
          <w:b/>
        </w:rPr>
        <w:t xml:space="preserve">[234] </w:t>
      </w:r>
      <w:hyperlink r:id="rId647">
        <w:r>
          <w:rPr>
            <w:color w:val="1155CC"/>
            <w:u w:val="single"/>
          </w:rPr>
          <w:t>通过超分子水凝胶神经探针进行双向脑机通信和神经调节以管理慢性疼痛</w:t>
        </w:r>
      </w:hyperlink>
    </w:p>
    <w:p>
      <w:pPr>
        <w:spacing w:before="0" w:after="80"/>
      </w:pPr>
      <w:r>
        <w:rPr>
          <w:i/>
          <w:sz w:val="20"/>
        </w:rPr>
        <w:t>EN: Bidirectional Brain‐Machine Communication and Neuromodulation by Supramolecular Hydrogel Neural Probes for Chronic Pain Management</w:t>
      </w:r>
    </w:p>
    <w:p>
      <w:pPr>
        <w:spacing w:before="0" w:after="120"/>
      </w:pPr>
      <w:r>
        <w:rPr>
          <w:b/>
        </w:rPr>
        <w:t xml:space="preserve">Source: </w:t>
      </w:r>
      <w:r>
        <w:t>Wiley: Advanced Materials: Table of Contents</w:t>
      </w:r>
      <w:r>
        <w:t xml:space="preserve">    </w:t>
      </w:r>
      <w:r>
        <w:rPr>
          <w:b/>
        </w:rPr>
        <w:t xml:space="preserve">Pub date: </w:t>
      </w:r>
      <w:r>
        <w:t>2026-05-12 13:03:54+00:00</w:t>
      </w:r>
      <w:r>
        <w:t xml:space="preserve">    </w:t>
      </w:r>
      <w:r>
        <w:rPr>
          <w:b/>
        </w:rPr>
        <w:t xml:space="preserve">DOI: </w:t>
      </w:r>
      <w:hyperlink r:id="rId648">
        <w:r>
          <w:rPr>
            <w:color w:val="1155CC"/>
            <w:u w:val="single"/>
          </w:rPr>
          <w:t>10.1002/adma.73367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慢性疼痛由于其复杂的病理生理学和传统药物治疗的有限疗效，继续构成显著的治疗挑战。脑机接口（BMIs）作为记录神经活动、调节神经回路和治疗神经系统疾病的有前途的策略出现。然而，传统刚性植入探针的长期性能受到与柔软脑组织的机械不匹配的严重限制。这种不匹配引发慢性炎症反应，并导致信号逐渐恶化。此外，大多数现有探针缺乏同时进行原位神经调制和神经信号记录的集成功能。在这项工作中，我们开发了一种基于α-螺旋多肽交联剂的超分子水凝胶，实现了机械顺应性、电导率和光学透明度的最佳平衡。当植入大鼠前额叶皮层时，水凝胶探针能够稳定记录局部场电位（LFPs）长达16周。重要的是，该探针能够在原位进行神经调制，同时记录诱发的LFPs，导致前额叶皮层活动增强、机械撤退阈值增加，并在慢性神经性疼痛模型中减少冷痛觉过敏。这些发现通过实现集成的长期监测和神经调制，推进了神经接口技术，代表了慢性疼痛治疗植入设备设计的范式转变。</w:t>
      </w:r>
    </w:p>
    <w:p>
      <w:pPr>
        <w:spacing w:before="0" w:after="200" w:lineRule="auto" w:line="276"/>
      </w:pPr>
      <w:r>
        <w:rPr>
          <w:b/>
        </w:rPr>
        <w:t xml:space="preserve">Abstract (EN): </w:t>
      </w:r>
      <w:r>
        <w:t>Chronic pain continues to pose a significant therapeutic challenge due to its complex pathophysiology and the limited efficacy of conventional pharmacological treatments. Brain‐machine interfaces (BMIs) have emerged as a promising strategy for recording neural activity, modulating neural circuits, and treating neurological disorders. However, the long‐term performance of conventional rigid implantable probes is severely constrained by their mechanical mismatch with soft brain tissue. This mismatch provokes chronic inflammatory responses and results in gradual signal deterioration. Additionally, most existing probes lack integrated functionality for simultaneous in situ neuromodulation and neural signal recording. In this work, we developed a supramolecular hydrogel based on α‐helical polypeptide cross‐linkers, achieving an optimal balance of mechanical compliance, electrical conductivity, and optical transparency. When implanted in the rat prelimbic cortex, the hydrogel probe enabled stable recording of local field potentials (LFPs) for up to 16 weeks. Importantly, the probe enabled in situ neuromodulation while concurrently recording evoked LFPs, resulting in enhanced prelimbic cortical activity, increased mechanical withdrawal thresholds, and reduced cold allodynia in a chronic neuropathic pain model. These findings advance neural interface technology by enabling integrated, long‐term monitoring and neuromodulation, representing a paradigm shift in the design of implantable devices for chronic pain therapy.</w:t>
      </w:r>
    </w:p>
    <w:p>
      <w:pPr>
        <w:spacing w:before="120" w:after="120"/>
      </w:pPr>
      <w:r>
        <w:rPr>
          <w:sz w:val="18"/>
        </w:rPr>
        <w:t>——————————————————————————————————————————————————————————————————————</w:t>
      </w:r>
    </w:p>
    <w:p>
      <w:pPr>
        <w:spacing w:before="160" w:after="40" w:line="240" w:lineRule="auto"/>
      </w:pPr>
      <w:r>
        <w:rPr>
          <w:b/>
        </w:rPr>
        <w:t xml:space="preserve">[235] </w:t>
      </w:r>
      <w:hyperlink r:id="rId649">
        <w:r>
          <w:rPr>
            <w:color w:val="1155CC"/>
            <w:u w:val="single"/>
          </w:rPr>
          <w:t>增强埋藏界面的异质成核以实现高效无抗溶剂倒置柔性钙钛矿光伏</w:t>
        </w:r>
      </w:hyperlink>
    </w:p>
    <w:p>
      <w:pPr>
        <w:spacing w:before="0" w:after="80"/>
      </w:pPr>
      <w:r>
        <w:rPr>
          <w:i/>
          <w:sz w:val="20"/>
        </w:rPr>
        <w:t>EN: Enhancing Heterogeneous Nucleation on Buried Interface for Efficient Antisolvent‐Free Inverted Flexible Perovskite Photovoltaics</w:t>
      </w:r>
    </w:p>
    <w:p>
      <w:pPr>
        <w:spacing w:before="0" w:after="120"/>
      </w:pPr>
      <w:r>
        <w:rPr>
          <w:b/>
        </w:rPr>
        <w:t xml:space="preserve">Source: </w:t>
      </w:r>
      <w:r>
        <w:t>Wiley: Advanced Materials: Table of Contents</w:t>
      </w:r>
      <w:r>
        <w:t xml:space="preserve">    </w:t>
      </w:r>
      <w:r>
        <w:rPr>
          <w:b/>
        </w:rPr>
        <w:t xml:space="preserve">Pub date: </w:t>
      </w:r>
      <w:r>
        <w:t>2026-05-12 13:06:37+00:00</w:t>
      </w:r>
      <w:r>
        <w:t xml:space="preserve">    </w:t>
      </w:r>
      <w:r>
        <w:rPr>
          <w:b/>
        </w:rPr>
        <w:t xml:space="preserve">DOI: </w:t>
      </w:r>
      <w:hyperlink r:id="rId650">
        <w:r>
          <w:rPr>
            <w:color w:val="1155CC"/>
            <w:u w:val="single"/>
          </w:rPr>
          <w:t>10.1002/adma.73358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分子（SAMs）显著提高了倒置钙钛矿太阳能电池（PSCs）的功率转换效率（PCE），但其疏水性阻碍了大面积钙钛矿薄膜的均匀沉积，特别是在柔性塑料导电基板上。在此，我们提出了一种界面离子工程策略来解决这个问题。具体而言，采用具有多种亲水功能基团的多功能N-(4-氰基苯基)胍盐酸盐（NCGCl）来修饰SAM层，以克服钙钛矿溶液扩展问题。我们证明了NCGCl中的腈基和胍基与钙钛矿组分强烈相互作用，促进异质成核和缺陷钝化。此外，NCGCl和SAMs中苯环之间的π–π*堆积进一步加强了基板-钙钛矿界面的桥接。因此，无抗溶剂处理的PSCs在刚性和柔性基板上分别展示了26.89%（认证26.64%）和25.29%的冠军PCE。我们还制造了5 cm × 5 cm的柔性小型模块，显示出22.28%的令人印象深刻的PCE，以及出色的机械弯曲稳定性。</w:t>
      </w:r>
    </w:p>
    <w:p>
      <w:pPr>
        <w:spacing w:before="0" w:after="200" w:lineRule="auto" w:line="276"/>
      </w:pPr>
      <w:r>
        <w:rPr>
          <w:b/>
        </w:rPr>
        <w:t xml:space="preserve">Abstract (EN): </w:t>
      </w:r>
      <w:r>
        <w:t>Self‐assembled molecules (SAMs) significantly boost the power conversion efficiency (PCE) of inverted perovskite solar cells (PSCs), yet their hydrophobicity impedes uniform large‐area perovskite film deposition, especially on flexible plastic conductive substrates. Herein, we propose an interface ionic engineering strategy to address this issue. Specifically, a multifunctional N‐(4‐Cyanophenyl)guanidine hydrochloride (NCGCl) salt with multiple hydrophilic functional groups is employed to modify the SAM layer to overcome the perovskite solution spreading problem. We demonstrate that the nitrile and guanidinium groups in NCGCl strongly interact with perovskite components, facilitating heterogeneous nucleation and defect passivation. Moreover, the</w:t>
      </w:r>
      <w:r>
        <w:t xml:space="preserve"> </w:t>
      </w:r>
      <w:r>
        <w:t>π–π</w:t>
      </w:r>
      <w:r>
        <w:t xml:space="preserve"> </w:t>
      </w:r>
      <w:r>
        <w:t>* stacking between the benzene rings in NCGCl and SAMs further strengthens the substrate‐perovskite interface bridging. Consequently, the antisolvent‐free processed PSCs on rigid and flexible substrates demonstrate champion PCEs of 26.89% (certified 26.64%) and 25.29%, respectively. We also fabricate 5 cm × 5 cm flexible mini‐modules, showing an impressive PCE of 22.28%, along with outstanding mechanical bending stability.</w:t>
      </w:r>
    </w:p>
    <w:p>
      <w:pPr>
        <w:spacing w:before="120" w:after="120"/>
      </w:pPr>
      <w:r>
        <w:rPr>
          <w:sz w:val="18"/>
        </w:rPr>
        <w:t>——————————————————————————————————————————————————————————————————————</w:t>
      </w:r>
    </w:p>
    <w:p>
      <w:pPr>
        <w:spacing w:before="160" w:after="40" w:line="240" w:lineRule="auto"/>
      </w:pPr>
      <w:r>
        <w:rPr>
          <w:b/>
        </w:rPr>
        <w:t xml:space="preserve">[236] </w:t>
      </w:r>
      <w:hyperlink r:id="rId651">
        <w:r>
          <w:rPr>
            <w:color w:val="1155CC"/>
            <w:u w:val="single"/>
          </w:rPr>
          <w:t>[ASAP] 脂质-基底相互作用导致双层不对称性</w:t>
        </w:r>
      </w:hyperlink>
    </w:p>
    <w:p>
      <w:pPr>
        <w:spacing w:before="0" w:after="80"/>
      </w:pPr>
      <w:r>
        <w:rPr>
          <w:i/>
          <w:sz w:val="20"/>
        </w:rPr>
        <w:t>EN: [ASAP] Lipid–Substrate Interactions Lead to Bilayer Asymmetry</w:t>
      </w:r>
    </w:p>
    <w:p>
      <w:pPr>
        <w:spacing w:before="0" w:after="120"/>
      </w:pPr>
      <w:r>
        <w:rPr>
          <w:b/>
        </w:rPr>
        <w:t xml:space="preserve">Source: </w:t>
      </w:r>
      <w:r>
        <w:t>Journal of the American Chemical Society: Latest Articles (ACS Publications)</w:t>
      </w:r>
      <w:r>
        <w:t xml:space="preserve">    </w:t>
      </w:r>
      <w:r>
        <w:rPr>
          <w:b/>
        </w:rPr>
        <w:t xml:space="preserve">Pub date: </w:t>
      </w:r>
      <w:r>
        <w:t>2026-05-12 14:50:59+00:00</w:t>
      </w:r>
      <w:r>
        <w:t xml:space="preserve">    </w:t>
      </w:r>
      <w:r>
        <w:rPr>
          <w:b/>
        </w:rPr>
        <w:t xml:space="preserve">DOI: </w:t>
      </w:r>
      <w:hyperlink r:id="rId652">
        <w:r>
          <w:rPr>
            <w:color w:val="1155CC"/>
            <w:u w:val="single"/>
          </w:rPr>
          <w:t>10.1021/jacs.6c04860</w:t>
        </w:r>
      </w:hyperlink>
    </w:p>
    <w:p>
      <w:pPr>
        <w:spacing w:before="0" w:after="120"/>
      </w:pPr>
      <w:r>
        <w:rPr>
          <w:b/>
        </w:rPr>
        <w:t xml:space="preserve">Notes: </w:t>
      </w:r>
      <w:r>
        <w:t>abstract_source=openalex</w:t>
      </w:r>
    </w:p>
    <w:p>
      <w:pPr>
        <w:spacing w:before="0" w:after="80" w:lineRule="auto" w:line="276"/>
      </w:pPr>
      <w:r>
        <w:rPr>
          <w:b/>
        </w:rPr>
        <w:t xml:space="preserve">摘要（ZH）: </w:t>
      </w:r>
      <w:r>
        <w:t>O缓冲液，这一发现与玻璃支撑上的表面硅醇与PS和PE脂质的头基之间形成有利的氢键（H-bond）一致。事实上，氢键是决定内外层分布的主要因素。改变盐浓度只能在下层膜中调节PS的比例，幅度仅为±3%。一种尾标记的PC探针，由于无法向表面提供氢键，在达到平衡分布后对下层膜没有偏好。最后，PS和PE探针的二维扩散，但不是PC，强烈依赖于基底表面可用氢键位点的数量。这些结果让人联想到活细胞质膜中观察到的脂质不对称性，其中PS和PE同样分布在内层膜中，表明细胞质与细胞外区域的氢键环境可能在体内脂质不对称性中起重要作用。</w:t>
      </w:r>
    </w:p>
    <w:p>
      <w:pPr>
        <w:spacing w:before="0" w:after="200" w:lineRule="auto" w:line="276"/>
      </w:pPr>
      <w:r>
        <w:rPr>
          <w:b/>
        </w:rPr>
        <w:t xml:space="preserve">Abstract (EN): </w:t>
      </w:r>
      <w:r>
        <w:t>O buffer, a finding consistent with favorable hydrogen bond (H-bond) formation between surface silanols on the glass support and the headgroups of PS and PE lipids. In fact, H-bonding was the dominant factor in determining the interleaflet distribution. Varying the salt concentration could modulate the PS fraction in only the lower leaflet by a small amount, ±3%. A tail-labeled PC probe, which was unable to donate an H-bond to the surface, showed no preference for the lower leaflet once its equilibrium distribution was achieved. Finally, the 2D diffusion of the PS and PE probes, but not PC, was strongly dependent on the number of available H-bonding sites on the substrate surface. These results are reminiscent of the lipid asymmetry observed in the plasma membranes of living cells, where PS and PE are similarly partitioned into the inner leaflet, suggesting that the H-bonding environment in the cytoplasmic versus extracellular region may play a significant role in governing lipid asymmetry in vivo.</w:t>
      </w:r>
    </w:p>
    <w:p>
      <w:pPr>
        <w:spacing w:before="120" w:after="120"/>
      </w:pPr>
      <w:r>
        <w:rPr>
          <w:sz w:val="18"/>
        </w:rPr>
        <w:t>——————————————————————————————————————————————————————————————————————</w:t>
      </w:r>
    </w:p>
    <w:p>
      <w:pPr>
        <w:spacing w:before="160" w:after="40" w:line="240" w:lineRule="auto"/>
      </w:pPr>
      <w:r>
        <w:rPr>
          <w:b/>
        </w:rPr>
        <w:t xml:space="preserve">[237] </w:t>
      </w:r>
      <w:hyperlink r:id="rId653">
        <w:r>
          <w:rPr>
            <w:color w:val="1155CC"/>
            <w:u w:val="single"/>
          </w:rPr>
          <w:t>[ASAP] 通过结构化的双链RNA结合域形成凝聚体驱动植物中的RNA隔离</w:t>
        </w:r>
      </w:hyperlink>
    </w:p>
    <w:p>
      <w:pPr>
        <w:spacing w:before="0" w:after="80"/>
      </w:pPr>
      <w:r>
        <w:rPr>
          <w:i/>
          <w:sz w:val="20"/>
        </w:rPr>
        <w:t>EN: [ASAP] Condensate Formation by Structured dsRNA Binding Domains Drives RNA Sequestration in Plants</w:t>
      </w:r>
    </w:p>
    <w:p>
      <w:pPr>
        <w:spacing w:before="0" w:after="120"/>
      </w:pPr>
      <w:r>
        <w:rPr>
          <w:b/>
        </w:rPr>
        <w:t xml:space="preserve">Source: </w:t>
      </w:r>
      <w:r>
        <w:t>Journal of the American Chemical Society: Latest Articles (ACS Publications)</w:t>
      </w:r>
      <w:r>
        <w:t xml:space="preserve">    </w:t>
      </w:r>
      <w:r>
        <w:rPr>
          <w:b/>
        </w:rPr>
        <w:t xml:space="preserve">Pub date: </w:t>
      </w:r>
      <w:r>
        <w:t>2026-05-12 14:54:01+00:00</w:t>
      </w:r>
      <w:r>
        <w:t xml:space="preserve">    </w:t>
      </w:r>
      <w:r>
        <w:rPr>
          <w:b/>
        </w:rPr>
        <w:t xml:space="preserve">DOI: </w:t>
      </w:r>
      <w:hyperlink r:id="rId654">
        <w:r>
          <w:rPr>
            <w:color w:val="1155CC"/>
            <w:u w:val="single"/>
          </w:rPr>
          <w:t>10.1021/jacs.6c05034</w:t>
        </w:r>
      </w:hyperlink>
    </w:p>
    <w:p>
      <w:pPr>
        <w:spacing w:before="0" w:after="120"/>
      </w:pPr>
      <w:r>
        <w:rPr>
          <w:b/>
        </w:rPr>
        <w:t xml:space="preserve">Notes: </w:t>
      </w:r>
      <w:r>
        <w:t>abstract_source=openalex</w:t>
      </w:r>
    </w:p>
    <w:p>
      <w:pPr>
        <w:spacing w:before="0" w:after="80" w:lineRule="auto" w:line="276"/>
      </w:pPr>
      <w:r>
        <w:rPr>
          <w:b/>
        </w:rPr>
        <w:t xml:space="preserve">摘要（ZH）: </w:t>
      </w:r>
      <w:r>
        <w:t>植物中的一种关键抗病毒策略涉及通过dsRNA结合蛋白DRB2、DRB3和DRB5在相分离的病毒复制复合物（VRCs）中隔离病毒基因组RNA。虽然这些蛋白在VRC凝聚体中共定位以抑制病毒复制，但抗病毒防御途径中病毒RNA隔离和复制停止的分子机制仍然神秘。在此，我们展示了DRB2/3/5的易寡聚化的dsRBD2结构域采用了修饰的dsRBD折叠，并在与dsRNA相互作用时发生相分离。我们发现结构修饰导致了独特的表面电荷分布，促进了dsRBD上的多价、表面暴露的相互作用斑块。这些特征使DRB2/3/5能够进行浓度依赖的瞬时自我关联，并在存在单个触发因素如dsRNA、分子拥挤或ATP时引导形成凝胶状凝聚体。我们的研究确定了一种dsRNA结合蛋白诱导的相分离的合理机制，并表明通过凝聚体形成的RNA隔离有助于植物抗病毒免疫。</w:t>
      </w:r>
    </w:p>
    <w:p>
      <w:pPr>
        <w:spacing w:before="0" w:after="200" w:lineRule="auto" w:line="276"/>
      </w:pPr>
      <w:r>
        <w:rPr>
          <w:b/>
        </w:rPr>
        <w:t xml:space="preserve">Abstract (EN): </w:t>
      </w:r>
      <w:r>
        <w:t>A key antiviral strategy in plants involves the sequestration of viral genomic RNA by dsRNA-binding proteins DRB2, DRB3, and DRB5 within phase-separated viral replication complexes (VRCs). While these proteins colocalize in VRC condensates to suppress viral replication, the molecular mechanisms underlying viral RNA sequestration and replication arrest in the antiviral defense pathway remain enigmatic. Here, we show that the oligomerization-prone dsRBD2 domain of DRB2/3/5 adopts a modified dsRBD fold and undergoes phase separation upon interaction with dsRNA. We find that the structural modifications lead to a unique surface charge distribution that promotes multivalent, surface-exposed interaction patches on dsRBD. These features enable concentration-dependent transient self-association in DRB2/3/5 and guide the formation of gel-like condensates in the presence of individual triggers such as dsRNA, molecular crowding, or ATP. Our study identifies a plausible mechanism of dsRNA-binding protein induced phase separation and suggests that RNA sequestration via condensate formation contributes to plant antiviral immunity.</w:t>
      </w:r>
    </w:p>
    <w:p>
      <w:pPr>
        <w:spacing w:before="120" w:after="120"/>
      </w:pPr>
      <w:r>
        <w:rPr>
          <w:sz w:val="18"/>
        </w:rPr>
        <w:t>——————————————————————————————————————————————————————————————————————</w:t>
      </w:r>
    </w:p>
    <w:p>
      <w:pPr>
        <w:spacing w:before="160" w:after="40" w:line="240" w:lineRule="auto"/>
      </w:pPr>
      <w:r>
        <w:rPr>
          <w:b/>
        </w:rPr>
        <w:t xml:space="preserve">[238] </w:t>
      </w:r>
      <w:hyperlink r:id="rId655">
        <w:r>
          <w:rPr>
            <w:color w:val="1155CC"/>
            <w:u w:val="single"/>
          </w:rPr>
          <w:t>[ASAP] 一维共价有机框架的微孔限域用于表面调控的光催化产氢</w:t>
        </w:r>
      </w:hyperlink>
    </w:p>
    <w:p>
      <w:pPr>
        <w:spacing w:before="0" w:after="80"/>
      </w:pPr>
      <w:r>
        <w:rPr>
          <w:i/>
          <w:sz w:val="20"/>
        </w:rPr>
        <w:t>EN: [ASAP] Microporous Confinement of One-Dimensional Covalent Organic Frameworks for Surface-Regulated Photocatalytic Hydrogen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2026-05-12 15:30:11+00:00</w:t>
      </w:r>
      <w:r>
        <w:t xml:space="preserve">    </w:t>
      </w:r>
      <w:r>
        <w:rPr>
          <w:b/>
        </w:rPr>
        <w:t xml:space="preserve">DOI: </w:t>
      </w:r>
      <w:hyperlink r:id="rId656">
        <w:r>
          <w:rPr>
            <w:color w:val="1155CC"/>
            <w:u w:val="single"/>
          </w:rPr>
          <w:t>10.1021/jacs.6c05080</w:t>
        </w:r>
      </w:hyperlink>
    </w:p>
    <w:p>
      <w:pPr>
        <w:spacing w:before="0" w:after="120"/>
      </w:pPr>
      <w:r>
        <w:rPr>
          <w:b/>
        </w:rPr>
        <w:t xml:space="preserve">Notes: </w:t>
      </w:r>
      <w:r>
        <w:t>abstract_source=openalex</w:t>
      </w:r>
    </w:p>
    <w:p>
      <w:pPr>
        <w:spacing w:before="0" w:after="80" w:lineRule="auto" w:line="276"/>
      </w:pPr>
      <w:r>
        <w:rPr>
          <w:b/>
        </w:rPr>
        <w:t xml:space="preserve">摘要（ZH）: </w:t>
      </w:r>
      <w:r>
        <w:t>共价有机框架（COFs）作为光催化产氢的先进平台引起了关注。先前报道的基于COF的光催化主要集中在供体-受体结构单元的分子设计和带隙工程，而对位于不同表面上的活性位点贡献的量化仍未得到充分探索。在此，我们构建了三个具有相同骨架结构但活性位点分布不同的一维COFs，以系统研究其对激子迁移的影响。通过利用羟基功能化的连接体，我们在COFs的内表面或外表面引入活性位点。其中，内表面羟基化的2-OH-COF在纯水和海水系统中表现出优越的产氢速率，显著优于其结构类似物。广泛的表征显示，微孔的羟基化表面在促进激子解离和促进水分子和铂前体的吸附方面起着关键作用。这种微孔内的限制效应实现了优化的催化微环境和高效的两步光还原。该研究为COFs的表面工程提供了见解，并强调了活性位点定位对优化光催化性能的影响。</w:t>
      </w:r>
    </w:p>
    <w:p>
      <w:pPr>
        <w:spacing w:before="0" w:after="200" w:lineRule="auto" w:line="276"/>
      </w:pPr>
      <w:r>
        <w:rPr>
          <w:b/>
        </w:rPr>
        <w:t xml:space="preserve">Abstract (EN): </w:t>
      </w:r>
      <w:r>
        <w:t>Covalent organic frameworks (COFs) have gained attention as an advanced platform for photocatalytic hydrogen evolution. Previously reported COF-based photocatalysis focused on the molecular design of donor-acceptor motifs and bandgap engineering, while quantifying the contribution of active sites located on different surfaces remains underexplored. Herein, we construct three one-dimensional COFs with identical backbone structures but distinct active-site distributions to systematically investigate their impact on exciton migration. By leveraging hydroxyl-functionalized linkers, we introduce active sites on either the inner or outer surfaces of the COFs. Among them, 2-OH-COF, featuring inner-surface hydroxylation, exhibits a superior hydrogen evolution rate in both pure water and seawater systems, significantly outperforming its structural analogues. Extensive characterization reveals that the hydroxylated surface of the micropores plays a pivotal role in promoting exciton dissociation and facilitating the adsorption of water molecules and platinum precursors. This confinement effect within the micropores enables optimized catalytic microenvironments and efficient two-step photoreduction. This research provides insights into the surface engineering of COFs and highlights the effects of active site localization on optimizing photocatalytic performance.</w:t>
      </w:r>
    </w:p>
    <w:p>
      <w:pPr>
        <w:spacing w:before="120" w:after="120"/>
      </w:pPr>
      <w:r>
        <w:rPr>
          <w:sz w:val="18"/>
        </w:rPr>
        <w:t>——————————————————————————————————————————————————————————————————————</w:t>
      </w:r>
    </w:p>
    <w:p>
      <w:pPr>
        <w:spacing w:before="160" w:after="40" w:line="240" w:lineRule="auto"/>
      </w:pPr>
      <w:r>
        <w:rPr>
          <w:b/>
        </w:rPr>
        <w:t xml:space="preserve">[239] </w:t>
      </w:r>
      <w:hyperlink r:id="rId657">
        <w:r>
          <w:rPr>
            <w:color w:val="1155CC"/>
            <w:u w:val="single"/>
          </w:rPr>
          <w:t>[ASAP] 三苯并苯衍生聚酰亚胺共价有机框架用于高效光合成过氧化氢</w:t>
        </w:r>
      </w:hyperlink>
    </w:p>
    <w:p>
      <w:pPr>
        <w:spacing w:before="0" w:after="80"/>
      </w:pPr>
      <w:r>
        <w:rPr>
          <w:i/>
          <w:sz w:val="20"/>
        </w:rPr>
        <w:t>EN: [ASAP] Triphenylene-Derived Polyimide Covalent Organic Frameworks for Efficient Photosynthesis of Hydrogen Peroxide</w:t>
      </w:r>
    </w:p>
    <w:p>
      <w:pPr>
        <w:spacing w:before="0" w:after="120"/>
      </w:pPr>
      <w:r>
        <w:rPr>
          <w:b/>
        </w:rPr>
        <w:t xml:space="preserve">Source: </w:t>
      </w:r>
      <w:r>
        <w:t>Journal of the American Chemical Society: Latest Articles (ACS Publications)</w:t>
      </w:r>
      <w:r>
        <w:t xml:space="preserve">    </w:t>
      </w:r>
      <w:r>
        <w:rPr>
          <w:b/>
        </w:rPr>
        <w:t xml:space="preserve">Pub date: </w:t>
      </w:r>
      <w:r>
        <w:t>2026-05-12 15:47:56+00:00</w:t>
      </w:r>
      <w:r>
        <w:t xml:space="preserve">    </w:t>
      </w:r>
      <w:r>
        <w:rPr>
          <w:b/>
        </w:rPr>
        <w:t xml:space="preserve">DOI: </w:t>
      </w:r>
      <w:hyperlink r:id="rId658">
        <w:r>
          <w:rPr>
            <w:color w:val="1155CC"/>
            <w:u w:val="single"/>
          </w:rPr>
          <w:t>10.1021/jacs.6c01900</w:t>
        </w:r>
      </w:hyperlink>
    </w:p>
    <w:p>
      <w:pPr>
        <w:spacing w:before="0" w:after="120"/>
      </w:pPr>
      <w:r>
        <w:rPr>
          <w:b/>
        </w:rPr>
        <w:t xml:space="preserve">Notes: </w:t>
      </w:r>
      <w:r>
        <w:t>abstract_source=openalex</w:t>
      </w:r>
    </w:p>
    <w:p>
      <w:pPr>
        <w:spacing w:before="0" w:after="80" w:lineRule="auto" w:line="276"/>
      </w:pPr>
      <w:r>
        <w:rPr>
          <w:b/>
        </w:rPr>
        <w:t xml:space="preserve">摘要（ZH）: </w:t>
      </w:r>
      <w:r>
        <w:t>催化氧化还原循环中的中间体。这些发现共同说明了如何通过战略性地设计连接和构建模块有效克服基于COF的光催化剂的稳定性限制，为太阳能到化学能转换提供了一条可行的耐用框架路径。</w:t>
      </w:r>
    </w:p>
    <w:p>
      <w:pPr>
        <w:spacing w:before="0" w:after="200" w:lineRule="auto" w:line="276"/>
      </w:pPr>
      <w:r>
        <w:rPr>
          <w:b/>
        </w:rPr>
        <w:t xml:space="preserve">Abstract (EN): </w:t>
      </w:r>
      <w:r>
        <w:t>intermediates during the catalytic redox cycle. Together, these findings illustrate how strategic engineering of linkages and building blocks effectively overcomes the stability limitations of COF-based photocatalysts, providing a viable pathway to durable frameworks for solar-to-chemical energy conversion.</w:t>
      </w:r>
    </w:p>
    <w:p>
      <w:pPr>
        <w:spacing w:before="120" w:after="120"/>
      </w:pPr>
      <w:r>
        <w:rPr>
          <w:sz w:val="18"/>
        </w:rPr>
        <w:t>——————————————————————————————————————————————————————————————————————</w:t>
      </w:r>
    </w:p>
    <w:p>
      <w:pPr>
        <w:spacing w:before="160" w:after="40" w:line="240" w:lineRule="auto"/>
      </w:pPr>
      <w:r>
        <w:rPr>
          <w:b/>
        </w:rPr>
        <w:t xml:space="preserve">[240] </w:t>
      </w:r>
      <w:hyperlink r:id="rId659">
        <w:r>
          <w:rPr>
            <w:color w:val="1155CC"/>
            <w:u w:val="single"/>
          </w:rPr>
          <w:t>[ASAP] 通过非对映选择性C(sp3)–H键氧化安装轴手性</w:t>
        </w:r>
      </w:hyperlink>
    </w:p>
    <w:p>
      <w:pPr>
        <w:spacing w:before="0" w:after="80"/>
      </w:pPr>
      <w:r>
        <w:rPr>
          <w:i/>
          <w:sz w:val="20"/>
        </w:rPr>
        <w:t>EN: [ASAP] Installing Axial Chirality by Atroposelective C(sp3)–H Bond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2026-05-12 15:48:49+00:00</w:t>
      </w:r>
      <w:r>
        <w:t xml:space="preserve">    </w:t>
      </w:r>
      <w:r>
        <w:rPr>
          <w:b/>
        </w:rPr>
        <w:t xml:space="preserve">DOI: </w:t>
      </w:r>
      <w:hyperlink r:id="rId660">
        <w:r>
          <w:rPr>
            <w:color w:val="1155CC"/>
            <w:u w:val="single"/>
          </w:rPr>
          <w:t>10.1021/jacs.6c06123</w:t>
        </w:r>
      </w:hyperlink>
    </w:p>
    <w:p>
      <w:pPr>
        <w:spacing w:before="0" w:after="120"/>
      </w:pPr>
      <w:r>
        <w:rPr>
          <w:b/>
        </w:rPr>
        <w:t xml:space="preserve">Notes: </w:t>
      </w:r>
      <w:r>
        <w:t>abstract_source=openalex</w:t>
      </w:r>
    </w:p>
    <w:p>
      <w:pPr>
        <w:spacing w:before="0" w:after="80" w:lineRule="auto" w:line="276"/>
      </w:pPr>
      <w:r>
        <w:rPr>
          <w:b/>
        </w:rPr>
        <w:t xml:space="preserve">摘要（ZH）: </w:t>
      </w:r>
      <w:r>
        <w:t>作为氧化剂，使其与构型不稳定的底物兼容，并对通常在有机金属催化中敏感的多种官能团具有耐受性。底物核心上没有定向基团，允许获得轴向手性联芳基（42个例子），这些联芳基装饰有大量功能团，具有高产率（高达88%）和卓越的对映选择性比率（高达&gt;99% ee）。此外，催化剂的精确位点和对映选择性C-H氧化活性使得第二个甲基基团的后续位点和化学选择性氧化成为可能，提供了一种新颖而多功能的平台用于联芳基核心的扩展。总体而言，催化剂的活性使得甲基基团被识别为合成操作的功能团，展示了C-H键功能化反应作为立体选择性合成的强大方法的战略性使用。</w:t>
      </w:r>
    </w:p>
    <w:p>
      <w:pPr>
        <w:spacing w:before="0" w:after="200" w:lineRule="auto" w:line="276"/>
      </w:pPr>
      <w:r>
        <w:rPr>
          <w:b/>
        </w:rPr>
        <w:t xml:space="preserve">Abstract (EN): </w:t>
      </w:r>
      <w:r>
        <w:t>as oxidant, enabling compatibility with configurationally labile substrates and tolerance toward a wide variety of functional groups that are typically sensitive in organometallic catalysis. The devoid of directing groups on the substrate core allows access to axially chiral biaryls (42 examples) decorated with a plethora of functionalities in high yields (up to 88%) and outstanding enantioselectivity ratios (up to &gt;99% ee). Furthermore, the exquisite site- and enantioselective C-H oxidation activity of the catalysts enables subsequent site- and chemoselective oxidation of the second methyl group, offering a novel and versatile platform for elaboration of the biaryl core. Overall, the catalysts' activity enables recognition of methyl groups as functional groups for synthetic manipulations, showcasing the strategic use of C-H bond functionalization reactions as a powerful approach for stereoselective synthesis.</w:t>
      </w:r>
    </w:p>
    <w:p>
      <w:pPr>
        <w:spacing w:before="120" w:after="120"/>
      </w:pPr>
      <w:r>
        <w:rPr>
          <w:sz w:val="18"/>
        </w:rPr>
        <w:t>——————————————————————————————————————————————————————————————————————</w:t>
      </w:r>
    </w:p>
    <w:p>
      <w:pPr>
        <w:spacing w:before="160" w:after="40" w:line="240" w:lineRule="auto"/>
      </w:pPr>
      <w:r>
        <w:rPr>
          <w:b/>
        </w:rPr>
        <w:t xml:space="preserve">[241] </w:t>
      </w:r>
      <w:hyperlink r:id="rId661">
        <w:r>
          <w:rPr>
            <w:color w:val="1155CC"/>
            <w:u w:val="single"/>
          </w:rPr>
          <w:t>[ASAP] 用于超常NH3捕获的分子晶体海绵</w:t>
        </w:r>
      </w:hyperlink>
    </w:p>
    <w:p>
      <w:pPr>
        <w:spacing w:before="0" w:after="80"/>
      </w:pPr>
      <w:r>
        <w:rPr>
          <w:i/>
          <w:sz w:val="20"/>
        </w:rPr>
        <w:t>EN: [ASAP] Molecular Crystal Sponge for Extraordinary NH3 Capture</w:t>
      </w:r>
    </w:p>
    <w:p>
      <w:pPr>
        <w:spacing w:before="0" w:after="120"/>
      </w:pPr>
      <w:r>
        <w:rPr>
          <w:b/>
        </w:rPr>
        <w:t xml:space="preserve">Source: </w:t>
      </w:r>
      <w:r>
        <w:t>Journal of the American Chemical Society: Latest Articles (ACS Publications)</w:t>
      </w:r>
      <w:r>
        <w:t xml:space="preserve">    </w:t>
      </w:r>
      <w:r>
        <w:rPr>
          <w:b/>
        </w:rPr>
        <w:t xml:space="preserve">Pub date: </w:t>
      </w:r>
      <w:r>
        <w:t>2026-05-12 15:49:20+00:00</w:t>
      </w:r>
      <w:r>
        <w:t xml:space="preserve">    </w:t>
      </w:r>
      <w:r>
        <w:rPr>
          <w:b/>
        </w:rPr>
        <w:t xml:space="preserve">DOI: </w:t>
      </w:r>
      <w:hyperlink r:id="rId662">
        <w:r>
          <w:rPr>
            <w:color w:val="1155CC"/>
            <w:u w:val="single"/>
          </w:rPr>
          <w:t>10.1021/jacs.6c04962</w:t>
        </w:r>
      </w:hyperlink>
    </w:p>
    <w:p>
      <w:pPr>
        <w:spacing w:before="0" w:after="120"/>
      </w:pPr>
      <w:r>
        <w:rPr>
          <w:b/>
        </w:rPr>
        <w:t xml:space="preserve">Notes: </w:t>
      </w:r>
      <w:r>
        <w:t>abstract_source=openalex</w:t>
      </w:r>
    </w:p>
    <w:p>
      <w:pPr>
        <w:spacing w:before="0" w:after="80" w:lineRule="auto" w:line="276"/>
      </w:pPr>
      <w:r>
        <w:rPr>
          <w:b/>
        </w:rPr>
        <w:t xml:space="preserve">摘要（ZH）: </w:t>
      </w:r>
      <w:r>
        <w:t>粉末X射线衍射（PXRD）分析结合建模，明确解读了氨与羧酸基团之间的电荷辅助氢键在驱动逐步孔隙扩展中的作用。因此，这项工作提供了一个工程化软分子晶体的概念蓝图，用于驱动选择性氨捕获和节能氨生产。</w:t>
      </w:r>
    </w:p>
    <w:p>
      <w:pPr>
        <w:spacing w:before="0" w:after="200" w:lineRule="auto" w:line="276"/>
      </w:pPr>
      <w:r>
        <w:rPr>
          <w:b/>
        </w:rPr>
        <w:t xml:space="preserve">Abstract (EN): </w:t>
      </w:r>
      <w:r>
        <w:t>powder X-ray diffraction (PXRD) analyses, coupled with modeling, unequivocally decipher the charge-assisted hydrogen bonding between ammonia and carboxylic acid moieties in driving stepwise pore expansion. This work thus provides a conceptual blueprint of engineering soft molecular crystals for driving selective ammonia capture and energy-efficient ammonia production.</w:t>
      </w:r>
    </w:p>
    <w:p>
      <w:pPr>
        <w:spacing w:before="120" w:after="120"/>
      </w:pPr>
      <w:r>
        <w:rPr>
          <w:sz w:val="18"/>
        </w:rPr>
        <w:t>——————————————————————————————————————————————————————————————————————</w:t>
      </w:r>
    </w:p>
    <w:p>
      <w:pPr>
        <w:spacing w:before="160" w:after="40" w:line="240" w:lineRule="auto"/>
      </w:pPr>
      <w:r>
        <w:rPr>
          <w:b/>
        </w:rPr>
        <w:t xml:space="preserve">[242] </w:t>
      </w:r>
      <w:hyperlink r:id="rId663">
        <w:r>
          <w:rPr>
            <w:color w:val="1155CC"/>
            <w:u w:val="single"/>
          </w:rPr>
          <w:t>[ASAP] 水诱导动态结构适应性Zr-MOF在大气水收集中的整体指标优化</w:t>
        </w:r>
      </w:hyperlink>
    </w:p>
    <w:p>
      <w:pPr>
        <w:spacing w:before="0" w:after="80"/>
      </w:pPr>
      <w:r>
        <w:rPr>
          <w:i/>
          <w:sz w:val="20"/>
        </w:rPr>
        <w:t>EN: [ASAP] Water-Induced Dynamic Structural Adaptivity of Zr-MOF for Holistic Metrics Optimization in Atmospheric Water Harvesting</w:t>
      </w:r>
    </w:p>
    <w:p>
      <w:pPr>
        <w:spacing w:before="0" w:after="120"/>
      </w:pPr>
      <w:r>
        <w:rPr>
          <w:b/>
        </w:rPr>
        <w:t xml:space="preserve">Source: </w:t>
      </w:r>
      <w:r>
        <w:t>Journal of the American Chemical Society: Latest Articles (ACS Publications)</w:t>
      </w:r>
      <w:r>
        <w:t xml:space="preserve">    </w:t>
      </w:r>
      <w:r>
        <w:rPr>
          <w:b/>
        </w:rPr>
        <w:t xml:space="preserve">Pub date: </w:t>
      </w:r>
      <w:r>
        <w:t>2026-05-12 16:27:14+00:00</w:t>
      </w:r>
      <w:r>
        <w:t xml:space="preserve">    </w:t>
      </w:r>
      <w:r>
        <w:rPr>
          <w:b/>
        </w:rPr>
        <w:t xml:space="preserve">DOI: </w:t>
      </w:r>
      <w:hyperlink r:id="rId664">
        <w:r>
          <w:rPr>
            <w:color w:val="1155CC"/>
            <w:u w:val="single"/>
          </w:rPr>
          <w:t>10.1021/jacs.6c02948</w:t>
        </w:r>
      </w:hyperlink>
    </w:p>
    <w:p>
      <w:pPr>
        <w:spacing w:before="0" w:after="120"/>
      </w:pPr>
      <w:r>
        <w:rPr>
          <w:b/>
        </w:rPr>
        <w:t xml:space="preserve">Notes: </w:t>
      </w:r>
      <w:r>
        <w:t>abstract_source=pubmed</w:t>
      </w:r>
    </w:p>
    <w:p>
      <w:pPr>
        <w:spacing w:before="0" w:after="80" w:lineRule="auto" w:line="276"/>
      </w:pPr>
      <w:r>
        <w:rPr>
          <w:b/>
        </w:rPr>
        <w:t xml:space="preserve">摘要（ZH）: </w:t>
      </w:r>
      <w:r>
        <w:t>基于吸附的大气水收集（AWH）是一种新型水供应技术，旨在解决分散干旱地区的水资源短缺问题。先进的吸湿性金属有机框架（MOFs）已被设计用于增强水收集能力，但当前的结构设计策略往往在关键性能指标之间面临权衡。增强一个性能方面通常会导致其他方面的妥协，显著限制了整体水生产效率。在此，我们报告了一种Zr-MOF，fb-Zr-MOF-1，在水吸附过程中表现出水诱导的结构适应性，以平衡和共同优化所有性能指标。在低湿度水平下，柔性吡唑环的旋转摆动使路易斯碱性N位点与Zr6节点之间产生协同作用，有利于竞争性水吸附和解吸速率。在高湿度水平下，孔隙扩展容纳更多水以增加吸附容量。同时，适中的水结合能（Qst = 49.6 kJ mol-1）促进了节能再生。基于整体指标优化，fb-Zr-MOF-1在P/P0 = 30%时显示出0.41 g g-1的高水吸附量，平均每天约14个吸附-解吸循环，解吸温度为318 K，与大多数现有MOFs相比，实现了更高的每日水生产能力。这项研究为吸湿性MOF在干旱环境中实现高效和节能的大气水收集提供了新的结构适应性设计策略的见解。</w:t>
      </w:r>
    </w:p>
    <w:p>
      <w:pPr>
        <w:spacing w:before="0" w:after="200" w:lineRule="auto" w:line="276"/>
      </w:pPr>
      <w:r>
        <w:rPr>
          <w:b/>
        </w:rPr>
        <w:t xml:space="preserve">Abstract (EN): </w:t>
      </w:r>
      <w:r>
        <w:t>Adsorption-based atmospheric water harvesting (AWH) is a new water supply technology to address water scarcity in decentralized arid regions. Advanced hygroscopic metal-organic frameworks (MOFs) have been designed to enhance water harvesting capability, but current structural design strategies often face tradeoffs among key performance metrics. Enhancing one performance aspect often results in compromises in others, significantly limiting the overall water production efficiency. Herein, we report a water-induced structural adaptivity in a Zr-MOF, fb-Zr-MOF-1, during the water adsorption process to balance and co-optimize all performance metrics. At low humidity levels, the rotational swing of flexible pyrazole ring enables the synergy between Lewis basic N-site and Zr6 node, favoring competitive water adsorption and desorption rates. At high humidity level, the pore expansion accommodates more water to increase the adsorption capacity. Meanwhile, the moderate water binding energy (Qst = 49.6 kJ mol-1) facilitates energy-efficient regeneration. Based on holistic metrics optimization, fb-Zr-MOF-1 showed a high water uptake of 0.41 g g-1 at P/P0 = 30% with an average of ∼14 adsorption-desorption cycles per day and a mild desorption temperature of 318 K, achieving higher daily water production capacity compared to most prevailing MOFs. This study provides insights into a new structural adaptive design strategy for hydroscopic MOF for highly efficient and energy-efficient atmospheric water harvesting in an arid environment.</w:t>
      </w:r>
    </w:p>
    <w:p>
      <w:pPr>
        <w:spacing w:before="120" w:after="120"/>
      </w:pPr>
      <w:r>
        <w:rPr>
          <w:sz w:val="18"/>
        </w:rPr>
        <w:t>——————————————————————————————————————————————————————————————————————</w:t>
      </w:r>
    </w:p>
    <w:p>
      <w:pPr>
        <w:spacing w:before="160" w:after="40" w:line="240" w:lineRule="auto"/>
      </w:pPr>
      <w:r>
        <w:rPr>
          <w:b/>
        </w:rPr>
        <w:t xml:space="preserve">[243] </w:t>
      </w:r>
      <w:hyperlink r:id="rId665">
        <w:r>
          <w:rPr>
            <w:color w:val="1155CC"/>
            <w:u w:val="single"/>
          </w:rPr>
          <w:t>[ASAP] 对“覆盖Norrish II型以获取环丙醇”的更正</w:t>
        </w:r>
      </w:hyperlink>
    </w:p>
    <w:p>
      <w:pPr>
        <w:spacing w:before="0" w:after="80"/>
      </w:pPr>
      <w:r>
        <w:rPr>
          <w:i/>
          <w:sz w:val="20"/>
        </w:rPr>
        <w:t>EN: [ASAP] Correction to “Overriding Norrish Type II to Access Cyclopropanols”</w:t>
      </w:r>
    </w:p>
    <w:p>
      <w:pPr>
        <w:spacing w:before="0" w:after="120"/>
      </w:pPr>
      <w:r>
        <w:rPr>
          <w:b/>
        </w:rPr>
        <w:t xml:space="preserve">Source: </w:t>
      </w:r>
      <w:r>
        <w:t>Journal of the American Chemical Society: Latest Articles (ACS Publications)</w:t>
      </w:r>
      <w:r>
        <w:t xml:space="preserve">    </w:t>
      </w:r>
      <w:r>
        <w:rPr>
          <w:b/>
        </w:rPr>
        <w:t xml:space="preserve">Pub date: </w:t>
      </w:r>
      <w:r>
        <w:t>2026-05-12 16:49:27+00:00</w:t>
      </w:r>
      <w:r>
        <w:t xml:space="preserve">    </w:t>
      </w:r>
      <w:r>
        <w:rPr>
          <w:b/>
        </w:rPr>
        <w:t xml:space="preserve">DOI: </w:t>
      </w:r>
      <w:hyperlink r:id="rId666">
        <w:r>
          <w:rPr>
            <w:color w:val="1155CC"/>
            <w:u w:val="single"/>
          </w:rPr>
          <w:t>10.1021/jacs.6c08172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[244] </w:t>
      </w:r>
      <w:hyperlink r:id="rId667">
        <w:r>
          <w:rPr>
            <w:color w:val="1155CC"/>
            <w:u w:val="single"/>
          </w:rPr>
          <w:t>超分子调控光诱导电荷转移：在隧穿和非相干跳跃之间调节</w:t>
        </w:r>
      </w:hyperlink>
    </w:p>
    <w:p>
      <w:pPr>
        <w:spacing w:before="0" w:after="80"/>
      </w:pPr>
      <w:r>
        <w:rPr>
          <w:i/>
          <w:sz w:val="20"/>
        </w:rPr>
        <w:t>EN: Supramolecular Modulation of Photoinduced Charge Transfer: Tuning Between Tunneling and Incoherent Hopping</w:t>
      </w:r>
    </w:p>
    <w:p>
      <w:pPr>
        <w:spacing w:before="0" w:after="120"/>
      </w:pPr>
      <w:r>
        <w:rPr>
          <w:b/>
        </w:rPr>
        <w:t xml:space="preserve">Source: </w:t>
      </w:r>
      <w:r>
        <w:t>Wiley: Angewandte Chemie International Edition: Table of Contents</w:t>
      </w:r>
      <w:r>
        <w:t xml:space="preserve">    </w:t>
      </w:r>
      <w:r>
        <w:rPr>
          <w:b/>
        </w:rPr>
        <w:t xml:space="preserve">Pub date: </w:t>
      </w:r>
      <w:r>
        <w:t>2026-05-12 17:52:06+00:00</w:t>
      </w:r>
      <w:r>
        <w:t xml:space="preserve">    </w:t>
      </w:r>
      <w:r>
        <w:rPr>
          <w:b/>
        </w:rPr>
        <w:t xml:space="preserve">DOI: </w:t>
      </w:r>
      <w:hyperlink r:id="rId668">
        <w:r>
          <w:rPr>
            <w:color w:val="1155CC"/>
            <w:u w:val="single"/>
          </w:rPr>
          <w:t>10.1002/anie.6007000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诱导电荷转移（CT）是光合作用和太阳能转换技术的基础。然而，在传统的共价供体-桥-受体（D-B-A）系统中实现对CT的全面控制仍然具有挑战性，受到繁琐的有机合成和有限的可调性的限制。在这项研究中，我们利用分子识别来调节光诱导CT，包括电荷分离和复合，利用其易于制备和动态可逆性。通过将具有广泛前沿轨道能量的客体分子整合到刚性环芳烃主体（DAPPTTzBox 4+）中，该主体具有通过共面堆叠的发色团进行定向光诱导的分子内CT，我们在定义明确的超分子复合物中实现了CT的全面调节。这种调节涵盖了从隧穿到非相干跳跃的机制。值得注意的是，分子识别加速了DAPPTTzBox 4+中的电荷分离，速度提高了5.9到230倍，从单步超交换转变为多步非相干电荷转移，而在超交换系统中电荷复合速率降低了（从1.3到2.8倍）。此外，还成功展示了客体诱导的电荷捕获。这项研究展示了一种通过非共价相互作用操控CT动力学的新策略，开辟了新的av</w:t>
      </w:r>
    </w:p>
    <w:p>
      <w:pPr>
        <w:spacing w:before="0" w:after="200" w:lineRule="auto" w:line="276"/>
      </w:pPr>
      <w:r>
        <w:rPr>
          <w:b/>
        </w:rPr>
        <w:t xml:space="preserve">Abstract (EN): </w:t>
      </w:r>
      <w:r>
        <w:t>Photoinduced charge transfer (CT) underpins photosynthesis and solar energy conversion technologies. However, achieving comprehensive control over CT in traditional covalent donor−bridge−acceptor (D−B−A) systems remains challenging, hindered by tedious organic synthesis and limited tunability. In this investigation, we harness molecular recognition to regulate photoinduced CT—including charge separation and recombination—leveraging its facile preparation and dynamic reversibility. By integrating guest molecules with a wide range of frontier orbital energies into a rigid cyclophane host (</w:t>
      </w:r>
      <w:r>
        <w:t xml:space="preserve"> </w:t>
      </w:r>
      <w:r>
        <w:t>DAPPTTzBox</w:t>
      </w:r>
      <w:r>
        <w:t xml:space="preserve"> </w:t>
      </w:r>
      <w:r>
        <w:t>4+</w:t>
      </w:r>
      <w:r>
        <w:t xml:space="preserve"> </w:t>
      </w:r>
      <w:r>
        <w:t>), which features directional photoinduced intramolecular CT through cofacially stacked chromophores, we achieve comprehensive modulation of CT within well‐defined supramolecular complexes. This modulation spans mechanisms from tunneling to incoherent hopping. Notably, molecular recognition accelerates charge separation in</w:t>
      </w:r>
      <w:r>
        <w:t xml:space="preserve"> </w:t>
      </w:r>
      <w:r>
        <w:t>DAPPTTzBox</w:t>
      </w:r>
      <w:r>
        <w:t xml:space="preserve"> </w:t>
      </w:r>
      <w:r>
        <w:t>4+</w:t>
      </w:r>
      <w:r>
        <w:t xml:space="preserve"> </w:t>
      </w:r>
      <w:r>
        <w:t>by 5.9‐ to 230‐fold, shifting from single‐step superexchange to multistep incoherent charge shift, while charge recombination rates are decreased (from 1.3‑ to 2.8‑fold) in superexchange systems. Additionally, guest‐induced charge trapping was also successfully demonstrated. This research exemplifies a fresh strategy for manipulating CT dynamics via noncovalent interactions, opening new avenues for the design of advanced artificial light‐harvesting materials.</w:t>
      </w:r>
    </w:p>
    <w:p>
      <w:pPr>
        <w:spacing w:before="120" w:after="120"/>
      </w:pPr>
      <w:r>
        <w:rPr>
          <w:sz w:val="18"/>
        </w:rPr>
        <w:t>——————————————————————————————————————————————————————————————————————</w:t>
      </w:r>
    </w:p>
    <w:p>
      <w:pPr>
        <w:spacing w:before="160" w:after="40" w:line="240" w:lineRule="auto"/>
      </w:pPr>
      <w:r>
        <w:rPr>
          <w:b/>
        </w:rPr>
        <w:t xml:space="preserve">[245] </w:t>
      </w:r>
      <w:hyperlink r:id="rId669">
        <w:r>
          <w:rPr>
            <w:color w:val="1155CC"/>
            <w:u w:val="single"/>
          </w:rPr>
          <w:t>[ASAP] 聚合物固体中靶向机械化学的建模</w:t>
        </w:r>
      </w:hyperlink>
    </w:p>
    <w:p>
      <w:pPr>
        <w:spacing w:before="0" w:after="80"/>
      </w:pPr>
      <w:r>
        <w:rPr>
          <w:i/>
          <w:sz w:val="20"/>
        </w:rPr>
        <w:t>EN: [ASAP] Modeling Targeted Mechanochemistry in Polymeric Solids</w:t>
      </w:r>
    </w:p>
    <w:p>
      <w:pPr>
        <w:spacing w:before="0" w:after="120"/>
      </w:pPr>
      <w:r>
        <w:rPr>
          <w:b/>
        </w:rPr>
        <w:t xml:space="preserve">Source: </w:t>
      </w:r>
      <w:r>
        <w:t>Chemical Reviews: Latest Articles (ACS Publications)</w:t>
      </w:r>
      <w:r>
        <w:t xml:space="preserve">    </w:t>
      </w:r>
      <w:r>
        <w:rPr>
          <w:b/>
        </w:rPr>
        <w:t xml:space="preserve">Pub date: </w:t>
      </w:r>
      <w:r>
        <w:t>2026-05-12 19:24:30+00:00</w:t>
      </w:r>
      <w:r>
        <w:t xml:space="preserve">    </w:t>
      </w:r>
      <w:r>
        <w:rPr>
          <w:b/>
        </w:rPr>
        <w:t xml:space="preserve">DOI: </w:t>
      </w:r>
      <w:hyperlink r:id="rId670">
        <w:r>
          <w:rPr>
            <w:color w:val="1155CC"/>
            <w:u w:val="single"/>
          </w:rPr>
          <w:t>10.1021/acs.chemrev.6c00110</w:t>
        </w:r>
      </w:hyperlink>
    </w:p>
    <w:p>
      <w:pPr>
        <w:spacing w:before="0" w:after="120"/>
      </w:pPr>
      <w:r>
        <w:rPr>
          <w:b/>
        </w:rPr>
        <w:t xml:space="preserve">Notes: </w:t>
      </w:r>
      <w:r>
        <w:t>abstract_source=pubmed</w:t>
      </w:r>
    </w:p>
    <w:p>
      <w:pPr>
        <w:spacing w:before="0" w:after="80" w:lineRule="auto" w:line="276"/>
      </w:pPr>
      <w:r>
        <w:rPr>
          <w:b/>
        </w:rPr>
        <w:t xml:space="preserve">摘要（ZH）: </w:t>
      </w:r>
      <w:r>
        <w:t>将机械活性分子嵌入聚合物固体中可以设计出对机械刺激有响应的材料，应用于传感、自愈和自适应系统。本文综述了聚合物固体中机械活性分子的多尺度建模方法，从纳米尺度的量子化学模型和中尺度的反应分子动力学到宏观尺度的连续介质框架。我们还讨论了如力修饰势能面等理论基础。然后，我们将计算策略与实验见解进行比较，突出关键发现，包括机械活性分子的几何形状、化学取代基、网络结构和物理交联在力传递和激活中的作用。该领域的持续挑战包括捕捉多尺度动力学、局部环境效应和异质性。推进预测模型将加速机械活性分子的发现，并实现机械响应聚合物固体的合理设计。</w:t>
      </w:r>
    </w:p>
    <w:p>
      <w:pPr>
        <w:spacing w:before="0" w:after="200" w:lineRule="auto" w:line="276"/>
      </w:pPr>
      <w:r>
        <w:rPr>
          <w:b/>
        </w:rPr>
        <w:t xml:space="preserve">Abstract (EN): </w:t>
      </w:r>
      <w:r>
        <w:t>Embedding mechanophores into polymeric solids enables the design of materials that respond to mechanical stimuli, with applications in sensing, self-healing, and adaptive systems. This review summarizes modeling approaches for mechanophores in polymer solids across multiple length scales, from nanoscale quantum chemical models and mesoscale reactive molecular dynamics to macroscale continuum frameworks. We also discuss theoretical foundations such as force-modified potential energy surfaces. We then compare computational strategies to experimental insights, highlighting key findings, ranging from the roles of mechanophore geometry, chemical substituents, network architecture, and physical cross-linking in force transduction and activation. Persistent challenges in the field include capturing multiscale dynamics, local environmental effects, and heterogeneity. Advancing predictive models will accelerate mechanophore discovery and enable rational design of mechanoresponsive polymeric solids.</w:t>
      </w:r>
    </w:p>
    <w:p>
      <w:pPr>
        <w:spacing w:before="120" w:after="120"/>
      </w:pPr>
      <w:r>
        <w:rPr>
          <w:sz w:val="18"/>
        </w:rPr>
        <w:t>——————————————————————————————————————————————————————————————————————</w:t>
      </w:r>
    </w:p>
    <w:p>
      <w:pPr>
        <w:spacing w:before="160" w:after="40" w:line="240" w:lineRule="auto"/>
      </w:pPr>
      <w:r>
        <w:rPr>
          <w:b/>
        </w:rPr>
        <w:t xml:space="preserve">[246] </w:t>
      </w:r>
      <w:hyperlink r:id="rId671">
        <w:r>
          <w:rPr>
            <w:color w:val="1155CC"/>
            <w:u w:val="single"/>
          </w:rPr>
          <w:t>[ASAP] 缺陷诱导的动态重构提升钙钛矿氧化物的氧析出活性</w:t>
        </w:r>
      </w:hyperlink>
    </w:p>
    <w:p>
      <w:pPr>
        <w:spacing w:before="0" w:after="80"/>
      </w:pPr>
      <w:r>
        <w:rPr>
          <w:i/>
          <w:sz w:val="20"/>
        </w:rPr>
        <w:t>EN: [ASAP] Defect-Induced Dynamic Reconstruction Boosts Oxygen Evolution Activity of Perovskite Oxides</w:t>
      </w:r>
    </w:p>
    <w:p>
      <w:pPr>
        <w:spacing w:before="0" w:after="120"/>
      </w:pPr>
      <w:r>
        <w:rPr>
          <w:b/>
        </w:rPr>
        <w:t xml:space="preserve">Source: </w:t>
      </w:r>
      <w:r>
        <w:t>Journal of the American Chemical Society: Latest Articles (ACS Publications)</w:t>
      </w:r>
      <w:r>
        <w:t xml:space="preserve">    </w:t>
      </w:r>
      <w:r>
        <w:rPr>
          <w:b/>
        </w:rPr>
        <w:t xml:space="preserve">Pub date: </w:t>
      </w:r>
      <w:r>
        <w:t>2026-05-12 19:34:20+00:00</w:t>
      </w:r>
      <w:r>
        <w:t xml:space="preserve">    </w:t>
      </w:r>
      <w:r>
        <w:rPr>
          <w:b/>
        </w:rPr>
        <w:t xml:space="preserve">DOI: </w:t>
      </w:r>
      <w:hyperlink r:id="rId672">
        <w:r>
          <w:rPr>
            <w:color w:val="1155CC"/>
            <w:u w:val="single"/>
          </w:rPr>
          <w:t>10.1021/jacs.6c04404</w:t>
        </w:r>
      </w:hyperlink>
    </w:p>
    <w:p>
      <w:pPr>
        <w:spacing w:before="0" w:after="120"/>
      </w:pPr>
      <w:r>
        <w:rPr>
          <w:b/>
        </w:rPr>
        <w:t xml:space="preserve">Notes: </w:t>
      </w:r>
      <w:r>
        <w:t>abstract_source=pubmed</w:t>
      </w:r>
    </w:p>
    <w:p>
      <w:pPr>
        <w:spacing w:before="0" w:after="80" w:lineRule="auto" w:line="276"/>
      </w:pPr>
      <w:r>
        <w:rPr>
          <w:b/>
        </w:rPr>
        <w:t xml:space="preserve">摘要（ZH）: </w:t>
      </w:r>
      <w:r>
        <w:t>可再生能源的间歇性特性需要高效的储能方式，电化学水分解提供了一种将电力转化为绿色氢气的途径。氧析出反应（OER）是动力学瓶颈，钙钛矿氧化物如镧镍氧化物（LaNiO3, LNO）是有前景的催化剂。氧空位被提议可以增强活性，但由于OER期间动态的界面结构，其具体作用仍不清楚。在此，我们采用具有控制氧空位浓度的外延LNO薄膜，结合电化学原子力显微镜（EC-AFM）、拉曼光谱和角分辨X射线光电子能谱（ARXPS）来跟踪空位诱导的结构和化学演变。此外，基于表征的结构信息，应用机器学习分子动力学（MLMD）来阐明活性相的形成机制。我们揭示了氧空位触发镧的浸出，导致结构畸变并重新配置为被识别为γ-NiOOH的高活性相。这些发现建立了原子级的结构-活性关系，并为设计下一代OER催化剂提供了合理的策略。</w:t>
      </w:r>
    </w:p>
    <w:p>
      <w:pPr>
        <w:spacing w:before="0" w:after="200" w:lineRule="auto" w:line="276"/>
      </w:pPr>
      <w:r>
        <w:rPr>
          <w:b/>
        </w:rPr>
        <w:t xml:space="preserve">Abstract (EN): </w:t>
      </w:r>
      <w:r>
        <w:t>The intermittent nature of renewable energy calls for efficient storage, and electrochemical water splitting provides a route to convert electricity into green hydrogen. The oxygen evolution reaction (OER) is the kinetic bottleneck, and perovskite oxides such as lanthanum nickelate (LaNiO3, LNO) are promising catalysts. Oxygen vacancies have been proposed to enhance activity, yet their specific role remains unclear due to the dynamic interfacial structure during OER. Here, we employ epitaxial LNO thin films with controlled oxygen-vacancy concentrations, combining electrochemical atomic force microscopy (EC-AFM), Raman spectroscopy, and angle-resolved X-ray photoelectron spectroscopy (ARXPS) to track vacancy-induced structural and chemical evolution. Furthermore, based on the structural information from characterization, machine learning molecular dynamics (MLMD) is applied to elucidate the formation mechanism of the active phase. We reveal that oxygen vacancies trigger La leaching, inducing structural distortion and reconfiguration into a highly active phase identified as γ-NiOOH. These findings establish atomic-level structure-activity relationships and provide a rational strategy for designing next-generation OER catalysts.</w:t>
      </w:r>
    </w:p>
    <w:p>
      <w:pPr>
        <w:spacing w:before="120" w:after="120"/>
      </w:pPr>
      <w:r>
        <w:rPr>
          <w:sz w:val="18"/>
        </w:rPr>
        <w:t>——————————————————————————————————————————————————————————————————————</w:t>
      </w:r>
    </w:p>
    <w:p>
      <w:pPr>
        <w:spacing w:before="160" w:after="40" w:line="240" w:lineRule="auto"/>
      </w:pPr>
      <w:r>
        <w:rPr>
          <w:b/>
        </w:rPr>
        <w:t xml:space="preserve">[247] </w:t>
      </w:r>
      <w:hyperlink r:id="rId673">
        <w:r>
          <w:rPr>
            <w:color w:val="1155CC"/>
            <w:u w:val="single"/>
          </w:rPr>
          <w:t>更正：铬激活的荧光粉：从理论到应用</w:t>
        </w:r>
      </w:hyperlink>
    </w:p>
    <w:p>
      <w:pPr>
        <w:spacing w:before="0" w:after="80"/>
      </w:pPr>
      <w:r>
        <w:rPr>
          <w:i/>
          <w:sz w:val="20"/>
        </w:rPr>
        <w:t>EN: Correction: Chromium-activated phosphors: from theory to applications</w:t>
      </w:r>
    </w:p>
    <w:p>
      <w:pPr>
        <w:spacing w:before="0" w:after="120"/>
      </w:pPr>
      <w:r>
        <w:rPr>
          <w:b/>
        </w:rPr>
        <w:t xml:space="preserve">Source: </w:t>
      </w:r>
      <w:r>
        <w:t>RSC - Chem. Soc. Rev. latest articles</w:t>
      </w:r>
      <w:r>
        <w:t xml:space="preserve">    </w:t>
      </w:r>
      <w:r>
        <w:rPr>
          <w:b/>
        </w:rPr>
        <w:t xml:space="preserve">Pub date: </w:t>
      </w:r>
      <w:r>
        <w:t>2026-05-12 23:00:00+00:00</w:t>
      </w:r>
    </w:p>
    <w:p>
      <w:pPr>
        <w:spacing w:before="0" w:after="120"/>
      </w:pPr>
      <w:r>
        <w:rPr>
          <w:b/>
        </w:rPr>
        <w:t xml:space="preserve">Notes: </w:t>
      </w:r>
      <w:r>
        <w:t>abstract_source=rsc_html</w:t>
      </w:r>
    </w:p>
    <w:p>
      <w:pPr>
        <w:spacing w:before="0" w:after="80" w:lineRule="auto" w:line="276"/>
      </w:pPr>
      <w:r>
        <w:rPr>
          <w:b/>
        </w:rPr>
        <w:t xml:space="preserve">摘要（ZH）: </w:t>
      </w:r>
      <w:r>
        <w:t>对Shengqiang Liu等人撰写的《铬激活的荧光粉：从理论到应用》的更正，Chem. Soc. Rev., 2026, 55, 1954–1998, https://doi.org/10.1039/D5CS00957J。</w:t>
      </w:r>
    </w:p>
    <w:p>
      <w:pPr>
        <w:spacing w:before="0" w:after="200" w:lineRule="auto" w:line="276"/>
      </w:pPr>
      <w:r>
        <w:rPr>
          <w:b/>
        </w:rPr>
        <w:t xml:space="preserve">Abstract (EN): </w:t>
      </w:r>
      <w:r>
        <w:t>Correction for ‘Chromium-activated phosphors: from theory to applications’ by Shengqiang Liu et al., Chem. Soc. Rev., 2026, 55, 1954–1998, https://doi.org/10.1039/D5CS00957J.</w:t>
      </w:r>
    </w:p>
    <w:p>
      <w:pPr>
        <w:spacing w:before="120" w:after="120"/>
      </w:pPr>
      <w:r>
        <w:rPr>
          <w:sz w:val="18"/>
        </w:rPr>
        <w:t>——————————————————————————————————————————————————————————————————————</w:t>
      </w:r>
    </w:p>
    <w:p>
      <w:pPr>
        <w:spacing w:before="160" w:after="40" w:line="240" w:lineRule="auto"/>
      </w:pPr>
      <w:r>
        <w:rPr>
          <w:b/>
        </w:rPr>
        <w:t xml:space="preserve">[248] </w:t>
      </w:r>
      <w:hyperlink r:id="rId674">
        <w:r>
          <w:rPr>
            <w:color w:val="1155CC"/>
            <w:u w:val="single"/>
          </w:rPr>
          <w:t>你能走多远？从已知蛋白质景观中推断天然和定向进化的催化活性值</w:t>
        </w:r>
      </w:hyperlink>
    </w:p>
    <w:p>
      <w:pPr>
        <w:spacing w:before="0" w:after="80"/>
      </w:pPr>
      <w:r>
        <w:rPr>
          <w:i/>
          <w:sz w:val="20"/>
        </w:rPr>
        <w:t>EN: How far can you go? Extrapolating values of catalytic activity from known protein landscapes in natural and directed evolution</w:t>
      </w:r>
    </w:p>
    <w:p>
      <w:pPr>
        <w:spacing w:before="0" w:after="120"/>
      </w:pPr>
      <w:r>
        <w:rPr>
          <w:b/>
        </w:rPr>
        <w:t xml:space="preserve">Source: </w:t>
      </w:r>
      <w:r>
        <w:t>RSC - Chem. Soc. Rev. latest articles</w:t>
      </w:r>
      <w:r>
        <w:t xml:space="preserve">    </w:t>
      </w:r>
      <w:r>
        <w:rPr>
          <w:b/>
        </w:rPr>
        <w:t xml:space="preserve">Pub date: </w:t>
      </w:r>
      <w:r>
        <w:t>2026-05-12 23:00:00+00:00</w:t>
      </w:r>
    </w:p>
    <w:p>
      <w:pPr>
        <w:spacing w:before="0" w:after="120"/>
      </w:pPr>
      <w:r>
        <w:rPr>
          <w:b/>
        </w:rPr>
        <w:t xml:space="preserve">Notes: </w:t>
      </w:r>
      <w:r>
        <w:t>abstract_source=rsc_html</w:t>
      </w:r>
    </w:p>
    <w:p>
      <w:pPr>
        <w:spacing w:before="0" w:after="80" w:lineRule="auto" w:line="276"/>
      </w:pPr>
      <w:r>
        <w:rPr>
          <w:b/>
        </w:rPr>
        <w:t xml:space="preserve">摘要（ZH）: </w:t>
      </w:r>
      <w:r>
        <w:t>由标准未修饰的蛋白源性氨基酸组成的长度为N的蛋白质序列的可能变体数量为20^N；因此，其详尽的实验分析是不可行的。我们的重点是不同适应度景观的真实和感知形状。上位性指的是一种现象，即在给定残基处的“最佳”氨基酸取决于一个或多个其他残基处氨基酸的性质。由于上位性，真实的蛋白质景观显示出局部最大值的峰值，其中弱突变/强选择机制可能导致进化被困，从而形成崎岖的景观。幸运的是，尽管它们必然有些崎岖，但这种蛋白质景观具有规律性，可以通过更有限的实验数据进行建模，使用统计学和机器学习的方法。我们提供了各种论据，认为对于长度为300–500残基的典型蛋白质，大约10^5或10^6个例子，在有利的情况下甚至更少，可能足以允许对整个20^N景观进行合理的初步建模（以及准确的预测探索），例如kcat的性质。现有野生型周围的适应度效应分布（DFE）通常通过伽马分布进行合理的统计拟合。然而，我们还调查了现代思想，特别是极值理论，允许从已知中进行外推，重点是方法——特别是广义帕累托分布——提供生成统计可能性的方法。</w:t>
      </w:r>
    </w:p>
    <w:p>
      <w:pPr>
        <w:spacing w:before="0" w:after="200" w:lineRule="auto" w:line="276"/>
      </w:pPr>
      <w:r>
        <w:rPr>
          <w:b/>
        </w:rPr>
        <w:t xml:space="preserve">Abstract (EN): </w:t>
      </w:r>
      <w:r>
        <w:t>The number of possible variants representing the landscape of a protein sequence of length N residues, made of the standard unmodified proteinogenic amino acids, is 20N; its exhaustive experimental analysis is consequently intractable. Our focus is on the real and perceived shapes of different fitness landscapes. Epistasis refers to a phenomenon by which the ‘best’ amino acid at a given residue depends on the nature of the amino acid at one or more other residues. Because of epistasis, real protein landscapes display peaks representing local maxima in which weak mutation/strong-selection regimes can cause evolution to become trapped, leading to landscapes that are rugged. Fortunately, although they are necessarily somewhat rugged, such protein landscapes possess regularities that admit their modelling from more limited experimental data, using the methods of statistics and machine learning. We provide a variety of arguments that for typical proteins of length 300–500 residues some 105 or 106 examples, and in favourable cases even fewer, are likely sufficient to allow a reasonable initial modelling (and accurate predictive exploration) of the entire 20N landscape for properties such as kcat. The distribution of fitness effects (DFE) around an existing wild type is usually reasonably fitted statistically by a gamma distribution. However, we also survey modern ideas, especially extreme value theory, that allow extrapolation from the known, with a focus on methods – especially the Generalised Pareto Distribution – that provide means for generating the statistical likelihood of obtaining activities or fitnesses far greater than those observed in existing populations as measured with what are small numbers. These likelihoods typically decrease exponentially, as do the decreases in errors as a function of the size of the network and of the training data as found by deep neural network models as ‘universal approximators’. This is entirely consistent with the large differences between the minuscule amount of available sequence-activity data, that are necessarily local in character, reflecting evolutionary contingency, and the overall distribution (20N, where N might usefully be decreased) that would be expected to contain examples that have much better properties than any observed thus far. This consequently requires careful choices of examples drawn from an extensive distribution (using active learning) for predictive modelling. For instance, a widespread view of a trade-off between catalytic activity and thermostability seems to follow directly from inadequate sampling. All of this has significant implications for the understanding, modelling, and optimisation of experiments in directed evolution and the biocatalysts they produce.</w:t>
      </w:r>
    </w:p>
    <w:p>
      <w:pPr>
        <w:spacing w:before="120" w:after="120"/>
      </w:pPr>
      <w:r>
        <w:rPr>
          <w:sz w:val="18"/>
        </w:rPr>
        <w:t>——————————————————————————————————————————————————————————————————————</w:t>
      </w:r>
    </w:p>
    <w:p>
      <w:pPr>
        <w:spacing w:before="160" w:after="40" w:line="240" w:lineRule="auto"/>
      </w:pPr>
      <w:r>
        <w:rPr>
          <w:b/>
        </w:rPr>
        <w:t xml:space="preserve">[249] </w:t>
      </w:r>
      <w:hyperlink r:id="rId675">
        <w:r>
          <w:rPr>
            <w:color w:val="1155CC"/>
            <w:u w:val="single"/>
          </w:rPr>
          <w:t>单晶共价有机框架</w:t>
        </w:r>
      </w:hyperlink>
    </w:p>
    <w:p>
      <w:pPr>
        <w:spacing w:before="0" w:after="80"/>
      </w:pPr>
      <w:r>
        <w:rPr>
          <w:i/>
          <w:sz w:val="20"/>
        </w:rPr>
        <w:t>EN: Single crystal covalent organic frameworks</w:t>
      </w:r>
    </w:p>
    <w:p>
      <w:pPr>
        <w:spacing w:before="0" w:after="120"/>
      </w:pPr>
      <w:r>
        <w:rPr>
          <w:b/>
        </w:rPr>
        <w:t xml:space="preserve">Source: </w:t>
      </w:r>
      <w:r>
        <w:t>RSC - Chem. Soc. Rev. latest articles</w:t>
      </w:r>
      <w:r>
        <w:t xml:space="preserve">    </w:t>
      </w:r>
      <w:r>
        <w:rPr>
          <w:b/>
        </w:rPr>
        <w:t xml:space="preserve">Pub date: </w:t>
      </w:r>
      <w:r>
        <w:t>2026-05-12 23:00:00+00:00</w:t>
      </w:r>
    </w:p>
    <w:p>
      <w:pPr>
        <w:spacing w:before="0" w:after="120"/>
      </w:pPr>
      <w:r>
        <w:rPr>
          <w:b/>
        </w:rPr>
        <w:t xml:space="preserve">Notes: </w:t>
      </w:r>
      <w:r>
        <w:t>abstract_source=rsc_html</w:t>
      </w:r>
    </w:p>
    <w:p>
      <w:pPr>
        <w:spacing w:before="0" w:after="80" w:lineRule="auto" w:line="276"/>
      </w:pPr>
      <w:r>
        <w:rPr>
          <w:b/>
        </w:rPr>
        <w:t xml:space="preserve">摘要（ZH）: </w:t>
      </w:r>
      <w:r>
        <w:t>共价有机框架（COFs）是结晶多孔聚合物，通过拓扑图设计特定维度的有机结构，并构建具有结构源独特功能的多样材料，提供了一个多功能平台。它们的合成依赖于通过耦合的物理化学过程组织有机构建单元，包括共价聚合、超分子聚合、成核和结晶。因此，聚合系统发展出高度复杂的反应景观，其特征是不同大小和形状的低聚物和聚合物共存、共价键形成和非共价相互作用并存，以及对条件敏感且独特的热力学和动力学路径竞争。这种内在的复杂性限制了多晶COFs的精确结构控制，并对单晶COFs的合成提出了巨大挑战，单晶COFs在结构多样性、可扩展性和可及性方面仍然稀缺。在这篇综述中，我们检查了当前单晶COFs的设计和合成策略和方法，仔细研究了聚合、成核和结晶机制以识别关键控制参数，关联结构-性能关系，并比较其与多晶COFs的性能和功能，以阐明结构完整性对性能的影响。我们展望了关键挑战并概述了未来的主要方向。通过构建完整的图景，这篇综述提供了一个概念框架和路线图。</w:t>
      </w:r>
    </w:p>
    <w:p>
      <w:pPr>
        <w:spacing w:before="0" w:after="200" w:lineRule="auto" w:line="276"/>
      </w:pPr>
      <w:r>
        <w:rPr>
          <w:b/>
        </w:rPr>
        <w:t xml:space="preserve">Abstract (EN): </w:t>
      </w:r>
      <w:r>
        <w:t>Covalent organic frameworks (COFs) are crystalline porous polymers that provide a versatile platform for designing dimension-specific organic architectures via topology diagrams and constructing diverse materials with structure-originated unique functions. Their synthesis relies on the organization of organic building units through coupled physicochemical processes, including covalent polymerization, supramolecular polymerization, nucleation and crystallization. As a result, the polymerization system develops a highly complex reaction landscape, characterized by the coexistence of oligomers and polymers of diverse sizes and shapes, concurrent covalent bond formations and noncovalent interactions, and competing thermodynamic and kinetic pathways that respond sensitively and distinctively to conditions. This intrinsic complexity limits precise structural control in polycrystalline COFs and poses great challenges for the synthesis of single crystal COFs, which remain scarce in terms of structural diversity, scalability and accessibility. In this review, we inspect current strategies and methodologies for the design and synthesis of single crystal COFs, scrutinize polymerization, nucleation and crystallization mechanisms to identify key control parameters, correlate structure–property relationships and compare their properties and functions with polycrystalline COFs to elucidate the impact of structural integrity on performance. We envision the key challenges and outline future major directions. By building a full picture, this review provides a conceptual framework and roadmap for advancing single crystal COFs toward fundamental innovation and practical implementation.</w:t>
      </w:r>
    </w:p>
    <w:p>
      <w:pPr>
        <w:spacing w:before="120" w:after="120"/>
      </w:pPr>
      <w:r>
        <w:rPr>
          <w:sz w:val="18"/>
        </w:rPr>
        <w:t>——————————————————————————————————————————————————————————————————————</w:t>
      </w:r>
    </w:p>
    <w:p>
      <w:pPr>
        <w:spacing w:before="160" w:after="40" w:line="240" w:lineRule="auto"/>
      </w:pPr>
      <w:r>
        <w:rPr>
          <w:b/>
        </w:rPr>
        <w:t xml:space="preserve">[250] </w:t>
      </w:r>
      <w:hyperlink r:id="rId676">
        <w:r>
          <w:rPr>
            <w:color w:val="1155CC"/>
            <w:u w:val="single"/>
          </w:rPr>
          <w:t>关于共价有机框架在癌症铁死亡和焦亡中的化学见解</w:t>
        </w:r>
      </w:hyperlink>
    </w:p>
    <w:p>
      <w:pPr>
        <w:spacing w:before="0" w:after="80"/>
      </w:pPr>
      <w:r>
        <w:rPr>
          <w:i/>
          <w:sz w:val="20"/>
        </w:rPr>
        <w:t>EN: Chemical insights on covalent organic frameworks for ferroptosis and pyroptosis in cancer</w:t>
      </w:r>
    </w:p>
    <w:p>
      <w:pPr>
        <w:spacing w:before="0" w:after="120"/>
      </w:pPr>
      <w:r>
        <w:rPr>
          <w:b/>
        </w:rPr>
        <w:t xml:space="preserve">Source: </w:t>
      </w:r>
      <w:r>
        <w:t>RSC - Chem. Soc. Rev. latest articles</w:t>
      </w:r>
      <w:r>
        <w:t xml:space="preserve">    </w:t>
      </w:r>
      <w:r>
        <w:rPr>
          <w:b/>
        </w:rPr>
        <w:t xml:space="preserve">Pub date: </w:t>
      </w:r>
      <w:r>
        <w:t>2026-05-12 23:00:00+00:00</w:t>
      </w:r>
    </w:p>
    <w:p>
      <w:pPr>
        <w:spacing w:before="0" w:after="120"/>
      </w:pPr>
      <w:r>
        <w:rPr>
          <w:b/>
        </w:rPr>
        <w:t xml:space="preserve">Notes: </w:t>
      </w:r>
      <w:r>
        <w:t>abstract_source=rsc_html</w:t>
      </w:r>
    </w:p>
    <w:p>
      <w:pPr>
        <w:spacing w:before="0" w:after="80" w:lineRule="auto" w:line="276"/>
      </w:pPr>
      <w:r>
        <w:rPr>
          <w:b/>
        </w:rPr>
        <w:t xml:space="preserve">摘要（ZH）: </w:t>
      </w:r>
      <w:r>
        <w:t>共价有机框架（COFs）因其可定制的结构和特性，可作为药物递送和生成活性氧（ROS）的综合平台。本教程综述概述了设计、合成和工程COFs以实现氧化应激驱动的细胞死亡的实用指南，重点关注铁死亡和新兴的焦亡途径。讨论了COF定制以克服抗氧化屏障、递送氧化还原活性物质、释放丰富的ROS并优化治疗效果，同时将不良影响降至最低。在生物氧化还原环境和导致铁死亡或焦亡的氧化损伤背景下，全面讨论了COF的化学设计和机制。此外，本综述探讨了增强铁死亡和焦亡诱导的特异性和治疗效果的策略，可能与传统癌症治疗协同作用。还讨论了将基于COF的疗法转化的挑战和前景。总体而言，COFs代表了一种用于癌症治疗中靶向铁死亡和焦亡诱导的多功能平台，为精准医学和个性化癌症治疗的未来提供了见解。</w:t>
      </w:r>
    </w:p>
    <w:p>
      <w:pPr>
        <w:spacing w:before="0" w:after="200" w:lineRule="auto" w:line="276"/>
      </w:pPr>
      <w:r>
        <w:rPr>
          <w:b/>
        </w:rPr>
        <w:t xml:space="preserve">Abstract (EN): </w:t>
      </w:r>
      <w:r>
        <w:t>Covalent organic frameworks (COFs), with their customizable structures and properties, can be employed as comprehensive platforms for drug delivery and generating reactive oxygen species (ROS). This Tutorial Review outlines practical guidelines for the design, synthesis, and engineering of COFs to achieve oxidative-stress-driven cell death, with a focus on ferroptosis and the emerging pyroptosis pathways. It discusses COF customization to overcome antioxidative barriers, deliver redox-active species, release the abundant ROS, and optimize the therapeutic efficacy, while minimizing adverse effects. The chemical design and mechanism of the COF are comprehensively discussed, within the context of the biological redox environment and oxidative damage leading to ferroptosis or pyroptosis. Furthermore, this review explores strategies for enhancing the specificity and therapeutic effects of ferroptosis and pyroptosis induction in potential synergy with conventional cancer treatments. The challenges and perspectives associated with translating COF-based therapies have also been addressed. Overall, COFs represent a versatile platform for targeted ferroptosis and pyroptosis induction in cancer therapy, offering insights into the future of precision medicine and personalized cancer therapy.</w:t>
      </w:r>
    </w:p>
    <w:p>
      <w:pPr>
        <w:spacing w:before="120" w:after="120"/>
      </w:pPr>
      <w:r>
        <w:rPr>
          <w:sz w:val="18"/>
        </w:rPr>
        <w:t>——————————————————————————————————————————————————————————————————————</w:t>
      </w:r>
    </w:p>
    <w:p>
      <w:pPr>
        <w:spacing w:before="160" w:after="40" w:line="240" w:lineRule="auto"/>
      </w:pPr>
      <w:r>
        <w:rPr>
          <w:b/>
        </w:rPr>
        <w:t xml:space="preserve">[251] </w:t>
      </w:r>
      <w:hyperlink r:id="rId677">
        <w:r>
          <w:rPr>
            <w:color w:val="1155CC"/>
            <w:u w:val="single"/>
          </w:rPr>
          <w:t>用于细胞包封的新兴多孔材料</w:t>
        </w:r>
      </w:hyperlink>
    </w:p>
    <w:p>
      <w:pPr>
        <w:spacing w:before="0" w:after="80"/>
      </w:pPr>
      <w:r>
        <w:rPr>
          <w:i/>
          <w:sz w:val="20"/>
        </w:rPr>
        <w:t>EN: Emerging porous materials for cell encapsulation</w:t>
      </w:r>
    </w:p>
    <w:p>
      <w:pPr>
        <w:spacing w:before="0" w:after="120"/>
      </w:pPr>
      <w:r>
        <w:rPr>
          <w:b/>
        </w:rPr>
        <w:t xml:space="preserve">Source: </w:t>
      </w:r>
      <w:r>
        <w:t>RSC - Chem. Soc. Rev. latest articles</w:t>
      </w:r>
      <w:r>
        <w:t xml:space="preserve">    </w:t>
      </w:r>
      <w:r>
        <w:rPr>
          <w:b/>
        </w:rPr>
        <w:t xml:space="preserve">Pub date: </w:t>
      </w:r>
      <w:r>
        <w:t>2026-05-12 23:00:00+00:00</w:t>
      </w:r>
    </w:p>
    <w:p>
      <w:pPr>
        <w:spacing w:before="0" w:after="120"/>
      </w:pPr>
      <w:r>
        <w:rPr>
          <w:b/>
        </w:rPr>
        <w:t xml:space="preserve">Notes: </w:t>
      </w:r>
      <w:r>
        <w:t>abstract_source=rsc_html</w:t>
      </w:r>
    </w:p>
    <w:p>
      <w:pPr>
        <w:spacing w:before="0" w:after="80" w:lineRule="auto" w:line="276"/>
      </w:pPr>
      <w:r>
        <w:rPr>
          <w:b/>
        </w:rPr>
        <w:t xml:space="preserve">摘要（ZH）: </w:t>
      </w:r>
      <w:r>
        <w:t>本综述总结了从合成生物学和材料科学角度对cell@MOF、cell@COF和cell@HOF复合材料的最新进展。概述了合成多孔非生物外骨骼的关键合成策略，重点关注基于框架的材料。此外，还讨论了细胞表面化学和评估细胞活力的当前方法。主要应用包括细胞治疗、生物催化、生物传感和CO2减排，并探讨了复合材料制备和表征的方法。本文最后展望了使用框架材料来设计合成细胞和增强细胞功能的前景和挑战。</w:t>
      </w:r>
    </w:p>
    <w:p>
      <w:pPr>
        <w:spacing w:before="0" w:after="200" w:lineRule="auto" w:line="276"/>
      </w:pPr>
      <w:r>
        <w:rPr>
          <w:b/>
        </w:rPr>
        <w:t xml:space="preserve">Abstract (EN): </w:t>
      </w:r>
      <w:r>
        <w:t>This review summarizes recent progress in cell@MOF, cell@COF, and cell@HOF composites from a synthetic biology and materials science perspective. It outlines key synthetic strategies for the synthesis of porous abiotic exoskeletons, focusing on framework-based materials. Additionally, it discusses the cell surface chemistry and current methods for assessing cell viability. Major applications, including cell therapy, biocatalysis, biosensing, and CO2 mitigation, are examined alongside approaches for composite preparation and characterization. This review concludes with prospects and challenges for using framework materials to engineer synthetic cells and enhance cellular functions.</w:t>
      </w:r>
    </w:p>
    <w:p>
      <w:pPr>
        <w:spacing w:before="120" w:after="120"/>
      </w:pPr>
      <w:r>
        <w:rPr>
          <w:sz w:val="18"/>
        </w:rPr>
        <w:t>——————————————————————————————————————————————————————————————————————</w:t>
      </w:r>
    </w:p>
    <w:p>
      <w:pPr>
        <w:spacing w:before="160" w:after="40" w:line="240" w:lineRule="auto"/>
      </w:pPr>
      <w:r>
        <w:rPr>
          <w:b/>
        </w:rPr>
        <w:t xml:space="preserve">[252] </w:t>
      </w:r>
      <w:hyperlink r:id="rId678">
        <w:r>
          <w:rPr>
            <w:color w:val="1155CC"/>
            <w:u w:val="single"/>
          </w:rPr>
          <w:t>晶体框架中的孔工程：从MOF“化学”到HOF“力学”以实现先进的药物递送</w:t>
        </w:r>
      </w:hyperlink>
    </w:p>
    <w:p>
      <w:pPr>
        <w:spacing w:before="0" w:after="80"/>
      </w:pPr>
      <w:r>
        <w:rPr>
          <w:i/>
          <w:sz w:val="20"/>
        </w:rPr>
        <w:t>EN: Pore engineering in crystalline frameworks: from MOF “chemistry” to HOF “mechanics” for advanced drug delivery</w:t>
      </w:r>
    </w:p>
    <w:p>
      <w:pPr>
        <w:spacing w:before="0" w:after="120"/>
      </w:pPr>
      <w:r>
        <w:rPr>
          <w:b/>
        </w:rPr>
        <w:t xml:space="preserve">Source: </w:t>
      </w:r>
      <w:r>
        <w:t>RSC - Chem. Soc. Rev. latest articles</w:t>
      </w:r>
      <w:r>
        <w:t xml:space="preserve">    </w:t>
      </w:r>
      <w:r>
        <w:rPr>
          <w:b/>
        </w:rPr>
        <w:t xml:space="preserve">Pub date: </w:t>
      </w:r>
      <w:r>
        <w:t>2026-05-12 23:00:00+00:00</w:t>
      </w:r>
    </w:p>
    <w:p>
      <w:pPr>
        <w:spacing w:before="0" w:after="120"/>
      </w:pPr>
      <w:r>
        <w:rPr>
          <w:b/>
        </w:rPr>
        <w:t xml:space="preserve">Notes: </w:t>
      </w:r>
      <w:r>
        <w:t>abstract_source=rsc_html</w:t>
      </w:r>
    </w:p>
    <w:p>
      <w:pPr>
        <w:spacing w:before="0" w:after="80" w:lineRule="auto" w:line="276"/>
      </w:pPr>
      <w:r>
        <w:rPr>
          <w:b/>
        </w:rPr>
        <w:t xml:space="preserve">摘要（ZH）: </w:t>
      </w:r>
      <w:r>
        <w:t>晶体多孔材料正在精密医学中引发范式转变。典型的金属有机框架（MOFs）通过利用紧凑、热力学稳定的配位骨架来构建化学可编程的微环境，定义了“孔化学”的领域。与此形成鲜明对比的是，氢键有机框架（HOFs）引入了一种正交的范式。这一新前沿，“孔力学”，由相对松散、可逆的非共价网络支配。与其将这一转变框架为线性结构演变，本综述批判性地将其概念化为材料设计中的基本权衡。我们剖析了“化学门控”策略，详细说明了金属有机框架的原子级表面工程和后合成修饰如何朝向应用创建对内源性生化梯度响应的智能阀门。随后，我们描绘了HOFs的独特行为，区分了由晶格预组织和能量障碍下降促进的热力学驱动的“诱导契合”机制与真正的外源性机械化学断裂（例如，超声触发的解离）。通过批判性地对比MOFs的热力学稳健性与HOFs的动力学不稳定性，我们面对它们各自的转化障碍，权衡MOFs的无机持久性与自由HOF单体的严重疏水聚集风险。强调严格控制的比较而非简单叠加，我们建立了临床转化的理性选择路线图。</w:t>
      </w:r>
    </w:p>
    <w:p>
      <w:pPr>
        <w:spacing w:before="0" w:after="200" w:lineRule="auto" w:line="276"/>
      </w:pPr>
      <w:r>
        <w:rPr>
          <w:b/>
        </w:rPr>
        <w:t xml:space="preserve">Abstract (EN): </w:t>
      </w:r>
      <w:r>
        <w:t>Crystalline porous materials are orchestrating a paradigm shift in precision medicine. Prototypical metal–organic frameworks (MOFs) define the realm of “pore chemistry” by leveraging compact, thermodynamically stable coordination backbones to construct chemically programmable microenvironments. In stark contrast, hydrogen-bonded organic frameworks (HOFs) introduce an orthogonal paradigm. This new frontier, “pore mechanics”, is governed by relatively loose, reversible non-covalent networks. Rather than framing this transition as a linear structural evolution, this review critically conceptualizes it as a fundamental trade-off in material design. We dissect the “chemical gating” strategies, detailing how atomic-level surface engineering and post-synthetic modification of metal–organic frameworks toward applications create smart valves responsive to endogenous biochemical gradients. Subsequently, we delineate the unique behaviours of HOFs, distinguishing between thermodynamically driven “induced-fit” mechanisms—facilitated by the pre-organization of the lattice and an energy barrier descent—and true exogenous mechanochemical scission (e.g., ultrasound-triggered dissociation). By critically contrasting the thermodynamic robustness of MOFs with the kinetic lability of HOFs, we confront their respective translational barriers, weighing the inorganic persistence of MOFs against the severe hydrophobic aggregation risks of free HOF monomers. Emphasizing rigorously controlled comparisons over simple superposition, we establish a rational selection roadmap for clinical translation. Finally, we highlight the frontier of MOF–HOF heterostructures, envisioning a dual logic-gated (AND-gate) delivery model. This architecture synergizes chemical robustness with mechanical intelligence, challenging the field to overcome the formidable spatiotemporal barriers of deep-tissue biological delivery.</w:t>
      </w:r>
    </w:p>
    <w:p>
      <w:pPr>
        <w:spacing w:before="120" w:after="120"/>
      </w:pPr>
      <w:r>
        <w:rPr>
          <w:sz w:val="18"/>
        </w:rPr>
        <w:t>——————————————————————————————————————————————————————————————————————</w:t>
      </w:r>
    </w:p>
    <w:p>
      <w:pPr>
        <w:spacing w:before="160" w:after="40" w:line="240" w:lineRule="auto"/>
      </w:pPr>
      <w:r>
        <w:rPr>
          <w:b/>
        </w:rPr>
        <w:t xml:space="preserve">[253] </w:t>
      </w:r>
      <w:hyperlink r:id="rId679">
        <w:r>
          <w:rPr>
            <w:color w:val="1155CC"/>
            <w:u w:val="single"/>
          </w:rPr>
          <w:t>受蜜蜂启发的导航机器人使用神经网络定位其家园</w:t>
        </w:r>
      </w:hyperlink>
    </w:p>
    <w:p>
      <w:pPr>
        <w:spacing w:before="0" w:after="80"/>
      </w:pPr>
      <w:r>
        <w:rPr>
          <w:i/>
          <w:sz w:val="20"/>
        </w:rPr>
        <w:t>EN: Bee-inspired navigation robot pinpoints its home using a neural network</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680">
        <w:r>
          <w:rPr>
            <w:color w:val="1155CC"/>
            <w:u w:val="single"/>
          </w:rPr>
          <w:t>10.1038/d41586-026-01321-1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681">
        <w:r>
          <w:rPr>
            <w:color w:val="1155CC"/>
            <w:u w:val="single"/>
          </w:rPr>
          <w:t>抗真菌耐药性正在增长——新疗法会扭转局面吗？</w:t>
        </w:r>
      </w:hyperlink>
    </w:p>
    <w:p>
      <w:pPr>
        <w:spacing w:before="0" w:after="80"/>
      </w:pPr>
      <w:r>
        <w:rPr>
          <w:i/>
          <w:sz w:val="20"/>
        </w:rPr>
        <w:t>EN: Antifungal resistance is growing – will new treatments turn the tables?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682">
        <w:r>
          <w:rPr>
            <w:color w:val="1155CC"/>
            <w:u w:val="single"/>
          </w:rPr>
          <w:t>10.1038/d41586-026-01380-4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[255] </w:t>
      </w:r>
      <w:hyperlink r:id="rId683">
        <w:r>
          <w:rPr>
            <w:color w:val="1155CC"/>
            <w:u w:val="single"/>
          </w:rPr>
          <w:t>经济改革可以拯救抗生素创新</w:t>
        </w:r>
      </w:hyperlink>
    </w:p>
    <w:p>
      <w:pPr>
        <w:spacing w:before="0" w:after="80"/>
      </w:pPr>
      <w:r>
        <w:rPr>
          <w:i/>
          <w:sz w:val="20"/>
        </w:rPr>
        <w:t>EN: Economic reform can save antibiotic innovation</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684">
        <w:r>
          <w:rPr>
            <w:color w:val="1155CC"/>
            <w:u w:val="single"/>
          </w:rPr>
          <w:t>10.1038/d41586-026-01378-y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[256] </w:t>
      </w:r>
      <w:hyperlink r:id="rId685">
        <w:r>
          <w:rPr>
            <w:color w:val="1155CC"/>
            <w:u w:val="single"/>
          </w:rPr>
          <w:t>国家媒体控制通过影响训练数据来塑造LLM行为</w:t>
        </w:r>
      </w:hyperlink>
    </w:p>
    <w:p>
      <w:pPr>
        <w:spacing w:before="0" w:after="80"/>
      </w:pPr>
      <w:r>
        <w:rPr>
          <w:i/>
          <w:sz w:val="20"/>
        </w:rPr>
        <w:t>EN: State media control shapes LLM behaviour by influencing training data</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686">
        <w:r>
          <w:rPr>
            <w:color w:val="1155CC"/>
            <w:u w:val="single"/>
          </w:rPr>
          <w:t>10.1038/d41586-026-01486-9</w:t>
        </w:r>
      </w:hyperlink>
    </w:p>
    <w:p>
      <w:pPr>
        <w:spacing w:before="0" w:after="120"/>
      </w:pPr>
      <w:r>
        <w:rPr>
          <w:b/>
        </w:rPr>
        <w:t xml:space="preserve">Notes: </w:t>
      </w:r>
      <w:r>
        <w:t>abstract_source=openalex</w:t>
      </w:r>
    </w:p>
    <w:p>
      <w:pPr>
        <w:spacing w:before="0" w:after="80" w:lineRule="auto" w:line="276"/>
      </w:pPr>
      <w:r>
        <w:rPr>
          <w:b/>
        </w:rPr>
        <w:t xml:space="preserve">摘要（ZH）: </w:t>
      </w:r>
      <w:r>
        <w:t>媒体的国家控制被证明通过其对信息环境的影响改变了大型语言模型（LLMs）的训练数据。这对LLMs的输出有重大影响，当国家对媒体的控制更严格时，它们在自己的语言中被评价得更好。当以自己的语言提示时，媒体控制严格的国家被LLMs评价得更好。</w:t>
      </w:r>
    </w:p>
    <w:p>
      <w:pPr>
        <w:spacing w:before="0" w:after="200" w:lineRule="auto" w:line="276"/>
      </w:pPr>
      <w:r>
        <w:rPr>
          <w:b/>
        </w:rPr>
        <w:t xml:space="preserve">Abstract (EN): </w:t>
      </w:r>
      <w:r>
        <w:t>State control of the media is shown to alter the training data of large language models (LLMs) through its impact on the information environment. This has a substantial effect on the output of LLMs, with states rated more favourably in their own language when they have tighter media control. States with tight media control are rated more favourably by LLMs when prompted in their own language.</w:t>
      </w:r>
    </w:p>
    <w:p>
      <w:pPr>
        <w:spacing w:before="120" w:after="120"/>
      </w:pPr>
      <w:r>
        <w:rPr>
          <w:sz w:val="18"/>
        </w:rPr>
        <w:t>——————————————————————————————————————————————————————————————————————</w:t>
      </w:r>
    </w:p>
    <w:p>
      <w:pPr>
        <w:spacing w:before="160" w:after="40" w:line="240" w:lineRule="auto"/>
      </w:pPr>
      <w:r>
        <w:rPr>
          <w:b/>
        </w:rPr>
        <w:t xml:space="preserve">[257] </w:t>
      </w:r>
      <w:hyperlink r:id="rId687">
        <w:r>
          <w:rPr>
            <w:color w:val="1155CC"/>
            <w:u w:val="single"/>
          </w:rPr>
          <w:t>抗击抗菌素耐药性的六个关键发展</w:t>
        </w:r>
      </w:hyperlink>
    </w:p>
    <w:p>
      <w:pPr>
        <w:spacing w:before="0" w:after="80"/>
      </w:pPr>
      <w:r>
        <w:rPr>
          <w:i/>
          <w:sz w:val="20"/>
        </w:rPr>
        <w:t>EN: Six key developments in the fight against antimicrobial resistance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688">
        <w:r>
          <w:rPr>
            <w:color w:val="1155CC"/>
            <w:u w:val="single"/>
          </w:rPr>
          <w:t>10.1038/d41586-026-01373-3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689">
        <w:r>
          <w:rPr>
            <w:color w:val="1155CC"/>
            <w:u w:val="single"/>
          </w:rPr>
          <w:t>定向电子束创造数千个原子晶体缺陷</w:t>
        </w:r>
      </w:hyperlink>
    </w:p>
    <w:p>
      <w:pPr>
        <w:spacing w:before="0" w:after="80"/>
      </w:pPr>
      <w:r>
        <w:rPr>
          <w:i/>
          <w:sz w:val="20"/>
        </w:rPr>
        <w:t>EN: Targeted electron beam creates thousands of atomic crystal defects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690">
        <w:r>
          <w:rPr>
            <w:color w:val="1155CC"/>
            <w:u w:val="single"/>
          </w:rPr>
          <w:t>10.1038/d41586-026-01328-8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[259] </w:t>
      </w:r>
      <w:hyperlink r:id="rId691">
        <w:r>
          <w:rPr>
            <w:color w:val="1155CC"/>
            <w:u w:val="single"/>
          </w:rPr>
          <w:t>欧洲和中国沼气转型中的国家特定路径：技术成熟度、政策架构和技术经济性能</w:t>
        </w:r>
      </w:hyperlink>
    </w:p>
    <w:p>
      <w:pPr>
        <w:spacing w:before="0" w:after="80"/>
      </w:pPr>
      <w:r>
        <w:rPr>
          <w:i/>
          <w:sz w:val="20"/>
        </w:rPr>
        <w:t>EN: Country-specific pathways in Europe's and China's biogas transitions: Technology maturity, policy architecture, and techno-economic performance</w:t>
      </w:r>
    </w:p>
    <w:p>
      <w:pPr>
        <w:spacing w:before="0" w:after="120"/>
      </w:pPr>
      <w:r>
        <w:rPr>
          <w:b/>
        </w:rPr>
        <w:t xml:space="preserve">Source: </w:t>
      </w:r>
      <w:r>
        <w:t>ScienceDirect Publication: Energy Policy</w:t>
      </w:r>
      <w:r>
        <w:t xml:space="preserve">    </w:t>
      </w:r>
      <w:r>
        <w:rPr>
          <w:b/>
        </w:rPr>
        <w:t xml:space="preserve">Pub date: </w:t>
      </w:r>
      <w:r>
        <w:t>2026-05-13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[260] </w:t>
      </w:r>
      <w:hyperlink r:id="rId692">
        <w:r>
          <w:rPr>
            <w:color w:val="1155CC"/>
            <w:u w:val="single"/>
          </w:rPr>
          <w:t>抗生素看起来像其他药物——这就是问题所在</w:t>
        </w:r>
      </w:hyperlink>
    </w:p>
    <w:p>
      <w:pPr>
        <w:spacing w:before="0" w:after="80"/>
      </w:pPr>
      <w:r>
        <w:rPr>
          <w:i/>
          <w:sz w:val="20"/>
        </w:rPr>
        <w:t>EN: Antibiotics look like any other drugs — and that’s a problem</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693">
        <w:r>
          <w:rPr>
            <w:color w:val="1155CC"/>
            <w:u w:val="single"/>
          </w:rPr>
          <w:t>10.1038/d41586-026-01375-1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[261] </w:t>
      </w:r>
      <w:hyperlink r:id="rId694">
        <w:r>
          <w:rPr>
            <w:color w:val="1155CC"/>
            <w:u w:val="single"/>
          </w:rPr>
          <w:t>为什么农场工人需要保护以免受抗菌素耐药性的影响</w:t>
        </w:r>
      </w:hyperlink>
    </w:p>
    <w:p>
      <w:pPr>
        <w:spacing w:before="0" w:after="80"/>
      </w:pPr>
      <w:r>
        <w:rPr>
          <w:i/>
          <w:sz w:val="20"/>
        </w:rPr>
        <w:t>EN: Why farm workers need protection from antimicrobial resistance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695">
        <w:r>
          <w:rPr>
            <w:color w:val="1155CC"/>
            <w:u w:val="single"/>
          </w:rPr>
          <w:t>10.1038/d41586-026-01377-z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[262] </w:t>
      </w:r>
      <w:hyperlink r:id="rId696">
        <w:r>
          <w:rPr>
            <w:color w:val="1155CC"/>
            <w:u w:val="single"/>
          </w:rPr>
          <w:t>人工智能可以设计病毒、毒素和其他生物武器。我们应该有多担心？</w:t>
        </w:r>
      </w:hyperlink>
    </w:p>
    <w:p>
      <w:pPr>
        <w:spacing w:before="0" w:after="80"/>
      </w:pPr>
      <w:r>
        <w:rPr>
          <w:i/>
          <w:sz w:val="20"/>
        </w:rPr>
        <w:t>EN: AI can design viruses, toxins and other bioweapons. How worried should we be?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697">
        <w:r>
          <w:rPr>
            <w:color w:val="1155CC"/>
            <w:u w:val="single"/>
          </w:rPr>
          <w:t>10.1038/d41586-026-01476-x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[263] </w:t>
      </w:r>
      <w:hyperlink r:id="rId698">
        <w:r>
          <w:rPr>
            <w:color w:val="1155CC"/>
            <w:u w:val="single"/>
          </w:rPr>
          <w:t>街头小贩和私人医生助长了抗生素的过度使用</w:t>
        </w:r>
      </w:hyperlink>
    </w:p>
    <w:p>
      <w:pPr>
        <w:spacing w:before="0" w:after="80"/>
      </w:pPr>
      <w:r>
        <w:rPr>
          <w:i/>
          <w:sz w:val="20"/>
        </w:rPr>
        <w:t>EN: Street sellers and private physicians fuel antibiotic overuse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699">
        <w:r>
          <w:rPr>
            <w:color w:val="1155CC"/>
            <w:u w:val="single"/>
          </w:rPr>
          <w:t>10.1038/d41586-026-01374-2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[264] </w:t>
      </w:r>
      <w:hyperlink r:id="rId700">
        <w:r>
          <w:rPr>
            <w:color w:val="1155CC"/>
            <w:u w:val="single"/>
          </w:rPr>
          <w:t>一种X染色体长非编码RNA，PTCHD1-AS，与自闭症的核心特征</w:t>
        </w:r>
      </w:hyperlink>
    </w:p>
    <w:p>
      <w:pPr>
        <w:spacing w:before="0" w:after="80"/>
      </w:pPr>
      <w:r>
        <w:rPr>
          <w:i/>
          <w:sz w:val="20"/>
        </w:rPr>
        <w:t>EN: An X-linked long non-coding RNA, PTCHD1-AS, and the core features of autism</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01">
        <w:r>
          <w:rPr>
            <w:color w:val="1155CC"/>
            <w:u w:val="single"/>
          </w:rPr>
          <w:t>10.1038/s41586-026-10515-6</w:t>
        </w:r>
      </w:hyperlink>
    </w:p>
    <w:p>
      <w:pPr>
        <w:spacing w:before="0" w:after="120"/>
      </w:pPr>
      <w:r>
        <w:rPr>
          <w:b/>
        </w:rPr>
        <w:t xml:space="preserve">Notes: </w:t>
      </w:r>
      <w:r>
        <w:t>abstract_source=nature_html</w:t>
      </w:r>
    </w:p>
    <w:p>
      <w:pPr>
        <w:spacing w:before="0" w:after="80" w:lineRule="auto" w:line="276"/>
      </w:pPr>
      <w:r>
        <w:rPr>
          <w:b/>
        </w:rPr>
        <w:t xml:space="preserve">摘要（ZH）: </w:t>
      </w:r>
      <w:r>
        <w:t>在自闭症谱系障碍（ASD）的基因检测中使用了大约100个基因或拷贝数变异1,2。已确定的基因是蛋白质编码的，相关的表型通常超出自闭症中观察到的社会行为特征，包括认知/医学复杂性和注意力缺陷多动障碍（ADHD）3,4。我们在ASD病例（9,349）和对照组（8,332）中检查了全基因组测序数据，并识别出27名患有ASD的男性个体，他们的X染色体微缺失涉及长非编码RNA PTCHD1-AS作为ASD易感基因（优势比=2.56，P=0.01）。通过破坏/删除进化上保守的外显子3创建的两种Ptchd1-as敲除小鼠模型显示出雄性小鼠的ASD样特征，包括增加的重复行为和受损的社会行为和交流，而没有认知共病或ADHD样行为。敲除小鼠的海马依赖性突触功能、复杂学习和运动活动不受影响。天然核富集的小鼠Ptchd1-as在出生后第7天起在背侧纹状体中显示出持续表达，这是一个主要的GABA能脑区，与ASD有关5。多组学分析揭示了影响髓鞘形成和突触可塑性的纹状体少突胶质细胞、星形胶质细胞和神经元的转录组改变。破坏Ptchd1-as导致常规蛋白激酶C（cPKC）亚型减少，SRC和GSK-3α/β磷酸化改变，并增强了纹状体突触可塑性（长期增强和长期抑制）。</w:t>
      </w:r>
    </w:p>
    <w:p>
      <w:pPr>
        <w:spacing w:before="0" w:after="200" w:lineRule="auto" w:line="276"/>
      </w:pPr>
      <w:r>
        <w:rPr>
          <w:b/>
        </w:rPr>
        <w:t xml:space="preserve">Abstract (EN): </w:t>
      </w:r>
      <w:r>
        <w:t>There are around 100 genes or copy-number variations used in genetic testing for autism spectrum disorder (ASD)1,2. The established genes are protein coding, and the associated phenotypes usually extend beyond sociobehavioural traits seen in autism, including cognitive/medical complexities and attention deficit hyperactivity disorder (ADHD)3,4. We examined whole-genome sequencing data in cases of ASD (9,349) and controls (8,332) and identify 27 male individuals with ASD with X-chromosome microdeletions that implicate the long non-coding RNA PTCHD1-AS as an ASD-susceptibility gene (odds ratio = 2.56, P = 0.01). Two Ptchd1-as-knockout mouse models, which were created by disrupting/deleting the evolutionarily conserved exon 3, show ASD-like features in male mice, including increased repetitive behaviours and impaired social behaviour and communication without cognitive comorbidities or ADHD-like behaviours. Hippocampus-dependent synaptic function, complex learning and locomotor activity are unaffected in knockout mice. Native nuclear-enriched mouse Ptchd1-as showed sustained expression from postnatal day 7 onwards in the dorsal striatum, a predominantly GABAergic brain region that is implicated in ASD5. Multi-omics analysis revealed transcriptomic alterations in striatal oligodendrocytes, astrocytes and neurons impacting myelination and synaptic plasticity. Disrupting Ptchd1-as led to reductions in conventional protein kinase C (cPKC) isoforms, altered SRC and GSK-3α/β phosphorylation and enhanced striatal synaptic plasticity (long-term potentiation and long-term depression). Together, these findings implicate striatal molecular and circuit-level dysregulation through PTCHD1-AS in ASD aetiology.</w:t>
      </w:r>
    </w:p>
    <w:p>
      <w:pPr>
        <w:spacing w:before="120" w:after="120"/>
      </w:pPr>
      <w:r>
        <w:rPr>
          <w:sz w:val="18"/>
        </w:rPr>
        <w:t>——————————————————————————————————————————————————————————————————————</w:t>
      </w:r>
    </w:p>
    <w:p>
      <w:pPr>
        <w:spacing w:before="160" w:after="40" w:line="240" w:lineRule="auto"/>
      </w:pPr>
      <w:r>
        <w:rPr>
          <w:b/>
        </w:rPr>
        <w:t xml:space="preserve">[265] </w:t>
      </w:r>
      <w:hyperlink r:id="rId702">
        <w:r>
          <w:rPr>
            <w:color w:val="1155CC"/>
            <w:u w:val="single"/>
          </w:rPr>
          <w:t>非抗生素药物是否助长了抗菌素耐药性？</w:t>
        </w:r>
      </w:hyperlink>
    </w:p>
    <w:p>
      <w:pPr>
        <w:spacing w:before="0" w:after="80"/>
      </w:pPr>
      <w:r>
        <w:rPr>
          <w:i/>
          <w:sz w:val="20"/>
        </w:rPr>
        <w:t>EN: Are non-antibiotic drugs contributing to antimicrobial resistance?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03">
        <w:r>
          <w:rPr>
            <w:color w:val="1155CC"/>
            <w:u w:val="single"/>
          </w:rPr>
          <w:t>10.1038/d41586-026-01376-0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[266] </w:t>
      </w:r>
      <w:hyperlink r:id="rId704">
        <w:r>
          <w:rPr>
            <w:color w:val="1155CC"/>
            <w:u w:val="single"/>
          </w:rPr>
          <w:t>在一个遥远的超暗星系中发现的第一批恒星遗迹</w:t>
        </w:r>
      </w:hyperlink>
    </w:p>
    <w:p>
      <w:pPr>
        <w:spacing w:before="0" w:after="80"/>
      </w:pPr>
      <w:r>
        <w:rPr>
          <w:i/>
          <w:sz w:val="20"/>
        </w:rPr>
        <w:t>EN: Relics of the first stars spotted in a distant, ultra-faint galaxy</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05">
        <w:r>
          <w:rPr>
            <w:color w:val="1155CC"/>
            <w:u w:val="single"/>
          </w:rPr>
          <w:t>10.1038/d41586-026-01151-1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[267] </w:t>
      </w:r>
      <w:hyperlink r:id="rId706">
        <w:r>
          <w:rPr>
            <w:color w:val="1155CC"/>
            <w:u w:val="single"/>
          </w:rPr>
          <w:t>无用的美丽：不会飞的鸟</w:t>
        </w:r>
      </w:hyperlink>
    </w:p>
    <w:p>
      <w:pPr>
        <w:spacing w:before="0" w:after="80"/>
      </w:pPr>
      <w:r>
        <w:rPr>
          <w:i/>
          <w:sz w:val="20"/>
        </w:rPr>
        <w:t>EN: The futile beauty of flightless birds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07">
        <w:r>
          <w:rPr>
            <w:color w:val="1155CC"/>
            <w:u w:val="single"/>
          </w:rPr>
          <w:t>10.1038/d41586-026-01081-y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[268] </w:t>
      </w:r>
      <w:hyperlink r:id="rId708">
        <w:r>
          <w:rPr>
            <w:color w:val="1155CC"/>
            <w:u w:val="single"/>
          </w:rPr>
          <w:t>睡眠与减缓衰老有关：大型研究确定了适量</w:t>
        </w:r>
      </w:hyperlink>
    </w:p>
    <w:p>
      <w:pPr>
        <w:spacing w:before="0" w:after="80"/>
      </w:pPr>
      <w:r>
        <w:rPr>
          <w:i/>
          <w:sz w:val="20"/>
        </w:rPr>
        <w:t>EN: Sleep linked to slower ageing: huge study pinpoints the right amount</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09">
        <w:r>
          <w:rPr>
            <w:color w:val="1155CC"/>
            <w:u w:val="single"/>
          </w:rPr>
          <w:t>10.1038/d41586-026-01506-8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[269] </w:t>
      </w:r>
      <w:hyperlink r:id="rId710">
        <w:r>
          <w:rPr>
            <w:color w:val="1155CC"/>
            <w:u w:val="single"/>
          </w:rPr>
          <w:t>终于，有一种药丸可以在接触感染者后预防COVID</w:t>
        </w:r>
      </w:hyperlink>
    </w:p>
    <w:p>
      <w:pPr>
        <w:spacing w:before="0" w:after="80"/>
      </w:pPr>
      <w:r>
        <w:rPr>
          <w:i/>
          <w:sz w:val="20"/>
        </w:rPr>
        <w:t>EN: At last, a pill that can prevent COVID after exposure to infected people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11">
        <w:r>
          <w:rPr>
            <w:color w:val="1155CC"/>
            <w:u w:val="single"/>
          </w:rPr>
          <w:t>10.1038/d41586-026-01546-0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[270] </w:t>
      </w:r>
      <w:hyperlink r:id="rId712">
        <w:r>
          <w:rPr>
            <w:color w:val="1155CC"/>
            <w:u w:val="single"/>
          </w:rPr>
          <w:t>保护性的母体肠道本能</w:t>
        </w:r>
      </w:hyperlink>
    </w:p>
    <w:p>
      <w:pPr>
        <w:spacing w:before="0" w:after="80"/>
      </w:pPr>
      <w:r>
        <w:rPr>
          <w:i/>
          <w:sz w:val="20"/>
        </w:rPr>
        <w:t>EN: Protective maternal gut instincts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13">
        <w:r>
          <w:rPr>
            <w:color w:val="1155CC"/>
            <w:u w:val="single"/>
          </w:rPr>
          <w:t>10.1038/d41586-026-01322-0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[271] </w:t>
      </w:r>
      <w:hyperlink r:id="rId714">
        <w:r>
          <w:rPr>
            <w:color w:val="1155CC"/>
            <w:u w:val="single"/>
          </w:rPr>
          <w:t>无热失控的钠离子电池</w:t>
        </w:r>
      </w:hyperlink>
    </w:p>
    <w:p>
      <w:pPr>
        <w:spacing w:before="0" w:after="80"/>
      </w:pPr>
      <w:r>
        <w:rPr>
          <w:i/>
          <w:sz w:val="20"/>
        </w:rPr>
        <w:t>EN: Thermal runaway-free Na-ion batteries</w:t>
      </w:r>
    </w:p>
    <w:p>
      <w:pPr>
        <w:spacing w:before="0" w:after="120"/>
      </w:pPr>
      <w:r>
        <w:rPr>
          <w:b/>
        </w:rPr>
        <w:t xml:space="preserve">Source: </w:t>
      </w:r>
      <w:r>
        <w:t>National Science Review Advance Access</w:t>
      </w:r>
      <w:r>
        <w:t xml:space="preserve">    </w:t>
      </w:r>
      <w:r>
        <w:rPr>
          <w:b/>
        </w:rPr>
        <w:t xml:space="preserve">Pub date: </w:t>
      </w:r>
      <w:r>
        <w:t>2026-05-13 00:00:00+00:00</w:t>
      </w:r>
      <w:r>
        <w:t xml:space="preserve">    </w:t>
      </w:r>
      <w:r>
        <w:rPr>
          <w:b/>
        </w:rPr>
        <w:t xml:space="preserve">DOI: </w:t>
      </w:r>
      <w:hyperlink r:id="rId715">
        <w:r>
          <w:rPr>
            <w:color w:val="1155CC"/>
            <w:u w:val="single"/>
          </w:rPr>
          <w:t>10.1093/nsr/nwag279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716">
        <w:r>
          <w:rPr>
            <w:color w:val="1155CC"/>
            <w:u w:val="single"/>
          </w:rPr>
          <w:t>通过增益增强的量子阱结构中的带间光混合产生和检测太赫兹</w:t>
        </w:r>
      </w:hyperlink>
    </w:p>
    <w:p>
      <w:pPr>
        <w:spacing w:before="0" w:after="80"/>
      </w:pPr>
      <w:r>
        <w:rPr>
          <w:i/>
          <w:sz w:val="20"/>
        </w:rPr>
        <w:t>EN: Terahertz generation and detection through gain-enhanced interband photomixing in quantum well structures</w:t>
      </w:r>
    </w:p>
    <w:p>
      <w:pPr>
        <w:spacing w:before="0" w:after="120"/>
      </w:pPr>
      <w:r>
        <w:rPr>
          <w:b/>
        </w:rPr>
        <w:t xml:space="preserve">Source: </w:t>
      </w:r>
      <w:r>
        <w:t>Nature Communications</w:t>
      </w:r>
      <w:r>
        <w:t xml:space="preserve">    </w:t>
      </w:r>
      <w:r>
        <w:rPr>
          <w:b/>
        </w:rPr>
        <w:t xml:space="preserve">Pub date: </w:t>
      </w:r>
      <w:r>
        <w:t>2026-05-13 00:00:00+00:00</w:t>
      </w:r>
      <w:r>
        <w:t xml:space="preserve">    </w:t>
      </w:r>
      <w:r>
        <w:rPr>
          <w:b/>
        </w:rPr>
        <w:t xml:space="preserve">DOI: </w:t>
      </w:r>
      <w:hyperlink r:id="rId717">
        <w:r>
          <w:rPr>
            <w:color w:val="1155CC"/>
            <w:u w:val="single"/>
          </w:rPr>
          <w:t>10.1038/s41467-026-73080-6</w:t>
        </w:r>
      </w:hyperlink>
    </w:p>
    <w:p>
      <w:pPr>
        <w:spacing w:before="0" w:after="120"/>
      </w:pPr>
      <w:r>
        <w:rPr>
          <w:b/>
        </w:rPr>
        <w:t xml:space="preserve">Notes: </w:t>
      </w:r>
      <w:r>
        <w:t>abstract_source=nature_html</w:t>
      </w:r>
    </w:p>
    <w:p>
      <w:pPr>
        <w:spacing w:before="0" w:after="80" w:lineRule="auto" w:line="276"/>
      </w:pPr>
      <w:r>
        <w:rPr>
          <w:b/>
        </w:rPr>
        <w:t xml:space="preserve">摘要（ZH）: </w:t>
      </w:r>
      <w:r>
        <w:t>太赫兹波在包括健康监测、生物医学成像、精密导航、高速通信、安全筛查、工业质量控制和太空探索等多个领域具有巨大潜力。然而，太赫兹技术的广泛采用受到现有系统笨重、复杂和昂贵的限制。在此，我们展示了在量子阱（QW）PIN光电二极管中增益增强的带间光混频作为一种高效的频率可调太赫兹生成和检测机制，在功率效率和灵敏度方面实现了对现有技术的显著改进。嵌入在PIN光电二极管中的QW——商用光子集成电路（PICs）的关键元素——实现了激光器、半导体光放大器（SOAs）、调制器、滤波器、解复用器和其他无源光学元件的单片集成。通过将QW PIN光电二极管确立为单片集成太赫兹光电子（MITO）平台的基础，这项工作为紧凑、可扩展的太赫兹光电子系统铺平了道路，应用于高速数据传输、光谱学和高光谱成像。这一进步使太赫兹技术为广泛使用做好准备，促进了在便携设备中远程感应、通信和医学诊断的实际应用。</w:t>
      </w:r>
    </w:p>
    <w:p>
      <w:pPr>
        <w:spacing w:before="0" w:after="200" w:lineRule="auto" w:line="276"/>
      </w:pPr>
      <w:r>
        <w:rPr>
          <w:b/>
        </w:rPr>
        <w:t xml:space="preserve">Abstract (EN): </w:t>
      </w:r>
      <w:r>
        <w:t>Terahertz waves hold immense potential across diverse fields, including healthcare monitoring, biomedical imaging, precision navigation, high-speed communication, security screening, industrial quality control, and space exploration. However, the widespread adoption of terahertz technology has been hindered by the bulky, complex, and costly nature of existing systems. Here, we demonstrate gain-enhanced interband photomixing in quantum well (QW) PIN photodiodes as an efficient mechanism for frequency-tunable terahertz generation and detection, achieving significant improvements in power efficiency and sensitivity over the state-of-the-art. QWs embedded in PIN photodiodes—key elements of commercially available photonic integrated circuits (PICs)—enable monolithic integration of lasers, semiconductor optical amplifiers (SOAs), modulators, filters, demultiplexers, and other passive optical components. By establishing QW PIN photodiodes as the foundation of a Monolithically Integrated Terahertz Optoelectronic (MITO) platform, this work paves the way for compact, scalable terahertz optoelectronic systems with applications in high-speed data transfer, spectroscopy, and hyperspectral imaging. This advancement positions terahertz technology for widespread use, facilitating practical applications across remote sensing, communications, and medical diagnostics within portable devices.</w:t>
      </w:r>
    </w:p>
    <w:p>
      <w:pPr>
        <w:spacing w:before="120" w:after="120"/>
      </w:pPr>
      <w:r>
        <w:rPr>
          <w:sz w:val="18"/>
        </w:rPr>
        <w:t>——————————————————————————————————————————————————————————————————————</w:t>
      </w:r>
    </w:p>
    <w:p>
      <w:pPr>
        <w:spacing w:before="160" w:after="40" w:line="240" w:lineRule="auto"/>
      </w:pPr>
      <w:r>
        <w:rPr>
          <w:b/>
        </w:rPr>
        <w:t xml:space="preserve">[273] </w:t>
      </w:r>
      <w:hyperlink r:id="rId718">
        <w:r>
          <w:rPr>
            <w:color w:val="1155CC"/>
            <w:u w:val="single"/>
          </w:rPr>
          <w:t>人类寿命的白质微观和宏观结构脑图</w:t>
        </w:r>
      </w:hyperlink>
    </w:p>
    <w:p>
      <w:pPr>
        <w:spacing w:before="0" w:after="80"/>
      </w:pPr>
      <w:r>
        <w:rPr>
          <w:i/>
          <w:sz w:val="20"/>
        </w:rPr>
        <w:t>EN: White matter micro- and macrostructure brain charts for the human lifespan</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19">
        <w:r>
          <w:rPr>
            <w:color w:val="1155CC"/>
            <w:u w:val="single"/>
          </w:rPr>
          <w:t>10.1038/s41586-026-10454-2</w:t>
        </w:r>
      </w:hyperlink>
    </w:p>
    <w:p>
      <w:pPr>
        <w:spacing w:before="0" w:after="120"/>
      </w:pPr>
      <w:r>
        <w:rPr>
          <w:b/>
        </w:rPr>
        <w:t xml:space="preserve">Notes: </w:t>
      </w:r>
      <w:r>
        <w:t>abstract_source=nature_html</w:t>
      </w:r>
    </w:p>
    <w:p>
      <w:pPr>
        <w:spacing w:before="0" w:after="80" w:lineRule="auto" w:line="276"/>
      </w:pPr>
      <w:r>
        <w:rPr>
          <w:b/>
        </w:rPr>
        <w:t xml:space="preserve">摘要（ZH）: </w:t>
      </w:r>
      <w:r>
        <w:t>人类大脑依赖于复杂的连接网络来发挥功能，其中白质作为不同大脑区域之间的主要通信高速公路1,2。这些关键通信路径的中断与多种神经、精神和发育障碍有关3,4。尽管临床医生长期以来使用标准生长图来跟踪身体发育5，最近的工作将这些转化为全脑和灰质测量6,7,8,9，但白质尚无等效的参考标准。如果我们希望在临床上利用这些白质结构生物标志物，建立一个易于获取的规范参考是第一步。在此，我们展示了人类大脑白质的生命周期参考图。通过处理和标准化来自全球多样化研究的35,120个脑部扫描，我们绘制了从出生到100岁特定大脑路径的典型生长、成熟和与年龄相关的衰退。这些参考图为健康的大脑发育和衰老建立了一个基本基准，使研究人员和临床医生能够量化个体大脑如何偏离典型模式，并突出与疾病相关的变化。此外，随附的开放获取图表使科学和临床界能够将新的患者和研究数据与这些规范基线进行评估，促进未来的临床和神经科学研究。</w:t>
      </w:r>
    </w:p>
    <w:p>
      <w:pPr>
        <w:spacing w:before="0" w:after="200" w:lineRule="auto" w:line="276"/>
      </w:pPr>
      <w:r>
        <w:rPr>
          <w:b/>
        </w:rPr>
        <w:t xml:space="preserve">Abstract (EN): </w:t>
      </w:r>
      <w:r>
        <w:t>The human brain relies on a complex network of connections to function, with white matter acting as the primary communication highway between different brain regions1,2. Disruptions in these critical communication pathways are linked to several neurological, psychiatric and developmental disorders3,4. Although clinicians have long used standard growth charts to track physical development5, with more recent work translating these to whole-brain and grey matter measurements6,7,8,9, there has been no equivalent reference standard for white matter. Establishing a readily available normative reference is an imperative first step if we hope to utilize these white matter structural biomarkers clinically. Here we present lifespan reference charts for human brain white matter. By processing and standardizing 35,120 brain scans from diverse global studies, we mapped the typical growth, maturation and age-related decline of specific brain pathways from birth to 100 years of age. These reference charts establish a fundamental benchmark for healthy brain development and ageing, allowing researchers and clinicians to quantify how an individual’s brain deviates from typical patterns and highlighting disorder-related alterations. Furthermore, the accompanying open access charts enable the scientific and clinical communities to evaluate new patient and research data against these normative baselines, facilitating future clinical and neuroscience studies.</w:t>
      </w:r>
    </w:p>
    <w:p>
      <w:pPr>
        <w:spacing w:before="120" w:after="120"/>
      </w:pPr>
      <w:r>
        <w:rPr>
          <w:sz w:val="18"/>
        </w:rPr>
        <w:t>——————————————————————————————————————————————————————————————————————</w:t>
      </w:r>
    </w:p>
    <w:p>
      <w:pPr>
        <w:spacing w:before="160" w:after="40" w:line="240" w:lineRule="auto"/>
      </w:pPr>
      <w:r>
        <w:rPr>
          <w:b/>
        </w:rPr>
        <w:t xml:space="preserve">[274] </w:t>
      </w:r>
      <w:hyperlink r:id="rId720">
        <w:r>
          <w:rPr>
            <w:color w:val="1155CC"/>
            <w:u w:val="single"/>
          </w:rPr>
          <w:t>教育和政策干预能否促进越南的电动汽车采用？消费者见解</w:t>
        </w:r>
      </w:hyperlink>
    </w:p>
    <w:p>
      <w:pPr>
        <w:spacing w:before="0" w:after="80"/>
      </w:pPr>
      <w:r>
        <w:rPr>
          <w:i/>
          <w:sz w:val="20"/>
        </w:rPr>
        <w:t>EN: Can educational and policy interventions enhance EV adoption in Vietnam? Consumer insights</w:t>
      </w:r>
    </w:p>
    <w:p>
      <w:pPr>
        <w:spacing w:before="0" w:after="120"/>
      </w:pPr>
      <w:r>
        <w:rPr>
          <w:b/>
        </w:rPr>
        <w:t xml:space="preserve">Source: </w:t>
      </w:r>
      <w:r>
        <w:t>ScienceDirect Publication: Energy Policy</w:t>
      </w:r>
      <w:r>
        <w:t xml:space="preserve">    </w:t>
      </w:r>
      <w:r>
        <w:rPr>
          <w:b/>
        </w:rPr>
        <w:t xml:space="preserve">Pub date: </w:t>
      </w:r>
      <w:r>
        <w:t>2026-05-13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[275] </w:t>
      </w:r>
      <w:hyperlink r:id="rId721">
        <w:r>
          <w:rPr>
            <w:color w:val="1155CC"/>
            <w:u w:val="single"/>
          </w:rPr>
          <w:t>旧抗生素正在被重新利用以对抗新的威胁</w:t>
        </w:r>
      </w:hyperlink>
    </w:p>
    <w:p>
      <w:pPr>
        <w:spacing w:before="0" w:after="80"/>
      </w:pPr>
      <w:r>
        <w:rPr>
          <w:i/>
          <w:sz w:val="20"/>
        </w:rPr>
        <w:t>EN: Old antibiotics are being revived to fight new threats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22">
        <w:r>
          <w:rPr>
            <w:color w:val="1155CC"/>
            <w:u w:val="single"/>
          </w:rPr>
          <w:t>10.1038/d41586-026-01379-x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[276] </w:t>
      </w:r>
      <w:hyperlink r:id="rId723">
        <w:r>
          <w:rPr>
            <w:color w:val="1155CC"/>
            <w:u w:val="single"/>
          </w:rPr>
          <w:t>快速而激烈：早期宇宙类星体的气体外流是极端的</w:t>
        </w:r>
      </w:hyperlink>
    </w:p>
    <w:p>
      <w:pPr>
        <w:spacing w:before="0" w:after="80"/>
      </w:pPr>
      <w:r>
        <w:rPr>
          <w:i/>
          <w:sz w:val="20"/>
        </w:rPr>
        <w:t>EN: Fast and furious: the gaseous outflows of quasars in the early Universe were extreme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24">
        <w:r>
          <w:rPr>
            <w:color w:val="1155CC"/>
            <w:u w:val="single"/>
          </w:rPr>
          <w:t>10.1038/d41586-026-01485-w</w:t>
        </w:r>
      </w:hyperlink>
    </w:p>
    <w:p>
      <w:pPr>
        <w:spacing w:before="0" w:after="120"/>
      </w:pPr>
      <w:r>
        <w:rPr>
          <w:b/>
        </w:rPr>
        <w:t xml:space="preserve">Notes: </w:t>
      </w:r>
      <w:r>
        <w:t>abstract_source=openalex</w:t>
      </w:r>
    </w:p>
    <w:p>
      <w:pPr>
        <w:spacing w:before="0" w:after="80" w:lineRule="auto" w:line="276"/>
      </w:pPr>
      <w:r>
        <w:rPr>
          <w:b/>
        </w:rPr>
        <w:t xml:space="preserve">摘要（ZH）: </w:t>
      </w:r>
      <w:r>
        <w:t>詹姆斯·韦伯太空望远镜的观测显示，来自被称为类星体的明亮天体的极快、星系规模的外流在大爆炸后约十亿年时比后来的宇宙时期更为频繁，且平均更强。这些外流可以轻易逃离其宿主星系，并调节早期大质量星系的演化。强大的类星体外流可以解释为什么许多早期星系停止形成恒星。</w:t>
      </w:r>
    </w:p>
    <w:p>
      <w:pPr>
        <w:spacing w:before="0" w:after="200" w:lineRule="auto" w:line="276"/>
      </w:pPr>
      <w:r>
        <w:rPr>
          <w:b/>
        </w:rPr>
        <w:t xml:space="preserve">Abstract (EN): </w:t>
      </w:r>
      <w:r>
        <w:t>Observations from the James Webb Space Telescope reveal that extremely fast, galaxy-scale outflows from luminous objects called quasars were much more frequent, and on average more powerful, about one billion years after the Big Bang than at later cosmic epochs. These outflows could easily escape their host galaxies and regulate the evolution of early massive galaxies. Powerful quasar outflows could explain why many early galaxies stopped making stars.</w:t>
      </w:r>
    </w:p>
    <w:p>
      <w:pPr>
        <w:spacing w:before="120" w:after="120"/>
      </w:pPr>
      <w:r>
        <w:rPr>
          <w:sz w:val="18"/>
        </w:rPr>
        <w:t>——————————————————————————————————————————————————————————————————————</w:t>
      </w:r>
    </w:p>
    <w:p>
      <w:pPr>
        <w:spacing w:before="160" w:after="40" w:line="240" w:lineRule="auto"/>
      </w:pPr>
      <w:r>
        <w:rPr>
          <w:b/>
        </w:rPr>
        <w:t xml:space="preserve">[277] </w:t>
      </w:r>
      <w:hyperlink r:id="rId725">
        <w:r>
          <w:rPr>
            <w:color w:val="1155CC"/>
            <w:u w:val="single"/>
          </w:rPr>
          <w:t>三阴性乳腺癌对化疗的生态型</w:t>
        </w:r>
      </w:hyperlink>
    </w:p>
    <w:p>
      <w:pPr>
        <w:spacing w:before="0" w:after="80"/>
      </w:pPr>
      <w:r>
        <w:rPr>
          <w:i/>
          <w:sz w:val="20"/>
        </w:rPr>
        <w:t>EN: Ecotypes of triple-negative breast cancer in response to chemotherapy</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26">
        <w:r>
          <w:rPr>
            <w:color w:val="1155CC"/>
            <w:u w:val="single"/>
          </w:rPr>
          <w:t>10.1038/s41586-026-10469-9</w:t>
        </w:r>
      </w:hyperlink>
    </w:p>
    <w:p>
      <w:pPr>
        <w:spacing w:before="0" w:after="120"/>
      </w:pPr>
      <w:r>
        <w:rPr>
          <w:b/>
        </w:rPr>
        <w:t xml:space="preserve">Notes: </w:t>
      </w:r>
      <w:r>
        <w:t>abstract_source=nature_html</w:t>
      </w:r>
    </w:p>
    <w:p>
      <w:pPr>
        <w:spacing w:before="0" w:after="80" w:lineRule="auto" w:line="276"/>
      </w:pPr>
      <w:r>
        <w:rPr>
          <w:b/>
        </w:rPr>
        <w:t xml:space="preserve">摘要（ZH）: </w:t>
      </w:r>
      <w:r>
        <w:t>三阴性乳腺癌（TNBC）是一种侵袭性亚型，通常用化疗治疗，但只有一半的患者反应良好并有良好的临床结果1,2。在此，我们利用来自未经治疗的TNBC患者的治疗前组织样本，进行新辅助化疗，并对101名患者的427,857个细胞进行单细胞转录组分析，对44名患者进行空间转录组分析。我们使用癌细胞基因表达将TNBC肿瘤分为4个患者级别的亚型（原型），并识别出13个反映单细胞水平肿瘤内异质性的元程序。TNBC肿瘤微环境由49种免疫和基质细胞状态组成，其中许多相对于正常乳腺组织被重新编程。此外，我们基于癌细胞和肿瘤微环境细胞类型的共现及其在组织中的空间组织，识别出八个不同的细胞群落（生态型）。与先前关于T细胞的研究相比，我们的数据表明巨噬细胞亚型和癌细胞元程序对于干扰素信号传导、人类白细胞抗原表达和细胞周期活动的重要性，这些与对新辅助化疗的良好反应相关。总体而言，这项研究为未治疗的TNBC肿瘤的生物学及其与化疗反应的关联提供了新的见解。</w:t>
      </w:r>
    </w:p>
    <w:p>
      <w:pPr>
        <w:spacing w:before="0" w:after="200" w:lineRule="auto" w:line="276"/>
      </w:pPr>
      <w:r>
        <w:rPr>
          <w:b/>
        </w:rPr>
        <w:t xml:space="preserve">Abstract (EN): </w:t>
      </w:r>
      <w:r>
        <w:t>Triple-negative breast cancer (TNBC) is an aggressive subtype that is frequently treated with chemotherapy, but only half of the patients respond well and have good clinical outcome1,2. Here we leveraged pretreatment tissue samples from treatment-naive patients with TNBC who received neoadjuvant chemotherapy and performed single-cell transcriptomic analysis of 427,857 cells from 101 patients and spatial transcriptomic analysis of 44 patients. We classified TNBC tumours into 4 patient-level subtypes (archetypes) using the cancer-cell gene expression and identified 13 metaprograms that reflect intra-tumoural heterogeneity at the single-cell level. The TNBC tumour microenvironment consisted of 49 immune and stromal cell states, many of which were reprogrammed relative to normal breast tissues. Furthermore, we identified eight distinct cellular communities (ecotypes) on the basis of the co-occurrences of cancer cells and tumour microenvironment cell types, and their spatial organization in tissues. In contrast to previous studies on T cells, our data show the importance of macrophage subtypes and cancer-cell metaprograms for interferon signalling, human leukocyte antigen expression and cell cycle activity that are associated with a good response to neoadjuvant chemotherapy. Collectively, this study provides new insights into the biology of untreated TNBC tumours and their association with chemotherapy response.</w:t>
      </w:r>
    </w:p>
    <w:p>
      <w:pPr>
        <w:spacing w:before="120" w:after="120"/>
      </w:pPr>
      <w:r>
        <w:rPr>
          <w:sz w:val="18"/>
        </w:rPr>
        <w:t>——————————————————————————————————————————————————————————————————————</w:t>
      </w:r>
    </w:p>
    <w:p>
      <w:pPr>
        <w:spacing w:before="160" w:after="40" w:line="240" w:lineRule="auto"/>
      </w:pPr>
      <w:r>
        <w:rPr>
          <w:b/>
        </w:rPr>
        <w:t xml:space="preserve">[278] </w:t>
      </w:r>
      <w:hyperlink r:id="rId727">
        <w:r>
          <w:rPr>
            <w:color w:val="1155CC"/>
            <w:u w:val="single"/>
          </w:rPr>
          <w:t>生长图揭示了大脑的“通信高速公路”如何在一生中变化</w:t>
        </w:r>
      </w:hyperlink>
    </w:p>
    <w:p>
      <w:pPr>
        <w:spacing w:before="0" w:after="80"/>
      </w:pPr>
      <w:r>
        <w:rPr>
          <w:i/>
          <w:sz w:val="20"/>
        </w:rPr>
        <w:t>EN: Growth charts reveal how the brain’s ‘communication highways’ change throughout life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28">
        <w:r>
          <w:rPr>
            <w:color w:val="1155CC"/>
            <w:u w:val="single"/>
          </w:rPr>
          <w:t>10.1038/d41586-026-01318-w</w:t>
        </w:r>
      </w:hyperlink>
    </w:p>
    <w:p>
      <w:pPr>
        <w:spacing w:before="0" w:after="120"/>
      </w:pPr>
      <w:r>
        <w:rPr>
          <w:b/>
        </w:rPr>
        <w:t xml:space="preserve">Notes: </w:t>
      </w:r>
      <w:r>
        <w:t>abstract_source=openalex</w:t>
      </w:r>
    </w:p>
    <w:p>
      <w:pPr>
        <w:spacing w:before="0" w:after="80" w:lineRule="auto" w:line="276"/>
      </w:pPr>
      <w:r>
        <w:rPr>
          <w:b/>
        </w:rPr>
        <w:t xml:space="preserve">摘要（ZH）: </w:t>
      </w:r>
      <w:r>
        <w:t>对白质（用于大脑区域之间通信的组织）的研究揭示了神经系统疾病和障碍患者的显著变化。白质脑图的创建使得可以使用磁共振成像（MRI）脑扫描评估个体偏离典型结构的情况。脑图为白质束在整个生命周期中的生长、成熟和衰退提供了基准参考。</w:t>
      </w:r>
    </w:p>
    <w:p>
      <w:pPr>
        <w:spacing w:before="0" w:after="200" w:lineRule="auto" w:line="276"/>
      </w:pPr>
      <w:r>
        <w:rPr>
          <w:b/>
        </w:rPr>
        <w:t xml:space="preserve">Abstract (EN): </w:t>
      </w:r>
      <w:r>
        <w:t>Studies of white matter — the tissue used for communication between brain regions — have revealed substantial changes in people with neurological diseases and disorders. The creation of white-matter brain charts enables individual deviations from the typical structure to be assessed using magnetic resonance imaging (MRI) brain scans. Brain charts provide a benchmark reference for how white-matter tracts grow, mature and decline across the lifespan.</w:t>
      </w:r>
    </w:p>
    <w:p>
      <w:pPr>
        <w:spacing w:before="120" w:after="120"/>
      </w:pPr>
      <w:r>
        <w:rPr>
          <w:sz w:val="18"/>
        </w:rPr>
        <w:t>——————————————————————————————————————————————————————————————————————</w:t>
      </w:r>
    </w:p>
    <w:p>
      <w:pPr>
        <w:spacing w:before="160" w:after="40" w:line="240" w:lineRule="auto"/>
      </w:pPr>
      <w:r>
        <w:rPr>
          <w:b/>
        </w:rPr>
        <w:t xml:space="preserve">[279] </w:t>
      </w:r>
      <w:hyperlink r:id="rId729">
        <w:r>
          <w:rPr>
            <w:color w:val="1155CC"/>
            <w:u w:val="single"/>
          </w:rPr>
          <w:t>人工智能工具能否评估编码作业？</w:t>
        </w:r>
      </w:hyperlink>
    </w:p>
    <w:p>
      <w:pPr>
        <w:spacing w:before="0" w:after="80"/>
      </w:pPr>
      <w:r>
        <w:rPr>
          <w:i/>
          <w:sz w:val="20"/>
        </w:rPr>
        <w:t>EN: Can AI tools assess coding assignments?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30">
        <w:r>
          <w:rPr>
            <w:color w:val="1155CC"/>
            <w:u w:val="single"/>
          </w:rPr>
          <w:t>10.1038/d41586-026-01139-x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[280] </w:t>
      </w:r>
      <w:hyperlink r:id="rId731">
        <w:r>
          <w:rPr>
            <w:color w:val="1155CC"/>
            <w:u w:val="single"/>
          </w:rPr>
          <w:t>直立人和丹尼索瓦人是否交配？牙齿蛋白质暗示古代的交往</w:t>
        </w:r>
      </w:hyperlink>
    </w:p>
    <w:p>
      <w:pPr>
        <w:spacing w:before="0" w:after="80"/>
      </w:pPr>
      <w:r>
        <w:rPr>
          <w:i/>
          <w:sz w:val="20"/>
        </w:rPr>
        <w:t>EN: Did Homo erectus and Denisovans mate? Tooth proteins hint at ancient trysts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32">
        <w:r>
          <w:rPr>
            <w:color w:val="1155CC"/>
            <w:u w:val="single"/>
          </w:rPr>
          <w:t>10.1038/d41586-026-01532-6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[281] </w:t>
      </w:r>
      <w:hyperlink r:id="rId733">
        <w:r>
          <w:rPr>
            <w:color w:val="1155CC"/>
            <w:u w:val="single"/>
          </w:rPr>
          <w:t>对抗抗菌素耐药性的斗争从家开始</w:t>
        </w:r>
      </w:hyperlink>
    </w:p>
    <w:p>
      <w:pPr>
        <w:spacing w:before="0" w:after="80"/>
      </w:pPr>
      <w:r>
        <w:rPr>
          <w:i/>
          <w:sz w:val="20"/>
        </w:rPr>
        <w:t>EN: The fightback against antimicrobial resistance starts at home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34">
        <w:r>
          <w:rPr>
            <w:color w:val="1155CC"/>
            <w:u w:val="single"/>
          </w:rPr>
          <w:t>10.1038/d41586-026-01372-4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[282] </w:t>
      </w:r>
      <w:hyperlink r:id="rId735">
        <w:r>
          <w:rPr>
            <w:color w:val="1155CC"/>
            <w:u w:val="single"/>
          </w:rPr>
          <w:t>可再生能源的可重塑性和地点的成本竞争力在实现净零电力供应中的作用</w:t>
        </w:r>
      </w:hyperlink>
    </w:p>
    <w:p>
      <w:pPr>
        <w:spacing w:before="0" w:after="80"/>
      </w:pPr>
      <w:r>
        <w:rPr>
          <w:i/>
          <w:sz w:val="20"/>
        </w:rPr>
        <w:t>EN: Renewable reshapeability and cost competitiveness of locations in achieving net-zero electricity supply</w:t>
      </w:r>
    </w:p>
    <w:p>
      <w:pPr>
        <w:spacing w:before="0" w:after="120"/>
      </w:pPr>
      <w:r>
        <w:rPr>
          <w:b/>
        </w:rPr>
        <w:t xml:space="preserve">Source: </w:t>
      </w:r>
      <w:r>
        <w:t>ScienceDirect Publication: Applied Energy</w:t>
      </w:r>
      <w:r>
        <w:t xml:space="preserve">    </w:t>
      </w:r>
      <w:r>
        <w:rPr>
          <w:b/>
        </w:rPr>
        <w:t xml:space="preserve">Pub date: </w:t>
      </w:r>
      <w:r>
        <w:t>2026-05-13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736">
        <w:r>
          <w:rPr>
            <w:color w:val="1155CC"/>
            <w:u w:val="single"/>
          </w:rPr>
          <w:t>肥胖在所有国家都在上升——但在较贫穷的国家上升速度更快</w:t>
        </w:r>
      </w:hyperlink>
    </w:p>
    <w:p>
      <w:pPr>
        <w:spacing w:before="0" w:after="80"/>
      </w:pPr>
      <w:r>
        <w:rPr>
          <w:i/>
          <w:sz w:val="20"/>
        </w:rPr>
        <w:t>EN: Obesity has risen in all countries — but at a faster pace in poorer ones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37">
        <w:r>
          <w:rPr>
            <w:color w:val="1155CC"/>
            <w:u w:val="single"/>
          </w:rPr>
          <w:t>10.1038/d41586-026-00909-x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738">
        <w:r>
          <w:rPr>
            <w:color w:val="1155CC"/>
            <w:u w:val="single"/>
          </w:rPr>
          <w:t>具有1,024个压缩态和8,176个模式的高斯玻色子采样</w:t>
        </w:r>
      </w:hyperlink>
    </w:p>
    <w:p>
      <w:pPr>
        <w:spacing w:before="0" w:after="80"/>
      </w:pPr>
      <w:r>
        <w:rPr>
          <w:i/>
          <w:sz w:val="20"/>
        </w:rPr>
        <w:t>EN: Gaussian boson sampling with 1,024 squeezed states in 8,176 modes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39">
        <w:r>
          <w:rPr>
            <w:color w:val="1155CC"/>
            <w:u w:val="single"/>
          </w:rPr>
          <w:t>10.1038/s41586-026-10523-6</w:t>
        </w:r>
      </w:hyperlink>
    </w:p>
    <w:p>
      <w:pPr>
        <w:spacing w:before="0" w:after="120"/>
      </w:pPr>
      <w:r>
        <w:rPr>
          <w:b/>
        </w:rPr>
        <w:t xml:space="preserve">Notes: </w:t>
      </w:r>
      <w:r>
        <w:t>abstract_source=nature_html</w:t>
      </w:r>
    </w:p>
    <w:p>
      <w:pPr>
        <w:spacing w:before="0" w:after="80" w:lineRule="auto" w:line="276"/>
      </w:pPr>
      <w:r>
        <w:rPr>
          <w:b/>
        </w:rPr>
        <w:t xml:space="preserve">摘要（ZH）: </w:t>
      </w:r>
      <w:r>
        <w:t>大规模、高保真量子处理器的开发是一个基本的科学挑战，对于探索经典计算的边界和迈向容错系统至关重要。高斯玻色子采样不仅是展示量子计算优势的一个重要模型1,2,3，还可以生成用于容错量子计算的玻色子纠错码4,5,6。然而，其可扩展性受到在日益庞大和复杂的编码电路中显著光子损失的阻碍。在此，我们展示了一种可编程光子量子处理器，九章4.0，它将1,024个高效压缩态整合到一个混合空间-时间编码的8,176模式电路中。通过实现92%的源效率和51%的整体系统效率，该处理器产生的样本检测事件多达3,050个光子，规模比之前的演示增加了一个数量级7,8,9,10。该架构实现了连接性的立方扩展（163 = 4,096），使得在维度约为102,461的希尔伯特空间内进行采样成为可能。实验结果经过所有当前经典模拟方法的严格验证，特别是最近设计用于利用光子损失的矩阵积态算法11。能够在可编程低损耗量子处理器中控制数千个光子，将实验前沿推进到远超经典可处理性的领域，并为万亿量子模式三维簇态和容错光子量子硬件开辟了道路。</w:t>
      </w:r>
    </w:p>
    <w:p>
      <w:pPr>
        <w:spacing w:before="0" w:after="200" w:lineRule="auto" w:line="276"/>
      </w:pPr>
      <w:r>
        <w:rPr>
          <w:b/>
        </w:rPr>
        <w:t xml:space="preserve">Abstract (EN): </w:t>
      </w:r>
      <w:r>
        <w:t>The development of large-scale, high-fidelity quantum processors is a fundamental scientific challenge, essential for exploring the boundaries of classical computation and advancing towards fault-tolerant systems. Gaussian boson sampling not only serves as a prominent model for demonstrating quantum computational advantage1,2,3 but can also generate bosonic error-correcting codes for fault-tolerant quantum computing4,5,6. However, its scalability has been hindered by significant photon loss in increasingly large and complex encoding circuits. Here we show a programmable photonic quantum processor, Jiuzhang 4.0, which incorporates 1,024 high-efficiency squeezed states into a hybrid spatial–temporal encoded 8,176-mode circuit. By achieving 92% source efficiency and 51% overall system efficiency, the processor produces samples with detection events up to 3,050 photons, representing an order-of-magnitude increase in scale over previous demonstrations7,8,9,10. This architecture realizes a cubic scaling of connectivity (163 = 4, 096), enabling sampling within a Hilbert space of dimension approximately 102,461. The experimental results are rigorously validated against all current classical simulation methods, especially the matrix product state algorithms recently designed to exploit photon loss11. The ability to control thousands of photons in programmable low-loss quantum processors pushes the experimental frontier into a regime far beyond classical tractability and opens a pathway to trillion-qumode three-dimensional cluster states and fault-tolerant photonic quantum hardware.</w:t>
      </w:r>
    </w:p>
    <w:p>
      <w:pPr>
        <w:spacing w:before="120" w:after="120"/>
      </w:pPr>
      <w:r>
        <w:rPr>
          <w:sz w:val="18"/>
        </w:rPr>
        <w:t>——————————————————————————————————————————————————————————————————————</w:t>
      </w:r>
    </w:p>
    <w:p>
      <w:pPr>
        <w:spacing w:before="160" w:after="40" w:line="240" w:lineRule="auto"/>
      </w:pPr>
      <w:r>
        <w:rPr>
          <w:b/>
        </w:rPr>
        <w:t xml:space="preserve">[285] </w:t>
      </w:r>
      <w:hyperlink r:id="rId740">
        <w:r>
          <w:rPr>
            <w:color w:val="1155CC"/>
            <w:u w:val="single"/>
          </w:rPr>
          <w:t>每日简报：冰芯是地球气候最长的连续记录</w:t>
        </w:r>
      </w:hyperlink>
    </w:p>
    <w:p>
      <w:pPr>
        <w:spacing w:before="0" w:after="80"/>
      </w:pPr>
      <w:r>
        <w:rPr>
          <w:i/>
          <w:sz w:val="20"/>
        </w:rPr>
        <w:t>EN: Daily briefing: Ice core is the longest-ever continuous record of Earth’s climate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41">
        <w:r>
          <w:rPr>
            <w:color w:val="1155CC"/>
            <w:u w:val="single"/>
          </w:rPr>
          <w:t>10.1038/d41586-026-01561-1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[286] </w:t>
      </w:r>
      <w:hyperlink r:id="rId742">
        <w:r>
          <w:rPr>
            <w:color w:val="1155CC"/>
            <w:u w:val="single"/>
          </w:rPr>
          <w:t>二十一世纪中非山区高山火灾的出现</w:t>
        </w:r>
      </w:hyperlink>
    </w:p>
    <w:p>
      <w:pPr>
        <w:spacing w:before="0" w:after="80"/>
      </w:pPr>
      <w:r>
        <w:rPr>
          <w:i/>
          <w:sz w:val="20"/>
        </w:rPr>
        <w:t>EN: Twenty-first century emergence of alpine fire in Central African mountains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43">
        <w:r>
          <w:rPr>
            <w:color w:val="1155CC"/>
            <w:u w:val="single"/>
          </w:rPr>
          <w:t>10.1038/s41586-026-10511-w</w:t>
        </w:r>
      </w:hyperlink>
    </w:p>
    <w:p>
      <w:pPr>
        <w:spacing w:before="0" w:after="120"/>
      </w:pPr>
      <w:r>
        <w:rPr>
          <w:b/>
        </w:rPr>
        <w:t xml:space="preserve">Notes: </w:t>
      </w:r>
      <w:r>
        <w:t>abstract_source=nature_html</w:t>
      </w:r>
    </w:p>
    <w:p>
      <w:pPr>
        <w:spacing w:before="0" w:after="80" w:lineRule="auto" w:line="276"/>
      </w:pPr>
      <w:r>
        <w:rPr>
          <w:b/>
        </w:rPr>
        <w:t xml:space="preserve">摘要（ZH）: </w:t>
      </w:r>
      <w:r>
        <w:t>野火是一个日益严重的全球性危害，威胁着生态系统、空气质量和社会1,2。尽管高大的热带山脉通常被认为过于凉爽和潮湿而不易燃烧3，但最近在非洲最高山脉上发生的高海拔野火表明了一种新的、可能具有变革性的威胁的出现。这些环境中缺乏火灾的历史记录限制了我们对火灾活动、其环境影响以及非洲山地生态系统恢复力的理解。在此，我们展示了21世纪的一场火灾是过去12,000年中首次影响中非鲁文佐里山脉的非洲高山海拔（&gt;3,800米海拔）地区。在中海拔（2,990米海拔）地区，火灾在大约2,000年前突然增加，与区域性人类活动变化的证据相吻合4，随后竹子主导的生态系统增加。我们的结果强调了人类作为非洲山地火灾活动的重要驱动因素的作用，并表明高海拔热带非洲高山火灾是21世纪的一种新干扰，可能会改变高海拔热带生态系统。</w:t>
      </w:r>
    </w:p>
    <w:p>
      <w:pPr>
        <w:spacing w:before="0" w:after="200" w:lineRule="auto" w:line="276"/>
      </w:pPr>
      <w:r>
        <w:rPr>
          <w:b/>
        </w:rPr>
        <w:t xml:space="preserve">Abstract (EN): </w:t>
      </w:r>
      <w:r>
        <w:t>Wildfires are an escalating global hazard that threaten ecosystems, air quality and societies1,2. Although tall tropical mountains have generally been considered too cool and moist to burn3, the recent occurrence of high-elevation wildfires on Africa’s highest mountains suggests the emergence of a new and potentially transformative threat. A lack of historical records of fire in these environments limits our understanding of fire activity, its environmental impacts and the resilience of Afromontane ecosystems. Here we show that a twenty-first century fire was the first to affect Afroalpine elevations (&gt;3,800 m above sea level (a.s.l.)) over the past 12 thousand years in the Rwenzori Mountains, Central Africa. At mid-elevations (2,990 m a.s.l.), fire increased abruptly around 2 thousand years ago, coincident with regional evidence for changing human activity4, and this was followed by an increase in bamboo-dominated ecosystems. Our results highlight the role of humans as an important driver of Afromontane fire activity and show that high-elevation tropical Afroalpine fire is a new twenty-first century disturbance that could transform high-elevation tropical ecosystems.</w:t>
      </w:r>
    </w:p>
    <w:p>
      <w:pPr>
        <w:spacing w:before="120" w:after="120"/>
      </w:pPr>
      <w:r>
        <w:rPr>
          <w:sz w:val="18"/>
        </w:rPr>
        <w:t>——————————————————————————————————————————————————————————————————————</w:t>
      </w:r>
    </w:p>
    <w:p>
      <w:pPr>
        <w:spacing w:before="160" w:after="40" w:line="240" w:lineRule="auto"/>
      </w:pPr>
      <w:r>
        <w:rPr>
          <w:b/>
        </w:rPr>
        <w:t xml:space="preserve">[287] </w:t>
      </w:r>
      <w:hyperlink r:id="rId744">
        <w:r>
          <w:rPr>
            <w:color w:val="1155CC"/>
            <w:u w:val="single"/>
          </w:rPr>
          <w:t>歌曲学习的突触位置</w:t>
        </w:r>
      </w:hyperlink>
    </w:p>
    <w:p>
      <w:pPr>
        <w:spacing w:before="0" w:after="80"/>
      </w:pPr>
      <w:r>
        <w:rPr>
          <w:i/>
          <w:sz w:val="20"/>
        </w:rPr>
        <w:t>EN: A synaptic locus of song learning</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45">
        <w:r>
          <w:rPr>
            <w:color w:val="1155CC"/>
            <w:u w:val="single"/>
          </w:rPr>
          <w:t>10.1038/s41586-026-10510-x</w:t>
        </w:r>
      </w:hyperlink>
    </w:p>
    <w:p>
      <w:pPr>
        <w:spacing w:before="0" w:after="120"/>
      </w:pPr>
      <w:r>
        <w:rPr>
          <w:b/>
        </w:rPr>
        <w:t xml:space="preserve">Notes: </w:t>
      </w:r>
      <w:r>
        <w:t>abstract_source=nature_html</w:t>
      </w:r>
    </w:p>
    <w:p>
      <w:pPr>
        <w:spacing w:before="0" w:after="80" w:lineRule="auto" w:line="276"/>
      </w:pPr>
      <w:r>
        <w:rPr>
          <w:b/>
        </w:rPr>
        <w:t xml:space="preserve">摘要（ZH）: </w:t>
      </w:r>
      <w:r>
        <w:t>模仿学习是语言和音乐表达的基础，但其神经基础仍不清楚。一只幼年雄性斑胸草雀通过模仿成年导师的多音节歌曲进行学习，这一过程依赖于一个专门用于歌曲的皮质-基底神经节回路1,2,3,4，提供了一个强大的系统来识别模仿运动学习的突触基质。假设在特定的一组皮质-基底神经节突触的可塑性驱动了歌曲中与学习相关的快速变化，然后这些变化在下游回路中得到巩固5。然而，这一假设尚未经过测试，学习最初发生的突触位置尚不清楚。在此，通过结合一个计算框架来量化歌曲学习，并在皮质-基底神经节回路内及下游进行突触特异性光遗传学和化学遗传学操作，我们识别了驱动幼年歌曲学习期间快速声乐变化获取和表达的特定皮质-基底神经节突触，并描述了这些变化巩固的小时级时间尺度。此外，短暂增强基底神经节的突触后活动可以短暂加速学习速度并持续改变歌曲，证明了基底神经节活动与快速学习之间的直接联系。这些结果定位了使幼年鸣禽学会唱歌的特定皮质-基底神经节突触，并揭示了这种模仿学习范式的回路逻辑和行为时间尺度。</w:t>
      </w:r>
    </w:p>
    <w:p>
      <w:pPr>
        <w:spacing w:before="0" w:after="200" w:lineRule="auto" w:line="276"/>
      </w:pPr>
      <w:r>
        <w:rPr>
          <w:b/>
        </w:rPr>
        <w:t xml:space="preserve">Abstract (EN): </w:t>
      </w:r>
      <w:r>
        <w:t>Learning by imitation is the foundation for verbal and musical expression, but its neural basis remains unclear. A juvenile male zebra finch imitates the multisyllabic song of an adult tutor in a process that depends on a song-specialized cortico-basal ganglia circuit1,2,3,4, affording a powerful system to identify the synaptic substrates of imitative motor learning. Plasticity at a particular set of cortico-basal ganglia synapses is hypothesized to drive rapid learning-related changes in song before these changes are subsequently consolidated in downstream circuits5. Nevertheless, this hypothesis is untested and the synaptic locus where learning initially occurs is unclear. Here, by combining a computational framework to quantify song learning with synapse-specific optogenetic and chemogenetic manipulations within and downstream of the cortico-basal ganglia circuit, we identified the specific cortico-basal ganglia synapses that drive the acquisition and expression of rapid vocal changes during juvenile song learning and characterized the hours-long timescale over which these changes consolidate. Furthermore, transiently augmenting postsynaptic activity in the basal ganglia briefly accelerates learning rates and persistently alters song, demonstrating a direct link between basal ganglia activity and rapid learning. These results localize the specific cortico-basal ganglia synapses that enable a juvenile songbird to learn to sing and reveal the circuit logic and behavioural timescales of this imitative learning paradigm.</w:t>
      </w:r>
    </w:p>
    <w:p>
      <w:pPr>
        <w:spacing w:before="120" w:after="120"/>
      </w:pPr>
      <w:r>
        <w:rPr>
          <w:sz w:val="18"/>
        </w:rPr>
        <w:t>——————————————————————————————————————————————————————————————————————</w:t>
      </w:r>
    </w:p>
    <w:p>
      <w:pPr>
        <w:spacing w:before="160" w:after="40" w:line="240" w:lineRule="auto"/>
      </w:pPr>
      <w:r>
        <w:rPr>
          <w:b/>
        </w:rPr>
        <w:t xml:space="preserve">[288] </w:t>
      </w:r>
      <w:hyperlink r:id="rId746">
        <w:r>
          <w:rPr>
            <w:color w:val="1155CC"/>
            <w:u w:val="single"/>
          </w:rPr>
          <w:t>耐用的自粘高熵氧化物亚纳米线电催化剂</w:t>
        </w:r>
      </w:hyperlink>
    </w:p>
    <w:p>
      <w:pPr>
        <w:spacing w:before="0" w:after="80"/>
      </w:pPr>
      <w:r>
        <w:rPr>
          <w:i/>
          <w:sz w:val="20"/>
        </w:rPr>
        <w:t>EN: A durable self-adhesive high-entropy oxide sub-nanowire electrocatalyst</w:t>
      </w:r>
    </w:p>
    <w:p>
      <w:pPr>
        <w:spacing w:before="0" w:after="120"/>
      </w:pPr>
      <w:r>
        <w:rPr>
          <w:b/>
        </w:rPr>
        <w:t xml:space="preserve">Source: </w:t>
      </w:r>
      <w:r>
        <w:t>Nature Nanotechnology</w:t>
      </w:r>
      <w:r>
        <w:t xml:space="preserve">    </w:t>
      </w:r>
      <w:r>
        <w:rPr>
          <w:b/>
        </w:rPr>
        <w:t xml:space="preserve">Pub date: </w:t>
      </w:r>
      <w:r>
        <w:t>2026-05-13 00:00:00+00:00</w:t>
      </w:r>
      <w:r>
        <w:t xml:space="preserve">    </w:t>
      </w:r>
      <w:r>
        <w:rPr>
          <w:b/>
        </w:rPr>
        <w:t xml:space="preserve">DOI: </w:t>
      </w:r>
      <w:hyperlink r:id="rId747">
        <w:r>
          <w:rPr>
            <w:color w:val="1155CC"/>
            <w:u w:val="single"/>
          </w:rPr>
          <w:t>10.1038/s41565-026-02183-4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[289] </w:t>
      </w:r>
      <w:hyperlink r:id="rId748">
        <w:r>
          <w:rPr>
            <w:color w:val="1155CC"/>
            <w:u w:val="single"/>
          </w:rPr>
          <w:t>构建虚拟储能的灵活性：供暖和制冷系统建模和控制的系统定量综述</w:t>
        </w:r>
      </w:hyperlink>
    </w:p>
    <w:p>
      <w:pPr>
        <w:spacing w:before="0" w:after="80"/>
      </w:pPr>
      <w:r>
        <w:rPr>
          <w:i/>
          <w:sz w:val="20"/>
        </w:rPr>
        <w:t>EN: Flexibility of building virtual energy storage: a systematic quantitative review of modeling and controlling heating and cooling systems</w:t>
      </w:r>
    </w:p>
    <w:p>
      <w:pPr>
        <w:spacing w:before="0" w:after="120"/>
      </w:pPr>
      <w:r>
        <w:rPr>
          <w:b/>
        </w:rPr>
        <w:t xml:space="preserve">Source: </w:t>
      </w:r>
      <w:r>
        <w:t>ScienceDirect Publication: Applied Energy</w:t>
      </w:r>
      <w:r>
        <w:t xml:space="preserve">    </w:t>
      </w:r>
      <w:r>
        <w:rPr>
          <w:b/>
        </w:rPr>
        <w:t xml:space="preserve">Pub date: </w:t>
      </w:r>
      <w:r>
        <w:t>2026-05-13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[290] </w:t>
      </w:r>
      <w:hyperlink r:id="rId749">
        <w:r>
          <w:rPr>
            <w:color w:val="1155CC"/>
            <w:u w:val="single"/>
          </w:rPr>
          <w:t>晶格中的中尺度原子工程</w:t>
        </w:r>
      </w:hyperlink>
    </w:p>
    <w:p>
      <w:pPr>
        <w:spacing w:before="0" w:after="80"/>
      </w:pPr>
      <w:r>
        <w:rPr>
          <w:i/>
          <w:sz w:val="20"/>
        </w:rPr>
        <w:t>EN: Mesoscale atomic engineering in a crystal lattice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50">
        <w:r>
          <w:rPr>
            <w:color w:val="1155CC"/>
            <w:u w:val="single"/>
          </w:rPr>
          <w:t>10.1038/s41586-026-10431-9</w:t>
        </w:r>
      </w:hyperlink>
    </w:p>
    <w:p>
      <w:pPr>
        <w:spacing w:before="0" w:after="120"/>
      </w:pPr>
      <w:r>
        <w:rPr>
          <w:b/>
        </w:rPr>
        <w:t xml:space="preserve">Notes: </w:t>
      </w:r>
      <w:r>
        <w:t>abstract_source=nature_html</w:t>
      </w:r>
    </w:p>
    <w:p>
      <w:pPr>
        <w:spacing w:before="0" w:after="80" w:lineRule="auto" w:line="276"/>
      </w:pPr>
      <w:r>
        <w:rPr>
          <w:b/>
        </w:rPr>
        <w:t xml:space="preserve">摘要（ZH）: </w:t>
      </w:r>
      <w:r>
        <w:t>使用激光1、离子阱2和扫描探针尖端3控制单个原子已经改变了我们对物质的理解，并在量子科学4,5,6中实现了突破。然而，将这种控制扩展到三维（3D）固体和跨介观尺度仍然是一个基础性挑战。已知电子显微镜中的电子辐照会引起原子位移7，并且已经提出8并展示了原子操控9,10。然而，重复和确定性的控制仍然难以实现9,10,11,12,13,14,15,16,17。在此，我们展示了在3D晶体中进行确定性原子工程，在150 nm × 100 nm × 13 nm的体积内，在几分钟内创建了超过40,000个用户定义缺陷的有序排列。通过使用电子束以亚20 pm级精度引导磁性半导体CrSBr中的单个Cr原子进入选定的间隙位点，我们创建了空位-间隙复合体。由此产生的杂质阵列形成了嵌入在宿主晶格中的介观晶体，这是一种新的工程人工物质形式，在室温下和显微镜外保持稳定。通过跟踪Cr原子的位移，我们确定了缺陷结构可预测的条件。我们的计算表明，这些缺陷形成了具有缺陷内光学跃迁和缺陷间动力学和库仑相互作用的相关杂质态。这为介观乃至宏观尺度的原子缺陷工程建立了一个可推广的平台，开辟了可扩展量子技术的机会。</w:t>
      </w:r>
    </w:p>
    <w:p>
      <w:pPr>
        <w:spacing w:before="0" w:after="200" w:lineRule="auto" w:line="276"/>
      </w:pPr>
      <w:r>
        <w:rPr>
          <w:b/>
        </w:rPr>
        <w:t xml:space="preserve">Abstract (EN): </w:t>
      </w:r>
      <w:r>
        <w:t>Controlling individual atoms using lasers1, ion traps2 and scanning probe tips3 has transformed our understanding of matter and enabled breakthroughs in quantum science4,5,6. Extending this control into three-dimensional (3D) solids and across mesoscopic scales, however, remains a foundational challenge. Electron irradiation in electron microscopes is known to induce atomic displacements7, and atomic manipulation has been proposed8 and demonstrated9,10. Yet repeated and deterministic control has remained elusive9,10,11,12,13,14,15,16,17. Here we demonstrate deterministic atomic engineering in a 3D crystal, creating ordered arrangements of more than 40,000 user-defined defects within minutes across a 150 nm × 100 nm × 13 nm volume. By steering individual Cr atoms in the magnetic semiconductor CrSBr into selected interstitial sites using an electron beam directed with sub-20-pm-scale accuracy, we create vacancy–interstitial complexes. The resulting impurity array forms a mesoscale crystal embedded within the host lattice, a new form of engineered artificial matter that remains stable at room temperature and outside the microscope. By tracking Cr atom displacements, we identify conditions under which the defect structures are predictable. Our calculations suggest that these defects form correlated impurity states with intra-defect optical transitions and inter-defect kinetic and Coulomb interactions. This establishes a generalizable platform for atomic defect engineering at mesoscopic, and potentially macroscopic, scales, opening opportunities for scalable quantum technologies, including deterministic colour-centre placement, quantum simulation of many-body lattice models and atomic-scale manufacturing.</w:t>
      </w:r>
    </w:p>
    <w:p>
      <w:pPr>
        <w:spacing w:before="120" w:after="120"/>
      </w:pPr>
      <w:r>
        <w:rPr>
          <w:sz w:val="18"/>
        </w:rPr>
        <w:t>——————————————————————————————————————————————————————————————————————</w:t>
      </w:r>
    </w:p>
    <w:p>
      <w:pPr>
        <w:spacing w:before="160" w:after="40" w:line="240" w:lineRule="auto"/>
      </w:pPr>
      <w:r>
        <w:rPr>
          <w:b/>
        </w:rPr>
        <w:t xml:space="preserve">[291] </w:t>
      </w:r>
      <w:hyperlink r:id="rId751">
        <w:r>
          <w:rPr>
            <w:color w:val="1155CC"/>
            <w:u w:val="single"/>
          </w:rPr>
          <w:t>海马-后扣带轴中的子空间通信</w:t>
        </w:r>
      </w:hyperlink>
    </w:p>
    <w:p>
      <w:pPr>
        <w:spacing w:before="0" w:after="80"/>
      </w:pPr>
      <w:r>
        <w:rPr>
          <w:i/>
          <w:sz w:val="20"/>
        </w:rPr>
        <w:t>EN: Subspace communication in the hippocampal–retrosplenial axis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52">
        <w:r>
          <w:rPr>
            <w:color w:val="1155CC"/>
            <w:u w:val="single"/>
          </w:rPr>
          <w:t>10.1038/s41586-026-10481-z</w:t>
        </w:r>
      </w:hyperlink>
    </w:p>
    <w:p>
      <w:pPr>
        <w:spacing w:before="0" w:after="120"/>
      </w:pPr>
      <w:r>
        <w:rPr>
          <w:b/>
        </w:rPr>
        <w:t xml:space="preserve">Notes: </w:t>
      </w:r>
      <w:r>
        <w:t>abstract_source=nature_html</w:t>
      </w:r>
    </w:p>
    <w:p>
      <w:pPr>
        <w:spacing w:before="0" w:after="80" w:lineRule="auto" w:line="276"/>
      </w:pPr>
      <w:r>
        <w:rPr>
          <w:b/>
        </w:rPr>
        <w:t xml:space="preserve">摘要（ZH）: </w:t>
      </w:r>
      <w:r>
        <w:t>海马回路将输入转化为下游输出的能力是导航和记忆的基础，但使其能够适应经验的电路级机制仍不清楚。在此，我们通过在行为小鼠中进行大规模（多达1,024通道）跨海马-后扣带皮层（RSC）电路的记录来解决这个问题，从而能够同时访问齿状回（DG）、CA3、CA2、CA1和RSC的尖峰活动。基于一种称为部分典型相关分析的线性降维技术，我们识别出两个区域之间的低维通信子空间1，同时考虑到来自第三个区域的影响。这些子空间捕捉了CA1区域中独特的输入-输出转换，将上游海马活动（DG、CA3和CA2）与下游皮层目标（RSC）联系起来。内在的发射特性和解剖位置限制了子空间成员资格——成员在空间和非空间任务期间被映射到CA3-CA1-RSC轴的深层子层。这些子空间可以重组重叠的神经元池，以支持跨越变化的经验和脑状态的不同区域间相互作用。CA1-CA3子空间的再激活模式，而不是CA1-RSC的模式，在经验后睡眠期间与重放相关，反映了沿海马-后扣带轴的输入-输出转换中的可塑性-稳定性平衡。我们的研究结果提出了一个模型，其中海马-新皮层通信重新配置预定的电路模式以灵活适应。</w:t>
      </w:r>
    </w:p>
    <w:p>
      <w:pPr>
        <w:spacing w:before="0" w:after="200" w:lineRule="auto" w:line="276"/>
      </w:pPr>
      <w:r>
        <w:rPr>
          <w:b/>
        </w:rPr>
        <w:t xml:space="preserve">Abstract (EN): </w:t>
      </w:r>
      <w:r>
        <w:t>The capacity of hippocampal circuits to transform inputs into downstream outputs is fundamental to navigation and memory, yet the circuit-level mechanisms that enable this flexibility in adapting to experience remain unclear. Here we approach this problem by performing large-scale (up to 1,024 channel) recordings across the hippocampal–retrosplenial cortex (RSC) circuit in behaving mice, enabling simultaneous access to spiking activity in dentate gyrus (DG), CA3, CA2, CA1 and RSC. On the basis of a linear dimensionality-reduction technique known as partial canonical correlation analysis, we identify low-dimensional communication subspaces1 between two regions while accounting for influences from a third area. These subspaces captured distinct input–output transformations in the CA1 region, linking upstream hippocampal activity (DG, CA3 and CA2) to downstream cortical targets (RSC). Intrinsic firing properties and anatomical location constrained subspace memberships—members were mapped to deep sublayers of the CA3–CA1–RSC axis during both spatial and non-spatial tasks. These subspaces could recombine overlapping neuronal pools to support distinct interareal interactions across changing experiences and brain states. Reactivation patterns of CA1–CA3 subspaces, but not those of CA1–RSC, during post-experience sleep correlated with replay, reflecting a plasticity–stability balance in the input–output transformation along the hippocampal–retrosplenial axis. Our findings suggest a model in which hippocampal–neocortical communication reconfigures predetermined circuit motifs to flexibly encode experiences.</w:t>
      </w:r>
    </w:p>
    <w:p>
      <w:pPr>
        <w:spacing w:before="120" w:after="120"/>
      </w:pPr>
      <w:r>
        <w:rPr>
          <w:sz w:val="18"/>
        </w:rPr>
        <w:t>——————————————————————————————————————————————————————————————————————</w:t>
      </w:r>
    </w:p>
    <w:p>
      <w:pPr>
        <w:spacing w:before="160" w:after="40" w:line="240" w:lineRule="auto"/>
      </w:pPr>
      <w:r>
        <w:rPr>
          <w:b/>
        </w:rPr>
        <w:t xml:space="preserve">[292] </w:t>
      </w:r>
      <w:hyperlink r:id="rId753">
        <w:r>
          <w:rPr>
            <w:color w:val="1155CC"/>
            <w:u w:val="single"/>
          </w:rPr>
          <w:t>分裂脂质-核苷酸多层液滴中的不对称分裂</w:t>
        </w:r>
      </w:hyperlink>
    </w:p>
    <w:p>
      <w:pPr>
        <w:spacing w:before="0" w:after="80"/>
      </w:pPr>
      <w:r>
        <w:rPr>
          <w:i/>
          <w:sz w:val="20"/>
        </w:rPr>
        <w:t>EN: Asymmetric splitting in dividing lipid-nucleotide multilamellar droplets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54">
        <w:r>
          <w:rPr>
            <w:color w:val="1155CC"/>
            <w:u w:val="single"/>
          </w:rPr>
          <w:t>10.1038/s41586-026-10489-5</w:t>
        </w:r>
      </w:hyperlink>
    </w:p>
    <w:p>
      <w:pPr>
        <w:spacing w:before="0" w:after="120"/>
      </w:pPr>
      <w:r>
        <w:rPr>
          <w:b/>
        </w:rPr>
        <w:t xml:space="preserve">Notes: </w:t>
      </w:r>
      <w:r>
        <w:t>abstract_source=nature_html</w:t>
      </w:r>
    </w:p>
    <w:p>
      <w:pPr>
        <w:spacing w:before="0" w:after="80" w:lineRule="auto" w:line="276"/>
      </w:pPr>
      <w:r>
        <w:rPr>
          <w:b/>
        </w:rPr>
        <w:t xml:space="preserve">摘要（ZH）: </w:t>
      </w:r>
      <w:r>
        <w:t>具有分子拥挤内部的液晶滴能够选择性地分离生物分子和界面润湿，最近已被开发用于构建人工细胞（原细胞）和链状原细胞网络1,2,3。然而，这些合成原细胞的受控分裂4,5,6,7,8,9,10,11,12,13,14,15,16仍然是一个挑战。已经显示出使用热梯度、耗散自组装、润湿能量和化学反应27,28,29,30,31实现囊泡和液滴的对称裂变17,18,19,20,21,22,23,24,25,26，但不对称分裂很少见。例如，渗透压已被用于诱导含有聚乙二醇-葡聚糖水相双相系统的脂质囊泡32以及用脂质相分离双层制备的巨大单层囊泡33的不对称分裂。在此，我们展示了结构化液滴在没有重组蛋白机器的情况下表现出不对称分裂。在碱性磷酸酶或多价金属阳离子的存在下，单个多层液滴分裂产生两个形态不同的后代（液滴和囊泡）。我们展示了异形分裂是通过单个表面小窝沿潜在的核-壳域边界的周向生长发生的，因为诱导了脂质头基-核苷酸对离子相互作用的变化，并证明功能性生物分子在不同的原细胞代之间转移。总之，我们的结果为自下而上组装增殖的人工细胞提供了一步。</w:t>
      </w:r>
    </w:p>
    <w:p>
      <w:pPr>
        <w:spacing w:before="0" w:after="200" w:lineRule="auto" w:line="276"/>
      </w:pPr>
      <w:r>
        <w:rPr>
          <w:b/>
        </w:rPr>
        <w:t xml:space="preserve">Abstract (EN): </w:t>
      </w:r>
      <w:r>
        <w:t>Liquid crystalline droplets with molecularly crowded interiors capable of selective biomolecular sequestration and interfacial wetting have been recently developed for the construction of artificial cells (protocells) and chain-like protocell networks1,2,3. The controlled division of these synthetic protocells4,5,6,7,8,9,10,11,12,13,14,15,16, however, remains a challenge. Symmetric fission of vesicles and droplets has been shown17,18,19,20,21,22,23,24,25,26 using thermal gradients, dissipative self-assembly, wetting energies and chemical reactions27,28,29,30,31, but asymmetric division is rare. For example, osmotic pressure has been used to induce the asymmetric division of lipid vesicles containing a polyethylene glycol–dextran aqueous two-phase system32 as well as giant unilamellar vesicles prepared with lipid-phase-separated bilayers33. Here we show that structured liquid droplets exhibit asymmetric division in the absence of reconstituted protein machinery. In the presence of alkaline phosphatase or multivalent metal cations, individual multilamellar droplets split to produce two morphologically distinct progeny (droplet and vesicle). We show that heteromorphic division occurs by circumferential growth of a single surface caveola along a latent core–shell domain boundary because of induced changes in lipid headgroup–nucleotide counterion interactions and demonstrate that functional biomolecules are transferred between the different protocell generations. Taken together, our results provide a step towards the bottom-up assembly of proliferating artificial cells.</w:t>
      </w:r>
    </w:p>
    <w:p>
      <w:pPr>
        <w:spacing w:before="120" w:after="120"/>
      </w:pPr>
      <w:r>
        <w:rPr>
          <w:sz w:val="18"/>
        </w:rPr>
        <w:t>——————————————————————————————————————————————————————————————————————</w:t>
      </w:r>
    </w:p>
    <w:p>
      <w:pPr>
        <w:spacing w:before="160" w:after="40" w:line="240" w:lineRule="auto"/>
      </w:pPr>
      <w:r>
        <w:rPr>
          <w:b/>
        </w:rPr>
        <w:t xml:space="preserve">[293] </w:t>
      </w:r>
      <w:hyperlink r:id="rId755">
        <w:r>
          <w:rPr>
            <w:color w:val="1155CC"/>
            <w:u w:val="single"/>
          </w:rPr>
          <w:t>嗜酸性粒细胞驱动生殖中的肠道重塑和先天防御</w:t>
        </w:r>
      </w:hyperlink>
    </w:p>
    <w:p>
      <w:pPr>
        <w:spacing w:before="0" w:after="80"/>
      </w:pPr>
      <w:r>
        <w:rPr>
          <w:i/>
          <w:sz w:val="20"/>
        </w:rPr>
        <w:t>EN: Eosinophils drive intestinal remodelling and innate defence in reproduction</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56">
        <w:r>
          <w:rPr>
            <w:color w:val="1155CC"/>
            <w:u w:val="single"/>
          </w:rPr>
          <w:t>10.1038/s41586-026-10531-6</w:t>
        </w:r>
      </w:hyperlink>
    </w:p>
    <w:p>
      <w:pPr>
        <w:spacing w:before="0" w:after="120"/>
      </w:pPr>
      <w:r>
        <w:rPr>
          <w:b/>
        </w:rPr>
        <w:t xml:space="preserve">Notes: </w:t>
      </w:r>
      <w:r>
        <w:t>abstract_source=nature_html</w:t>
      </w:r>
    </w:p>
    <w:p>
      <w:pPr>
        <w:spacing w:before="0" w:after="80" w:lineRule="auto" w:line="276"/>
      </w:pPr>
      <w:r>
        <w:rPr>
          <w:b/>
        </w:rPr>
        <w:t xml:space="preserve">摘要（ZH）: </w:t>
      </w:r>
      <w:r>
        <w:t>哺乳动物的繁殖需要大量的免疫适应，以确保繁殖成功并最终塑造物种的进化轨迹。系统性和胎盘免疫在怀孕期间转向耐受1,2；然而，母体免疫在屏障组织中如何适应——这些是频繁感染和炎症的部位——从怀孕到产后哺乳期仍然知之甚少。在此，我们报告了一种以前未被认识到的嗜酸性粒细胞的作用，这是一种通常与过敏和蠕虫感染相关的粒细胞3,4，在繁殖期间重塑肠道屏障。从怀孕开始并在哺乳期间达到高峰，嗜酸性粒细胞在没有感染或炎症的情况下积聚在小肠中。通过遗传和药理学干扰、类器官培养和单细胞及空间转录组学，我们展示了嗜酸性粒细胞以干细胞内在的方式促进杯状细胞分化，导致粘液产生增加。这种重塑在哺乳期间达到顶峰，并限制病原体进入和传播，以提供广泛的先天保护，抵御肠道细菌感染。此外，在小鼠中，肠道重塑和先天防御在哺乳停止后数周仍然存在。我们的研究结果表明，尽管在繁殖期间存在系统性免疫调节的总体趋势，但母体肠道经历重塑以增强先天防御，这一机制可能已经进化以在病原体丰富的环境中保护母亲和后代。更广泛地说，我们建立了</w:t>
      </w:r>
    </w:p>
    <w:p>
      <w:pPr>
        <w:spacing w:before="0" w:after="200" w:lineRule="auto" w:line="276"/>
      </w:pPr>
      <w:r>
        <w:rPr>
          <w:b/>
        </w:rPr>
        <w:t xml:space="preserve">Abstract (EN): </w:t>
      </w:r>
      <w:r>
        <w:t>Mammalian reproduction requires substantial immune adaptations to safeguard reproductive success and to ultimately shape the evolutionary trajectories of a species. Systemic and placental immunity shift towards tolerance during pregnancy1,2; however, how maternal immunity adapts in barrier tissues—which are sites of frequent infection and inflammation—from pregnancy until the postpartum lactation period remains poorly understood. Here we report a previously unrecognized role for eosinophils, a type of granulocyte typically associated with allergies and helminth infections3,4, in remodelling the intestinal barrier during reproduction. Beginning in pregnancy and peaking during lactation, eosinophils accumulate in the small intestine in the absence of infection or inflammation. Using genetic and pharmacological perturbations, organoid cultures and single-cell and spatial transcriptomics, we show that eosinophils promote goblet cell differentiation in a stem-cell-intrinsic manner that leads to increased mucus production. This remodelling culminates during lactation and limits pathogen entry and dissemination to confer broad innate protection against enteric bacterial infections. Moreover, in mice, intestinal remodelling and innate defence persist weeks after lactation cessation. Our findings demonstrate that despite a general trend towards systemic immune modulation during reproduction, the maternal intestine undergoes remodelling to strengthen innate defence, a mechanism that may have evolved to protect mothers and offspring in pathogen-rich environments. More broadly, we establish a framework for studying tissue-specific immune adaptation across the reproductive cycle and highlight that tissues can retain changes following physiological reproduction, with lasting implications for host defence and women’s health.</w:t>
      </w:r>
    </w:p>
    <w:p>
      <w:pPr>
        <w:spacing w:before="120" w:after="120"/>
      </w:pPr>
      <w:r>
        <w:rPr>
          <w:sz w:val="18"/>
        </w:rPr>
        <w:t>——————————————————————————————————————————————————————————————————————</w:t>
      </w:r>
    </w:p>
    <w:p>
      <w:pPr>
        <w:spacing w:before="160" w:after="40" w:line="240" w:lineRule="auto"/>
      </w:pPr>
      <w:r>
        <w:rPr>
          <w:b/>
        </w:rPr>
        <w:t xml:space="preserve">[294] </w:t>
      </w:r>
      <w:hyperlink r:id="rId757">
        <w:r>
          <w:rPr>
            <w:color w:val="1155CC"/>
            <w:u w:val="single"/>
          </w:rPr>
          <w:t>中老年生物年龄钟的睡眠图</w:t>
        </w:r>
      </w:hyperlink>
    </w:p>
    <w:p>
      <w:pPr>
        <w:spacing w:before="0" w:after="80"/>
      </w:pPr>
      <w:r>
        <w:rPr>
          <w:i/>
          <w:sz w:val="20"/>
        </w:rPr>
        <w:t>EN: Sleep chart of biological ageing clocks in middle and late life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58">
        <w:r>
          <w:rPr>
            <w:color w:val="1155CC"/>
            <w:u w:val="single"/>
          </w:rPr>
          <w:t>10.1038/s41586-026-10524-5</w:t>
        </w:r>
      </w:hyperlink>
    </w:p>
    <w:p>
      <w:pPr>
        <w:spacing w:before="0" w:after="120"/>
      </w:pPr>
      <w:r>
        <w:rPr>
          <w:b/>
        </w:rPr>
        <w:t xml:space="preserve">Notes: </w:t>
      </w:r>
      <w:r>
        <w:t>abstract_source=nature_html</w:t>
      </w:r>
    </w:p>
    <w:p>
      <w:pPr>
        <w:spacing w:before="0" w:after="80" w:lineRule="auto" w:line="276"/>
      </w:pPr>
      <w:r>
        <w:rPr>
          <w:b/>
        </w:rPr>
        <w:t xml:space="preserve">摘要（ZH）: </w:t>
      </w:r>
      <w:r>
        <w:t>最佳睡眠在促进健康老龄化和延长寿命方面起着至关重要的作用。在此，我们提出睡眠图表来评估自我报告的睡眠时间与23种生物老化时钟之间的关系，这些时钟来自体内成像1、血浆蛋白质组学2和代谢组学3。首先，在九个大脑和身体系统以及三种组学技术中，睡眠时间与生物年龄差之间出现了系统的U形模式。在英国生物银行（年龄37-84岁）中，样本特定的最低生物年龄差在6.4到7.8小时的睡眠时间之间实现，因器官和性别而异。此外，与正常睡眠时间（6-8小时）相比，短（8小时）睡眠时间与大脑以外的系统性疾病风险增加以及全因死亡率相关，并有遗传相关性和事件生存预测的证据，如抑郁症和糖尿病。最后，长短睡眠时间与晚年抑郁症相关的途径不同：老化时钟可能部分介导长睡眠时间的途径，而短睡眠时间显示出更直接的联系。尽管孟德尔随机化没有提供强有力的证据表明疾病因果影响睡眠，但它不能完全排除这种反向因果关系。我们的研究结果表明，睡眠时间与生物老化时钟之间存在跨器官、多组学的U形关系，强调了睡眠优化在促进健康老龄化、降低疾病风险和延长寿命方面的潜力。</w:t>
      </w:r>
    </w:p>
    <w:p>
      <w:pPr>
        <w:spacing w:before="0" w:after="200" w:lineRule="auto" w:line="276"/>
      </w:pPr>
      <w:r>
        <w:rPr>
          <w:b/>
        </w:rPr>
        <w:t xml:space="preserve">Abstract (EN): </w:t>
      </w:r>
      <w:r>
        <w:t>Optimal sleep has a vital role in promoting healthy ageing and enhancing longevity. Here we propose Sleep Chart to assess the relationship between self-reported sleep duration and 23 biological ageing clocks derived from in vivo imaging1, plasma proteomics2 and metabolomics3. First, a systemic, U-shaped pattern emerges between sleep duration and biological age gaps across nine brain and body systems and three omics technologies. The sample-specific lowest biological age gaps are achieved between 6.4 and 7.8 h of sleep duration, varying by organ and sex in the UK Biobank (aged 37–84 years). Furthermore, short (8 h) sleep duration, compared with a normal sleep duration (6–8 h), are associated with increased risk of systemic diseases beyond the brain and all-cause mortality, with evidence from genetic correlations and time-to-incident survival predictions, such as depression and diabetes. Finally, the pathways by which long and short sleep duration are associated with late-life depression differ: ageing clocks may partially mediate the pathway for long sleep duration, while short sleep duration shows a more direct link. Although Mendelian randomization does not provide strong evidence that disease causally affects sleep, it cannot completely exclude such reverse causality. Our findings suggest a cross-organ, multi-omics U-shaped relationship between sleep duration and biological ageing clocks, highlighting the potential of sleep optimization to promote healthy ageing, lower disease risk and extend longevity.</w:t>
      </w:r>
    </w:p>
    <w:p>
      <w:pPr>
        <w:spacing w:before="120" w:after="120"/>
      </w:pPr>
      <w:r>
        <w:rPr>
          <w:sz w:val="18"/>
        </w:rPr>
        <w:t>——————————————————————————————————————————————————————————————————————</w:t>
      </w:r>
    </w:p>
    <w:p>
      <w:pPr>
        <w:spacing w:before="160" w:after="40" w:line="240" w:lineRule="auto"/>
      </w:pPr>
      <w:r>
        <w:rPr>
          <w:b/>
        </w:rPr>
        <w:t xml:space="preserve">[295] </w:t>
      </w:r>
      <w:hyperlink r:id="rId759">
        <w:r>
          <w:rPr>
            <w:color w:val="1155CC"/>
            <w:u w:val="single"/>
          </w:rPr>
          <w:t>驱动物种特异性皮质特征的发育基因表达模式</w:t>
        </w:r>
      </w:hyperlink>
    </w:p>
    <w:p>
      <w:pPr>
        <w:spacing w:before="0" w:after="80"/>
      </w:pPr>
      <w:r>
        <w:rPr>
          <w:i/>
          <w:sz w:val="20"/>
        </w:rPr>
        <w:t>EN: Developmental gene expression patterns driving species-specific cortical features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60">
        <w:r>
          <w:rPr>
            <w:color w:val="1155CC"/>
            <w:u w:val="single"/>
          </w:rPr>
          <w:t>10.1038/s41586-026-10491-x</w:t>
        </w:r>
      </w:hyperlink>
    </w:p>
    <w:p>
      <w:pPr>
        <w:spacing w:before="0" w:after="120"/>
      </w:pPr>
      <w:r>
        <w:rPr>
          <w:b/>
        </w:rPr>
        <w:t xml:space="preserve">Notes: </w:t>
      </w:r>
      <w:r>
        <w:t>abstract_source=nature_html</w:t>
      </w:r>
    </w:p>
    <w:p>
      <w:pPr>
        <w:spacing w:before="0" w:after="80" w:lineRule="auto" w:line="276"/>
      </w:pPr>
      <w:r>
        <w:rPr>
          <w:b/>
        </w:rPr>
        <w:t xml:space="preserve">摘要（ZH）: </w:t>
      </w:r>
      <w:r>
        <w:t>大脑皮层在大小和组织上显示出物种特异性的变化，这可能解释了不同的行为能力。这些结构差异可能反映了共享基因在发育表达上的进化变化。在此，为了研究这种可能性，我们使用机器视觉识别和比较了发育中的小鼠和人类新皮层以及人类皮层类器官中的细胞类型特异性基因表达模式。通过这种方法，我们识别出具有进化保守或分化转录调控的基因，揭示了物种特异性的细胞时间基因表达模式。在这些基因中，转录因子基因JUNB在人类祖细胞和小鼠神经元中表现出互斥表达。通过在小鼠和人类皮层类器官中进行细胞类型特异性的功能增益和丧失实验，我们表明JUNB双向控制人类皮层特征，包括祖细胞增殖率、神经元产生时间和总神经元输出。我们识别出IRF1作为人类放射状胶质细胞特异性调节因子，当在小鼠放射状胶质细胞中表达时，激活JUNB并招募类似人类的基因调控网络，展示了跨物种激活的潜在发育程序。总之，这些发现揭示了共享基因的细胞时间调控如何驱动物种特异性的皮层特征，并提供了理解和操控这些进化程序的分子框架。</w:t>
      </w:r>
    </w:p>
    <w:p>
      <w:pPr>
        <w:spacing w:before="0" w:after="200" w:lineRule="auto" w:line="276"/>
      </w:pPr>
      <w:r>
        <w:rPr>
          <w:b/>
        </w:rPr>
        <w:t xml:space="preserve">Abstract (EN): </w:t>
      </w:r>
      <w:r>
        <w:t>The cerebral cortex shows species-specific variations in size and organization, which probably account for distinct behavioural abilities1. These structural differences may reflect evolutionary changes in the developmental expression of shared genes. Here, to investigate this possibility, we used machine vision to identify and compare cell-type-specific gene expression patterns in the developing mouse and human neocortex, and in human cortical organoids. Using this approach, we identified genes with evolutionarily conserved or divergent transcriptional regulation, revealing species-specific cyto-temporal gene expression patterns. Among such genes, the transcription factor gene JUNB showed mutually exclusive expression in human progenitors and mouse neurons. Through cell-type-specific gain- and loss-of-function experiments in mice and human cortical organoids, we show that JUNB bidirectionally controls human cortical features, including progenitor proliferation rates, neuronal production timing and total neuronal output. We identify IRF1 as a human radial glia-specific regulator that, when expressed in mouse radial glia, activates JUNB and recruits human-like gene regulatory networks, demonstrating cross-species activation of poised developmental programmes. Together, these findings reveal how cyto-temporal regulation of shared genes drives species-specific cortical features, and provide a molecular framework for understanding and manipulating these evolutionary programmes.</w:t>
      </w:r>
    </w:p>
    <w:p>
      <w:pPr>
        <w:spacing w:before="120" w:after="120"/>
      </w:pPr>
      <w:r>
        <w:rPr>
          <w:sz w:val="18"/>
        </w:rPr>
        <w:t>——————————————————————————————————————————————————————————————————————</w:t>
      </w:r>
    </w:p>
    <w:p>
      <w:pPr>
        <w:spacing w:before="160" w:after="40" w:line="240" w:lineRule="auto"/>
      </w:pPr>
      <w:r>
        <w:rPr>
          <w:b/>
        </w:rPr>
        <w:t xml:space="preserve">[296] </w:t>
      </w:r>
      <w:hyperlink r:id="rId761">
        <w:r>
          <w:rPr>
            <w:color w:val="1155CC"/>
            <w:u w:val="single"/>
          </w:rPr>
          <w:t>肥胖在发达国家趋于平稳，在发展中国家加速上升</w:t>
        </w:r>
      </w:hyperlink>
    </w:p>
    <w:p>
      <w:pPr>
        <w:spacing w:before="0" w:after="80"/>
      </w:pPr>
      <w:r>
        <w:rPr>
          <w:i/>
          <w:sz w:val="20"/>
        </w:rPr>
        <w:t>EN: Obesity rise plateaus in developed nations and accelerates in developing nations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62">
        <w:r>
          <w:rPr>
            <w:color w:val="1155CC"/>
            <w:u w:val="single"/>
          </w:rPr>
          <w:t>10.1038/s41586-026-10383-0</w:t>
        </w:r>
      </w:hyperlink>
    </w:p>
    <w:p>
      <w:pPr>
        <w:spacing w:before="0" w:after="120"/>
      </w:pPr>
      <w:r>
        <w:rPr>
          <w:b/>
        </w:rPr>
        <w:t xml:space="preserve">Notes: </w:t>
      </w:r>
      <w:r>
        <w:t>abstract_source=nature_html</w:t>
      </w:r>
    </w:p>
    <w:p>
      <w:pPr>
        <w:spacing w:before="0" w:after="80" w:lineRule="auto" w:line="276"/>
      </w:pPr>
      <w:r>
        <w:rPr>
          <w:b/>
        </w:rPr>
        <w:t xml:space="preserve">摘要（ZH）: </w:t>
      </w:r>
      <w:r>
        <w:t>全球肥胖报告通常基于多年代的比较，缺乏对其动态的细致和系统分析。我们使用了4,050项基于人群的研究，包含232百万参与者的身高和体重数据，以评估1980年至2024年全球肥胖的动态。肥胖在许多高收入国家的学龄儿童和青少年中在1990年代减速上升，随后在大多数国家的年龄标准化患病率上达到平台期，范围从日本、丹麦和法国女孩的3-4%到美国男孩的23%。自2000年代以来，一些高收入西方国家（例如意大利、葡萄牙和法国）的儿童和青少年肥胖率有小幅下降的迹象。在中东欧的一些国家也观察到了类似的趋势。在成人中，肥胖的上升在高收入西方国家中在儿童之后约十年减缓，随后在一些国家（例如西班牙）达到平台期或可能出现小幅逆转。在大多数低收入和中等收入国家，患病率的年绝对变化保持稳定或随时间增加，即使患病率已超过高收入国家。这些高度多样化的动态表明，影响不同食物的可获得性、可负担性和使用的社会、经济和技术趋势可能有助于控制高收入国家的肥胖上升，但在低收入和中等收入国家需要政策干预。</w:t>
      </w:r>
    </w:p>
    <w:p>
      <w:pPr>
        <w:spacing w:before="0" w:after="200" w:lineRule="auto" w:line="276"/>
      </w:pPr>
      <w:r>
        <w:rPr>
          <w:b/>
        </w:rPr>
        <w:t xml:space="preserve">Abstract (EN): </w:t>
      </w:r>
      <w:r>
        <w:t>Global reporting of obesity is commonly based on comparisons over multiple decades1 and lacks a granular and systematic analysis of its dynamics. We used 4,050 population-based studies with measured height and weight data on 232 million participants to assess the worldwide dynamics of obesity from 1980 to 2024. The rise in obesity decelerated in school-aged children and adolescents throughout the 1990s in many high-income countries, and subsequently plateaued in most at age-standardized prevalences spanning 20 percentage points, from 3–4% for girls in Japan, Denmark and France to 23% for boys in the USA. There were indications of a small decline in obesity in children and adolescents in some high-income western countries (for example, Italy, Portugal and France) since the 2000s. Similar trends were seen in some countries in Central and Eastern Europe. In adults, the rise in obesity slowed down in high-income western countries about a decade after children, followed by a plateau or possibly a small reversal of the rise in some countries (for example, Spain). In most low-income and middle-income countries, the annual absolute change in prevalence has remained stable or increased over time, even though prevalence has surpassed that of high-income countries. These highly varied dynamics suggest that the social, economic and technological trends that influence the availability, affordability and use of different foods may have helped control the rise in obesity in high-income countries, but require policy interventions in low-income and middle-income countries.</w:t>
      </w:r>
    </w:p>
    <w:p>
      <w:pPr>
        <w:spacing w:before="120" w:after="120"/>
      </w:pPr>
      <w:r>
        <w:rPr>
          <w:sz w:val="18"/>
        </w:rPr>
        <w:t>——————————————————————————————————————————————————————————————————————</w:t>
      </w:r>
    </w:p>
    <w:p>
      <w:pPr>
        <w:spacing w:before="160" w:after="40" w:line="240" w:lineRule="auto"/>
      </w:pPr>
      <w:r>
        <w:rPr>
          <w:b/>
        </w:rPr>
        <w:t xml:space="preserve">[297] </w:t>
      </w:r>
      <w:hyperlink r:id="rId763">
        <w:r>
          <w:rPr>
            <w:color w:val="1155CC"/>
            <w:u w:val="single"/>
          </w:rPr>
          <w:t>谱系和器官信号依次构建器官内在神经系统</w:t>
        </w:r>
      </w:hyperlink>
    </w:p>
    <w:p>
      <w:pPr>
        <w:spacing w:before="0" w:after="80"/>
      </w:pPr>
      <w:r>
        <w:rPr>
          <w:i/>
          <w:sz w:val="20"/>
        </w:rPr>
        <w:t>EN: Lineage and organ signals sequentially build organ intrinsic nervous systems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64">
        <w:r>
          <w:rPr>
            <w:color w:val="1155CC"/>
            <w:u w:val="single"/>
          </w:rPr>
          <w:t>10.1038/s41586-026-10490-y</w:t>
        </w:r>
      </w:hyperlink>
    </w:p>
    <w:p>
      <w:pPr>
        <w:spacing w:before="0" w:after="120"/>
      </w:pPr>
      <w:r>
        <w:rPr>
          <w:b/>
        </w:rPr>
        <w:t xml:space="preserve">Notes: </w:t>
      </w:r>
      <w:r>
        <w:t>abstract_source=nature_html</w:t>
      </w:r>
    </w:p>
    <w:p>
      <w:pPr>
        <w:spacing w:before="0" w:after="80" w:lineRule="auto" w:line="276"/>
      </w:pPr>
      <w:r>
        <w:rPr>
          <w:b/>
        </w:rPr>
        <w:t xml:space="preserve">摘要（ZH）: </w:t>
      </w:r>
      <w:r>
        <w:t>器官内在神经系统（OINSs）是身体-大脑轴的关键组成部分，协调内脏器官功能与系统生理控制。尽管其重要性，这些不同的神经结构如何从共同的神经嵴细胞起源中产生仍不清楚。在此，我们提出了OINS发育的系统级跨器官分析，整合了心脏、胰腺、肠道和肺部的谱系追踪、3D成像、单细胞转录组学和遗传扰动。我们展示了神经嵴细胞迁移轨迹的差异预示了OINSs的空间结构，为器官特异性模式奠定了基础。相比之下，分子身份主要在对局部环境的响应中出现，表明外在线索具有重要的指导作用。通过体外共培养，我们证明了器官衍生的线索重新编程内在神经元朝向器官特异性的转录谱，并指导神经元分化，以细胞外基质（ECM）接触为中心介质。在体内，ECM-整合素信号支持内在心脏神经元的神经发生，ECM交联稳定其刻板的神经节组织。总之，这些发现揭示了OINS多样性通过双重逻辑产生：谱系程序预示空间框架，而器官特异性线索指导最终的分子身份和结构精确性。这项工作建立了一个概念范式，说明器官如何主动构建其神经系统，阐明了</w:t>
      </w:r>
    </w:p>
    <w:p>
      <w:pPr>
        <w:spacing w:before="0" w:after="200" w:lineRule="auto" w:line="276"/>
      </w:pPr>
      <w:r>
        <w:rPr>
          <w:b/>
        </w:rPr>
        <w:t xml:space="preserve">Abstract (EN): </w:t>
      </w:r>
      <w:r>
        <w:t>Organ intrinsic nervous systems (OINSs) are critical components of the body–brain axis and coordinate visceral organ function with systemic physiological control1,2,3,4,5,6,7. Despite their importance, how these distinct neural architectures arise from a common neural crest cell origin has remained unclear. Here we present a systems-level, cross-organ analysis of OINS development, integrating lineage tracing, 3D imaging, single-cell transcriptomics and genetic perturbations across the heart, pancreas, intestine and lungs. We show that differences in neural crest cell migratory trajectories prefigure the spatial architecture of OINSs, laying the foundation for organ-specific patterning. By contrast, molecular identity emerges largely in response to local environments, indicating that extrinsic cues have a major instructive role. Using in vitro co-cultures, we demonstrate that organ-derived cues reprogramme intrinsic neurons towards organ-specific transcriptional profiles and direct neuronal differentiation, with extracellular matrix (ECM) contact as a central mediator. In vivo, ECM–integrin signalling supports neurogenesis of intrinsic cardiac neurons, and ECM crosslinking stabilizes their stereotyped ganglionic organization. Together, these findings reveal that OINS diversity arises through a dual logic: lineage programmes prefigure spatial frameworks, whereas organ-specific cues instruct final molecular identities and architectural precision. This work establishes a conceptual paradigm for how organs actively build their nervous systems, illuminating principles that underlie body–brain integration.</w:t>
      </w:r>
    </w:p>
    <w:p>
      <w:pPr>
        <w:spacing w:before="120" w:after="120"/>
      </w:pPr>
      <w:r>
        <w:rPr>
          <w:sz w:val="18"/>
        </w:rPr>
        <w:t>——————————————————————————————————————————————————————————————————————</w:t>
      </w:r>
    </w:p>
    <w:p>
      <w:pPr>
        <w:spacing w:before="160" w:after="40" w:line="240" w:lineRule="auto"/>
      </w:pPr>
      <w:r>
        <w:rPr>
          <w:b/>
        </w:rPr>
        <w:t xml:space="preserve">[298] </w:t>
      </w:r>
      <w:hyperlink r:id="rId765">
        <w:r>
          <w:rPr>
            <w:color w:val="1155CC"/>
            <w:u w:val="single"/>
          </w:rPr>
          <w:t>通用可拉伸电缆</w:t>
        </w:r>
      </w:hyperlink>
    </w:p>
    <w:p>
      <w:pPr>
        <w:spacing w:before="0" w:after="80"/>
      </w:pPr>
      <w:r>
        <w:rPr>
          <w:i/>
          <w:sz w:val="20"/>
        </w:rPr>
        <w:t>EN: A universal stretchable cable</w:t>
      </w:r>
    </w:p>
    <w:p>
      <w:pPr>
        <w:spacing w:before="0" w:after="120"/>
      </w:pPr>
      <w:r>
        <w:rPr>
          <w:b/>
        </w:rPr>
        <w:t xml:space="preserve">Source: </w:t>
      </w:r>
      <w:r>
        <w:t>Nature Electronics</w:t>
      </w:r>
      <w:r>
        <w:t xml:space="preserve">    </w:t>
      </w:r>
      <w:r>
        <w:rPr>
          <w:b/>
        </w:rPr>
        <w:t xml:space="preserve">Pub date: </w:t>
      </w:r>
      <w:r>
        <w:t>2026-05-13 00:00:00+00:00</w:t>
      </w:r>
      <w:r>
        <w:t xml:space="preserve">    </w:t>
      </w:r>
      <w:r>
        <w:rPr>
          <w:b/>
        </w:rPr>
        <w:t xml:space="preserve">DOI: </w:t>
      </w:r>
      <w:hyperlink r:id="rId766">
        <w:r>
          <w:rPr>
            <w:color w:val="1155CC"/>
            <w:u w:val="single"/>
          </w:rPr>
          <w:t>10.1038/s41928-026-01640-1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[299] </w:t>
      </w:r>
      <w:hyperlink r:id="rId767">
        <w:r>
          <w:rPr>
            <w:color w:val="1155CC"/>
            <w:u w:val="single"/>
          </w:rPr>
          <w:t>来自中国各地的六个直立人标本的牙釉质蛋白</w:t>
        </w:r>
      </w:hyperlink>
    </w:p>
    <w:p>
      <w:pPr>
        <w:spacing w:before="0" w:after="80"/>
      </w:pPr>
      <w:r>
        <w:rPr>
          <w:i/>
          <w:sz w:val="20"/>
        </w:rPr>
        <w:t>EN: Enamel proteins from six Homo erectus specimens across China</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68">
        <w:r>
          <w:rPr>
            <w:color w:val="1155CC"/>
            <w:u w:val="single"/>
          </w:rPr>
          <w:t>10.1038/s41586-026-10478-8</w:t>
        </w:r>
      </w:hyperlink>
    </w:p>
    <w:p>
      <w:pPr>
        <w:spacing w:before="0" w:after="120"/>
      </w:pPr>
      <w:r>
        <w:rPr>
          <w:b/>
        </w:rPr>
        <w:t xml:space="preserve">Notes: </w:t>
      </w:r>
      <w:r>
        <w:t>abstract_source=nature_html</w:t>
      </w:r>
    </w:p>
    <w:p>
      <w:pPr>
        <w:spacing w:before="0" w:after="80" w:lineRule="auto" w:line="276"/>
      </w:pPr>
      <w:r>
        <w:rPr>
          <w:b/>
        </w:rPr>
        <w:t xml:space="preserve">摘要（ZH）: </w:t>
      </w:r>
      <w:r>
        <w:t>在非洲、欧亚大陆和东南亚1,2,3发现了直立人（Homo erectus）的遗骸，追溯到大约两百万年前；然而，由于其年代久远和保存状态，从中获取有用的分子数据一直是一个挑战。在此，我们成功地从大约40万年前的周口店、和县和孙家洞遗址的五个男性和一个女性中更新世中期的H. erectus标本中提取并分析了古代牙釉质蛋白。所有来自这三个遗址的标本共享两个氨基酸变体。其中，AMBN中的A253G是以前未知的，并且在其他人类谱系中未被识别，包括来自第比利斯（格鲁吉亚）的H. erectus、来自阿塔普尔卡（西班牙）的Homo antecessor、丹尼索瓦人、尼安德特人和现代人。另一个变体，AMBN(M273V)，以前在丹尼索瓦人中被识别，我们的证据现在表明它可能是通过与这些更新世中期H. erectus相关的人群引入的。丹尼索瓦人基因组中归因于超古代基因渗入的区域，其中一些后来传给了现代人，可能起源于H. erectus。更新世中期晚期的H. erectus可能与丹尼索瓦人在东亚部分地区共存，这些互动被认为发生在这些地区。</w:t>
      </w:r>
    </w:p>
    <w:p>
      <w:pPr>
        <w:spacing w:before="0" w:after="200" w:lineRule="auto" w:line="276"/>
      </w:pPr>
      <w:r>
        <w:rPr>
          <w:b/>
        </w:rPr>
        <w:t xml:space="preserve">Abstract (EN): </w:t>
      </w:r>
      <w:r>
        <w:t>Homo erectus remains have been found in Africa, Eurasia and Southeast Asia1,2,3, dating back around two million years; however, owing to their age and state of preservation, obtaining informative molecular data from them has proved challenging. Here we successfully extracted and analysed ancient enamel proteins from five male and one female Middle Pleistocene H. erectus specimens from approximately 0.4 million years ago, from the Zhoukoudian, Hexian and Sunjiadong sites. All specimens from all three sites share two amino acid variants. Of these, A253G in AMBN is previously unknown and has not been identified in other human lineages, including H. erectus from Dmanisi (Georgia), Homo antecessor from Atapuerca (Spain), Denisovans, Neanderthals and modern humans. The other variant, AMBN(M273V), has previously been identified in Denisovans, and our evidence now indicates it may have been introduced through populations related to these Middle Pleistocene H. erectus. The regions in the Denisovan genome attributed to super-archaic introgression, some of which later passed to modern humans, are likely to have originated from H. erectus. Late Middle Pleistocene H. erectus may have coexisted with Denisovans in parts of East Asia, where these interactions are presumed to have occurred.</w:t>
      </w:r>
    </w:p>
    <w:p>
      <w:pPr>
        <w:spacing w:before="120" w:after="120"/>
      </w:pPr>
      <w:r>
        <w:rPr>
          <w:sz w:val="18"/>
        </w:rPr>
        <w:t>——————————————————————————————————————————————————————————————————————</w:t>
      </w:r>
    </w:p>
    <w:p>
      <w:pPr>
        <w:spacing w:before="160" w:after="40" w:line="240" w:lineRule="auto"/>
      </w:pPr>
      <w:r>
        <w:rPr>
          <w:b/>
        </w:rPr>
        <w:t xml:space="preserve">[300] </w:t>
      </w:r>
      <w:hyperlink r:id="rId769">
        <w:r>
          <w:rPr>
            <w:color w:val="1155CC"/>
            <w:u w:val="single"/>
          </w:rPr>
          <w:t>SNOR促进休眠后的翻译重启</w:t>
        </w:r>
      </w:hyperlink>
    </w:p>
    <w:p>
      <w:pPr>
        <w:spacing w:before="0" w:after="80"/>
      </w:pPr>
      <w:r>
        <w:rPr>
          <w:i/>
          <w:sz w:val="20"/>
        </w:rPr>
        <w:t>EN: SNOR promotes translation restart after dormancy</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70">
        <w:r>
          <w:rPr>
            <w:color w:val="1155CC"/>
            <w:u w:val="single"/>
          </w:rPr>
          <w:t>10.1038/s41586-026-10530-7</w:t>
        </w:r>
      </w:hyperlink>
    </w:p>
    <w:p>
      <w:pPr>
        <w:spacing w:before="0" w:after="120"/>
      </w:pPr>
      <w:r>
        <w:rPr>
          <w:b/>
        </w:rPr>
        <w:t xml:space="preserve">Notes: </w:t>
      </w:r>
      <w:r>
        <w:t>abstract_source=nature_html</w:t>
      </w:r>
    </w:p>
    <w:p>
      <w:pPr>
        <w:spacing w:before="0" w:after="80" w:lineRule="auto" w:line="276"/>
      </w:pPr>
      <w:r>
        <w:rPr>
          <w:b/>
        </w:rPr>
        <w:t xml:space="preserve">摘要（ZH）: </w:t>
      </w:r>
      <w:r>
        <w:t>细胞休眠通过可逆地抑制蛋白质合成1,2,3,4来实现长期营养限制期间的生存。当营养物质恢复时，非活跃的真核核糖体如何重新激活仍不清楚。在此，我们使用裂殖酵母中的高分辨率原位冷冻电子断层扫描，识别出SNOR，这是一种含有SBDS结构域的核糖体相关因子，在肽基转移酶中心结合并在葡萄糖耗尽诱导的休眠期间接触eIF5A的高普辛化环。SNOR不是作为典型的休眠因子，而是为快速翻译重启授权休眠核糖体。在葡萄糖补充后，SNOR和eIF5A共同作用以促进多核糖体的有效恢复和退出休眠。这些发现定义了一个应激响应的核糖体重启模块，将碳源限制与核糖体活性位点的监测和蛋白质合成的重新激活联系起来。</w:t>
      </w:r>
    </w:p>
    <w:p>
      <w:pPr>
        <w:spacing w:before="0" w:after="200" w:lineRule="auto" w:line="276"/>
      </w:pPr>
      <w:r>
        <w:rPr>
          <w:b/>
        </w:rPr>
        <w:t xml:space="preserve">Abstract (EN): </w:t>
      </w:r>
      <w:r>
        <w:t>Cellular dormancy enables survival during prolonged nutrient limitation by reversibly suppressing protein synthesis1,2,3,4. How inactive eukaryotic ribosomes are reactivated when nutrients return remains unclear. Here, using high-resolution in situ cryo-electron tomography in Schizosaccharomyces pombe, we identify SNOR, an SBDS domain-containing ribosome-associated factor that binds at the peptidyl transferase centre and contacts the hypusinated loop of eIF5A during glucose depletion-induced dormancy. Rather than acting as a canonical hibernation factor, SNOR licenses dormant ribosomes for rapid translational restart. Upon glucose repletion, SNOR and eIF5A act together to promote efficient recovery of polysomes and exit from dormancy. These findings define a stress-responsive ribosome restart module that couples carbon-source limitation to surveillance of the ribosomal active site and reactivation of protein synthesis.</w:t>
      </w:r>
    </w:p>
    <w:p>
      <w:pPr>
        <w:spacing w:before="120" w:after="120"/>
      </w:pPr>
      <w:r>
        <w:rPr>
          <w:sz w:val="18"/>
        </w:rPr>
        <w:t>——————————————————————————————————————————————————————————————————————</w:t>
      </w:r>
    </w:p>
    <w:p>
      <w:pPr>
        <w:spacing w:before="160" w:after="40" w:line="240" w:lineRule="auto"/>
      </w:pPr>
      <w:r>
        <w:rPr>
          <w:b/>
        </w:rPr>
        <w:t xml:space="preserve">[301] </w:t>
      </w:r>
      <w:hyperlink r:id="rId771">
        <w:r>
          <w:rPr>
            <w:color w:val="1155CC"/>
            <w:u w:val="single"/>
          </w:rPr>
          <w:t>极端复合事件对累积CO2排放的增强响应</w:t>
        </w:r>
      </w:hyperlink>
    </w:p>
    <w:p>
      <w:pPr>
        <w:spacing w:before="0" w:after="80"/>
      </w:pPr>
      <w:r>
        <w:rPr>
          <w:i/>
          <w:sz w:val="20"/>
        </w:rPr>
        <w:t>EN: Enhanced response of extreme compound events to cumulative CO2 emissions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72">
        <w:r>
          <w:rPr>
            <w:color w:val="1155CC"/>
            <w:u w:val="single"/>
          </w:rPr>
          <w:t>10.1038/s41586-026-10544-1</w:t>
        </w:r>
      </w:hyperlink>
    </w:p>
    <w:p>
      <w:pPr>
        <w:spacing w:before="0" w:after="120"/>
      </w:pPr>
      <w:r>
        <w:rPr>
          <w:b/>
        </w:rPr>
        <w:t xml:space="preserve">Notes: </w:t>
      </w:r>
      <w:r>
        <w:t>abstract_source=nature_html</w:t>
      </w:r>
    </w:p>
    <w:p>
      <w:pPr>
        <w:spacing w:before="0" w:after="80" w:lineRule="auto" w:line="276"/>
      </w:pPr>
      <w:r>
        <w:rPr>
          <w:b/>
        </w:rPr>
        <w:t xml:space="preserve">摘要（ZH）: </w:t>
      </w:r>
      <w:r>
        <w:t>复合事件——如同时发生的热-湿和干旱-热极端事件——是地球上最具影响力的气候灾害之一1,2,3,4，并且在变暖的情况下预计会变得更加严重。尽管对累积CO2排放的瞬态平均温度响应已被很好地量化5,6,7,8，但复合事件的相应响应仍不清楚。在此，我们展示了复合事件对累积CO2排放的瞬态响应（TCoRE），定义为每单位累积CO2排放的事件频率变化，强烈依赖于复合事件的背景频率。特别是，我们发现历史上频繁的复合事件几乎线性地随着累积CO2排放的增加而增加，而更稀有和更严重的事件则不成比例地升级。此外，观测约束的TCoRE比多模型平均值高37-75%，表明复合极端事件将比地球系统模型预测的更频繁地发生。该约束还将模型集合的不确定性减少了37-56%。应用约束的TCoRE进一步表明，当考虑复合事件的变化时，与将变暖限制在1.5°C和2°C一致的允许CO2排放量显著降低。我们提出TCoRE作为一个简单、稳健且观测约束的指标，与气候风险评估和政策制定直接相关。</w:t>
      </w:r>
    </w:p>
    <w:p>
      <w:pPr>
        <w:spacing w:before="0" w:after="200" w:lineRule="auto" w:line="276"/>
      </w:pPr>
      <w:r>
        <w:rPr>
          <w:b/>
        </w:rPr>
        <w:t xml:space="preserve">Abstract (EN): </w:t>
      </w:r>
      <w:r>
        <w:t>Compound events—such as concurrent hot–wet and drought–heat extremes—are among the most consequential climate hazards on Earth1,2,3,4 and are projected to become more severe under warming. Although the transient mean temperature response to cumulative CO2 emissions has been well quantified5,6,7,8, the corresponding response of compound events remains less clear. Here we show that the response of the transient compound events to cumulative CO2 emissions (TCoRE), defined as the change in event frequency per unit of cumulative CO2 emissions, is strongly dependent on the background frequency of compound events. In particular, we find that historically frequent compound events increase almost linearly with increasing cumulative CO2 emissions, whereas rarer and more severe events escalate disproportionately. Moreover, the observationally constrained TCoRE is 37–75% higher than the multi-model average, indicating that compound extremes will occur more frequently than Earth system models project. The constraint also reduces model ensemble uncertainty by 37–56%. Applying the constrained TCoRE further suggests that the allowable CO2 emissions consistent with limiting warming to 1.5 °C and 2 °C are substantially lower when accounting for changes in compound events. We propose the TCoRE as a simple, robust and observationally constrained metric with direct relevance for climate risk assessment and policy development.</w:t>
      </w:r>
    </w:p>
    <w:p>
      <w:pPr>
        <w:spacing w:before="120" w:after="120"/>
      </w:pPr>
      <w:r>
        <w:rPr>
          <w:sz w:val="18"/>
        </w:rPr>
        <w:t>——————————————————————————————————————————————————————————————————————</w:t>
      </w:r>
    </w:p>
    <w:p>
      <w:pPr>
        <w:spacing w:before="160" w:after="40" w:line="240" w:lineRule="auto"/>
      </w:pPr>
      <w:r>
        <w:rPr>
          <w:b/>
        </w:rPr>
        <w:t xml:space="preserve">[302] </w:t>
      </w:r>
      <w:hyperlink r:id="rId773">
        <w:r>
          <w:rPr>
            <w:color w:val="1155CC"/>
            <w:u w:val="single"/>
          </w:rPr>
          <w:t>使用工程电突触对大脑回路进行长期编辑</w:t>
        </w:r>
      </w:hyperlink>
    </w:p>
    <w:p>
      <w:pPr>
        <w:spacing w:before="0" w:after="80"/>
      </w:pPr>
      <w:r>
        <w:rPr>
          <w:i/>
          <w:sz w:val="20"/>
        </w:rPr>
        <w:t>EN: Long-term editing of brain circuits using an engineered electrical synapse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74">
        <w:r>
          <w:rPr>
            <w:color w:val="1155CC"/>
            <w:u w:val="single"/>
          </w:rPr>
          <w:t>10.1038/s41586-026-10501-y</w:t>
        </w:r>
      </w:hyperlink>
    </w:p>
    <w:p>
      <w:pPr>
        <w:spacing w:before="0" w:after="120"/>
      </w:pPr>
      <w:r>
        <w:rPr>
          <w:b/>
        </w:rPr>
        <w:t xml:space="preserve">Notes: </w:t>
      </w:r>
      <w:r>
        <w:t>abstract_source=nature_html</w:t>
      </w:r>
    </w:p>
    <w:p>
      <w:pPr>
        <w:spacing w:before="0" w:after="80" w:lineRule="auto" w:line="276"/>
      </w:pPr>
      <w:r>
        <w:rPr>
          <w:b/>
        </w:rPr>
        <w:t xml:space="preserve">摘要（ZH）: </w:t>
      </w:r>
      <w:r>
        <w:t>不同脑细胞群体之间的电信号传递是认知和情感功能的基础。然而，选择性调节哺乳动物神经回路中两个细胞成分之间电信号的方法仍然稀缺。在此，我们设计了一种由两种在Morone americana（白鲑鱼）中发现的连接蛋白1组成的电突触——连接蛋白34.7和连接蛋白35，以实现哺乳动物回路的调节。通过利用蛋白质诱变，设计一种新的体外系统来检测连接蛋白半通道对接，并进行半通道相互作用的计算建模，我们发现了一种有助于电突触形成的结构基序。针对这一基序，我们设计了连接蛋白34.7和连接蛋白35半通道，它们可以相互对接形成电突触，但不会与哺乳动物中枢神经系统中表达的其他主要连接蛋白对接。我们在体内使用线虫（Caenorhabditis elegans）和小鼠（Mus musculus）验证了这种电突触。我们证明它可以增强由不同细胞类型对组成的神经回路之间的通信，并相应地改变行为。因此，我们建立了“使用连接蛋白进行回路长期整合”（LinCx）以实现哺乳动物的精确回路编辑。</w:t>
      </w:r>
    </w:p>
    <w:p>
      <w:pPr>
        <w:spacing w:before="0" w:after="200" w:lineRule="auto" w:line="276"/>
      </w:pPr>
      <w:r>
        <w:rPr>
          <w:b/>
        </w:rPr>
        <w:t xml:space="preserve">Abstract (EN): </w:t>
      </w:r>
      <w:r>
        <w:t>Electrical signalling across distinct populations of brain cells underpins cognitive and emotional function. However, approaches that selectively regulate electrical signalling between two cellular components of a mammalian neural circuit remain sparse. Here we engineered an electrical synapse composed of two connexin proteins1 found in Morone americana (white perch fish)—connexin 34.7 and connexin 35—to accomplish mammalian circuit modulation. By exploiting protein mutagenesis, devising a new in vitro system for assaying connexin hemichannel docking, and performing computational modelling of hemichannel interactions, we uncovered a structural motif that contributes to electrical synapse formation. Targeting this motif, we designed connexin 34.7 and connexin 35 hemichannels that dock with each other to form an electrical synapse but not with other major connexins expressed in the mammalian central nervous system. We validated this electrical synapse in vivo using worms (Caenorhabditis elegans) and mice (Mus musculus). We demonstrate that it can strengthen communication across neural circuits composed of pairs of distinct cell types and modify behaviour accordingly. Thus, we establish ‘long-term integration of circuits using connexins’ (LinCx) for precision circuit editing in mammals.</w:t>
      </w:r>
    </w:p>
    <w:p>
      <w:pPr>
        <w:spacing w:before="120" w:after="120"/>
      </w:pPr>
      <w:r>
        <w:rPr>
          <w:sz w:val="18"/>
        </w:rPr>
        <w:t>——————————————————————————————————————————————————————————————————————</w:t>
      </w:r>
    </w:p>
    <w:p>
      <w:pPr>
        <w:spacing w:before="160" w:after="40" w:line="240" w:lineRule="auto"/>
      </w:pPr>
      <w:r>
        <w:rPr>
          <w:b/>
        </w:rPr>
        <w:t xml:space="preserve">[303] </w:t>
      </w:r>
      <w:hyperlink r:id="rId775">
        <w:r>
          <w:rPr>
            <w:color w:val="1155CC"/>
            <w:u w:val="single"/>
          </w:rPr>
          <w:t>高多样性丽鱼类肠道中的适应性细胞进化</w:t>
        </w:r>
      </w:hyperlink>
    </w:p>
    <w:p>
      <w:pPr>
        <w:spacing w:before="0" w:after="80"/>
      </w:pPr>
      <w:r>
        <w:rPr>
          <w:i/>
          <w:sz w:val="20"/>
        </w:rPr>
        <w:t>EN: Adaptive cellular evolution in the intestine of hyperdiverse cichlid fishes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76">
        <w:r>
          <w:rPr>
            <w:color w:val="1155CC"/>
            <w:u w:val="single"/>
          </w:rPr>
          <w:t>10.1038/s41586-026-10494-8</w:t>
        </w:r>
      </w:hyperlink>
    </w:p>
    <w:p>
      <w:pPr>
        <w:spacing w:before="0" w:after="120"/>
      </w:pPr>
      <w:r>
        <w:rPr>
          <w:b/>
        </w:rPr>
        <w:t xml:space="preserve">Notes: </w:t>
      </w:r>
      <w:r>
        <w:t>abstract_source=nature_html</w:t>
      </w:r>
    </w:p>
    <w:p>
      <w:pPr>
        <w:spacing w:before="0" w:after="80" w:lineRule="auto" w:line="276"/>
      </w:pPr>
      <w:r>
        <w:rPr>
          <w:b/>
        </w:rPr>
        <w:t xml:space="preserve">摘要（ZH）: </w:t>
      </w:r>
      <w:r>
        <w:t>动物有效追踪和消化食物的能力对其生存至关重要，而对不同饮食的专门化是该群体多样化的主要驱动力1,2,3。尽管在这一背景下对摄食结构的进化进行了广泛研究4,5,6，但消化道适应的性质和程度仍然知之甚少。在此，我们研究了坦噶尼喀湖慈鲷鱼类中最大的适应性辐射之一的肠道饮食适应。通过为24种具有不同摄食习惯的坦噶尼喀慈鲷鱼类生成全面的单细胞转录组数据，并将其与生态形态学和基因组信息整合，我们发现，在细胞水平上，饮食适应主要涉及前肠细胞。特别是，我们展示了前肠细胞的相对丰度以及该细胞群体中的基因表达谱是如何响应快速营养专门化而进化的，并且这些与饮食相关的适应是由快速进化的、细胞群体特异性基因驱动的。总体而言，我们的研究结果表明，肠上皮细胞组成的改变和细胞类型特异性分子构成提供了营养专门化的基础，表明生态适应针对生物组织的多个层次。</w:t>
      </w:r>
    </w:p>
    <w:p>
      <w:pPr>
        <w:spacing w:before="0" w:after="200" w:lineRule="auto" w:line="276"/>
      </w:pPr>
      <w:r>
        <w:rPr>
          <w:b/>
        </w:rPr>
        <w:t xml:space="preserve">Abstract (EN): </w:t>
      </w:r>
      <w:r>
        <w:t>The ability of animals to efficiently track down and digest food is crucial for their survival, and the specialization to different diets is a major driver of diversification in this group1,2,3. Although the evolution of feeding structures has been studied extensively in this context4,5,6, the nature and extent of adaptations in the digestive tract remain poorly understood. Here, we examine dietary adaptations in the intestines of one of the largest adaptive radiations in vertebrates, the cichlid fishes of Lake Tanganyika. By generating comprehensive single-cell transcriptomic data for 24 Tanganyikan cichlid species with divergent feeding habits, and integrating this with eco-morphological and genomic information, we uncover that, at the cellular level, dietary adaptations primarily involve anterior enterocytes. In particular, we show that the relative abundances of anterior enterocytes as well as the gene expression profiles in this cell population evolved in response to rapid trophic specializations, and that these diet-related adaptations are driven by fast-evolving, cell-population-specific genes. Overall, our findings show that alterations in intestinal epithelium cell composition and in the cell-type-specific molecular makeup provided the substrate for trophic specializations, demonstrating that ecological adaptations target multiple layers of biological organization.</w:t>
      </w:r>
    </w:p>
    <w:p>
      <w:pPr>
        <w:spacing w:before="120" w:after="120"/>
      </w:pPr>
      <w:r>
        <w:rPr>
          <w:sz w:val="18"/>
        </w:rPr>
        <w:t>——————————————————————————————————————————————————————————————————————</w:t>
      </w:r>
    </w:p>
    <w:p>
      <w:pPr>
        <w:spacing w:before="160" w:after="40" w:line="240" w:lineRule="auto"/>
      </w:pPr>
      <w:r>
        <w:rPr>
          <w:b/>
        </w:rPr>
        <w:t xml:space="preserve">[304] </w:t>
      </w:r>
      <w:hyperlink r:id="rId777">
        <w:r>
          <w:rPr>
            <w:color w:val="1155CC"/>
            <w:u w:val="single"/>
          </w:rPr>
          <w:t>受蜜蜂学习飞行启发的高效机器人导航</w:t>
        </w:r>
      </w:hyperlink>
    </w:p>
    <w:p>
      <w:pPr>
        <w:spacing w:before="0" w:after="80"/>
      </w:pPr>
      <w:r>
        <w:rPr>
          <w:i/>
          <w:sz w:val="20"/>
        </w:rPr>
        <w:t>EN: Efficient robot navigation inspired by honeybee learning flights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78">
        <w:r>
          <w:rPr>
            <w:color w:val="1155CC"/>
            <w:u w:val="single"/>
          </w:rPr>
          <w:t>10.1038/s41586-026-10461-3</w:t>
        </w:r>
      </w:hyperlink>
    </w:p>
    <w:p>
      <w:pPr>
        <w:spacing w:before="0" w:after="120"/>
      </w:pPr>
      <w:r>
        <w:rPr>
          <w:b/>
        </w:rPr>
        <w:t xml:space="preserve">Notes: </w:t>
      </w:r>
      <w:r>
        <w:t>abstract_source=nature_html</w:t>
      </w:r>
    </w:p>
    <w:p>
      <w:pPr>
        <w:spacing w:before="0" w:after="80" w:lineRule="auto" w:line="276"/>
      </w:pPr>
      <w:r>
        <w:rPr>
          <w:b/>
        </w:rPr>
        <w:t xml:space="preserve">摘要（ZH）: </w:t>
      </w:r>
      <w:r>
        <w:t>导航是动物和机器人都至关重要的能力。尽管微小的飞行昆虫可以在长距离上稳健导航1，最先进的机器人导航方法计算成本高，因此仅限于大型机器人2,3。在此，我们提出了一种受蜜蜂视觉学习飞行启发的高效导航策略‘Bee-Nav’4,5,6。在等效的机器人学习飞行中，一个微小的神经网络被训练以将全向图像映射到基于路径积分的归巢向量。学习后，机器人可以远离家园飞行，并通过路径积分直接返回，并使用视觉归巢网络消除积分漂移。模拟显示，对于现实的路径积分精度，神经网络仅需在总飞行区域的约0.25–10.00%上进行训练。在真实世界的室内和室外实验中，小型无人机在风中成功返回到距离家园0.5米以内，100%的30–110米飞行和70%的200–600米飞行中，分别使用3.4-kB和42-kB的神经网络。所提出的导航策略对于在从家园往返执行任务的资源受限机器人至关重要。此外，它为昆虫导航的神经生态学提供了新的视角，从视觉学习如何塑造归巢轨迹到认知地图的本质。</w:t>
      </w:r>
    </w:p>
    <w:p>
      <w:pPr>
        <w:spacing w:before="0" w:after="200" w:lineRule="auto" w:line="276"/>
      </w:pPr>
      <w:r>
        <w:rPr>
          <w:b/>
        </w:rPr>
        <w:t xml:space="preserve">Abstract (EN): </w:t>
      </w:r>
      <w:r>
        <w:t>Navigation is a crucial capability for both animals and robots. Although tiny flying insects can robustly navigate over long distances1, state-of-the-art robot navigation methods are computationally expensive and therefore restricted to large robots2,3. Here we propose ‘Bee-Nav’, a highly efficient navigation strategy inspired by the visual learning flights of honeybees4,5,6. In equivalent robotic learning flights, a tiny neural network is trained to map omnidirectional images to a home vector based on path integration. After learning, the robot can fly far away from home, come straight back using path integration and cancel integration drift using the visual homing network. Simulations showed that, for realistic path integration accuracies, the neural network requires training on only approximately 0.25–10.00% of the total flight area. In real-world indoor and outdoor experiments, a small drone successfully returned to within 0.5 m of home for 100% of 30–110-m flights and 70% of 200–600-m flights in windy conditions, using 3.4-kB and 42-kB neural networks, respectively. The proposed navigation strategy will be vital for resource-constrained robots that perform tasks while travelling from and to a home location. Furthermore, it provides new perspectives on the neuroethology of insect navigation, from how visual learning shapes homing trajectories to the nature of cognitive maps.</w:t>
      </w:r>
    </w:p>
    <w:p>
      <w:pPr>
        <w:spacing w:before="120" w:after="120"/>
      </w:pPr>
      <w:r>
        <w:rPr>
          <w:sz w:val="18"/>
        </w:rPr>
        <w:t>——————————————————————————————————————————————————————————————————————</w:t>
      </w:r>
    </w:p>
    <w:p>
      <w:pPr>
        <w:spacing w:before="160" w:after="40" w:line="240" w:lineRule="auto"/>
      </w:pPr>
      <w:r>
        <w:rPr>
          <w:b/>
        </w:rPr>
        <w:t xml:space="preserve">[305] </w:t>
      </w:r>
      <w:hyperlink r:id="rId779">
        <w:r>
          <w:rPr>
            <w:color w:val="1155CC"/>
            <w:u w:val="single"/>
          </w:rPr>
          <w:t>降水量增加会减少陆地水储存</w:t>
        </w:r>
      </w:hyperlink>
    </w:p>
    <w:p>
      <w:pPr>
        <w:spacing w:before="0" w:after="80"/>
      </w:pPr>
      <w:r>
        <w:rPr>
          <w:i/>
          <w:sz w:val="20"/>
        </w:rPr>
        <w:t>EN: More concentrated precipitation decreases terrestrial water storage</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80">
        <w:r>
          <w:rPr>
            <w:color w:val="1155CC"/>
            <w:u w:val="single"/>
          </w:rPr>
          <w:t>10.1038/s41586-026-10487-7</w:t>
        </w:r>
      </w:hyperlink>
    </w:p>
    <w:p>
      <w:pPr>
        <w:spacing w:before="0" w:after="120"/>
      </w:pPr>
      <w:r>
        <w:rPr>
          <w:b/>
        </w:rPr>
        <w:t xml:space="preserve">Notes: </w:t>
      </w:r>
      <w:r>
        <w:t>abstract_source=nature_html</w:t>
      </w:r>
    </w:p>
    <w:p>
      <w:pPr>
        <w:spacing w:before="0" w:after="80" w:lineRule="auto" w:line="276"/>
      </w:pPr>
      <w:r>
        <w:rPr>
          <w:b/>
        </w:rPr>
        <w:t xml:space="preserve">摘要（ZH）: </w:t>
      </w:r>
      <w:r>
        <w:t>陆地水资源可用性是人类和生态系统福祉的关键决定因素1,2。除了平均降水和蒸发变化3,4外，目前尚不清楚日常尺度上降水集中于更少、更重的事件如何影响水文分配和陆地水平衡5,6,7,8,9。在此，我们通过观测表明，更集中的降水在全球所有气候中减少了陆地水资源的可用性，这种干燥效应的强度与总降水量增加的湿润效应相当。简单和复杂的陆地表面模型再现了观察到的效应，而理想化的模拟显示，这种效应是由于陆地表面水文分配变化引起的蒸发增强所致。预计在约2°C变暖时，由变暖驱动的降水集中对陆地水储存的影响将使27%的全球人口面临异常干燥的条件（≥0.5标准差10），与任何总降水或灌溉变化无关。我们的结果显示了陆地水平衡的新关键决定因素，突出了其对降水时间分布的敏感性，对未来水资源可用性具有广泛的影响。</w:t>
      </w:r>
    </w:p>
    <w:p>
      <w:pPr>
        <w:spacing w:before="0" w:after="200" w:lineRule="auto" w:line="276"/>
      </w:pPr>
      <w:r>
        <w:rPr>
          <w:b/>
        </w:rPr>
        <w:t xml:space="preserve">Abstract (EN): </w:t>
      </w:r>
      <w:r>
        <w:t>Terrestrial water availability is a key determinant of human and ecosystem well-being1,2. Apart from mean precipitation and evaporation changes3,4, it is unknown how daily-scale precipitation concentration into fewer, heavier events affects hydrologic partitioning and the land water balance5,6,7,8,9. Here we show observationally that more concentrated precipitation decreases land water availability across all climates globally, a drying effect as strong in magnitude as the wetting effect of increased total precipitation. Simple and complex land-surface models recover the observed effect, whereas idealized simulations show that it arises from enhanced evaporation caused by hydrologic partitioning changes at the land surface. Projected terrestrial water storage impacts of warming-driven precipitation concentration at about 2 °C of warming shift the land surface to abnormally dry conditions (≥0.5 standard deviation10) for 27% of the global population, independent of any total precipitation or irrigation changes. Our results show new key determinants of the land water balance, highlighting its sensitivity to the temporal distribution of precipitation, with broad implications for future water availability.</w:t>
      </w:r>
    </w:p>
    <w:p>
      <w:pPr>
        <w:spacing w:before="120" w:after="120"/>
      </w:pPr>
      <w:r>
        <w:rPr>
          <w:sz w:val="18"/>
        </w:rPr>
        <w:t>——————————————————————————————————————————————————————————————————————</w:t>
      </w:r>
    </w:p>
    <w:p>
      <w:pPr>
        <w:spacing w:before="160" w:after="40" w:line="240" w:lineRule="auto"/>
      </w:pPr>
      <w:r>
        <w:rPr>
          <w:b/>
        </w:rPr>
        <w:t xml:space="preserve">[306] </w:t>
      </w:r>
      <w:hyperlink r:id="rId781">
        <w:r>
          <w:rPr>
            <w:color w:val="1155CC"/>
            <w:u w:val="single"/>
          </w:rPr>
          <w:t>国家媒体控制影响大型语言模型</w:t>
        </w:r>
      </w:hyperlink>
    </w:p>
    <w:p>
      <w:pPr>
        <w:spacing w:before="0" w:after="80"/>
      </w:pPr>
      <w:r>
        <w:rPr>
          <w:i/>
          <w:sz w:val="20"/>
        </w:rPr>
        <w:t>EN: State media control influences large language models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82">
        <w:r>
          <w:rPr>
            <w:color w:val="1155CC"/>
            <w:u w:val="single"/>
          </w:rPr>
          <w:t>10.1038/s41586-026-10506-7</w:t>
        </w:r>
      </w:hyperlink>
    </w:p>
    <w:p>
      <w:pPr>
        <w:spacing w:before="0" w:after="120"/>
      </w:pPr>
      <w:r>
        <w:rPr>
          <w:b/>
        </w:rPr>
        <w:t xml:space="preserve">Notes: </w:t>
      </w:r>
      <w:r>
        <w:t>abstract_source=nature_html</w:t>
      </w:r>
    </w:p>
    <w:p>
      <w:pPr>
        <w:spacing w:before="0" w:after="80" w:lineRule="auto" w:line="276"/>
      </w:pPr>
      <w:r>
        <w:rPr>
          <w:b/>
        </w:rPr>
        <w:t xml:space="preserve">摘要（ZH）: </w:t>
      </w:r>
      <w:r>
        <w:t>世界各地数百万人查询大型语言模型（LLMs）以获取信息。尽管几项研究令人信服地记录了这些模型的说服潜力1,2,3,4,5,6,7,8,9,10，但关于谁或什么影响这些模型本身的证据有限，这引发了关于哪些公司和政府构建和监管这些模型的担忧。在此，我们通过六项研究表明，世界各地的政府对媒体的控制已经通过其训练数据影响了LLMs的输出。我们使用跨国审计显示，LLMs在媒体自由度较低的国家语言中表现出更强的亲政府倾向，而在媒体自由度较高的国家中则较弱。这个结果是相关性的，因此为了三角化国家媒体控制如何影响LLMs的具体机制，我们开发了一个关于中国媒体的多部分案例研究。我们证明，中国国家策划和编排的媒体出现在LLM训练数据集中。为了评估这种包含的可能影响，我们使用一个开放权重模型显示，额外的中国国家协调媒体预训练会对关于中国政治机构和领导人的提示产生更积极的回答。我们通过两项审计研究将这一现象与商业模型联系起来，证明在中文中提示模型比在英文中对中国的机构和领导人产生更积极的回应。跨语言的影响和说服潜力的结合表明，国家和强大机构的影响可能导致令人不安的结论。</w:t>
      </w:r>
    </w:p>
    <w:p>
      <w:pPr>
        <w:spacing w:before="0" w:after="200" w:lineRule="auto" w:line="276"/>
      </w:pPr>
      <w:r>
        <w:rPr>
          <w:b/>
        </w:rPr>
        <w:t xml:space="preserve">Abstract (EN): </w:t>
      </w:r>
      <w:r>
        <w:t>Millions of people around the world query large language models (LLMs) for information. Although several studies have compellingly documented the persuasive potential of these models1,2,3,4,5,6,7,8,9,10, there is limited evidence of who or what influences the models themselves, leading to a flurry of concerns about which companies and governments build and regulate the models. Here we show through six studies that government control of the media across the world already influences the output of LLMs via their training data. We use a cross-national audit to show that LLMs exhibit a stronger pro-government valence in the languages of countries with lower media freedom than in those with higher media freedom. This result is correlational, so to triangulate the specific mechanism of how state media control can influence LLMs, we develop a multi-part case study on China’s media. We demonstrate that media scripted and curated by the Chinese state appears in LLM training datasets. To evaluate the plausible effect of this inclusion, we use an open-weight model to show that additional pretraining on Chinese state-coordinated media generates more positive answers to prompts about Chinese political institutions and leaders. We link this phenomenon to commercial models through two audit studies demonstrating that prompting models in Chinese generates more positive responses about China’s institutions and leaders than do the same queries in English. The combination of influence and persuasive potential across languages suggests the troubling conclusion that states and powerful institutions have increased strategic incentives to leverage media control in the hopes of shaping LLM output.</w:t>
      </w:r>
    </w:p>
    <w:p>
      <w:pPr>
        <w:spacing w:before="120" w:after="120"/>
      </w:pPr>
      <w:r>
        <w:rPr>
          <w:sz w:val="18"/>
        </w:rPr>
        <w:t>——————————————————————————————————————————————————————————————————————</w:t>
      </w:r>
    </w:p>
    <w:p>
      <w:pPr>
        <w:spacing w:before="160" w:after="40" w:line="240" w:lineRule="auto"/>
      </w:pPr>
      <w:r>
        <w:rPr>
          <w:b/>
        </w:rPr>
        <w:t xml:space="preserve">[307] </w:t>
      </w:r>
      <w:hyperlink r:id="rId783">
        <w:r>
          <w:rPr>
            <w:color w:val="1155CC"/>
            <w:u w:val="single"/>
          </w:rPr>
          <w:t>原始的南极冰记录了太阳系的旅行</w:t>
        </w:r>
      </w:hyperlink>
    </w:p>
    <w:p>
      <w:pPr>
        <w:spacing w:before="0" w:after="80"/>
      </w:pPr>
      <w:r>
        <w:rPr>
          <w:i/>
          <w:sz w:val="20"/>
        </w:rPr>
        <w:t>EN: Pristine Antarctic ice records the Solar System’s travels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84">
        <w:r>
          <w:rPr>
            <w:color w:val="1155CC"/>
            <w:u w:val="single"/>
          </w:rPr>
          <w:t>10.1038/d41586-026-01505-9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[308] </w:t>
      </w:r>
      <w:hyperlink r:id="rId785">
        <w:r>
          <w:rPr>
            <w:color w:val="1155CC"/>
            <w:u w:val="single"/>
          </w:rPr>
          <w:t>红光疗法风靡一时——它有效吗？</w:t>
        </w:r>
      </w:hyperlink>
    </w:p>
    <w:p>
      <w:pPr>
        <w:spacing w:before="0" w:after="80"/>
      </w:pPr>
      <w:r>
        <w:rPr>
          <w:i/>
          <w:sz w:val="20"/>
        </w:rPr>
        <w:t>EN: Red-light therapy is all the rage — does it work?</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86">
        <w:r>
          <w:rPr>
            <w:color w:val="1155CC"/>
            <w:u w:val="single"/>
          </w:rPr>
          <w:t>10.1038/d41586-026-01547-z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[309] </w:t>
      </w:r>
      <w:hyperlink r:id="rId787">
        <w:r>
          <w:rPr>
            <w:color w:val="1155CC"/>
            <w:u w:val="single"/>
          </w:rPr>
          <w:t>寻找下一代抗生素</w:t>
        </w:r>
      </w:hyperlink>
    </w:p>
    <w:p>
      <w:pPr>
        <w:spacing w:before="0" w:after="80"/>
      </w:pPr>
      <w:r>
        <w:rPr>
          <w:i/>
          <w:sz w:val="20"/>
        </w:rPr>
        <w:t>EN: The hunt for the next antibiotics</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88">
        <w:r>
          <w:rPr>
            <w:color w:val="1155CC"/>
            <w:u w:val="single"/>
          </w:rPr>
          <w:t>10.1038/d41586-026-01424-9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[310] </w:t>
      </w:r>
      <w:hyperlink r:id="rId789">
        <w:r>
          <w:rPr>
            <w:color w:val="1155CC"/>
            <w:u w:val="single"/>
          </w:rPr>
          <w:t>受木工启发的机械元界面显示出改进的能量传输</w:t>
        </w:r>
      </w:hyperlink>
    </w:p>
    <w:p>
      <w:pPr>
        <w:spacing w:before="0" w:after="80"/>
      </w:pPr>
      <w:r>
        <w:rPr>
          <w:i/>
          <w:sz w:val="20"/>
        </w:rPr>
        <w:t>EN: Woodworking-inspired mechanical metainterfaces show improved energy transport</w:t>
      </w:r>
    </w:p>
    <w:p>
      <w:pPr>
        <w:spacing w:before="0" w:after="120"/>
      </w:pPr>
      <w:r>
        <w:rPr>
          <w:b/>
        </w:rPr>
        <w:t xml:space="preserve">Source: </w:t>
      </w:r>
      <w:r>
        <w:t>Nature Electronics</w:t>
      </w:r>
      <w:r>
        <w:t xml:space="preserve">    </w:t>
      </w:r>
      <w:r>
        <w:rPr>
          <w:b/>
        </w:rPr>
        <w:t xml:space="preserve">Pub date: </w:t>
      </w:r>
      <w:r>
        <w:t>2026-05-13 00:00:00+00:00</w:t>
      </w:r>
      <w:r>
        <w:t xml:space="preserve">    </w:t>
      </w:r>
      <w:r>
        <w:rPr>
          <w:b/>
        </w:rPr>
        <w:t xml:space="preserve">DOI: </w:t>
      </w:r>
      <w:hyperlink r:id="rId790">
        <w:r>
          <w:rPr>
            <w:color w:val="1155CC"/>
            <w:u w:val="single"/>
          </w:rPr>
          <w:t>10.1038/s41928-026-01621-4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[311] </w:t>
      </w:r>
      <w:hyperlink r:id="rId791">
        <w:r>
          <w:rPr>
            <w:color w:val="1155CC"/>
            <w:u w:val="single"/>
          </w:rPr>
          <w:t>基于Sc2C2@C88簇的超紧凑多级概率位用于矩阵乘法</w:t>
        </w:r>
      </w:hyperlink>
    </w:p>
    <w:p>
      <w:pPr>
        <w:spacing w:before="0" w:after="80"/>
      </w:pPr>
      <w:r>
        <w:rPr>
          <w:i/>
          <w:sz w:val="20"/>
        </w:rPr>
        <w:t>EN: A Sc2C2@C88-cluster-based ultra-compact multilevel probabilistic bit for matrix multiplication</w:t>
      </w:r>
    </w:p>
    <w:p>
      <w:pPr>
        <w:spacing w:before="0" w:after="120"/>
      </w:pPr>
      <w:r>
        <w:rPr>
          <w:b/>
        </w:rPr>
        <w:t xml:space="preserve">Source: </w:t>
      </w:r>
      <w:r>
        <w:t>Nature Materials</w:t>
      </w:r>
      <w:r>
        <w:t xml:space="preserve">    </w:t>
      </w:r>
      <w:r>
        <w:rPr>
          <w:b/>
        </w:rPr>
        <w:t xml:space="preserve">Pub date: </w:t>
      </w:r>
      <w:r>
        <w:t>2026-05-13 00:00:00+00:00</w:t>
      </w:r>
      <w:r>
        <w:t xml:space="preserve">    </w:t>
      </w:r>
      <w:r>
        <w:rPr>
          <w:b/>
        </w:rPr>
        <w:t xml:space="preserve">DOI: </w:t>
      </w:r>
      <w:hyperlink r:id="rId792">
        <w:r>
          <w:rPr>
            <w:color w:val="1155CC"/>
            <w:u w:val="single"/>
          </w:rPr>
          <w:t>10.1038/s41563-026-02609-3</w:t>
        </w:r>
      </w:hyperlink>
    </w:p>
    <w:p>
      <w:pPr>
        <w:spacing w:before="0" w:after="120"/>
      </w:pPr>
      <w:r>
        <w:rPr>
          <w:b/>
        </w:rPr>
        <w:t xml:space="preserve">Notes: </w:t>
      </w:r>
      <w:r>
        <w:t>abstract_source=nature_html</w:t>
      </w:r>
    </w:p>
    <w:p>
      <w:pPr>
        <w:spacing w:before="0" w:after="80" w:lineRule="auto" w:line="276"/>
      </w:pPr>
      <w:r>
        <w:rPr>
          <w:b/>
        </w:rPr>
        <w:t xml:space="preserve">摘要（ZH）: </w:t>
      </w:r>
      <w:r>
        <w:t>信息单元正逐步接近集成密度的基本物理极限，包括极小尺寸、多状态和概率遍历。然而，同时在一个单元中涵盖所有这些特征仍然难以实现。在此，通过实时原位电监测，我们清晰地观察到了Sc2C2@C88中多导电状态的随机变化。生成的真正随机位序列展示了自相关函数，其置信区间在±0.02以内，显示出高质量的随机性。多导电状态的变化是可控的，即其概率分布可以从0遍历到1，使我们能够将551分解为其质因数。此外，我们提出了一种矩阵链乘法方案，并通过实验验证了两个4 × 4状态转移矩阵的乘法，其最大误差很小。</w:t>
      </w:r>
    </w:p>
    <w:p>
      <w:pPr>
        <w:spacing w:before="0" w:after="200" w:lineRule="auto" w:line="276"/>
      </w:pPr>
      <w:r>
        <w:rPr>
          <w:b/>
        </w:rPr>
        <w:t xml:space="preserve">Abstract (EN): </w:t>
      </w:r>
      <w:r>
        <w:t>Information units are progressively approaching the fundamental physical limits of integration density, including in terms of extremely small sizes, multistates and probabilistic traversal. However, simultaneously encompassing all of these characteristics in a unit remains elusive. Here, via real-time in situ electrical monitoring, we clearly observed stochastic alterations of multiple conductance states in Sc2C2@C88. The true random bit sequence generated exhibited an autocorrelation function whose confidence interval fell within ±0.02, demonstrating high-quality randomness. The alterations of multiple conductance states are controllable, that is, whose probability distributions could traverse from 0 to 1, enabling us to factorize 551 into its prime factors. Furthermore, we proposed a matrix-chain multiplication scheme and experimentally verified the multiplication of two 4 × 4 state-transition matrices with a small maximum error of</w:t>
      </w:r>
    </w:p>
    <w:p>
      <w:pPr>
        <w:spacing w:before="120" w:after="120"/>
      </w:pPr>
      <w:r>
        <w:rPr>
          <w:sz w:val="18"/>
        </w:rPr>
        <w:t>——————————————————————————————————————————————————————————————————————</w:t>
      </w:r>
    </w:p>
    <w:p>
      <w:pPr>
        <w:spacing w:before="160" w:after="40" w:line="240" w:lineRule="auto"/>
      </w:pPr>
      <w:r>
        <w:rPr>
          <w:b/>
        </w:rPr>
        <w:t xml:space="preserve">[312] </w:t>
      </w:r>
      <w:hyperlink r:id="rId793">
        <w:r>
          <w:rPr>
            <w:color w:val="1155CC"/>
            <w:u w:val="single"/>
          </w:rPr>
          <w:t>在再电离时代形成的超微弱化学原始星系</w:t>
        </w:r>
      </w:hyperlink>
    </w:p>
    <w:p>
      <w:pPr>
        <w:spacing w:before="0" w:after="80"/>
      </w:pPr>
      <w:r>
        <w:rPr>
          <w:i/>
          <w:sz w:val="20"/>
        </w:rPr>
        <w:t>EN: An ultra-faint, chemically primitive galaxy forming in the reionization era</w:t>
      </w:r>
    </w:p>
    <w:p>
      <w:pPr>
        <w:spacing w:before="0" w:after="120"/>
      </w:pPr>
      <w:r>
        <w:rPr>
          <w:b/>
        </w:rPr>
        <w:t xml:space="preserve">Source: </w:t>
      </w:r>
      <w:r>
        <w:t>Nature</w:t>
      </w:r>
      <w:r>
        <w:t xml:space="preserve">    </w:t>
      </w:r>
      <w:r>
        <w:rPr>
          <w:b/>
        </w:rPr>
        <w:t xml:space="preserve">Pub date: </w:t>
      </w:r>
      <w:r>
        <w:t>2026-05-13 00:00:00+00:00</w:t>
      </w:r>
      <w:r>
        <w:t xml:space="preserve">    </w:t>
      </w:r>
      <w:r>
        <w:rPr>
          <w:b/>
        </w:rPr>
        <w:t xml:space="preserve">DOI: </w:t>
      </w:r>
      <w:hyperlink r:id="rId794">
        <w:r>
          <w:rPr>
            <w:color w:val="1155CC"/>
            <w:u w:val="single"/>
          </w:rPr>
          <w:t>10.1038/s41586-026-10374-1</w:t>
        </w:r>
      </w:hyperlink>
    </w:p>
    <w:p>
      <w:pPr>
        <w:spacing w:before="0" w:after="120"/>
      </w:pPr>
      <w:r>
        <w:rPr>
          <w:b/>
        </w:rPr>
        <w:t xml:space="preserve">Notes: </w:t>
      </w:r>
      <w:r>
        <w:t>abstract_source=nature_html</w:t>
      </w:r>
    </w:p>
    <w:p>
      <w:pPr>
        <w:spacing w:before="0" w:after="80" w:lineRule="auto" w:line="276"/>
      </w:pPr>
      <w:r>
        <w:rPr>
          <w:b/>
        </w:rPr>
        <w:t xml:space="preserve">摘要（ZH）: </w:t>
      </w:r>
      <w:r>
        <w:t>第一批恒星和星系的形成标志着化学富集的开始，但对这些原始系统的直接观测仍然难以实现。在此，我们展示了詹姆斯·韦伯太空望远镜对LAP1-B的光谱观测，这是一颗红移zspec = 6.625 ± 0.001的超微弱星系，对应于大爆炸后8亿年的宇宙年龄。这个星系被引力透镜强烈放大。LAP1-B表现出气相氧丰度为(4.2 ± 1.8) × 10−3倍太阳值，使其成为迄今发现的化学上最原始的恒星形成星系。该星系显示出异常强硬的电离辐射场，这与化学富集的恒星群或吸积黑洞不一致，但符合理论预测的异常金属缺乏的恒星群1。它还显示出在星际介质中其金属丰度的碳氧丰度比升高，与在没有初始金属的情况下形成的恒星群的核合成产物一致2,3,4。不可检测的恒星连续体限制了恒星质量低于3,300 M⊙，而从发射线运动学推导的动力质量超过了恒星和气体质量的总和，这表明存在一个主导的暗物质晕。我们的发现确立了LAP1-B作为一个“正在形成的化石”，是本地宇宙中观察到的古老超微弱矮星系的直接高红移前体，并提供了一个罕见的窗口进入星系形成的最早阶段。</w:t>
      </w:r>
    </w:p>
    <w:p>
      <w:pPr>
        <w:spacing w:before="0" w:after="200" w:lineRule="auto" w:line="276"/>
      </w:pPr>
      <w:r>
        <w:rPr>
          <w:b/>
        </w:rPr>
        <w:t xml:space="preserve">Abstract (EN): </w:t>
      </w:r>
      <w:r>
        <w:t>The formation of the first stars and galaxies marked the onset of chemical enrichment, yet direct observations of such primordial systems remain elusive. Here we present James Webb Space Telescope spectroscopic observations of LAP1-B, an ultra-faint galaxy at redshift zspec = 6.625 ± 0.001, corresponding to a cosmic age of 800 million years after the Big Bang. This galaxy is strongly magnified by gravitational lensing. LAP1-B exhibits a gas-phase oxygen abundance of (4.2 ± 1.8) × 10−3 times the solar value, making it the most chemically primitive star-forming galaxy discovered to date. The galaxy displays an exceptionally hard ionizing radiation field, which is inconsistent with chemically enriched stellar populations or accreting black holes but matches theoretical predictions for an exceptionally metal-deficient stellar population1. It also shows an elevated carbon-to-oxygen abundance ratio for its metallicity in the interstellar medium, consistent with nucleosynthetic yields from a stellar population formed in the absence of initial metals2,3,4. The lack of detectable stellar continuum constrains the stellar mass to below 3,300 M⊙, and the dynamical mass, derived from emission-line kinematics, exceeds the combined stellar and gas mass, which indicates a dominant dark matter halo. Our findings establish LAP1-B as a ‘fossil in the making’, a direct high-redshift progenitor of the ancient ultra-faint dwarf galaxies observed in the local Universe and offers a rare window into the earliest stages of galaxy formation.</w:t>
      </w:r>
    </w:p>
    <w:p>
      <w:pPr>
        <w:spacing w:before="120" w:after="120"/>
      </w:pPr>
      <w:r>
        <w:rPr>
          <w:sz w:val="18"/>
        </w:rPr>
        <w:t>——————————————————————————————————————————————————————————————————————</w:t>
      </w:r>
    </w:p>
    <w:p>
      <w:pPr>
        <w:spacing w:before="160" w:after="40" w:line="240" w:lineRule="auto"/>
      </w:pPr>
      <w:r>
        <w:rPr>
          <w:b/>
        </w:rPr>
        <w:t xml:space="preserve">[313] </w:t>
      </w:r>
      <w:hyperlink r:id="rId795">
        <w:r>
          <w:rPr>
            <w:color w:val="1155CC"/>
            <w:u w:val="single"/>
          </w:rPr>
          <w:t>代谢组学特征介导了身体虚弱与代谢功能障碍相关脂肪肝病之间的关联</w:t>
        </w:r>
      </w:hyperlink>
    </w:p>
    <w:p>
      <w:pPr>
        <w:spacing w:before="0" w:after="80"/>
      </w:pPr>
      <w:r>
        <w:rPr>
          <w:i/>
          <w:sz w:val="20"/>
        </w:rPr>
        <w:t>EN: The metabolomic signatures mediate associations between physical frailty and metabolic dysfunction–associated steatotic liver disease</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796">
        <w:r>
          <w:rPr>
            <w:color w:val="1155CC"/>
            <w:u w:val="single"/>
          </w:rPr>
          <w:t>10.1126/sciadv.aeg4939</w:t>
        </w:r>
      </w:hyperlink>
    </w:p>
    <w:p>
      <w:pPr>
        <w:spacing w:before="0" w:after="120"/>
      </w:pPr>
      <w:r>
        <w:rPr>
          <w:b/>
        </w:rPr>
        <w:t xml:space="preserve">Notes: </w:t>
      </w:r>
      <w:r>
        <w:t>abstract_source=crossref</w:t>
      </w:r>
    </w:p>
    <w:p>
      <w:pPr>
        <w:spacing w:before="0" w:after="80" w:lineRule="auto" w:line="276"/>
      </w:pPr>
      <w:r>
        <w:rPr>
          <w:b/>
        </w:rPr>
        <w:t xml:space="preserve">摘要（ZH）: </w:t>
      </w:r>
      <w:r>
        <w:t>预防仍然是解决代谢功能障碍相关脂肪性肝病（MASLD）日益严重负担的关键策略，强调探索可修改风险因素的重要性。越来越多的证据表明身体虚弱与MASLD之间存在密切联系。然而，虚弱如何与代谢综合征相互作用以影响MASLD以及关联的因果关系和方向仍然在很大程度上未知。利用来自405,224名UK Biobank参与者的13.65年随访数据，我们发现身体虚弱与临床诊断的MASLD风险增加相关，并加剧了代谢综合征对MASLD发病率的不利影响，这意味着虚弱的人可能由于代谢综合征而更容易患上这种疾病。孟德尔随机化提供了身体虚弱对MASLD潜在因果效应的证据，但不是相反的方向。此外，代谢组广泛关联分析揭示了血浆代谢物与虚弱和MASLD之间的广泛关联，表明它们之间存在共享的代谢组基础。一些代谢物，包括脂肪酸和富含甘油三酯的脂蛋白生物标志物，部分解释了虚弱-MASLD关系，表明一种潜在的代谢组机制。如果在进一步研究中得到证实，虚弱筛查可能有助于识别高风险个体，并为MASLD的早期预防提供信息，特别是对于那些患有代谢综合征的人。</w:t>
      </w:r>
    </w:p>
    <w:p>
      <w:pPr>
        <w:spacing w:before="0" w:after="200" w:lineRule="auto" w:line="276"/>
      </w:pPr>
      <w:r>
        <w:rPr>
          <w:b/>
        </w:rPr>
        <w:t xml:space="preserve">Abstract (EN): </w:t>
      </w:r>
      <w:r>
        <w:t>Prevention remains a key strategy to address the growing burden of metabolic dysfunction–associated steatotic liver disease (MASLD), highlighting the importance of exploring modifiable risk factors. Accumulating evidence suggests a close link between physical frailty and MASLD. However, how frailty interacts with metabolic syndrome to affect MASLD and the causality and direction of the association remain largely unknown. Leveraging data from 405,224 UK Biobank participants with a 13.65-year follow-up, we found that physical frailty was associated with an increased risk of clinically diagnosed MASLD and exacerbated the adverse effect of metabolic syndrome on MASLD incidence, implying that frail people may be more vulnerable to this disease because of metabolic syndrome. Mendelian randomization provided evidence for a potential causal effect of physical frailty on MASLD but not the reverse direction. Moreover, the metabolome-wide association analysis revealed widespread associations of plasma metabolites with both frailty and MASLD, suggesting a shared metabolomic foundation between them. Some metabolites, including fatty acids and triglyceride-rich lipoprotein biomarkers, partially explained the frailty-MASLD relationship, indicating a potential metabolomic mechanism. If confirmed in further studies, frailty screening may help identify high-risk individuals and inform early prevention for MASLD, especially for those with metabolic syndrome.</w:t>
      </w:r>
    </w:p>
    <w:p>
      <w:pPr>
        <w:spacing w:before="120" w:after="120"/>
      </w:pPr>
      <w:r>
        <w:rPr>
          <w:sz w:val="18"/>
        </w:rPr>
        <w:t>——————————————————————————————————————————————————————————————————————</w:t>
      </w:r>
    </w:p>
    <w:p>
      <w:pPr>
        <w:spacing w:before="160" w:after="40" w:line="240" w:lineRule="auto"/>
      </w:pPr>
      <w:r>
        <w:rPr>
          <w:b/>
        </w:rPr>
        <w:t xml:space="preserve">[314] </w:t>
      </w:r>
      <w:hyperlink r:id="rId797">
        <w:r>
          <w:rPr>
            <w:color w:val="1155CC"/>
            <w:u w:val="single"/>
          </w:rPr>
          <w:t>IgLON5自身免疫抗体通过神经元过度活跃激活Tau蛋白</w:t>
        </w:r>
      </w:hyperlink>
    </w:p>
    <w:p>
      <w:pPr>
        <w:spacing w:before="0" w:after="80"/>
      </w:pPr>
      <w:r>
        <w:rPr>
          <w:i/>
          <w:sz w:val="20"/>
        </w:rPr>
        <w:t>EN: IgLON5 autoimmune antibodies activate Tau via neuronal hyperactivity</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798">
        <w:r>
          <w:rPr>
            <w:color w:val="1155CC"/>
            <w:u w:val="single"/>
          </w:rPr>
          <w:t>10.1126/sciadv.aec2042</w:t>
        </w:r>
      </w:hyperlink>
    </w:p>
    <w:p>
      <w:pPr>
        <w:spacing w:before="0" w:after="120"/>
      </w:pPr>
      <w:r>
        <w:rPr>
          <w:b/>
        </w:rPr>
        <w:t xml:space="preserve">Notes: </w:t>
      </w:r>
      <w:r>
        <w:t>abstract_source=crossref</w:t>
      </w:r>
    </w:p>
    <w:p>
      <w:pPr>
        <w:spacing w:before="0" w:after="80" w:lineRule="auto" w:line="276"/>
      </w:pPr>
      <w:r>
        <w:rPr>
          <w:b/>
        </w:rPr>
        <w:t xml:space="preserve">摘要（ZH）: </w:t>
      </w:r>
      <w:r>
        <w:t>抗IgLON5病是一种自身免疫性疾病，其中针对神经细胞表面蛋白IgLON5的自身抗体（AABs）导致严重的脑功能障碍和Tau病理。α-IgLON5 AABs如何导致神经元Tau蛋白病理和神经退行性变仍不清楚。我们发现，患者来源的α-IgLON5 AABs使IgLON5蛋白与其他细胞表面蛋白聚集，导致神经元过度活跃，从而引发病理性Tau错误排序和磷酸化，这通常在Tau相关神经退行性疾病早期观察到。在野生型小鼠中，α-IgLON5 AABs诱导海马Tau磷酸化和神经炎症反应。我们的研究结果建立了α-IgLON5 AABs与抗IgLON5病患者Tau病理之间的因果关系，并强调神经元过度活跃作为Tau病理的疾病驱动因素，并提供了潜在的治疗干预靶点。</w:t>
      </w:r>
    </w:p>
    <w:p>
      <w:pPr>
        <w:spacing w:before="0" w:after="200" w:lineRule="auto" w:line="276"/>
      </w:pPr>
      <w:r>
        <w:rPr>
          <w:b/>
        </w:rPr>
        <w:t xml:space="preserve">Abstract (EN): </w:t>
      </w:r>
      <w:r>
        <w:t>Anti-IgLON5 disease is an autoimmune disease, in which autoantibodies (AABs) against the neuronal cell surface protein IgLON5 lead to profound brain dysfunction and Tau pathology. How α-IgLON5 AABs cause neuronal Tau protein pathology and neurodegeneration remains unclear. We find that patient-derived α-IgLON5 AABs cluster IgLON5 proteins with other cell surface proteins, leading to neuronal hyperactivity that triggers pathological Tau missorting and phosphorylation, typically observed early in Tau-related neurodegenerative diseases. In wild-type mice, α-IgLON5 AABs induce hippocampal Tau phosphorylation and neuroinflammatory responses. Our findings establish a causal link between the α-IgLON5 AABs and Tau pathology in anti-IgLON5 disease patients and highlight the role of neuronal hyperactivity as a disease-overarching driver of Tau pathology and provide a potential target for therapeutic intervention.</w:t>
      </w:r>
    </w:p>
    <w:p>
      <w:pPr>
        <w:spacing w:before="120" w:after="120"/>
      </w:pPr>
      <w:r>
        <w:rPr>
          <w:sz w:val="18"/>
        </w:rPr>
        <w:t>——————————————————————————————————————————————————————————————————————</w:t>
      </w:r>
    </w:p>
    <w:p>
      <w:pPr>
        <w:spacing w:before="160" w:after="40" w:line="240" w:lineRule="auto"/>
      </w:pPr>
      <w:r>
        <w:rPr>
          <w:b/>
        </w:rPr>
        <w:t xml:space="preserve">[315] </w:t>
      </w:r>
      <w:hyperlink r:id="rId799">
        <w:r>
          <w:rPr>
            <w:color w:val="1155CC"/>
            <w:u w:val="single"/>
          </w:rPr>
          <w:t>在啮齿动物中使用小分子进行预防性心脏保护，抑制预测心力衰竭的基因</w:t>
        </w:r>
      </w:hyperlink>
    </w:p>
    <w:p>
      <w:pPr>
        <w:spacing w:before="0" w:after="80"/>
      </w:pPr>
      <w:r>
        <w:rPr>
          <w:i/>
          <w:sz w:val="20"/>
        </w:rPr>
        <w:t>EN: Preemptive cardioprotection with a small molecule in rodents that suppresses genes predictive of heart failure</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00">
        <w:r>
          <w:rPr>
            <w:color w:val="1155CC"/>
            <w:u w:val="single"/>
          </w:rPr>
          <w:t>10.1126/sciadv.aea0220</w:t>
        </w:r>
      </w:hyperlink>
    </w:p>
    <w:p>
      <w:pPr>
        <w:spacing w:before="0" w:after="120"/>
      </w:pPr>
      <w:r>
        <w:rPr>
          <w:b/>
        </w:rPr>
        <w:t xml:space="preserve">Notes: </w:t>
      </w:r>
      <w:r>
        <w:t>abstract_source=crossref</w:t>
      </w:r>
    </w:p>
    <w:p>
      <w:pPr>
        <w:spacing w:before="0" w:after="80" w:lineRule="auto" w:line="276"/>
      </w:pPr>
      <w:r>
        <w:rPr>
          <w:b/>
        </w:rPr>
        <w:t xml:space="preserve">摘要（ZH）: </w:t>
      </w:r>
      <w:r>
        <w:t>缺血性心脏病是全球死亡的主要原因之一。虽然经皮冠状动脉介入治疗（PCI）可以恢复急性冠状动脉综合征（ACS）中的血流，但再灌注损伤加剧了心肌损伤，导致心力衰竭（HF）。预先给予心脏保护剂可以帮助抵消PCI和再灌注的即将到来的促炎性损伤。在再灌注前24小时和缺血期间给予小分子MAPK激酶/细胞外信号调节激酶抑制剂BT2，可将梗死面积减少约70%，并在损伤后24小时和2周内保持心脏功能。BT2防止了左心室不良重构和瘢痕形成。单核RNA测序（snRNA-seq）和整体RNA-seq显示，BT2调节了与炎症、纤维化和基质生成相关的基因，特别是在巨噬细胞和肌成纤维细胞中。BT2抑制了巨噬细胞和中性粒细胞的浸润。BT2减少了预测ACS患者HF的啮齿动物心脏中基因的表达，包括许多编码细胞因子、炎症小体成分和损伤相关分子模式的基因。BT2是一种小分子，可以预防心肌缺血再灌注损伤，改善心脏功能，减少心脏纤维化，并有利于调节多种关键基因和生物过程，在再灌注前给予时对HF具有预后作用。这一策略可以在高风险不稳定型心绞痛/非ST段抬高型心肌梗死患者或进行选择性PCI的患者中进行评估。</w:t>
      </w:r>
    </w:p>
    <w:p>
      <w:pPr>
        <w:spacing w:before="0" w:after="200" w:lineRule="auto" w:line="276"/>
      </w:pPr>
      <w:r>
        <w:rPr>
          <w:b/>
        </w:rPr>
        <w:t xml:space="preserve">Abstract (EN): </w:t>
      </w:r>
      <w:r>
        <w:t>Ischemic heart disease is a leading cause of death worldwide. While percutaneous coronary intervention (PCI) restores blood flow in acute coronary syndrome (ACS), reperfusion injury exacerbates myocardial damage, contributing to heart failure (HF). Preemptive administration of a cardioprotective agent could help counter the imminent proinflammatory insult of PCI and reperfusion. Administering BT2, a small-molecule MAPK kinase/extracellular signal–regulated kinase inhibitor, 24 hours before and during ischemia in rats before reperfusion reduced infarct size by ~70% and preserved cardiac function 24 hours and 2 weeks postinjury. BT2 prevented adverse left ventricular remodeling and scarring. Single nucleus RNA sequencing (snRNA-seq) and bulk RNA-seq revealed that BT2 modulated genes associated with inflammation, fibrosis, and matrix production, especially within macrophages and myofibroblasts. BT2 suppressed macrophage and neutrophil infiltration. BT2 reduced the expression of genes in rodent hearts predictive of HF in patients with ACS, including many encoding cytokines, inflammasome components, and damage-associated molecular patterns. BT2 is a small molecule that can prevent myocardial ischemia-reperfusion injury, improve heart function, reduce cardiac fibrosis, and favorably modulate multiple key genes and biological processes in rats prognostic of HF when delivered before reperfusion. This strategy could be evaluated with high-risk unstable angina/non-ST-segment elevation myocardial infarction patients or those having an elective PCI.</w:t>
      </w:r>
    </w:p>
    <w:p>
      <w:pPr>
        <w:spacing w:before="120" w:after="120"/>
      </w:pPr>
      <w:r>
        <w:rPr>
          <w:sz w:val="18"/>
        </w:rPr>
        <w:t>——————————————————————————————————————————————————————————————————————</w:t>
      </w:r>
    </w:p>
    <w:p>
      <w:pPr>
        <w:spacing w:before="160" w:after="40" w:line="240" w:lineRule="auto"/>
      </w:pPr>
      <w:r>
        <w:rPr>
          <w:b/>
        </w:rPr>
        <w:t xml:space="preserve">[316] </w:t>
      </w:r>
      <w:hyperlink r:id="rId801">
        <w:r>
          <w:rPr>
            <w:color w:val="1155CC"/>
            <w:u w:val="single"/>
          </w:rPr>
          <w:t>蛋白质渴望将幼虫信号与蜜蜂的食物供应联系起来</w:t>
        </w:r>
      </w:hyperlink>
    </w:p>
    <w:p>
      <w:pPr>
        <w:spacing w:before="0" w:after="80"/>
      </w:pPr>
      <w:r>
        <w:rPr>
          <w:i/>
          <w:sz w:val="20"/>
        </w:rPr>
        <w:t>EN: Protein craving links larval signals to food provisioning in honey bees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02">
        <w:r>
          <w:rPr>
            <w:color w:val="1155CC"/>
            <w:u w:val="single"/>
          </w:rPr>
          <w:t>10.1126/sciadv.aec3855</w:t>
        </w:r>
      </w:hyperlink>
    </w:p>
    <w:p>
      <w:pPr>
        <w:spacing w:before="0" w:after="120"/>
      </w:pPr>
      <w:r>
        <w:rPr>
          <w:b/>
        </w:rPr>
        <w:t xml:space="preserve">Notes: </w:t>
      </w:r>
      <w:r>
        <w:t>abstract_source=crossref</w:t>
      </w:r>
    </w:p>
    <w:p>
      <w:pPr>
        <w:spacing w:before="0" w:after="80" w:lineRule="auto" w:line="276"/>
      </w:pPr>
      <w:r>
        <w:rPr>
          <w:b/>
        </w:rPr>
        <w:t xml:space="preserve">摘要（ZH）: </w:t>
      </w:r>
      <w:r>
        <w:t>工蜂为发育中的幼虫提供蜂王浆是蜜蜂群体社会互动的基础。虽然蜂王浆的生产是由集体幼虫需求调节的，但尚不清楚群体水平的需求如何转化为个体工蜂的行为。在此，我们展示了幼虫信息素E-β-莰烯（EBO），一种传粉者也用作花卉食物信号的挥发性化合物，激发了工蜂对蛋白质的内在渴望，从而驱动了花粉摄入的增加。通过体外和体内实验，我们证明了这种反应是由白细胞激肽（Lk）和白细胞激肽受体（Lkr）系统介导的，通过PKA-CREB-IRS信号通路调节胰岛素受体底物基因（Irs）的表达。增加的花粉摄入促进了下咽腺的增大和主要蜂王浆蛋白的增强生产。我们的研究发现揭示了一种将幼虫信号与工蜂营养联系起来的分子机制，强调了蜜蜂幼虫与工蜂之间的社会纽带是如何根植于早于真社会性出现的蛋白质饥饿的祖先途径。</w:t>
      </w:r>
    </w:p>
    <w:p>
      <w:pPr>
        <w:spacing w:before="0" w:after="200" w:lineRule="auto" w:line="276"/>
      </w:pPr>
      <w:r>
        <w:rPr>
          <w:b/>
        </w:rPr>
        <w:t xml:space="preserve">Abstract (EN): </w:t>
      </w:r>
      <w:r>
        <w:t>The provisioning of royal jelly for developing larvae by nurse bees is fundamental to social interaction in honey bee colonies. While royal jelly production is regulated by collective larval demand, it remains unclear how colony-level needs are translated into individual worker behavior. Here, we show that the larval pheromone E-β-ocimene (EBO), a volatile compound also used by pollinators as a floral food cue, elicits an intrinsic craving for protein in nurse bees that drives increased pollen consumption. Through in vitro and in vivo experiments, we demonstrate that this response is mediated by the leucokinin (</w:t>
      </w:r>
      <w:r>
        <w:t xml:space="preserve"> </w:t>
      </w:r>
      <w:r>
        <w:t>Lk</w:t>
      </w:r>
      <w:r>
        <w:t xml:space="preserve"> </w:t>
      </w:r>
      <w:r>
        <w:t>) and leucokinin receptor (</w:t>
      </w:r>
      <w:r>
        <w:t xml:space="preserve"> </w:t>
      </w:r>
      <w:r>
        <w:t>Lkr</w:t>
      </w:r>
      <w:r>
        <w:t xml:space="preserve"> </w:t>
      </w:r>
      <w:r>
        <w:t>) system, acting through the PKA-CREB-IRS signaling pathway to modulate the expression of the insulin receptor substrate gene (</w:t>
      </w:r>
      <w:r>
        <w:t xml:space="preserve"> </w:t>
      </w:r>
      <w:r>
        <w:t>Irs</w:t>
      </w:r>
      <w:r>
        <w:t xml:space="preserve"> </w:t>
      </w:r>
      <w:r>
        <w:t>). Elevated pollen intake then promotes the enlargement of the hypopharyngeal glands and enhanced production of major royal jelly proteins. Our findings uncover a molecular mechanism linking larval signaling to worker nutrition, highlighting how social bonds between honey bee larvae and nurses are rooted in ancestral pathways of protein hunger that predate eusociality.</w:t>
      </w:r>
    </w:p>
    <w:p>
      <w:pPr>
        <w:spacing w:before="120" w:after="120"/>
      </w:pPr>
      <w:r>
        <w:rPr>
          <w:sz w:val="18"/>
        </w:rPr>
        <w:t>——————————————————————————————————————————————————————————————————————</w:t>
      </w:r>
    </w:p>
    <w:p>
      <w:pPr>
        <w:spacing w:before="160" w:after="40" w:line="240" w:lineRule="auto"/>
      </w:pPr>
      <w:r>
        <w:rPr>
          <w:b/>
        </w:rPr>
        <w:t xml:space="preserve">[317] </w:t>
      </w:r>
      <w:hyperlink r:id="rId803">
        <w:r>
          <w:rPr>
            <w:color w:val="1155CC"/>
            <w:u w:val="single"/>
          </w:rPr>
          <w:t>异戊二烯过氧自由基的命运限制了城市光化学机制</w:t>
        </w:r>
      </w:hyperlink>
    </w:p>
    <w:p>
      <w:pPr>
        <w:spacing w:before="0" w:after="80"/>
      </w:pPr>
      <w:r>
        <w:rPr>
          <w:i/>
          <w:sz w:val="20"/>
        </w:rPr>
        <w:t>EN: Fate of isoprene peroxy radical constrains the urban photochemical regime</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04">
        <w:r>
          <w:rPr>
            <w:color w:val="1155CC"/>
            <w:u w:val="single"/>
          </w:rPr>
          <w:t>10.1126/sciadv.aea6509</w:t>
        </w:r>
      </w:hyperlink>
    </w:p>
    <w:p>
      <w:pPr>
        <w:spacing w:before="0" w:after="120"/>
      </w:pPr>
      <w:r>
        <w:rPr>
          <w:b/>
        </w:rPr>
        <w:t xml:space="preserve">Notes: </w:t>
      </w:r>
      <w:r>
        <w:t>abstract_source=crossref</w:t>
      </w:r>
    </w:p>
    <w:p>
      <w:pPr>
        <w:spacing w:before="0" w:after="80" w:lineRule="auto" w:line="276"/>
      </w:pPr>
      <w:r>
        <w:rPr>
          <w:b/>
        </w:rPr>
        <w:t xml:space="preserve">摘要（ZH）: </w:t>
      </w:r>
      <w:r>
        <w:t>氮氧化物（NO</w:t>
      </w:r>
      <w:r>
        <w:t xml:space="preserve"> </w:t>
      </w:r>
      <w:r>
        <w:t>x</w:t>
      </w:r>
      <w:r>
        <w:t xml:space="preserve"> </w:t>
      </w:r>
      <w:r>
        <w:t>= NO + NO</w:t>
      </w:r>
      <w:r>
        <w:rPr>
          <w:vertAlign w:val="subscript"/>
        </w:rPr>
        <w:t>2</w:t>
      </w:r>
      <w:r>
        <w:t>）排放量的下降改变了城市大气中的氧化途径，对空气质量产生了影响。有机过氧自由基（RO</w:t>
      </w:r>
      <w:r>
        <w:rPr>
          <w:vertAlign w:val="subscript"/>
        </w:rPr>
        <w:t>2</w:t>
      </w:r>
      <w:r>
        <w:t>）是挥发性有机化合物氧化的关键中间体，通常与NO反应生成臭氧（O</w:t>
      </w:r>
      <w:r>
        <w:rPr>
          <w:vertAlign w:val="subscript"/>
        </w:rPr>
        <w:t>3</w:t>
      </w:r>
      <w:r>
        <w:t>）。在低NO条件下，RO</w:t>
      </w:r>
      <w:r>
        <w:rPr>
          <w:vertAlign w:val="subscript"/>
        </w:rPr>
        <w:t>2</w:t>
      </w:r>
      <w:r>
        <w:t>的替代命运，包括异构化形成高度氧化的有机分子（HOMs），可以增强二次有机气溶胶（SOA）的生成。我们结合了四个北美主要城市的飞机观测数据和静止卫星数据，以表征城市环境中异戊二烯衍生的RO</w:t>
      </w:r>
      <w:r>
        <w:rPr>
          <w:vertAlign w:val="subscript"/>
        </w:rPr>
        <w:t>2</w:t>
      </w:r>
      <w:r>
        <w:t>命运。我们推断RO</w:t>
      </w:r>
      <w:r>
        <w:rPr>
          <w:vertAlign w:val="subscript"/>
        </w:rPr>
        <w:t>2</w:t>
      </w:r>
      <w:r>
        <w:t>的双分子寿命（τ</w:t>
      </w:r>
      <w:r>
        <w:t xml:space="preserve"> </w:t>
      </w:r>
      <w:r>
        <w:t>bi</w:t>
      </w:r>
      <w:r>
        <w:t xml:space="preserve"> </w:t>
      </w:r>
      <w:r>
        <w:t>）作为异构化潜力的代理，发现纽约、芝加哥和多伦多的τ</w:t>
      </w:r>
      <w:r>
        <w:t xml:space="preserve"> </w:t>
      </w:r>
      <w:r>
        <w:t>bi</w:t>
      </w:r>
      <w:r>
        <w:t xml:space="preserve"> </w:t>
      </w:r>
      <w:r>
        <w:t>较长（17 ± 11秒），而洛杉矶较短（7 ± 6秒）。卫星测量显示，长τ</w:t>
      </w:r>
      <w:r>
        <w:t xml:space="preserve"> </w:t>
      </w:r>
      <w:r>
        <w:t>bi</w:t>
      </w:r>
      <w:r>
        <w:t xml:space="preserve"> </w:t>
      </w:r>
      <w:r>
        <w:t>在北美城市地区普遍存在，表明NO</w:t>
      </w:r>
      <w:r>
        <w:t xml:space="preserve"> </w:t>
      </w:r>
      <w:r>
        <w:t>x</w:t>
      </w:r>
      <w:r>
        <w:t xml:space="preserve"> </w:t>
      </w:r>
      <w:r>
        <w:t>的下降可能导致城市地区HOM的形成增加。这些发现表明，大气模型忽略了</w:t>
      </w:r>
    </w:p>
    <w:p>
      <w:pPr>
        <w:spacing w:before="0" w:after="200" w:lineRule="auto" w:line="276"/>
      </w:pPr>
      <w:r>
        <w:rPr>
          <w:b/>
        </w:rPr>
        <w:t xml:space="preserve">Abstract (EN): </w:t>
      </w:r>
      <w:r>
        <w:t>Declining nitrogen oxide (NO</w:t>
      </w:r>
      <w:r>
        <w:t xml:space="preserve"> </w:t>
      </w:r>
      <w:r>
        <w:t>x</w:t>
      </w:r>
      <w:r>
        <w:t xml:space="preserve"> </w:t>
      </w:r>
      <w:r>
        <w:t>= NO + NO</w:t>
      </w:r>
      <w:r>
        <w:rPr>
          <w:vertAlign w:val="subscript"/>
        </w:rPr>
        <w:t>2</w:t>
      </w:r>
      <w:r>
        <w:t>) emissions have transformed oxidation pathways in urban atmospheres, with implications for air quality. Organic peroxy radicals (RO</w:t>
      </w:r>
      <w:r>
        <w:rPr>
          <w:vertAlign w:val="subscript"/>
        </w:rPr>
        <w:t>2</w:t>
      </w:r>
      <w:r>
        <w:t>), key intermediates in volatile organic compound oxidation, typically react with NO to form ozone (O</w:t>
      </w:r>
      <w:r>
        <w:rPr>
          <w:vertAlign w:val="subscript"/>
        </w:rPr>
        <w:t>3</w:t>
      </w:r>
      <w:r>
        <w:t>). Under lower-NO conditions, alternative RO</w:t>
      </w:r>
      <w:r>
        <w:rPr>
          <w:vertAlign w:val="subscript"/>
        </w:rPr>
        <w:t>2</w:t>
      </w:r>
      <w:r>
        <w:t>fates, including isomerization forming highly oxidized organic molecules (HOMs), can enhance secondary organic aerosol (SOA) production. We combine aircraft observations over four major North American cities with geostationary satellite data to characterize isoprene-derived RO</w:t>
      </w:r>
      <w:r>
        <w:rPr>
          <w:vertAlign w:val="subscript"/>
        </w:rPr>
        <w:t>2</w:t>
      </w:r>
      <w:r>
        <w:t>fate across urban environments. We infer RO</w:t>
      </w:r>
      <w:r>
        <w:rPr>
          <w:vertAlign w:val="subscript"/>
        </w:rPr>
        <w:t>2</w:t>
      </w:r>
      <w:r>
        <w:t>bimolecular lifetimes (τ</w:t>
      </w:r>
      <w:r>
        <w:t xml:space="preserve"> </w:t>
      </w:r>
      <w:r>
        <w:t>bi</w:t>
      </w:r>
      <w:r>
        <w:t xml:space="preserve"> </w:t>
      </w:r>
      <w:r>
        <w:t>) as a proxy for isomerization potential, finding longer τ</w:t>
      </w:r>
      <w:r>
        <w:t xml:space="preserve"> </w:t>
      </w:r>
      <w:r>
        <w:t>bi</w:t>
      </w:r>
      <w:r>
        <w:t xml:space="preserve"> </w:t>
      </w:r>
      <w:r>
        <w:t>(17 ± 11 seconds) in New York, Chicago, and Toronto compared to Los Angeles (7 ± 6 seconds). Satellite measurements reveal that long τ</w:t>
      </w:r>
      <w:r>
        <w:t xml:space="preserve"> </w:t>
      </w:r>
      <w:r>
        <w:t>bi</w:t>
      </w:r>
      <w:r>
        <w:t xml:space="preserve"> </w:t>
      </w:r>
      <w:r>
        <w:t>is widespread across urban North America, suggesting that declining NO</w:t>
      </w:r>
      <w:r>
        <w:t xml:space="preserve"> </w:t>
      </w:r>
      <w:r>
        <w:t>x</w:t>
      </w:r>
      <w:r>
        <w:t xml:space="preserve"> </w:t>
      </w:r>
      <w:r>
        <w:t>is likely to lead to greater HOM formation in urban regions. These findings indicate that atmospheric models omitting RO</w:t>
      </w:r>
      <w:r>
        <w:rPr>
          <w:vertAlign w:val="subscript"/>
        </w:rPr>
        <w:t>2</w:t>
      </w:r>
      <w:r>
        <w:t>isomerization chemistry may incorrectly simulate organic oxidation and the subsequent oxidation state of volatile organic compounds and SOA.</w:t>
      </w:r>
    </w:p>
    <w:p>
      <w:pPr>
        <w:spacing w:before="120" w:after="120"/>
      </w:pPr>
      <w:r>
        <w:rPr>
          <w:sz w:val="18"/>
        </w:rPr>
        <w:t>——————————————————————————————————————————————————————————————————————</w:t>
      </w:r>
    </w:p>
    <w:p>
      <w:pPr>
        <w:spacing w:before="160" w:after="40" w:line="240" w:lineRule="auto"/>
      </w:pPr>
      <w:r>
        <w:rPr>
          <w:b/>
        </w:rPr>
        <w:t xml:space="preserve">[318] </w:t>
      </w:r>
      <w:hyperlink r:id="rId805">
        <w:r>
          <w:rPr>
            <w:color w:val="1155CC"/>
            <w:u w:val="single"/>
          </w:rPr>
          <w:t>热力学指导的公斤级碘化铜簇沉淀用于高效溶液加工的发光二极管</w:t>
        </w:r>
      </w:hyperlink>
    </w:p>
    <w:p>
      <w:pPr>
        <w:spacing w:before="0" w:after="80"/>
      </w:pPr>
      <w:r>
        <w:rPr>
          <w:i/>
          <w:sz w:val="20"/>
        </w:rPr>
        <w:t>EN: Thermodynamically guided kilogram-scale precipitation of copper iodide clusters for efficient solution-processed light-emitting diodes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06">
        <w:r>
          <w:rPr>
            <w:color w:val="1155CC"/>
            <w:u w:val="single"/>
          </w:rPr>
          <w:t>10.1126/sciadv.aef2453</w:t>
        </w:r>
      </w:hyperlink>
    </w:p>
    <w:p>
      <w:pPr>
        <w:spacing w:before="0" w:after="120"/>
      </w:pPr>
      <w:r>
        <w:rPr>
          <w:b/>
        </w:rPr>
        <w:t xml:space="preserve">Notes: </w:t>
      </w:r>
      <w:r>
        <w:t>abstract_source=crossref</w:t>
      </w:r>
    </w:p>
    <w:p>
      <w:pPr>
        <w:spacing w:before="0" w:after="80" w:lineRule="auto" w:line="276"/>
      </w:pPr>
      <w:r>
        <w:rPr>
          <w:b/>
        </w:rPr>
        <w:t xml:space="preserve">摘要（ZH）: </w:t>
      </w:r>
      <w:r>
        <w:t>铜卤化物簇因其强发光和无重金属特性而成为有吸引力的电致发光材料，但其成本效益的实际应用受到可扩展合成与溶液可加工性之间固有权衡的限制。这一困境促使我们设计了一种普遍的热力学驱动的分子设计策略。无烷基芳香配体二苯基-2-吡啶基膦（Ph</w:t>
      </w:r>
      <w:r>
        <w:rPr>
          <w:vertAlign w:val="subscript"/>
        </w:rPr>
        <w:t>2</w:t>
      </w:r>
      <w:r>
        <w:t>PPy）减少了溶解中的熵增并增加了焓变，从而最大化了溶解度的可调性，并允许可扩展的单步沉淀与溶液可加工性的共存。公斤级合成展示了接近100%的产率、高重现性、操作稳健性和高产品纯度，同时也适用于其他无烷基前体。通过动力学控制的热溶液工艺，我们实现了光致发光量子产率为85.49%的均匀晶体薄膜。电致发光器件实现了21.08%的创纪录外量子效率和66,388坎德拉每平方米的最大亮度——这是无掺杂、溶液加工铜卤化物中最高的，为实现成本效益的发光技术铺平了道路。</w:t>
      </w:r>
    </w:p>
    <w:p>
      <w:pPr>
        <w:spacing w:before="0" w:after="200" w:lineRule="auto" w:line="276"/>
      </w:pPr>
      <w:r>
        <w:rPr>
          <w:b/>
        </w:rPr>
        <w:t xml:space="preserve">Abstract (EN): </w:t>
      </w:r>
      <w:r>
        <w:t>Copper halide clusters are emerging as attractive electroluminescent materials due to their strong emission and heavy metal–free nature, but their cost-effective practical application has been limited by the inherent trade-off between scalable synthesis and solution processability. This dilemma motivates us to design a universal thermodynamically motivated molecular design strategy. Alkyl-free aromatic ligand diphenyl-2-pyridylphosphine (Ph</w:t>
      </w:r>
      <w:r>
        <w:rPr>
          <w:vertAlign w:val="subscript"/>
        </w:rPr>
        <w:t>2</w:t>
      </w:r>
      <w:r>
        <w:t>PPy) reduces the entropy gain and increases the enthalpy change in dissolution, which maximizes the tunability of solubility and allows the coexistence of scalable single-step precipitation and solution processability. The kilogram-scale synthesis demonstrates near-unity yield, high reproducibility, operational robustness, and high product purity, while also being applicable to other alkyl-free precursors. We achieve uniform crystalline films with a photoluminescence quantum yield of 85.49% by kinetically controlled hot solution process. The electroluminescent devices achieve a record external quantum efficiency of 21.08% and a maximum luminance of 66,388 candela per square meter—the highest among doping-free, solution-processed copper halides, paving the way toward cost-effective light-emitting technologies.</w:t>
      </w:r>
    </w:p>
    <w:p>
      <w:pPr>
        <w:spacing w:before="120" w:after="120"/>
      </w:pPr>
      <w:r>
        <w:rPr>
          <w:sz w:val="18"/>
        </w:rPr>
        <w:t>——————————————————————————————————————————————————————————————————————</w:t>
      </w:r>
    </w:p>
    <w:p>
      <w:pPr>
        <w:spacing w:before="160" w:after="40" w:line="240" w:lineRule="auto"/>
      </w:pPr>
      <w:r>
        <w:rPr>
          <w:b/>
        </w:rPr>
        <w:t xml:space="preserve">[319] </w:t>
      </w:r>
      <w:hyperlink r:id="rId807">
        <w:r>
          <w:rPr>
            <w:color w:val="1155CC"/>
            <w:u w:val="single"/>
          </w:rPr>
          <w:t>极性网络中的细胞周期振荡通过形态发生线索促进状态转换</w:t>
        </w:r>
      </w:hyperlink>
    </w:p>
    <w:p>
      <w:pPr>
        <w:spacing w:before="0" w:after="80"/>
      </w:pPr>
      <w:r>
        <w:rPr>
          <w:i/>
          <w:sz w:val="20"/>
        </w:rPr>
        <w:t>EN: Cell cycle oscillations in a polarity network facilitate state switching by morphogenetic cues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08">
        <w:r>
          <w:rPr>
            <w:color w:val="1155CC"/>
            <w:u w:val="single"/>
          </w:rPr>
          <w:t>10.1126/sciadv.aec3379</w:t>
        </w:r>
      </w:hyperlink>
    </w:p>
    <w:p>
      <w:pPr>
        <w:spacing w:before="0" w:after="120"/>
      </w:pPr>
      <w:r>
        <w:rPr>
          <w:b/>
        </w:rPr>
        <w:t xml:space="preserve">Notes: </w:t>
      </w:r>
      <w:r>
        <w:t>abstract_source=crossref</w:t>
      </w:r>
    </w:p>
    <w:p>
      <w:pPr>
        <w:spacing w:before="0" w:after="80" w:lineRule="auto" w:line="276"/>
      </w:pPr>
      <w:r>
        <w:rPr>
          <w:b/>
        </w:rPr>
        <w:t xml:space="preserve">摘要（ZH）: </w:t>
      </w:r>
      <w:r>
        <w:t>在形态发生过程中，细胞形态、命运和功能的建立需要细胞极性与发育信号之间的协调。为此，细胞必须建立既稳定又对引导信号敏感的极性域。在此，我们展示了</w:t>
      </w:r>
      <w:r>
        <w:t xml:space="preserve"> </w:t>
      </w:r>
      <w:r>
        <w:t>秀丽隐杆线虫</w:t>
      </w:r>
      <w:r>
        <w:t xml:space="preserve"> </w:t>
      </w:r>
      <w:r>
        <w:t>生殖系胚细胞使用时间变化的极化景观来解决这一权衡。具体而言，将PAR极性网络与细胞周期激酶CDK-1的振荡活动耦合，确保新生细胞在低反馈状态下运行，降低状态切换的障碍，允许空间信号诱导和定向PAR蛋白的不对称性。随着CDK-1活性在有丝分裂期间上升，分子反馈增加，增强信号诱导的不对称性，从而产生稳健且稳定的PAR极性域模式。与该模型一致，我们展示了低CDK/反馈状态会使PAR域不稳定，但对于信号诱导的去极化和极性重新定向是必需的。我们提出，振荡网络代表了一种动态优化细胞决策景观的普遍机制，确保在发育过程中稳健的信号诱导状态切换。</w:t>
      </w:r>
    </w:p>
    <w:p>
      <w:pPr>
        <w:spacing w:before="0" w:after="200" w:lineRule="auto" w:line="276"/>
      </w:pPr>
      <w:r>
        <w:rPr>
          <w:b/>
        </w:rPr>
        <w:t xml:space="preserve">Abstract (EN): </w:t>
      </w:r>
      <w:r>
        <w:t>The establishment of cell form, fate, and function during morphogenesis requires coordination between cell polarity and developmental cues. To achieve this, cells must establish polarity domains that are stable yet sensitive to guiding cues. Here, we show that</w:t>
      </w:r>
      <w:r>
        <w:t xml:space="preserve"> </w:t>
      </w:r>
      <w:r>
        <w:t>Caenorhabditis elegans</w:t>
      </w:r>
      <w:r>
        <w:t xml:space="preserve"> </w:t>
      </w:r>
      <w:r>
        <w:t>germline blastomeres use a time-varying polarization landscape to resolve this trade-off. Specifically, coupling the PAR polarity network to the oscillatory activity of cell cycle kinase CDK-1 ensures that newborn cells operate in a low feedback regime that lowers barriers to state switching, allowing spatial cues to induce and orient PAR protein asymmetries. As CDK-1 activity rises during mitosis, molecular feedback increases, reinforcing cue-induced asymmetries to yield robust and stable patterning of PAR polarity domains. Consistent with this model, we show that low CDK/feedback regimes destabilize PAR domains but are required for de novo polarization and polarity reorientation by cues. We propose that oscillatory networks represent a general mechanism for dynamically optimizing cellular decision-making landscapes, ensuring robust, signal-induced state switching during development.</w:t>
      </w:r>
    </w:p>
    <w:p>
      <w:pPr>
        <w:spacing w:before="120" w:after="120"/>
      </w:pPr>
      <w:r>
        <w:rPr>
          <w:sz w:val="18"/>
        </w:rPr>
        <w:t>——————————————————————————————————————————————————————————————————————</w:t>
      </w:r>
    </w:p>
    <w:p>
      <w:pPr>
        <w:spacing w:before="160" w:after="40" w:line="240" w:lineRule="auto"/>
      </w:pPr>
      <w:r>
        <w:rPr>
          <w:b/>
        </w:rPr>
        <w:t xml:space="preserve">[320] </w:t>
      </w:r>
      <w:hyperlink r:id="rId809">
        <w:r>
          <w:rPr>
            <w:color w:val="1155CC"/>
            <w:u w:val="single"/>
          </w:rPr>
          <w:t>从热点到热空间：级联光子-等离子体耦合用于基于SERS的全小型细胞外囊泡深度分析</w:t>
        </w:r>
      </w:hyperlink>
    </w:p>
    <w:p>
      <w:pPr>
        <w:spacing w:before="0" w:after="80"/>
      </w:pPr>
      <w:r>
        <w:rPr>
          <w:i/>
          <w:sz w:val="20"/>
        </w:rPr>
        <w:t>EN: From hotspots to hotspaces: Cascaded photonic-plasmonic coupling for SERS-based deep profiling of whole small extracellular vesicles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10">
        <w:r>
          <w:rPr>
            <w:color w:val="1155CC"/>
            <w:u w:val="single"/>
          </w:rPr>
          <w:t>10.1126/sciadv.aec1846</w:t>
        </w:r>
      </w:hyperlink>
    </w:p>
    <w:p>
      <w:pPr>
        <w:spacing w:before="0" w:after="120"/>
      </w:pPr>
      <w:r>
        <w:rPr>
          <w:b/>
        </w:rPr>
        <w:t xml:space="preserve">Notes: </w:t>
      </w:r>
      <w:r>
        <w:t>abstract_source=crossref</w:t>
      </w:r>
    </w:p>
    <w:p>
      <w:pPr>
        <w:spacing w:before="0" w:after="80" w:lineRule="auto" w:line="276"/>
      </w:pPr>
      <w:r>
        <w:rPr>
          <w:b/>
        </w:rPr>
        <w:t xml:space="preserve">摘要（ZH）: </w:t>
      </w:r>
      <w:r>
        <w:t>电磁热点在等离子体纳米结构中的空间限制（&lt;15纳米）从根本上限制了它们在不同材料和生物系统中探测大型异质目标的实用性。我们引入了一种级联光子-等离子体策略，通过集成形成亚衍射纳米射流的二氧化硅微球，将远场照明与近场增强连接在一起，这些微球位于镀金的二氧化硅纳米阵列上。这种双层结构产生了横向超过110纳米的空间扩展电磁“热点”，并维持了分析增强因子&gt;10^6，这是传统表面增强拉曼散射（SERS）平台无法达到的范围。计算机模拟和实验显示，与传统纳米阵列相比，信号强度和空间范围增强了约20倍。作为概念验证，我们展示了超灵敏、无标记的结直肠癌患者来源的80至200纳米直径的细胞外囊泡的分类，准确率达到99.8%，超过了传统SERS（&lt;87.5%）。更广泛地说，这种级联激发策略将重点从纳米间隙优化转向通过混合光聚焦结构工程空间扩展场，推动光谱学、生物传感、纳米光子学和诊断学的进步。</w:t>
      </w:r>
    </w:p>
    <w:p>
      <w:pPr>
        <w:spacing w:before="0" w:after="200" w:lineRule="auto" w:line="276"/>
      </w:pPr>
      <w:r>
        <w:rPr>
          <w:b/>
        </w:rPr>
        <w:t xml:space="preserve">Abstract (EN): </w:t>
      </w:r>
      <w:r>
        <w:t>The spatial confinement of electromagnetic hotspots (&amp;lt;15 nanometers) in plasmonic nanostructures fundamentally restricts their utility for probing large, heterogeneous targets across diverse material and biological systems. We introduce a cascaded photonic-plasmonic strategy that bridges far-field illumination and near-field enhancement by integrating dielectric silicon dioxide microspheres that form subdiffraction nanojets on a plasmonic, gold-coated silicon dioxide nanoarray. This dual-layer architecture generates spatially extended electromagnetic “hotspaces” exceeding 110 nanometers in lateral extent and sustaining analytical enhancement factors &amp;gt; 10</w:t>
      </w:r>
      <w:r>
        <w:rPr>
          <w:vertAlign w:val="subscript"/>
        </w:rPr>
        <w:t>6</w:t>
      </w:r>
      <w:r>
        <w:t>, a regime inaccessible to conventional surface-enhanced Raman scattering (SERS) platforms. In silico simulations and experiments reveal ~20-fold enhancements in signal intensity and spatial reach compared to conventional nanoarrays. As a proof of concept, we demonstrate ultrasensitive, label-free classification of extracellular vesicles, 80 to 200 nm in diameter, derived from patients with colorectal cancer with 99.8% accuracy, surpassing traditional SERS (&amp;lt;87.5%). More broadly, this cascaded excitation strategy shifts the emphasis from nanogap optimization to the engineering of spatially extended fields through hybrid light-focusing architectures, enabling advances in spectroscopy, biosensing, nanophotonics, and diagnostics.</w:t>
      </w:r>
    </w:p>
    <w:p>
      <w:pPr>
        <w:spacing w:before="120" w:after="120"/>
      </w:pPr>
      <w:r>
        <w:rPr>
          <w:sz w:val="18"/>
        </w:rPr>
        <w:t>——————————————————————————————————————————————————————————————————————</w:t>
      </w:r>
    </w:p>
    <w:p>
      <w:pPr>
        <w:spacing w:before="160" w:after="40" w:line="240" w:lineRule="auto"/>
      </w:pPr>
      <w:r>
        <w:rPr>
          <w:b/>
        </w:rPr>
        <w:t xml:space="preserve">[321] </w:t>
      </w:r>
      <w:hyperlink r:id="rId811">
        <w:r>
          <w:rPr>
            <w:color w:val="1155CC"/>
            <w:u w:val="single"/>
          </w:rPr>
          <w:t>具有无序高Q钙钛矿腔的结构化激光</w:t>
        </w:r>
      </w:hyperlink>
    </w:p>
    <w:p>
      <w:pPr>
        <w:spacing w:before="0" w:after="80"/>
      </w:pPr>
      <w:r>
        <w:rPr>
          <w:i/>
          <w:sz w:val="20"/>
        </w:rPr>
        <w:t>EN: Structured lasing with disordered high-Q perovskite cavities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12">
        <w:r>
          <w:rPr>
            <w:color w:val="1155CC"/>
            <w:u w:val="single"/>
          </w:rPr>
          <w:t>10.1126/sciadv.aef2717</w:t>
        </w:r>
      </w:hyperlink>
    </w:p>
    <w:p>
      <w:pPr>
        <w:spacing w:before="0" w:after="120"/>
      </w:pPr>
      <w:r>
        <w:rPr>
          <w:b/>
        </w:rPr>
        <w:t xml:space="preserve">Notes: </w:t>
      </w:r>
      <w:r>
        <w:t>abstract_source=crossref</w:t>
      </w:r>
    </w:p>
    <w:p>
      <w:pPr>
        <w:spacing w:before="0" w:after="80" w:lineRule="auto" w:line="276"/>
      </w:pPr>
      <w:r>
        <w:rPr>
          <w:b/>
        </w:rPr>
        <w:t xml:space="preserve">摘要（ZH）: </w:t>
      </w:r>
      <w:r>
        <w:t>具有低阈值和按需结构化光输出的纳米级激光器对于紧凑集成光子技术至关重要。在高品质因数（Q）谐振腔中引入工程化无序成为一种有前途的途径，但无序与相位的对应不准确以及有限的对称性破坏机制限制了输出激光中可实现的光学结构。在此，通过揭示平移无序和旋转无序作为两种解耦的对称性破坏机制，我们提出了无序-无序（DoD）元腔，允许定制本征模以进行多通道激光发射控制，同时保持高Q谐振。在实验中，我们将钙钛矿结构化为完全单片的DoD元腔，以最大化模增益重叠，并展示了具有低阈值（~7微焦耳每平方厘米）、高Q（~10^3）和多样化结构化激光阵列的结构化激光，包括相位/偏振涡旋、一维和二维艾里光束，以及厄米特-和拉盖尔-高斯光束。我们的研究结果强调了DoD元腔作为紧凑单片高Q光子器件的独特和广泛途径，开启了结构化激光器、非线性光学和集成量子光子学的机会。</w:t>
      </w:r>
    </w:p>
    <w:p>
      <w:pPr>
        <w:spacing w:before="0" w:after="200" w:lineRule="auto" w:line="276"/>
      </w:pPr>
      <w:r>
        <w:rPr>
          <w:b/>
        </w:rPr>
        <w:t xml:space="preserve">Abstract (EN): </w:t>
      </w:r>
      <w:r>
        <w:t>Nanoscale lasers with low thresholds and on-demand structured light output are essential for compact integrated photonic technology. Introducing engineered disorder into high quality–factor (</w:t>
      </w:r>
      <w:r>
        <w:t xml:space="preserve"> </w:t>
      </w:r>
      <w:r>
        <w:t>Q</w:t>
      </w:r>
      <w:r>
        <w:t xml:space="preserve"> </w:t>
      </w:r>
      <w:r>
        <w:t>) resonant cavities emerges as a promising route, yet the inaccurate disorder-to-phase correspondence and the limited symmetry breaking mechanisms restrict the achievable optical structures in output lasers. Here, by revealing translational disorder and rotational disorder as two decoupled symmetry-breaking mechanisms, we propose disorder-on-disorder (DoD) meta-cavities that allow for customizing eigenmodes for multichannel lasing emission control while preserving high-</w:t>
      </w:r>
      <w:r>
        <w:t>Q</w:t>
      </w:r>
      <w:r>
        <w:t xml:space="preserve"> </w:t>
      </w:r>
      <w:r>
        <w:t>resonances. In the experiment, we structure perovskite into fully monolithic DoD meta-cavities to maximize mode-gain overlap and demonstrate structured lasing with low threshold (~7 microjoules per square centimeter), high</w:t>
      </w:r>
      <w:r>
        <w:t xml:space="preserve"> </w:t>
      </w:r>
      <w:r>
        <w:t>Q</w:t>
      </w:r>
      <w:r>
        <w:t xml:space="preserve"> </w:t>
      </w:r>
      <w:r>
        <w:t>(~10</w:t>
      </w:r>
      <w:r>
        <w:rPr>
          <w:vertAlign w:val="subscript"/>
        </w:rPr>
        <w:t>3</w:t>
      </w:r>
      <w:r>
        <w:t>), and diverse structured laser arrays including phase/polarization vortices, one-dimensional and two-dimensional Airy beams, and Hermite- and Laguerre-Gaussian beams. Our findings highlight DoD meta-cavity as a distinct and generalized route to compact monolithic high-</w:t>
      </w:r>
      <w:r>
        <w:t>Q</w:t>
      </w:r>
      <w:r>
        <w:t xml:space="preserve"> </w:t>
      </w:r>
      <w:r>
        <w:t>photonic devices, opening opportunities in structured lasers, nonlinear optics, and integrated quantum photonics.</w:t>
      </w:r>
    </w:p>
    <w:p>
      <w:pPr>
        <w:spacing w:before="120" w:after="120"/>
      </w:pPr>
      <w:r>
        <w:rPr>
          <w:sz w:val="18"/>
        </w:rPr>
        <w:t>——————————————————————————————————————————————————————————————————————</w:t>
      </w:r>
    </w:p>
    <w:p>
      <w:pPr>
        <w:spacing w:before="160" w:after="40" w:line="240" w:lineRule="auto"/>
      </w:pPr>
      <w:r>
        <w:rPr>
          <w:b/>
        </w:rPr>
        <w:t xml:space="preserve">[322] </w:t>
      </w:r>
      <w:hyperlink r:id="rId813">
        <w:r>
          <w:rPr>
            <w:color w:val="1155CC"/>
            <w:u w:val="single"/>
          </w:rPr>
          <w:t>PPT1选择性去棕榈酰化GAP43以调节神经元兴奋性和认知功能</w:t>
        </w:r>
      </w:hyperlink>
    </w:p>
    <w:p>
      <w:pPr>
        <w:spacing w:before="0" w:after="80"/>
      </w:pPr>
      <w:r>
        <w:rPr>
          <w:i/>
          <w:sz w:val="20"/>
        </w:rPr>
        <w:t>EN: PPT1 selectively depalmitoylates GAP43 to regulate neuronal excitability and cognitive function</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14">
        <w:r>
          <w:rPr>
            <w:color w:val="1155CC"/>
            <w:u w:val="single"/>
          </w:rPr>
          <w:t>10.1126/sciadv.aeb4675</w:t>
        </w:r>
      </w:hyperlink>
    </w:p>
    <w:p>
      <w:pPr>
        <w:spacing w:before="0" w:after="120"/>
      </w:pPr>
      <w:r>
        <w:rPr>
          <w:b/>
        </w:rPr>
        <w:t xml:space="preserve">Notes: </w:t>
      </w:r>
      <w:r>
        <w:t>abstract_source=crossref</w:t>
      </w:r>
    </w:p>
    <w:p>
      <w:pPr>
        <w:spacing w:before="0" w:after="80" w:lineRule="auto" w:line="276"/>
      </w:pPr>
      <w:r>
        <w:rPr>
          <w:b/>
        </w:rPr>
        <w:t xml:space="preserve">摘要（ZH）: </w:t>
      </w:r>
      <w:r>
        <w:t>棕榈酰化是一种可逆的脂质修饰，调节神经元中的蛋白质定位和信号传导。生长相关蛋白43（GAP43）需要棕榈酰化以进行轴突发育和突触可塑性；然而，其去棕榈酰化酶及其在神经回路中的调节仍然未知。我们研究了棕榈酰蛋白硫酯酶1（PPT1）是否是GAP43的主要去棕榈酰化酶，并检查了PPT1-GAP43信号中断如何影响神经元形态和回路功能。通过生化测定、结构建模、CRISPR-Cas9生成的GAP43点突变小鼠（GAP43-PM）、PPT1敲除小鼠（PPT1-KO）、电生理学和行为学，我们证明了PPT1与GAP43在Cys3和Cys4处相互作用以介导其去棕榈酰化，这种相互作用的破坏导致GAP43过度棕榈酰化，驱动过度的树突分支和异常的生长锥扩展，增强的谷氨酸能传递和海马网络过度兴奋，导致认知缺陷而没有溶酶体储存病理。外源性PPT1减少了这些形态/突触异常。我们的研究结果确立了PPT1-GAP43去棕榈酰化途径对于神经回路稳态的重要性；其功能障碍导致神经发育障碍，识别出棕榈酰化相关神经发育障碍的潜在治疗靶点。</w:t>
      </w:r>
    </w:p>
    <w:p>
      <w:pPr>
        <w:spacing w:before="0" w:after="200" w:lineRule="auto" w:line="276"/>
      </w:pPr>
      <w:r>
        <w:rPr>
          <w:b/>
        </w:rPr>
        <w:t xml:space="preserve">Abstract (EN): </w:t>
      </w:r>
      <w:r>
        <w:t>Palmitoylation is a reversible lipid modification, regulating protein localization and signaling in neurons. Growth-associated protein 43 (GAP43) requires palmitoylation for axonal development and synaptic plasticity; however, its depalmitoylase and regulation in neural circuits remain unknown. We investigated whether palmitoyl-protein thioesterase 1 (PPT1) is the principal depalmitoylase for GAP43 and examined how disrupted PPT1-GAP43 signaling affects neuronal morphology and circuit function. Using biochemical assays, structural modeling, CRISPR-Cas9–generated GAP43 point mutation mice (GAP43-PM), PPT1-knockout mice (PPT1-KO), electrophysiology, and behavior, we demonstrated that PPT1 interacts with GAP43 at Cys</w:t>
      </w:r>
      <w:r>
        <w:rPr>
          <w:vertAlign w:val="subscript"/>
        </w:rPr>
        <w:t>3</w:t>
      </w:r>
      <w:r>
        <w:t>and Cys</w:t>
      </w:r>
      <w:r>
        <w:rPr>
          <w:vertAlign w:val="subscript"/>
        </w:rPr>
        <w:t>4</w:t>
      </w:r>
      <w:r>
        <w:t>to mediate its depalmitoylation, disruption of this interaction causes GAP43 hyperpalmitoylation that drove excessive dendritic arborization and aberrant growth cone expansion, enhanced glutamatergic transmission, and hippocampal network hyperexcitability, resulting in cognitive deficits without lysosomal storage pathology. Exogenous PPT1 reduced these morphological/synaptic abnormalities. Our findings establish the PPT1-GAP43 depalmitoylation pathway as essential for neuronal circuit homeostasis; its dysfunction contributes to neurodevelopmental disorders, identifying a potential therapeutic target for palmitoylation-related neurodevelopmental disorders.</w:t>
      </w:r>
    </w:p>
    <w:p>
      <w:pPr>
        <w:spacing w:before="120" w:after="120"/>
      </w:pPr>
      <w:r>
        <w:rPr>
          <w:sz w:val="18"/>
        </w:rPr>
        <w:t>——————————————————————————————————————————————————————————————————————</w:t>
      </w:r>
    </w:p>
    <w:p>
      <w:pPr>
        <w:spacing w:before="160" w:after="40" w:line="240" w:lineRule="auto"/>
      </w:pPr>
      <w:r>
        <w:rPr>
          <w:b/>
        </w:rPr>
        <w:t xml:space="preserve">[323] </w:t>
      </w:r>
      <w:hyperlink r:id="rId815">
        <w:r>
          <w:rPr>
            <w:color w:val="1155CC"/>
            <w:u w:val="single"/>
          </w:rPr>
          <w:t>动态晶格无序覆盖能量学以实现2D混合钙钛矿中无障碍界面电荷转移</w:t>
        </w:r>
      </w:hyperlink>
    </w:p>
    <w:p>
      <w:pPr>
        <w:spacing w:before="0" w:after="80"/>
      </w:pPr>
      <w:r>
        <w:rPr>
          <w:i/>
          <w:sz w:val="20"/>
        </w:rPr>
        <w:t>EN: Dynamic lattice disorder overrides energetics for barrierless interfacial charge transfer in 2D hybrid perovskites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16">
        <w:r>
          <w:rPr>
            <w:color w:val="1155CC"/>
            <w:u w:val="single"/>
          </w:rPr>
          <w:t>10.1126/sciadv.aeb8615</w:t>
        </w:r>
      </w:hyperlink>
    </w:p>
    <w:p>
      <w:pPr>
        <w:spacing w:before="0" w:after="120"/>
      </w:pPr>
      <w:r>
        <w:rPr>
          <w:b/>
        </w:rPr>
        <w:t xml:space="preserve">Notes: </w:t>
      </w:r>
      <w:r>
        <w:t>abstract_source=crossref</w:t>
      </w:r>
    </w:p>
    <w:p>
      <w:pPr>
        <w:spacing w:before="0" w:after="80" w:lineRule="auto" w:line="276"/>
      </w:pPr>
      <w:r>
        <w:rPr>
          <w:b/>
        </w:rPr>
        <w:t xml:space="preserve">摘要（ZH）: </w:t>
      </w:r>
      <w:r>
        <w:t>二维 (2D) 混合钙钛矿在电荷转移 (CT) 应用中显示出潜力，但其固有的动态晶格无序如何重新定义 CT 动力学仍未解决。使用基于四噻吩的 2D 钙钛矿 4Tm</w:t>
      </w:r>
      <w:r>
        <w:rPr>
          <w:vertAlign w:val="subscript"/>
        </w:rPr>
        <w:t>2</w:t>
      </w:r>
      <w:r>
        <w:t>MA</w:t>
      </w:r>
      <w:r>
        <w:t xml:space="preserve"> </w:t>
      </w:r>
      <w:r>
        <w:t>n-1</w:t>
      </w:r>
      <w:r>
        <w:t xml:space="preserve"> </w:t>
      </w:r>
      <w:r>
        <w:t>Pb</w:t>
      </w:r>
      <w:r>
        <w:t xml:space="preserve"> </w:t>
      </w:r>
      <w:r>
        <w:t>n</w:t>
      </w:r>
      <w:r>
        <w:t xml:space="preserve"> </w:t>
      </w:r>
      <w:r>
        <w:t>I</w:t>
      </w:r>
      <w:r>
        <w:t xml:space="preserve"> </w:t>
      </w:r>
      <w:r>
        <w:t>3n+1</w:t>
      </w:r>
      <w:r>
        <w:t xml:space="preserve"> </w:t>
      </w:r>
      <w:r>
        <w:t>(</w:t>
      </w:r>
      <w:r>
        <w:t xml:space="preserve"> </w:t>
      </w:r>
      <w:r>
        <w:t>n</w:t>
      </w:r>
      <w:r>
        <w:t xml:space="preserve"> </w:t>
      </w:r>
      <w:r>
        <w:t>= 1 到 4)，我们揭示了一般的两步 CT 过程：超快的空穴转移，随后是从无机层到有机配体形成三重态的较慢电子转移。令人惊讶的是，尽管驱动力范围广泛（0.16 到 0.75 电子伏特），CT 速率随着无机层数</w:t>
      </w:r>
      <w:r>
        <w:t xml:space="preserve"> </w:t>
      </w:r>
      <w:r>
        <w:t>n</w:t>
      </w:r>
      <w:r>
        <w:t xml:space="preserve"> </w:t>
      </w:r>
      <w:r>
        <w:t>的减少而单调增加，表现出无 Marcus 反转区行为和可忽略的温度依赖性（80 到 295 开尔文）。这种异常的无障碍 CT 行为无法用经典的 Marcus CT 或量子隧穿模型描述。我们提出了一种动态晶格 CT 模型，其中晶格波动使得能够采样广泛的瞬态晶格配置，允许 CT 始终通过无障碍路径进行。该模型通过从头计算验证，确立了动态晶格无序作为非谐材料中高效 CT 的基本设计原则，超越了传统的能量约束。</w:t>
      </w:r>
    </w:p>
    <w:p>
      <w:pPr>
        <w:spacing w:before="0" w:after="200" w:lineRule="auto" w:line="276"/>
      </w:pPr>
      <w:r>
        <w:rPr>
          <w:b/>
        </w:rPr>
        <w:t xml:space="preserve">Abstract (EN): </w:t>
      </w:r>
      <w:r>
        <w:t>Two-dimensional (2D) hybrid perovskites show promise in charge transfer (CT) applications, yet how their inherent dynamic lattice disorder redefines the CT dynamics remains unresolved. Using tetrathiophene-based 2D perovskites 4Tm</w:t>
      </w:r>
      <w:r>
        <w:rPr>
          <w:vertAlign w:val="subscript"/>
        </w:rPr>
        <w:t>2</w:t>
      </w:r>
      <w:r>
        <w:t>MA</w:t>
      </w:r>
      <w:r>
        <w:t xml:space="preserve"> </w:t>
      </w:r>
      <w:r>
        <w:t>n-1</w:t>
      </w:r>
      <w:r>
        <w:t xml:space="preserve"> </w:t>
      </w:r>
      <w:r>
        <w:t>Pb</w:t>
      </w:r>
      <w:r>
        <w:t xml:space="preserve"> </w:t>
      </w:r>
      <w:r>
        <w:t>n</w:t>
      </w:r>
      <w:r>
        <w:t xml:space="preserve"> </w:t>
      </w:r>
      <w:r>
        <w:t>I</w:t>
      </w:r>
      <w:r>
        <w:t xml:space="preserve"> </w:t>
      </w:r>
      <w:r>
        <w:t>3n+1</w:t>
      </w:r>
      <w:r>
        <w:t xml:space="preserve"> </w:t>
      </w:r>
      <w:r>
        <w:t>(</w:t>
      </w:r>
      <w:r>
        <w:t xml:space="preserve"> </w:t>
      </w:r>
      <w:r>
        <w:t>n</w:t>
      </w:r>
      <w:r>
        <w:t xml:space="preserve"> </w:t>
      </w:r>
      <w:r>
        <w:t>= 1 to 4), we reveal a general two-step CT process: ultrafast hole transfer followed by slower electron transfer from inorganic layer to form triplets in organic ligands. Strikingly, despite a broad driving force range (0.16 to 0.75 electron volts), CT rates increase monotonically with decreasing inorganic layer number</w:t>
      </w:r>
      <w:r>
        <w:t xml:space="preserve"> </w:t>
      </w:r>
      <w:r>
        <w:t>n</w:t>
      </w:r>
      <w:r>
        <w:t xml:space="preserve"> </w:t>
      </w:r>
      <w:r>
        <w:t>, exhibiting no Marcus inverted region behavior and negligible temperature dependence (80 to 295 kelvin). Such anomalous barrierless CT behavior cannot be described by classical Marcus CT or quantum tunneling models. We propose a dynamic lattice CT model where lattice fluctuation enables sampling a wide spectrum of transient lattice configurations, allowing CT to always proceed via barrierless pathways. This model, validated by ab initio calculations, establishes dynamic lattice disorder as a fundamental design principle for efficient CT in anharmonic materials, transcending conventional energetic constraints.</w:t>
      </w:r>
    </w:p>
    <w:p>
      <w:pPr>
        <w:spacing w:before="120" w:after="120"/>
      </w:pPr>
      <w:r>
        <w:rPr>
          <w:sz w:val="18"/>
        </w:rPr>
        <w:t>——————————————————————————————————————————————————————————————————————</w:t>
      </w:r>
    </w:p>
    <w:p>
      <w:pPr>
        <w:spacing w:before="160" w:after="40" w:line="240" w:lineRule="auto"/>
      </w:pPr>
      <w:r>
        <w:rPr>
          <w:b/>
        </w:rPr>
        <w:t xml:space="preserve">[324] </w:t>
      </w:r>
      <w:hyperlink r:id="rId817">
        <w:r>
          <w:rPr>
            <w:color w:val="1155CC"/>
            <w:u w:val="single"/>
          </w:rPr>
          <w:t>风静塑造草原水分利用效率，通过增强土壤水分保持</w:t>
        </w:r>
      </w:hyperlink>
    </w:p>
    <w:p>
      <w:pPr>
        <w:spacing w:before="0" w:after="80"/>
      </w:pPr>
      <w:r>
        <w:rPr>
          <w:i/>
          <w:sz w:val="20"/>
        </w:rPr>
        <w:t>EN: Wind stilling shapes grassland water use efficiency by enhancing soil moisture retention</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18">
        <w:r>
          <w:rPr>
            <w:color w:val="1155CC"/>
            <w:u w:val="single"/>
          </w:rPr>
          <w:t>10.1126/sciadv.aee4995</w:t>
        </w:r>
      </w:hyperlink>
    </w:p>
    <w:p>
      <w:pPr>
        <w:spacing w:before="0" w:after="120"/>
      </w:pPr>
      <w:r>
        <w:rPr>
          <w:b/>
        </w:rPr>
        <w:t xml:space="preserve">Notes: </w:t>
      </w:r>
      <w:r>
        <w:t>abstract_source=crossref</w:t>
      </w:r>
    </w:p>
    <w:p>
      <w:pPr>
        <w:spacing w:before="0" w:after="80" w:lineRule="auto" w:line="276"/>
      </w:pPr>
      <w:r>
        <w:rPr>
          <w:b/>
        </w:rPr>
        <w:t xml:space="preserve">摘要（ZH）: </w:t>
      </w:r>
      <w:r>
        <w:t>覆盖地球植被表面超过 40% 的草原对陆地碳和水循环具有重要调节作用。其生态系统水分利用效率 (WUE</w:t>
      </w:r>
      <w:r>
        <w:t xml:space="preserve"> </w:t>
      </w:r>
      <w:r>
        <w:t>eco</w:t>
      </w:r>
      <w:r>
        <w:t xml:space="preserve"> </w:t>
      </w:r>
      <w:r>
        <w:t>)，即碳吸收与水分损失的比率，决定了这些水资源有限的生态系统的抗旱能力。虽然全球陆地风速从 1960 年代到 2000 年代大幅下降，随后在接下来的十年中恢复，但其对草原 WUE</w:t>
      </w:r>
      <w:r>
        <w:t xml:space="preserve"> </w:t>
      </w:r>
      <w:r>
        <w:t>eco</w:t>
      </w:r>
      <w:r>
        <w:t xml:space="preserve"> </w:t>
      </w:r>
      <w:r>
        <w:t>的影响程度和机制仍然知之甚少。通过使用现场观测、卫星数据、地球系统模型和风操控实验，我们发现草原 WUE</w:t>
      </w:r>
      <w:r>
        <w:t xml:space="preserve"> </w:t>
      </w:r>
      <w:r>
        <w:t>eco</w:t>
      </w:r>
      <w:r>
        <w:t xml:space="preserve"> </w:t>
      </w:r>
      <w:r>
        <w:t>对风速具有一致的负敏感性。从机制上讲，风速下降减少了蒸发水分损失，改善了土壤湿度，并促进了气孔开放，从而增强了碳吸收。风速变化在历史和未来气候下占 WUE</w:t>
      </w:r>
      <w:r>
        <w:t xml:space="preserve"> </w:t>
      </w:r>
      <w:r>
        <w:t>eco</w:t>
      </w:r>
      <w:r>
        <w:t xml:space="preserve"> </w:t>
      </w:r>
      <w:r>
        <w:t>增加的 7.7% 到 25.7%，使风成为仅次于大气二氧化碳的第二重要气候驱动因素。由于地球系统模型低估了观测到的风速下降，未来 WUE</w:t>
      </w:r>
      <w:r>
        <w:t xml:space="preserve"> </w:t>
      </w:r>
      <w:r>
        <w:t>eco</w:t>
      </w:r>
      <w:r>
        <w:t xml:space="preserve"> </w:t>
      </w:r>
      <w:r>
        <w:t>增加和抗旱能力可能超过当前对全球草原的预测。</w:t>
      </w:r>
    </w:p>
    <w:p>
      <w:pPr>
        <w:spacing w:before="0" w:after="200" w:lineRule="auto" w:line="276"/>
      </w:pPr>
      <w:r>
        <w:rPr>
          <w:b/>
        </w:rPr>
        <w:t xml:space="preserve">Abstract (EN): </w:t>
      </w:r>
      <w:r>
        <w:t>Covering more than 40% of Earth’s vegetated surface, grasslands critically regulate terrestrial carbon and water cycles. Their ecosystem water use efficiency (WUE</w:t>
      </w:r>
      <w:r>
        <w:t xml:space="preserve"> </w:t>
      </w:r>
      <w:r>
        <w:t>eco</w:t>
      </w:r>
      <w:r>
        <w:t xml:space="preserve"> </w:t>
      </w:r>
      <w:r>
        <w:t>), the ratio of carbon uptake to water loss, governs drought resilience in these water-limited ecosystems. While global terrestrial wind speed declined substantially from the 1960s to 2000s followed by a recovery in the subsequent decade, the extent and mechanisms of its influence on grassland WUE</w:t>
      </w:r>
      <w:r>
        <w:t xml:space="preserve"> </w:t>
      </w:r>
      <w:r>
        <w:t>eco</w:t>
      </w:r>
      <w:r>
        <w:t xml:space="preserve"> </w:t>
      </w:r>
      <w:r>
        <w:t>remain poorly understood. Using site observations, satellite data, Earth system models, and wind manipulation experiments, we found a consistent negative sensitivity of grassland WUE</w:t>
      </w:r>
      <w:r>
        <w:t xml:space="preserve"> </w:t>
      </w:r>
      <w:r>
        <w:t>eco</w:t>
      </w:r>
      <w:r>
        <w:t xml:space="preserve"> </w:t>
      </w:r>
      <w:r>
        <w:t>to wind speed. Mechanistically, declining winds reduce evaporative water loss, improve soil moisture, and promote stomatal opening, thereby enhancing carbon uptake. Wind speed changes accounted for 7.7 to 25.7% of WUE</w:t>
      </w:r>
      <w:r>
        <w:t xml:space="preserve"> </w:t>
      </w:r>
      <w:r>
        <w:t>eco</w:t>
      </w:r>
      <w:r>
        <w:t xml:space="preserve"> </w:t>
      </w:r>
      <w:r>
        <w:t>increases under historical and future climates, making wind the second most important climatic driver after atmospheric carbon dioxide. Since Earth system models underestimate observed wind speed declines, future WUE</w:t>
      </w:r>
      <w:r>
        <w:t xml:space="preserve"> </w:t>
      </w:r>
      <w:r>
        <w:t>eco</w:t>
      </w:r>
      <w:r>
        <w:t xml:space="preserve"> </w:t>
      </w:r>
      <w:r>
        <w:t>increases and drought resilience may exceed current projections for global grassland.</w:t>
      </w:r>
    </w:p>
    <w:p>
      <w:pPr>
        <w:spacing w:before="120" w:after="120"/>
      </w:pPr>
      <w:r>
        <w:rPr>
          <w:sz w:val="18"/>
        </w:rPr>
        <w:t>——————————————————————————————————————————————————————————————————————</w:t>
      </w:r>
    </w:p>
    <w:p>
      <w:pPr>
        <w:spacing w:before="160" w:after="40" w:line="240" w:lineRule="auto"/>
      </w:pPr>
      <w:r>
        <w:rPr>
          <w:b/>
        </w:rPr>
        <w:t xml:space="preserve">[325] </w:t>
      </w:r>
      <w:hyperlink r:id="rId819">
        <w:r>
          <w:rPr>
            <w:color w:val="1155CC"/>
            <w:u w:val="single"/>
          </w:rPr>
          <w:t>协同抗氧化剂和基因补充用于高效视网膜色素变性治疗</w:t>
        </w:r>
      </w:hyperlink>
    </w:p>
    <w:p>
      <w:pPr>
        <w:spacing w:before="0" w:after="80"/>
      </w:pPr>
      <w:r>
        <w:rPr>
          <w:i/>
          <w:sz w:val="20"/>
        </w:rPr>
        <w:t>EN: Synergistic antioxidant and gene supplementation for high-efficacy retinitis pigmentosa therapy</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20">
        <w:r>
          <w:rPr>
            <w:color w:val="1155CC"/>
            <w:u w:val="single"/>
          </w:rPr>
          <w:t>10.1126/sciadv.aed0154</w:t>
        </w:r>
      </w:hyperlink>
    </w:p>
    <w:p>
      <w:pPr>
        <w:spacing w:before="0" w:after="120"/>
      </w:pPr>
      <w:r>
        <w:rPr>
          <w:b/>
        </w:rPr>
        <w:t xml:space="preserve">Notes: </w:t>
      </w:r>
      <w:r>
        <w:t>abstract_source=crossref</w:t>
      </w:r>
    </w:p>
    <w:p>
      <w:pPr>
        <w:spacing w:before="0" w:after="80" w:lineRule="auto" w:line="276"/>
      </w:pPr>
      <w:r>
        <w:rPr>
          <w:b/>
        </w:rPr>
        <w:t xml:space="preserve">摘要（ZH）: </w:t>
      </w:r>
      <w:r>
        <w:t>视网膜色素变性 (RP) 是遗传性失明的主要原因之一，但当前的基因补充策略因反应不一致而受到限制，超过 40% 的患者显示出不足的救助。此外，氧化应激构成了 RP 的一个决定性病理特征，并严重削弱了基因治疗的效果。始终如一地，对 Pde6b</w:t>
      </w:r>
      <w:r>
        <w:t xml:space="preserve"> </w:t>
      </w:r>
      <w:r>
        <w:t>rd10/rd10</w:t>
      </w:r>
      <w:r>
        <w:t xml:space="preserve"> </w:t>
      </w:r>
      <w:r>
        <w:t>(rd10) 视网膜的转录组和超微结构分析揭示了氧化应激相关通路和光感受器退化的早期和渐进性失调。为克服这一障碍，我们通过遗传密码扩展和点击化学工程化了一种腺相关病毒 (AAV) 载体，与催化性 G-四联体-血红素 DNAzyme (CoG4) 共价结合。该设计实现了 CoG4 和治疗性 Pde6b 的同步递送到光感受器中，其中 CoG4 直接清除过量的 ROS 并恢复线粒体稳态，从而为基因补充创造了有利的微环境。在 rd10 小鼠中，AAV-CoG4 治疗导致 Pde6b 的持续表达，光感受器形态的保存，电生理图显示的杆和锥功能的恢复，以及视觉行为的改善，优于 AAV 或 CoG4 单一疗法。我们的研究结果确立了氧化应激作为视网膜基因治疗的主要障碍，并展示了一种将微环境调节与基因校正相结合的双功能平台，提供了一种广泛适用的策略来治疗退行性视网膜疾病。</w:t>
      </w:r>
    </w:p>
    <w:p>
      <w:pPr>
        <w:spacing w:before="0" w:after="200" w:lineRule="auto" w:line="276"/>
      </w:pPr>
      <w:r>
        <w:rPr>
          <w:b/>
        </w:rPr>
        <w:t xml:space="preserve">Abstract (EN): </w:t>
      </w:r>
      <w:r>
        <w:t>Retinitis pigmentosa (RP) is a leading cause of inherited blindness, yet current gene supplementation strategies are limited by heterogeneous responses, with more than 40% of patients showing insufficient rescue. Moreover, oxidative stress constitutes a defining pathological feature of RP and critically impairs the efficacy of gene therapy. Consistently, transcriptomic and ultrastructural analyses of Pde6b</w:t>
      </w:r>
      <w:r>
        <w:t xml:space="preserve"> </w:t>
      </w:r>
      <w:r>
        <w:t>rd10/rd10</w:t>
      </w:r>
      <w:r>
        <w:t xml:space="preserve"> </w:t>
      </w:r>
      <w:r>
        <w:t>(rd10) retinas revealed early and progressive dysregulation of oxidative stress–related pathways and photoreceptor degeneration. To overcome this barrier, we engineered an adeno-associated virus (AAV) vector covalently conjugated with a catalytic G-quadruplex–hemin DNAzyme (CoG4) via genetic code expansion and click chemistry. This design enables synchronized delivery of CoG4 and therapeutic Pde6b into photoreceptors, where CoG4 directly scavenges excess ROS and restores mitochondrial homeostasis, thereby creating a favorable microenvironment for gene supplementation. In rd10 mice, AAV-CoG4 treatment resulted in sustained expression of Pde6b, preservation of photoreceptor morphology, restoration of rod and cone function as evidenced by electroretinogram, and improved visual behavior, outperforming AAV or CoG4 monotherapies. Our findings establish oxidative stress as a major barrier to retinal gene therapy and demonstrate a dual-function platform that couples microenvironment modulation with genetic correction, offering a broadly applicable strategy for treating degenerative retinal diseases.</w:t>
      </w:r>
    </w:p>
    <w:p>
      <w:pPr>
        <w:spacing w:before="120" w:after="120"/>
      </w:pPr>
      <w:r>
        <w:rPr>
          <w:sz w:val="18"/>
        </w:rPr>
        <w:t>——————————————————————————————————————————————————————————————————————</w:t>
      </w:r>
    </w:p>
    <w:p>
      <w:pPr>
        <w:spacing w:before="160" w:after="40" w:line="240" w:lineRule="auto"/>
      </w:pPr>
      <w:r>
        <w:rPr>
          <w:b/>
        </w:rPr>
        <w:t xml:space="preserve">[326] </w:t>
      </w:r>
      <w:hyperlink r:id="rId821">
        <w:r>
          <w:rPr>
            <w:color w:val="1155CC"/>
            <w:u w:val="single"/>
          </w:rPr>
          <w:t>无线、皮肤界面多模态传感系统用于连续心理生理监测——一种可穿戴测谎设备</w:t>
        </w:r>
      </w:hyperlink>
    </w:p>
    <w:p>
      <w:pPr>
        <w:spacing w:before="0" w:after="80"/>
      </w:pPr>
      <w:r>
        <w:rPr>
          <w:i/>
          <w:sz w:val="20"/>
        </w:rPr>
        <w:t>EN: Wireless, skin-interfaced multimodal sensing system for continuous psychophysiological monitoring—A wearable polygraph device</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22">
        <w:r>
          <w:rPr>
            <w:color w:val="1155CC"/>
            <w:u w:val="single"/>
          </w:rPr>
          <w:t>10.1126/sciadv.aed3162</w:t>
        </w:r>
      </w:hyperlink>
    </w:p>
    <w:p>
      <w:pPr>
        <w:spacing w:before="0" w:after="120"/>
      </w:pPr>
      <w:r>
        <w:rPr>
          <w:b/>
        </w:rPr>
        <w:t xml:space="preserve">Notes: </w:t>
      </w:r>
      <w:r>
        <w:t>abstract_source=crossref</w:t>
      </w:r>
    </w:p>
    <w:p>
      <w:pPr>
        <w:spacing w:before="0" w:after="80" w:lineRule="auto" w:line="276"/>
      </w:pPr>
      <w:r>
        <w:rPr>
          <w:b/>
        </w:rPr>
        <w:t xml:space="preserve">摘要（ZH）: </w:t>
      </w:r>
      <w:r>
        <w:t>准确、连续地监测心理生理状态对于理解各种医学背景下的压力和自主神经功能障碍至关重要。目前的方法如多导睡眠图和多导睡眠监测依赖于笨重的、有线传感器，限制了其在现实世界中的实用性，并给患者带来负担，尤其是婴儿等脆弱人群。在此，我们介绍了一种无线、皮肤界面的多模态传感系统，能够同时记录心脏、呼吸、电皮肤和热信号，并实现时间同步。利用紧凑和柔软的设计，该技术能够在受控、临床和自然环境中进行不显眼的监测。与金标准系统并行进行的验证研究表明，在测谎访谈、认知负荷任务和冷压测试中，该系统在量化压力反应方面具有高保真度。在儿科睡眠研究中，数据可靠地识别觉醒、低通气和呼吸暂停，同时揭示唐氏综合症婴儿的疾病特异性自主神经特征。在紧急模拟训练中的实际部署显示，多模态压力特征与表现呈负相关，强调了其在医学教育中的转化价值。所有研究中的机器学习分析证实，多模态特征在检测压力和临床事件方面的敏感性和特异性均优于单一信号方法。总体而言，这些发现确立了该技术作为下一代可穿戴平台的地位，连接工程创新和临床实践，提供</w:t>
      </w:r>
    </w:p>
    <w:p>
      <w:pPr>
        <w:spacing w:before="0" w:after="200" w:lineRule="auto" w:line="276"/>
      </w:pPr>
      <w:r>
        <w:rPr>
          <w:b/>
        </w:rPr>
        <w:t xml:space="preserve">Abstract (EN): </w:t>
      </w:r>
      <w:r>
        <w:t>Accurate, continuous monitoring of psychophysiological states is central to understanding stress and autonomic dysfunction across diverse medical contexts. Current approaches such as polygraphy and polysomnography rely on cumbersome, wired sensors that limit real-world utility and burden patients, particularly vulnerable populations such as infants. Here, we introduce a wireless, skin-interfaced multimodal sensing system capable of simultaneously recording cardiac, respiratory, electrodermal, and thermal signals in a time-synchronized manner. Leveraging compact and soft designs, the technology enables unobtrusive monitoring across controlled, clinical, and naturalistic settings. Validation studies performed in parallel with gold standard systems demonstrate high fidelity in quantifying stress responses during polygraph interviews, cognitive load tasks, and cold pressor tests. In pediatric sleep studies, the data reliably identify arousals, hypopnea, and apnea while revealing disease-specific autonomic signatures in infants with Down syndrome. Real-world deployment during emergency simulation training shows that multimodal stress signatures correlate inversely with performance, underscoring translational value in medical education. Machine learning analyses across all studies confirm that multimodal features outperform single-signal approaches in detecting stress and clinical events with high sensitivity and specificity. Collectively, these findings establish the technology as a next-generation wearable platform that bridges engineering innovation and clinical practice, offering mechanistic insight and diagnostic potential in stress medicine, sleep medicine, and beyond.</w:t>
      </w:r>
    </w:p>
    <w:p>
      <w:pPr>
        <w:spacing w:before="120" w:after="120"/>
      </w:pPr>
      <w:r>
        <w:rPr>
          <w:sz w:val="18"/>
        </w:rPr>
        <w:t>——————————————————————————————————————————————————————————————————————</w:t>
      </w:r>
    </w:p>
    <w:p>
      <w:pPr>
        <w:spacing w:before="160" w:after="40" w:line="240" w:lineRule="auto"/>
      </w:pPr>
      <w:r>
        <w:rPr>
          <w:b/>
        </w:rPr>
        <w:t xml:space="preserve">[327] </w:t>
      </w:r>
      <w:hyperlink r:id="rId823">
        <w:r>
          <w:rPr>
            <w:color w:val="1155CC"/>
            <w:u w:val="single"/>
          </w:rPr>
          <w:t>使用动态金属诱导能量转移光谱（dynaMIET）量化3D活细胞膜动态</w:t>
        </w:r>
      </w:hyperlink>
    </w:p>
    <w:p>
      <w:pPr>
        <w:spacing w:before="0" w:after="80"/>
      </w:pPr>
      <w:r>
        <w:rPr>
          <w:i/>
          <w:sz w:val="20"/>
        </w:rPr>
        <w:t>EN: Quantifying 3D live-cell membrane dynamics using dynamic metal-induced energy transfer spectroscopy (dynaMIET)</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24">
        <w:r>
          <w:rPr>
            <w:color w:val="1155CC"/>
            <w:u w:val="single"/>
          </w:rPr>
          <w:t>10.1126/sciadv.aed9613</w:t>
        </w:r>
      </w:hyperlink>
    </w:p>
    <w:p>
      <w:pPr>
        <w:spacing w:before="0" w:after="120"/>
      </w:pPr>
      <w:r>
        <w:rPr>
          <w:b/>
        </w:rPr>
        <w:t xml:space="preserve">Notes: </w:t>
      </w:r>
      <w:r>
        <w:t>abstract_source=crossref</w:t>
      </w:r>
    </w:p>
    <w:p>
      <w:pPr>
        <w:spacing w:before="0" w:after="80" w:lineRule="auto" w:line="276"/>
      </w:pPr>
      <w:r>
        <w:rPr>
          <w:b/>
        </w:rPr>
        <w:t xml:space="preserve">摘要（ZH）: </w:t>
      </w:r>
      <w:r>
        <w:t>细胞膜的动态行为是信号转导、细胞内运输和机械转导等基本生物过程的基础。然而，同时量化活细胞中横向分子扩散和垂直膜波动仍然具有挑战性。在此，我们提出动态金属诱导能量转移光谱（dynaMIET），它将金属诱导能量转移与荧光相关光谱结合，以纳米级轴向灵敏度和微秒级时间分辨率解析三维膜动态。dynaMIET能够在单次采集中同时测量横向扩散和垂直波动。我们使用模拟和模型膜验证了该方法，并展示了其在活细胞中的稳健性，将其应用于质膜、内质网和核膜。通过捕捉分子移动性和膜波动，dynaMIET提供了一种强大、非侵入性的工具，用于探测膜力学和组织。这一进展为研究健康和疾病中的膜相关现象开辟了新途径，包括癌细胞力学、蛋白质-膜相互作用和细胞器动态。</w:t>
      </w:r>
    </w:p>
    <w:p>
      <w:pPr>
        <w:spacing w:before="0" w:after="200" w:lineRule="auto" w:line="276"/>
      </w:pPr>
      <w:r>
        <w:rPr>
          <w:b/>
        </w:rPr>
        <w:t xml:space="preserve">Abstract (EN): </w:t>
      </w:r>
      <w:r>
        <w:t>The dynamic behavior of cellular membranes underpins essential biological processes, including signal transduction, intracellular trafficking, and mechanotransduction. However, simultaneously quantifying lateral molecular diffusion and vertical membrane fluctuations in live cells remains challenging. Here, we present dynamic metal-induced energy transfer spectroscopy (dynaMIET), which integrates metal-induced energy transfer with fluorescence correlation spectroscopy to resolve three-dimensional membrane dynamics with nanometer axial sensitivity and microsecond temporal resolution. dynaMIET enables concurrent measurement of lateral diffusion and vertical undulations within a single acquisition. We validate the method using simulations and model membranes and demonstrate its robustness in living cells, applying it to the plasma membrane, endoplasmic reticulum, and nuclear envelope. By capturing both molecular mobility and membrane fluctuations, dynaMIET provides a powerful, noninvasive tool for probing membrane mechanics and organization. This advance opens avenues for studying membrane-associated phenomena in health and disease, including cancer cell mechanics, protein-membrane interactions, and organelle dynamics.</w:t>
      </w:r>
    </w:p>
    <w:p>
      <w:pPr>
        <w:spacing w:before="120" w:after="120"/>
      </w:pPr>
      <w:r>
        <w:rPr>
          <w:sz w:val="18"/>
        </w:rPr>
        <w:t>——————————————————————————————————————————————————————————————————————</w:t>
      </w:r>
    </w:p>
    <w:p>
      <w:pPr>
        <w:spacing w:before="160" w:after="40" w:line="240" w:lineRule="auto"/>
      </w:pPr>
      <w:r>
        <w:rPr>
          <w:b/>
        </w:rPr>
        <w:t xml:space="preserve">[328] </w:t>
      </w:r>
      <w:hyperlink r:id="rId825">
        <w:r>
          <w:rPr>
            <w:color w:val="1155CC"/>
            <w:u w:val="single"/>
          </w:rPr>
          <w:t>水下机器人群体的自组织临界性</w:t>
        </w:r>
      </w:hyperlink>
    </w:p>
    <w:p>
      <w:pPr>
        <w:spacing w:before="0" w:after="80"/>
      </w:pPr>
      <w:r>
        <w:rPr>
          <w:i/>
          <w:sz w:val="20"/>
        </w:rPr>
        <w:t>EN: Self-organized criticality in aquatic robot swarm</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26">
        <w:r>
          <w:rPr>
            <w:color w:val="1155CC"/>
            <w:u w:val="single"/>
          </w:rPr>
          <w:t>10.1126/sciadv.aec6153</w:t>
        </w:r>
      </w:hyperlink>
    </w:p>
    <w:p>
      <w:pPr>
        <w:spacing w:before="0" w:after="120"/>
      </w:pPr>
      <w:r>
        <w:rPr>
          <w:b/>
        </w:rPr>
        <w:t xml:space="preserve">Notes: </w:t>
      </w:r>
      <w:r>
        <w:t>abstract_source=crossref</w:t>
      </w:r>
    </w:p>
    <w:p>
      <w:pPr>
        <w:spacing w:before="0" w:after="80" w:lineRule="auto" w:line="276"/>
      </w:pPr>
      <w:r>
        <w:rPr>
          <w:b/>
        </w:rPr>
        <w:t xml:space="preserve">摘要（ZH）: </w:t>
      </w:r>
      <w:r>
        <w:t>自组织临界性（SOC）提供了一个普遍框架，用于理解复杂系统中尺度不变行为的出现，但在可编程人工系统中的物理实现仍然具有挑战性。我们展示了一种水下机器人群体，其中个体通过光学吸引和流体动力排斥相互作用，展示了关键的SOC特征：大小和持续时间遵循幂律分布的雪崩，系统放大时标度指数的稳定性，以及向独立于系统参数的稳态自组织演化。在外部刺激的存在下，系统不仅保持临界性，还自发形成定向结构并表现出适应性行为，如集体推动，展示了从局部相互作用中产生的能力。这项工作提供了一个可控的实验平台，用于研究动态物理环境中的SOC，并为开发需要最少编程的自适应自主群体系统提供了见解。</w:t>
      </w:r>
    </w:p>
    <w:p>
      <w:pPr>
        <w:spacing w:before="0" w:after="200" w:lineRule="auto" w:line="276"/>
      </w:pPr>
      <w:r>
        <w:rPr>
          <w:b/>
        </w:rPr>
        <w:t xml:space="preserve">Abstract (EN): </w:t>
      </w:r>
      <w:r>
        <w:t>Self-organized criticality (SOC) provides a universal framework for understanding the emergence of scale-invariant behaviors in complex systems, yet its physical realization in programmable artificial systems remains challenging. We present an aquatic robot swarm, in which individuals interact via optical attraction and hydrodynamic repulsion, demonstrating key SOC features: avalanches with sizes and durations following power-law distributions, stability of scaling exponents under system upscaling, and self-organized evolution toward a steady state independent of system parameters. In the presence of external stimuli, the system not only maintains criticality but also spontaneously forms directed structures and exhibits adaptive behaviors such as collective pushing, showcasing emergent capabilities arising from local interactions. This work provides a controllable experimental platform for studying SOC in dynamic physical environments and provides insights for developing adaptive autonomous swarm systems that require minimal programming.</w:t>
      </w:r>
    </w:p>
    <w:p>
      <w:pPr>
        <w:spacing w:before="120" w:after="120"/>
      </w:pPr>
      <w:r>
        <w:rPr>
          <w:sz w:val="18"/>
        </w:rPr>
        <w:t>——————————————————————————————————————————————————————————————————————</w:t>
      </w:r>
    </w:p>
    <w:p>
      <w:pPr>
        <w:spacing w:before="160" w:after="40" w:line="240" w:lineRule="auto"/>
      </w:pPr>
      <w:r>
        <w:rPr>
          <w:b/>
        </w:rPr>
        <w:t xml:space="preserve">[329] </w:t>
      </w:r>
      <w:hyperlink r:id="rId827">
        <w:r>
          <w:rPr>
            <w:color w:val="1155CC"/>
            <w:u w:val="single"/>
          </w:rPr>
          <w:t>轴向时间映射：揭示CO2加氢中长期催化剂失活机制的诊断方法</w:t>
        </w:r>
      </w:hyperlink>
    </w:p>
    <w:p>
      <w:pPr>
        <w:spacing w:before="0" w:after="80"/>
      </w:pPr>
      <w:r>
        <w:rPr>
          <w:i/>
          <w:sz w:val="20"/>
        </w:rPr>
        <w:t>EN: Axial-time mapping: A diagnostic method to reveal concealed long-term catalyst deactivation mechanism in CO2 hydrogenation</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28">
        <w:r>
          <w:rPr>
            <w:color w:val="1155CC"/>
            <w:u w:val="single"/>
          </w:rPr>
          <w:t>10.1126/sciadv.aec8813</w:t>
        </w:r>
      </w:hyperlink>
    </w:p>
    <w:p>
      <w:pPr>
        <w:spacing w:before="0" w:after="120"/>
      </w:pPr>
      <w:r>
        <w:rPr>
          <w:b/>
        </w:rPr>
        <w:t xml:space="preserve">Notes: </w:t>
      </w:r>
      <w:r>
        <w:t>abstract_source=crossref</w:t>
      </w:r>
    </w:p>
    <w:p>
      <w:pPr>
        <w:spacing w:before="0" w:after="80" w:lineRule="auto" w:line="276"/>
      </w:pPr>
      <w:r>
        <w:rPr>
          <w:b/>
        </w:rPr>
        <w:t xml:space="preserve">摘要（ZH）: </w:t>
      </w:r>
      <w:r>
        <w:t>一种具有双时间轴的轴向时间映射（ATM）——催化剂-反应物接触时间（tc）和流动时间（TOS）——被开发出来，以阐明铁催化剂在CO2加氢中的长期失活机制。将tc和TOS视为空间分布变量，离体数据集重建轴向相位梯度和性能变化。在反应器入口处短tc促进在富CO环境中碳化为χ-Fe5C2和Fe7C3，而在下游较长的tc——H2O积累的地方——则有利于重新氧化为Fe3O4。随着时间的推移，残留的Fe3O4进一步碳化，丰富了碳化物相，抑制了CO2活化，使未转化的CO2绕过上层床，从而减少了有效的tc。这导致CO生成区的下游迁移和空间分离</w:t>
      </w:r>
    </w:p>
    <w:p>
      <w:pPr>
        <w:spacing w:before="0" w:after="200" w:lineRule="auto" w:line="276"/>
      </w:pPr>
      <w:r>
        <w:rPr>
          <w:b/>
        </w:rPr>
        <w:t xml:space="preserve">Abstract (EN): </w:t>
      </w:r>
      <w:r>
        <w:t>An axial-time mapping (ATM) with dual time axes—catalyst–reactant contact time (</w:t>
      </w:r>
      <w:r>
        <w:t xml:space="preserve"> </w:t>
      </w:r>
      <w:r>
        <w:t>t</w:t>
      </w:r>
      <w:r>
        <w:t xml:space="preserve"> </w:t>
      </w:r>
      <w:r>
        <w:t>c</w:t>
      </w:r>
      <w:r>
        <w:t xml:space="preserve"> </w:t>
      </w:r>
      <w:r>
        <w:t>) and time on stream (TOS)—is developed to clarify long-term deactivation mechanisms of iron catalysts in CO</w:t>
      </w:r>
      <w:r>
        <w:rPr>
          <w:vertAlign w:val="subscript"/>
        </w:rPr>
        <w:t>2</w:t>
      </w:r>
      <w:r>
        <w:t>hydrogenation. Treating</w:t>
      </w:r>
      <w:r>
        <w:t xml:space="preserve"> </w:t>
      </w:r>
      <w:r>
        <w:t>t</w:t>
      </w:r>
      <w:r>
        <w:t xml:space="preserve"> </w:t>
      </w:r>
      <w:r>
        <w:t>c</w:t>
      </w:r>
      <w:r>
        <w:t xml:space="preserve"> </w:t>
      </w:r>
      <w:r>
        <w:t>and TOS as spatially distributed variables, ex situ datasets reconstruct axial phase gradients and performance shifts. Short</w:t>
      </w:r>
      <w:r>
        <w:t xml:space="preserve"> </w:t>
      </w:r>
      <w:r>
        <w:t>t</w:t>
      </w:r>
      <w:r>
        <w:t xml:space="preserve"> </w:t>
      </w:r>
      <w:r>
        <w:t>c</w:t>
      </w:r>
      <w:r>
        <w:t xml:space="preserve"> </w:t>
      </w:r>
      <w:r>
        <w:t>at the reactor inlet promotes carburization to χ-Fe</w:t>
      </w:r>
      <w:r>
        <w:rPr>
          <w:vertAlign w:val="subscript"/>
        </w:rPr>
        <w:t>5</w:t>
      </w:r>
      <w:r>
        <w:t>C</w:t>
      </w:r>
      <w:r>
        <w:rPr>
          <w:vertAlign w:val="subscript"/>
        </w:rPr>
        <w:t>2</w:t>
      </w:r>
      <w:r>
        <w:t>and Fe</w:t>
      </w:r>
      <w:r>
        <w:rPr>
          <w:vertAlign w:val="subscript"/>
        </w:rPr>
        <w:t>7</w:t>
      </w:r>
      <w:r>
        <w:t>C</w:t>
      </w:r>
      <w:r>
        <w:rPr>
          <w:vertAlign w:val="subscript"/>
        </w:rPr>
        <w:t>3</w:t>
      </w:r>
      <w:r>
        <w:t>in a CO-rich environment, whereas longer</w:t>
      </w:r>
      <w:r>
        <w:t xml:space="preserve"> </w:t>
      </w:r>
      <w:r>
        <w:t>t</w:t>
      </w:r>
      <w:r>
        <w:t xml:space="preserve"> </w:t>
      </w:r>
      <w:r>
        <w:t>c</w:t>
      </w:r>
      <w:r>
        <w:t xml:space="preserve"> </w:t>
      </w:r>
      <w:r>
        <w:t>downstream—where H</w:t>
      </w:r>
      <w:r>
        <w:rPr>
          <w:vertAlign w:val="subscript"/>
        </w:rPr>
        <w:t>2</w:t>
      </w:r>
      <w:r>
        <w:t>O accumulates—favors reoxidation to Fe</w:t>
      </w:r>
      <w:r>
        <w:rPr>
          <w:vertAlign w:val="subscript"/>
        </w:rPr>
        <w:t>3</w:t>
      </w:r>
      <w:r>
        <w:t>O</w:t>
      </w:r>
      <w:r>
        <w:rPr>
          <w:vertAlign w:val="subscript"/>
        </w:rPr>
        <w:t>4</w:t>
      </w:r>
      <w:r>
        <w:t>. Over time, residual Fe</w:t>
      </w:r>
      <w:r>
        <w:rPr>
          <w:vertAlign w:val="subscript"/>
        </w:rPr>
        <w:t>3</w:t>
      </w:r>
      <w:r>
        <w:t>O</w:t>
      </w:r>
      <w:r>
        <w:rPr>
          <w:vertAlign w:val="subscript"/>
        </w:rPr>
        <w:t>4</w:t>
      </w:r>
      <w:r>
        <w:t>is further carburized, enriching carbide phases, suppressing CO</w:t>
      </w:r>
      <w:r>
        <w:rPr>
          <w:vertAlign w:val="subscript"/>
        </w:rPr>
        <w:t>2</w:t>
      </w:r>
      <w:r>
        <w:t>activation, and enabling unconverted CO</w:t>
      </w:r>
      <w:r>
        <w:rPr>
          <w:vertAlign w:val="subscript"/>
        </w:rPr>
        <w:t>2</w:t>
      </w:r>
      <w:r>
        <w:t>to bypass the upper bed, thereby reducing the effective</w:t>
      </w:r>
      <w:r>
        <w:t xml:space="preserve"> </w:t>
      </w:r>
      <w:r>
        <w:t>t</w:t>
      </w:r>
      <w:r>
        <w:t xml:space="preserve"> </w:t>
      </w:r>
      <w:r>
        <w:t>c</w:t>
      </w:r>
      <w:r>
        <w:t xml:space="preserve"> </w:t>
      </w:r>
      <w:r>
        <w:t>. This leads to downstream migration of the CO formation zone and spatial separation of active and inactive regions. The</w:t>
      </w:r>
      <w:r>
        <w:t xml:space="preserve"> </w:t>
      </w:r>
      <w:r>
        <w:t>t</w:t>
      </w:r>
      <w:r>
        <w:t xml:space="preserve"> </w:t>
      </w:r>
      <w:r>
        <w:t>c</w:t>
      </w:r>
      <w:r>
        <w:t xml:space="preserve"> </w:t>
      </w:r>
      <w:r>
        <w:t>-TOS–resolved approach provides a sensitive and practical diagnostic tool for detecting and mitigating deactivation under industrial conditions. The ATM framework offers a generalizable strategy for probing phase evolution and deactivation pathways in complex heterogeneous catalytic systems.</w:t>
      </w:r>
    </w:p>
    <w:p>
      <w:pPr>
        <w:spacing w:before="120" w:after="120"/>
      </w:pPr>
      <w:r>
        <w:rPr>
          <w:sz w:val="18"/>
        </w:rPr>
        <w:t>——————————————————————————————————————————————————————————————————————</w:t>
      </w:r>
    </w:p>
    <w:p>
      <w:pPr>
        <w:spacing w:before="160" w:after="40" w:line="240" w:lineRule="auto"/>
      </w:pPr>
      <w:r>
        <w:rPr>
          <w:b/>
        </w:rPr>
        <w:t xml:space="preserve">[330] </w:t>
      </w:r>
      <w:hyperlink r:id="rId829">
        <w:r>
          <w:rPr>
            <w:color w:val="1155CC"/>
            <w:u w:val="single"/>
          </w:rPr>
          <w:t>表面还原提高MXene中自由电子浓度以增强光热性能</w:t>
        </w:r>
      </w:hyperlink>
    </w:p>
    <w:p>
      <w:pPr>
        <w:spacing w:before="0" w:after="80"/>
      </w:pPr>
      <w:r>
        <w:rPr>
          <w:i/>
          <w:sz w:val="20"/>
        </w:rPr>
        <w:t>EN: Surface reduction boosts free electron concentration in MXene for enhanced photothermal performance</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30">
        <w:r>
          <w:rPr>
            <w:color w:val="1155CC"/>
            <w:u w:val="single"/>
          </w:rPr>
          <w:t>10.1126/sciadv.aee2009</w:t>
        </w:r>
      </w:hyperlink>
    </w:p>
    <w:p>
      <w:pPr>
        <w:spacing w:before="0" w:after="120"/>
      </w:pPr>
      <w:r>
        <w:rPr>
          <w:b/>
        </w:rPr>
        <w:t xml:space="preserve">Notes: </w:t>
      </w:r>
      <w:r>
        <w:t>abstract_source=crossref</w:t>
      </w:r>
    </w:p>
    <w:p>
      <w:pPr>
        <w:spacing w:before="0" w:after="80" w:lineRule="auto" w:line="276"/>
      </w:pPr>
      <w:r>
        <w:rPr>
          <w:b/>
        </w:rPr>
        <w:t xml:space="preserve">摘要（ZH）: </w:t>
      </w:r>
      <w:r>
        <w:t>MXenes的光热特性源于局部表面等离子体共振，这归因于其高自由电子浓度。然而，其固有的电子浓度受到次优d轨道占据和电负性端基的电子吸引效应的限制。在此，我们报告了一种在熔盐中钠介导的表面还原策略，通过电子调制优化表面配位环境，以减轻电子吸引和电子散射效应，同时将电子注入Ti-3d态以实现受控态填充。这种双重调制使得自由电子浓度、载流子迁移率和电导率分别达到原始MXene的4.92、2.63和12.96倍。优化后的还原Ti3C2在808纳米激光照射下实现了91.66%的高光热转换效率。含超低MXene含量的光热抗菌伤口贴展示了高细菌杀灭率。这项工作不仅展示了一种调节MXenes光热特性的有效方法，还激发了需要定制表面化学和高电子浓度的应用。</w:t>
      </w:r>
    </w:p>
    <w:p>
      <w:pPr>
        <w:spacing w:before="0" w:after="200" w:lineRule="auto" w:line="276"/>
      </w:pPr>
      <w:r>
        <w:rPr>
          <w:b/>
        </w:rPr>
        <w:t xml:space="preserve">Abstract (EN): </w:t>
      </w:r>
      <w:r>
        <w:t>The photothermal properties of MXenes originate from the localized surface plasmon resonance, which is attributed to their high free electron concentration. However, their intrinsic electron concentration is limited by suboptimal d-orbital occupancy and the electron-withdrawing effect from electronegative terminations. Herein, we report a sodium-mediated surface reduction strategy in molten salts, which optimizes the surface coordination environment via electronic modulation to mitigate the electron-withdrawing and electron-scattering effects, while simultaneously injecting electrons into the Ti-3d states for controlled state filling. This dual modulation enables the free electron concentration, carrier mobility, and electrical conductivity to reach 4.92, 2.63, and 12.96 times that of the pristine MXene, respectively. The optimized reduced Ti</w:t>
      </w:r>
      <w:r>
        <w:rPr>
          <w:vertAlign w:val="subscript"/>
        </w:rPr>
        <w:t>3</w:t>
      </w:r>
      <w:r>
        <w:t>C</w:t>
      </w:r>
      <w:r>
        <w:rPr>
          <w:vertAlign w:val="subscript"/>
        </w:rPr>
        <w:t>2</w:t>
      </w:r>
      <w:r>
        <w:t>achieves a high photothermal conversion efficiency of 91.66% under 808-nanometer laser irradiation. A photothermal antibacterial woundplast with ultralow MXene content demonstrates a high bacterial kill rate. This work not only shows an effective method for tuning the photothermal properties of MXenes but also inspires applications that require tailored surface chemistry and high electron concentration.</w:t>
      </w:r>
    </w:p>
    <w:p>
      <w:pPr>
        <w:spacing w:before="120" w:after="120"/>
      </w:pPr>
      <w:r>
        <w:rPr>
          <w:sz w:val="18"/>
        </w:rPr>
        <w:t>——————————————————————————————————————————————————————————————————————</w:t>
      </w:r>
    </w:p>
    <w:p>
      <w:pPr>
        <w:spacing w:before="160" w:after="40" w:line="240" w:lineRule="auto"/>
      </w:pPr>
      <w:r>
        <w:rPr>
          <w:b/>
        </w:rPr>
        <w:t xml:space="preserve">[331] </w:t>
      </w:r>
      <w:hyperlink r:id="rId831">
        <w:r>
          <w:rPr>
            <w:color w:val="1155CC"/>
            <w:u w:val="single"/>
          </w:rPr>
          <w:t>直接采用逆向生物传感器成像纳米域中活细胞酶活性</w:t>
        </w:r>
      </w:hyperlink>
    </w:p>
    <w:p>
      <w:pPr>
        <w:spacing w:before="0" w:after="80"/>
      </w:pPr>
      <w:r>
        <w:rPr>
          <w:i/>
          <w:sz w:val="20"/>
        </w:rPr>
        <w:t>EN: Directly adopting inverse biosensors to image live cell enzyme activities in nanodomains</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32">
        <w:r>
          <w:rPr>
            <w:color w:val="1155CC"/>
            <w:u w:val="single"/>
          </w:rPr>
          <w:t>10.1073/pnas.2531118123</w:t>
        </w:r>
      </w:hyperlink>
    </w:p>
    <w:p>
      <w:pPr>
        <w:spacing w:before="0" w:after="120"/>
      </w:pPr>
      <w:r>
        <w:rPr>
          <w:b/>
        </w:rPr>
        <w:t xml:space="preserve">Notes: </w:t>
      </w:r>
      <w:r>
        <w:t>abstract_source=crossref</w:t>
      </w:r>
    </w:p>
    <w:p>
      <w:pPr>
        <w:spacing w:before="0" w:after="80" w:lineRule="auto" w:line="276"/>
      </w:pPr>
      <w:r>
        <w:rPr>
          <w:b/>
        </w:rPr>
        <w:t xml:space="preserve">摘要（ZH）: </w:t>
      </w:r>
      <w:r>
        <w:t>许多生化途径可以通过配备报告机制（如荧光）的分子开关进行监测。这些生物传感器的输出可以在目标激活时增加或减少。两种类型都可以报告时间上的平均相对变化。但是，对逆生物传感器的简单成像（其读数减少）将形成无意义的图像，因为它会给背景和前景都赋予低值。因此，目前的超分辨率酶活性成像无法跟踪那些需要逆生物传感的酶的动作。这是理解细胞通过纳米域和隔室组织其信号传导方式的重大障碍。我们打破了这一障碍，并理性地开发了一种基因编码的原理，以超分辨率量化逆生物传感器。我们生成了3个不同的读数对，并系统地展示了先前隐藏的关于3个动态信号枢纽的见解。</w:t>
      </w:r>
    </w:p>
    <w:p>
      <w:pPr>
        <w:spacing w:before="0" w:after="200" w:lineRule="auto" w:line="276"/>
      </w:pPr>
      <w:r>
        <w:rPr>
          <w:b/>
        </w:rPr>
        <w:t xml:space="preserve">Abstract (EN): </w:t>
      </w:r>
      <w:r>
        <w:t>Many biochemical pathways can be monitored by outfitting molecular switches with reporting mechanisms such as fluorescence. The output of these biosensors can either increase or decrease upon target activation. Both types can report average relative changes in time. But a naïve imaging of inverse biosensors, which gives readout decrease, will form nonsensical images by giving low values to both the background and foreground. Thus, currently, superresolution enzyme activity imaging cannot follow the actions of those enzymes that require inverse biosensing. This is a significant obstacle for understanding the ways cells organize their signaling via nanodomains and compartments. We break this barrier and rationally develop a genetically encoded principle to quantify inverse biosensors at superresolution. We generate 3 distinct readout pairs and systematically illustrate previously hidden insights on 3 dynamic signaling hubs.</w:t>
      </w:r>
    </w:p>
    <w:p>
      <w:pPr>
        <w:spacing w:before="120" w:after="120"/>
      </w:pPr>
      <w:r>
        <w:rPr>
          <w:sz w:val="18"/>
        </w:rPr>
        <w:t>——————————————————————————————————————————————————————————————————————</w:t>
      </w:r>
    </w:p>
    <w:p>
      <w:pPr>
        <w:spacing w:before="160" w:after="40" w:line="240" w:lineRule="auto"/>
      </w:pPr>
      <w:r>
        <w:rPr>
          <w:b/>
        </w:rPr>
        <w:t xml:space="preserve">[332] </w:t>
      </w:r>
      <w:hyperlink r:id="rId833">
        <w:r>
          <w:rPr>
            <w:color w:val="1155CC"/>
            <w:u w:val="single"/>
          </w:rPr>
          <w:t>植物脂肪酸延长酶获得的聚酮合酶样功能</w:t>
        </w:r>
      </w:hyperlink>
    </w:p>
    <w:p>
      <w:pPr>
        <w:spacing w:before="0" w:after="80"/>
      </w:pPr>
      <w:r>
        <w:rPr>
          <w:i/>
          <w:sz w:val="20"/>
        </w:rPr>
        <w:t>EN: Polyketide synthase–like functionality acquired by plant fatty acid elongase</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34">
        <w:r>
          <w:rPr>
            <w:color w:val="1155CC"/>
            <w:u w:val="single"/>
          </w:rPr>
          <w:t>10.1126/sciadv.aed2892</w:t>
        </w:r>
      </w:hyperlink>
    </w:p>
    <w:p>
      <w:pPr>
        <w:spacing w:before="0" w:after="120"/>
      </w:pPr>
      <w:r>
        <w:rPr>
          <w:b/>
        </w:rPr>
        <w:t xml:space="preserve">Notes: </w:t>
      </w:r>
      <w:r>
        <w:t>abstract_source=crossref</w:t>
      </w:r>
    </w:p>
    <w:p>
      <w:pPr>
        <w:spacing w:before="0" w:after="80" w:lineRule="auto" w:line="276"/>
      </w:pPr>
      <w:r>
        <w:rPr>
          <w:b/>
        </w:rPr>
        <w:t xml:space="preserve">摘要（ZH）: </w:t>
      </w:r>
      <w:r>
        <w:t>脂肪酸延长通常通过一个四步循环进行，每个两碳延长包括缩合、还原、脱水和还原。在这里，我们描述了这种途径在</w:t>
      </w:r>
      <w:r>
        <w:t xml:space="preserve"> </w:t>
      </w:r>
      <w:r>
        <w:t>Orychophragmus limprichtianus</w:t>
      </w:r>
      <w:r>
        <w:t xml:space="preserve"> </w:t>
      </w:r>
      <w:r>
        <w:t>中的变异，其种子油含有以前未知的C24-C28酮羟基脂肪酸，占总脂肪酸的约25%。这些化合物是通过内质网定位的不连续延长过程产生的，其中3-酮羟基中间体绕过完全还原，并通过类似聚酮合酶的机制延长。转录组学和功能测定鉴定了两个不同的酶，变异脂肪酸延长酶1（FAE1）和低活性3-酮酰基-CoA还原酶（KCR1），作为这一过程的核心。蛋白质建模和突变体分析表明，特定的氨基酸替换是KCR1活性改变的基础，使酮中间体得以积累。我们的研究揭示了植物脂肪酸延长的意外灵活性，并为工程化植物和微生物生产具有定制工业功能的可再生油提供了创新工具。</w:t>
      </w:r>
    </w:p>
    <w:p>
      <w:pPr>
        <w:spacing w:before="0" w:after="200" w:lineRule="auto" w:line="276"/>
      </w:pPr>
      <w:r>
        <w:rPr>
          <w:b/>
        </w:rPr>
        <w:t xml:space="preserve">Abstract (EN): </w:t>
      </w:r>
      <w:r>
        <w:t>Fatty acid elongation typically proceeds through a four-step cycle of condensation, reduction, dehydration, and reduction for each two-carbon extension. Here, we describe a variation of this pathway in</w:t>
      </w:r>
      <w:r>
        <w:t xml:space="preserve"> </w:t>
      </w:r>
      <w:r>
        <w:t>Orychophragmus limprichtianus</w:t>
      </w:r>
      <w:r>
        <w:t xml:space="preserve"> </w:t>
      </w:r>
      <w:r>
        <w:t>, whose seed oil contains previously unknown C24-C28 keto-hydroxy fatty acids that account for ~25% of total fatty acids. These compounds are produced through an endoplasmic reticulum–localized discontinuous elongation process in which a 3-keto-hydroxy intermediate bypasses full reduction and is extended through a polyketide synthase–like mechanism. Transcriptomic and functional assays identified two divergent enzymes, a variant fatty acid elongase 1 (FAE1) and a low-activity 3-ketoacyl-CoA reductase (KCR1), as central to this process. Protein modeling and mutant analysis suggest that specific amino acid substitutions underlie altered KCR1 activity, enabling accumulation of keto intermediates. Our findings reveal unexpected flexibility in plant fatty acid elongation and provide innovative tools for engineering plants and microbes to produce renewable oils with tailored industrial functions.</w:t>
      </w:r>
    </w:p>
    <w:p>
      <w:pPr>
        <w:spacing w:before="120" w:after="120"/>
      </w:pPr>
      <w:r>
        <w:rPr>
          <w:sz w:val="18"/>
        </w:rPr>
        <w:t>——————————————————————————————————————————————————————————————————————</w:t>
      </w:r>
    </w:p>
    <w:p>
      <w:pPr>
        <w:spacing w:before="160" w:after="40" w:line="240" w:lineRule="auto"/>
      </w:pPr>
      <w:r>
        <w:rPr>
          <w:b/>
        </w:rPr>
        <w:t xml:space="preserve">[333] </w:t>
      </w:r>
      <w:hyperlink r:id="rId835">
        <w:r>
          <w:rPr>
            <w:color w:val="1155CC"/>
            <w:u w:val="single"/>
          </w:rPr>
          <w:t>超越甲酸：木匠蚂蚁毒液中的肽有助于疾病防护</w:t>
        </w:r>
      </w:hyperlink>
    </w:p>
    <w:p>
      <w:pPr>
        <w:spacing w:before="0" w:after="80"/>
      </w:pPr>
      <w:r>
        <w:rPr>
          <w:i/>
          <w:sz w:val="20"/>
        </w:rPr>
        <w:t>EN: Beyond formic acid: Peptides in carpenter ant venoms aid in disease protection</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36">
        <w:r>
          <w:rPr>
            <w:color w:val="1155CC"/>
            <w:u w:val="single"/>
          </w:rPr>
          <w:t>10.1126/sciadv.aed4078</w:t>
        </w:r>
      </w:hyperlink>
    </w:p>
    <w:p>
      <w:pPr>
        <w:spacing w:before="0" w:after="120"/>
      </w:pPr>
      <w:r>
        <w:rPr>
          <w:b/>
        </w:rPr>
        <w:t xml:space="preserve">Notes: </w:t>
      </w:r>
      <w:r>
        <w:t>abstract_source=crossref</w:t>
      </w:r>
    </w:p>
    <w:p>
      <w:pPr>
        <w:spacing w:before="0" w:after="80" w:lineRule="auto" w:line="276"/>
      </w:pPr>
      <w:r>
        <w:rPr>
          <w:b/>
        </w:rPr>
        <w:t xml:space="preserve">摘要（ZH）: </w:t>
      </w:r>
      <w:r>
        <w:t>毒液肽是大多数有毒动物，包括刺蚁，进化成功的关键。无刺蚁亚科Formicinae被认为仅依赖于其毒液中的甲酸，尽管早期有未经证实的蛋白质毒液成分的暗示。在这里，我们展示了木匠蚁，最大的Formicinae属，产生多样化的毒液肽库。通过对八个地理上相距甚远的物种进行质谱和转录组学分析，发现了属于两个基因家族的35种肽，称为formicitoxins。几种formicitoxins显示出抗真菌活性。应用于蛹可延缓真菌生长，表明这些肽在群体卫生中的作用。基因组分析显示，formicitoxins在Formicinae中广泛存在但变化多样。我们的研究推翻了Formicinae毒液作为简单酸性喷雾的范式，并确立了它们作为生物活性肽来源的地位。</w:t>
      </w:r>
    </w:p>
    <w:p>
      <w:pPr>
        <w:spacing w:before="0" w:after="200" w:lineRule="auto" w:line="276"/>
      </w:pPr>
      <w:r>
        <w:rPr>
          <w:b/>
        </w:rPr>
        <w:t xml:space="preserve">Abstract (EN): </w:t>
      </w:r>
      <w:r>
        <w:t>Venom peptides are key to the evolutionary success of most venomous animals, including stinging ants. The stingless ant subfamily Formicinae is thought to rely solely on formic acid in their venoms, despite early, unsubstantiated hints of proteinaceous venom constituents. Here, we show that carpenter ants, the largest formicine genus, produce a diverse venom peptide arsenal. Mass spectrometry and transcriptomics across eight geographically distant species uncovered 35 peptides, formicitoxins, belonging to two gene families. Several formicitoxins display antifungal activity. Application to pupae delays fungal outgrowth, suggesting a role of the peptides in colony hygiene. Genome analyses revealed that formicitoxins are widespread but variable across the Formicinae. Our findings overturn the paradigm of formicine venoms as simple acid sprays and establish them as a source of bioactive peptides.</w:t>
      </w:r>
    </w:p>
    <w:p>
      <w:pPr>
        <w:spacing w:before="120" w:after="120"/>
      </w:pPr>
      <w:r>
        <w:rPr>
          <w:sz w:val="18"/>
        </w:rPr>
        <w:t>——————————————————————————————————————————————————————————————————————</w:t>
      </w:r>
    </w:p>
    <w:p>
      <w:pPr>
        <w:spacing w:before="160" w:after="40" w:line="240" w:lineRule="auto"/>
      </w:pPr>
      <w:r>
        <w:rPr>
          <w:b/>
        </w:rPr>
        <w:t xml:space="preserve">[334] </w:t>
      </w:r>
      <w:hyperlink r:id="rId837">
        <w:r>
          <w:rPr>
            <w:color w:val="1155CC"/>
            <w:u w:val="single"/>
          </w:rPr>
          <w:t>组装的亨尼帕病毒核蛋白的开放和闭合形式揭示基因组访问的结构基础</w:t>
        </w:r>
      </w:hyperlink>
    </w:p>
    <w:p>
      <w:pPr>
        <w:spacing w:before="0" w:after="80"/>
      </w:pPr>
      <w:r>
        <w:rPr>
          <w:i/>
          <w:sz w:val="20"/>
        </w:rPr>
        <w:t>EN: Open and closed forms of assembled henipavirus nucleoprotein suggest structural basis of genome access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38">
        <w:r>
          <w:rPr>
            <w:color w:val="1155CC"/>
            <w:u w:val="single"/>
          </w:rPr>
          <w:t>10.1126/sciadv.aed8300</w:t>
        </w:r>
      </w:hyperlink>
    </w:p>
    <w:p>
      <w:pPr>
        <w:spacing w:before="0" w:after="120"/>
      </w:pPr>
      <w:r>
        <w:rPr>
          <w:b/>
        </w:rPr>
        <w:t xml:space="preserve">Notes: </w:t>
      </w:r>
      <w:r>
        <w:t>abstract_source=crossref</w:t>
      </w:r>
    </w:p>
    <w:p>
      <w:pPr>
        <w:spacing w:before="0" w:after="80" w:lineRule="auto" w:line="276"/>
      </w:pPr>
      <w:r>
        <w:rPr>
          <w:b/>
        </w:rPr>
        <w:t xml:space="preserve">摘要（ZH）: </w:t>
      </w:r>
      <w:r>
        <w:t>亨尼帕病毒，如尼帕病毒，可以引起致命疾病，并因其大流行潜力而成为WHO蓝图优先事项。它们的基因组被包装在由病毒核蛋白（N）组成的核衣壳中。目前尚不清楚如何从N中释放被包裹的基因组以允许病毒聚合酶读取其序列。在这里，我们展示了Langya亨尼帕病毒（LayV）螺旋N-RNA丝状体的高分辨率冷冻电镜结构，使我们能够识别对组装至关重要的垂直相互作用。我们表明，组装效率是序列依赖的，并偏好5′-基因组序列。此外，我们解决了LayV-N的无RNA组装结构。对比RNA结合和无RNA的LayV-N结构显示，即使在组装状态下也存在构象开合。我们的数据表明，核衣壳中的N可能经历局部构象变化，在闭合和开放状态之间切换，以暂时允许访问被包裹的RNA而不破坏核衣壳。</w:t>
      </w:r>
    </w:p>
    <w:p>
      <w:pPr>
        <w:spacing w:before="0" w:after="200" w:lineRule="auto" w:line="276"/>
      </w:pPr>
      <w:r>
        <w:rPr>
          <w:b/>
        </w:rPr>
        <w:t xml:space="preserve">Abstract (EN): </w:t>
      </w:r>
      <w:r>
        <w:t>Henipaviruses, such as Nipah virus, can cause deadly illness and constitute WHO blueprint priorities due to their pandemic potential. Their genomes are packaged within a nucleocapsid consisting of viral nucleoproteins (N). Now, it is unclear how the encapsidated genome is released from N to allow the viral polymerase to read its sequence. Here, we present the high-resolution cryo-EM structure of a helical N-RNA filament from Langya henipavirus (LayV), allowing us to identify vertical interactions crucial for assembly. We show that assembly efficiency is sequence-dependent and prefers 5′-genomic sequences. Further, we solve the structure of an RNA-free assembly of LayV-N. Structural comparison of the RNA-bound and RNA-free LayV-N shows a conformational opening and closing, even within the assembled state. Our data suggest that N within nucleocapsids may undergo local conformational changes, switching between closed and open states, to temporarily allow access to the encapsidated RNA without nucleocapsid disruption.</w:t>
      </w:r>
    </w:p>
    <w:p>
      <w:pPr>
        <w:spacing w:before="120" w:after="120"/>
      </w:pPr>
      <w:r>
        <w:rPr>
          <w:sz w:val="18"/>
        </w:rPr>
        <w:t>——————————————————————————————————————————————————————————————————————</w:t>
      </w:r>
    </w:p>
    <w:p>
      <w:pPr>
        <w:spacing w:before="160" w:after="40" w:line="240" w:lineRule="auto"/>
      </w:pPr>
      <w:r>
        <w:rPr>
          <w:b/>
        </w:rPr>
        <w:t xml:space="preserve">[335] </w:t>
      </w:r>
      <w:hyperlink r:id="rId839">
        <w:r>
          <w:rPr>
            <w:color w:val="1155CC"/>
            <w:u w:val="single"/>
          </w:rPr>
          <w:t>DVL3中的Wnt诱导构象磷酸开关控制与Frizzled受体的结合及Wnt/β-连环蛋白信号传导</w:t>
        </w:r>
      </w:hyperlink>
    </w:p>
    <w:p>
      <w:pPr>
        <w:spacing w:before="0" w:after="80"/>
      </w:pPr>
      <w:r>
        <w:rPr>
          <w:i/>
          <w:sz w:val="20"/>
        </w:rPr>
        <w:t>EN: A Wnt-induced conformational phospho-switch in DVL3 controls association with Frizzled receptors and Wnt/β-catenin signaling</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40">
        <w:r>
          <w:rPr>
            <w:color w:val="1155CC"/>
            <w:u w:val="single"/>
          </w:rPr>
          <w:t>10.1126/sciadv.aed8899</w:t>
        </w:r>
      </w:hyperlink>
    </w:p>
    <w:p>
      <w:pPr>
        <w:spacing w:before="0" w:after="120"/>
      </w:pPr>
      <w:r>
        <w:rPr>
          <w:b/>
        </w:rPr>
        <w:t xml:space="preserve">Notes: </w:t>
      </w:r>
      <w:r>
        <w:t>abstract_source=crossref</w:t>
      </w:r>
    </w:p>
    <w:p>
      <w:pPr>
        <w:spacing w:before="0" w:after="80" w:lineRule="auto" w:line="276"/>
      </w:pPr>
      <w:r>
        <w:rPr>
          <w:b/>
        </w:rPr>
        <w:t xml:space="preserve">摘要（ZH）: </w:t>
      </w:r>
      <w:r>
        <w:t>众所周知，Dishevelled (DVL) 被酪蛋白激酶1 (CK1) 磷酸化将Wnt信号从Frizzled (FZD) 受体传递到下游效应器，但与磷酸化相关的DVL功能的任何机制方面仍未解决。在此，我们发现了一种Wnt诱导的DVL磷酸开关，它与FZD结合互斥。CK1多磷酸化显著改变了整体静电以促进DVL在DEP结构域和相邻无序区域之间的分子内相互作用。一组DVL3突变体在达到电荷阈值时表现出分子水平的开关行为。DEP附近的电荷积累被证明是Wnt/β-catenin信号传导所需的关键功能事件，但并不充分。邻近互作组学揭示了FZD受体作为DVL磷酸开关功能的主要效应器，与DEP界面的分子竞争一致。通过整合不同层次的发现，我们提出了一种普遍机制，其中Wnt诱导的DVL构象磷酸开关通过减少与FZDs的共存来实现下游信号事件。</w:t>
      </w:r>
    </w:p>
    <w:p>
      <w:pPr>
        <w:spacing w:before="0" w:after="200" w:lineRule="auto" w:line="276"/>
      </w:pPr>
      <w:r>
        <w:rPr>
          <w:b/>
        </w:rPr>
        <w:t xml:space="preserve">Abstract (EN): </w:t>
      </w:r>
      <w:r>
        <w:t>It is well known that Dishevelled (DVL) phosphorylation by casein kinase 1 (CK1) relays Wnt signals from Frizzled (FZD) receptors to downstream effectors, yet any mechanistic aspects of DVL function related to phosphorylation remain unresolved. Here, we uncovered a Wnt-induced DVL phospho-switch that is mutually exclusive with FZD association. CK1 multiphosphorylation changes dramatically the bulk electrostatics to promote DVL intramolecular interaction between the DEP domain and the adjacent disordered region. A panel of DVL3 mutants demonstrated a switch-like behavior at the molecular level when a charge threshold was reached. Charge accumulation proximal to DEP proved to be a key functional event required, but not sufficient, for Wnt/β-catenin signaling. Proximity interactomics revealed FZD receptors as the prominent effectors of the DVL phospho-switch function consistent with the molecular competition at the DEP interface. By integrating findings at different levels, we propose a universal mechanism, in which Wnt-induced DVL conformational phospho-switch attenuates coresidence with FZDs as a means for downstream signaling events.</w:t>
      </w:r>
    </w:p>
    <w:p>
      <w:pPr>
        <w:spacing w:before="120" w:after="120"/>
      </w:pPr>
      <w:r>
        <w:rPr>
          <w:sz w:val="18"/>
        </w:rPr>
        <w:t>——————————————————————————————————————————————————————————————————————</w:t>
      </w:r>
    </w:p>
    <w:p>
      <w:pPr>
        <w:spacing w:before="160" w:after="40" w:line="240" w:lineRule="auto"/>
      </w:pPr>
      <w:r>
        <w:rPr>
          <w:b/>
        </w:rPr>
        <w:t xml:space="preserve">[336] </w:t>
      </w:r>
      <w:hyperlink r:id="rId841">
        <w:r>
          <w:rPr>
            <w:color w:val="1155CC"/>
            <w:u w:val="single"/>
          </w:rPr>
          <w:t>用于可调微波吸收的分层多孔碳支撑高熵陶瓷超材料的4D打印</w:t>
        </w:r>
      </w:hyperlink>
    </w:p>
    <w:p>
      <w:pPr>
        <w:spacing w:before="0" w:after="80"/>
      </w:pPr>
      <w:r>
        <w:rPr>
          <w:i/>
          <w:sz w:val="20"/>
        </w:rPr>
        <w:t>EN: 4D printing of hierarchically porous carbon–supported high-entropy ceramic metamaterial for tunable microwave absorption</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42">
        <w:r>
          <w:rPr>
            <w:color w:val="1155CC"/>
            <w:u w:val="single"/>
          </w:rPr>
          <w:t>10.1126/sciadv.aed0172</w:t>
        </w:r>
      </w:hyperlink>
    </w:p>
    <w:p>
      <w:pPr>
        <w:spacing w:before="0" w:after="120"/>
      </w:pPr>
      <w:r>
        <w:rPr>
          <w:b/>
        </w:rPr>
        <w:t xml:space="preserve">Notes: </w:t>
      </w:r>
      <w:r>
        <w:t>abstract_source=crossref</w:t>
      </w:r>
    </w:p>
    <w:p>
      <w:pPr>
        <w:spacing w:before="0" w:after="80" w:lineRule="auto" w:line="276"/>
      </w:pPr>
      <w:r>
        <w:rPr>
          <w:b/>
        </w:rPr>
        <w:t xml:space="preserve">摘要（ZH）: </w:t>
      </w:r>
      <w:r>
        <w:t>宽带可调电磁波吸收材料对于无线通信和雷达系统等动态场景至关重要。然而，传统吸收器受限于窄带宽和固定的后加工几何形状。在此，我们提出了一种四维(4D)打印的金字塔形超材料，由分级多孔碳支持的高熵陶瓷和形状记忆弹性体组成。通过协同宏观腔共振与微观缺陷诱导的极化，该超材料提供了14.16吉赫兹的吸收带宽(≥90%吸收)，比其整体对应物提高了98.88%。此外，它通过适度的热刺激(120°C)实现空间重构，在5.24到18吉赫兹范围内实现可调吸收，同时保持反射损耗低于−20分贝(≥99%吸收)。基础材料对复杂配置的适应性通过螺旋、折纸启发和承重结构得以展示。这项工作为具有多种配置和形状可逆性的超材料吸收器铺平了道路，推进了其在多光谱和智能自适应系统中的应用。</w:t>
      </w:r>
    </w:p>
    <w:p>
      <w:pPr>
        <w:spacing w:before="0" w:after="200" w:lineRule="auto" w:line="276"/>
      </w:pPr>
      <w:r>
        <w:rPr>
          <w:b/>
        </w:rPr>
        <w:t xml:space="preserve">Abstract (EN): </w:t>
      </w:r>
      <w:r>
        <w:t>Broadband-tunable electromagnetic wave absorption materials are critical for dynamic scenarios, such as those in wireless communication and radar systems. However, conventional absorbers are limited by narrow bandwidth and fixed postfabrication geometries. Herein, we propose a four-dimensional (4D)-printed pyramidal metamaterial comprising a hierarchically porous carbon–supported high-entropy ceramic and a shape memory elastomer. By synergizing macroscopic cavity resonances with microscopic defect-induced polarizations, the metamaterial delivers an absorption bandwidth of 14.16 gigahertz (≥90% absorption), representing a 98.88% enhancement over its bulk counterpart. In addition, it enables spatial reconfiguration via a moderate thermal stimulus (120°C), achieving tunable absorption across 5.24 to 18 gigahertz while maintaining reflection loss below −20 decibels (≥99% absorption). The base material’s adaptability to complicated configurations is demonstrated by helical, origami-inspired, and load-bearing architectures. This work paves the way for metamaterial absorbers with multiple configurations and shape reversibility, advancing their applications in multispectral and intelligent adaptive systems.</w:t>
      </w:r>
    </w:p>
    <w:p>
      <w:pPr>
        <w:spacing w:before="120" w:after="120"/>
      </w:pPr>
      <w:r>
        <w:rPr>
          <w:sz w:val="18"/>
        </w:rPr>
        <w:t>——————————————————————————————————————————————————————————————————————</w:t>
      </w:r>
    </w:p>
    <w:p>
      <w:pPr>
        <w:spacing w:before="160" w:after="40" w:line="240" w:lineRule="auto"/>
      </w:pPr>
      <w:r>
        <w:rPr>
          <w:b/>
        </w:rPr>
        <w:t xml:space="preserve">[337] </w:t>
      </w:r>
      <w:hyperlink r:id="rId843">
        <w:r>
          <w:rPr>
            <w:color w:val="1155CC"/>
            <w:u w:val="single"/>
          </w:rPr>
          <w:t>亚马逊中部中晚更新世河流景观的演变：塑造生态系统和特有种区域</w:t>
        </w:r>
      </w:hyperlink>
    </w:p>
    <w:p>
      <w:pPr>
        <w:spacing w:before="0" w:after="80"/>
      </w:pPr>
      <w:r>
        <w:rPr>
          <w:i/>
          <w:sz w:val="20"/>
        </w:rPr>
        <w:t>EN: Mid-late Pleistocene evolution of fluvial landscapes in Central Amazonia: Shaping ecosystems and areas of endemism</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44">
        <w:r>
          <w:rPr>
            <w:color w:val="1155CC"/>
            <w:u w:val="single"/>
          </w:rPr>
          <w:t>10.1126/sciadv.aee2085</w:t>
        </w:r>
      </w:hyperlink>
    </w:p>
    <w:p>
      <w:pPr>
        <w:spacing w:before="0" w:after="120"/>
      </w:pPr>
      <w:r>
        <w:rPr>
          <w:b/>
        </w:rPr>
        <w:t xml:space="preserve">Notes: </w:t>
      </w:r>
      <w:r>
        <w:t>abstract_source=crossref</w:t>
      </w:r>
    </w:p>
    <w:p>
      <w:pPr>
        <w:spacing w:before="0" w:after="80" w:lineRule="auto" w:line="276"/>
      </w:pPr>
      <w:r>
        <w:rPr>
          <w:b/>
        </w:rPr>
        <w:t xml:space="preserve">摘要（ZH）: </w:t>
      </w:r>
      <w:r>
        <w:t>亚马逊河流和景观变化对物种起源和分布的影响仍然存在争议。在此，我们结合来自中亚马逊的沉积、地貌和年代学证据，表明主要的亚马逊河流构建了大片土地，这些土地现在支持着现今的亚马逊高地森林（terra firme）。这些沉积物记录了一系列由河流过程驱动的景观重组，这些过程在更新世期间重新定义了许多物种关键栖息地的空间边界。我们的研究结果揭示，亚马逊河流不仅作为生物地理屏障，还作为强大的景观和栖息地转变的推动者，提供了一个统一的框架来理解地质和生物过程如何共同塑造了亚马逊生物多样性的演化。</w:t>
      </w:r>
    </w:p>
    <w:p>
      <w:pPr>
        <w:spacing w:before="0" w:after="200" w:lineRule="auto" w:line="276"/>
      </w:pPr>
      <w:r>
        <w:rPr>
          <w:b/>
        </w:rPr>
        <w:t xml:space="preserve">Abstract (EN): </w:t>
      </w:r>
      <w:r>
        <w:t>The influence of Amazonian rivers and landscape changes on species origin and distribution remains debated. Here, we combine sedimentary, geomorphological, and chronological evidence from Central Amazonia to show that the main Amazonian rivers constructed large tracts of land that now support present-day Amazonian upland forest (terra firme). These deposits record a sequence of landscape rearrangements driven by river processes in Central Amazonia during the Pleistocene redefined the spatial boundaries of key habitats critical for many species. Our findings reveal that Amazonian rivers have acted not only as biogeographic barriers but also as powerful agents of landscape and habitat transformation, offering a unified framework for understanding how geological and biological processes together shaped the evolution of Amazonian biodiversity.</w:t>
      </w:r>
    </w:p>
    <w:p>
      <w:pPr>
        <w:spacing w:before="120" w:after="120"/>
      </w:pPr>
      <w:r>
        <w:rPr>
          <w:sz w:val="18"/>
        </w:rPr>
        <w:t>——————————————————————————————————————————————————————————————————————</w:t>
      </w:r>
    </w:p>
    <w:p>
      <w:pPr>
        <w:spacing w:before="160" w:after="40" w:line="240" w:lineRule="auto"/>
      </w:pPr>
      <w:r>
        <w:rPr>
          <w:b/>
        </w:rPr>
        <w:t xml:space="preserve">[338] </w:t>
      </w:r>
      <w:hyperlink r:id="rId845">
        <w:r>
          <w:rPr>
            <w:color w:val="1155CC"/>
            <w:u w:val="single"/>
          </w:rPr>
          <w:t>数据驱动的粒子动力学：用于非平衡系统中涌现行为的结构保持粗粒化</w:t>
        </w:r>
      </w:hyperlink>
    </w:p>
    <w:p>
      <w:pPr>
        <w:spacing w:before="0" w:after="80"/>
      </w:pPr>
      <w:r>
        <w:rPr>
          <w:i/>
          <w:sz w:val="20"/>
        </w:rPr>
        <w:t>EN: Data-driven particle dynamics: Structure-preserving coarse-graining for emergent behavior in nonequilibrium systems</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46">
        <w:r>
          <w:rPr>
            <w:color w:val="1155CC"/>
            <w:u w:val="single"/>
          </w:rPr>
          <w:t>10.1073/pnas.2519631123</w:t>
        </w:r>
      </w:hyperlink>
    </w:p>
    <w:p>
      <w:pPr>
        <w:spacing w:before="0" w:after="120"/>
      </w:pPr>
      <w:r>
        <w:rPr>
          <w:b/>
        </w:rPr>
        <w:t xml:space="preserve">Notes: </w:t>
      </w:r>
      <w:r>
        <w:t>abstract_source=crossref</w:t>
      </w:r>
    </w:p>
    <w:p>
      <w:pPr>
        <w:spacing w:before="0" w:after="80" w:lineRule="auto" w:line="276"/>
      </w:pPr>
      <w:r>
        <w:rPr>
          <w:b/>
        </w:rPr>
        <w:t xml:space="preserve">摘要（ZH）: </w:t>
      </w:r>
      <w:r>
        <w:t>多尺度系统在科学和技术中无处不在，但由于短时空尺度必须适当地与涌现的整体物理学相联系，因此模拟这些系统具有挑战性。当昂贵的高维动态系统被粗粒化为低维模型时，信息的熵损失导致涌现的物理学具有耗散性、历史依赖性和随机性。为了从粒子轨迹的时间序列观测中机器学习粗粒化动力学，我们提出了一个使用metriplectic括号形式的框架，通过构建保留这些特性；最显著的是，该框架保证了热力学第一和第二定律的离散概念、动量守恒以及捕捉非平衡统计所需的离散涨落-耗散平衡。我们在抽象上介绍了数学框架，然后专门化为粒子离散化。由于熵态变量的标签通常不可用，我们引入了一种自监督学习策略来识别涌现的结构变量。我们在基准系统上验证了该方法，并在两个具有挑战性的例子中展示了其实用性：1）在具有挑战性的粗粒化水平上粗粒化星形聚合物，同时保留非平衡统计，2）从胶体悬浮液的高速视频中学习模型，捕捉局部重排事件与涌现随机动力学之间的耦合。我们在PyTorch和LAMMPS中提供了开源实现，支持大规模推断和扩展。</w:t>
      </w:r>
    </w:p>
    <w:p>
      <w:pPr>
        <w:spacing w:before="0" w:after="200" w:lineRule="auto" w:line="276"/>
      </w:pPr>
      <w:r>
        <w:rPr>
          <w:b/>
        </w:rPr>
        <w:t xml:space="preserve">Abstract (EN): </w:t>
      </w:r>
      <w:r>
        <w:t>Multiscale systems are ubiquitous in science and technology, but are notoriously challenging to simulate as short spatiotemporal scales must be appropriately linked to emergent bulk physics. When expensive high-dimensional dynamical systems are coarse-grained into low-dimensional models, the entropic loss of information leads to emergent physics which are dissipative, history-dependent, and stochastic. To machine learn coarse-grained dynamics from time-series observations of particle trajectories, we propose a framework using the metriplectic bracket formalism that preserves these properties by construction; most notably, the framework guarantees discrete notions of the first and second laws of thermodynamics, conservation of momentum, and a discrete fluctuation–dissipation balance crucial for capturing nonequilibrium statistics. We introduce the mathematical framework abstractly before specializing to a particle discretization. As labels are generally unavailable for entropic state variables, we introduce a self-supervised learning strategy to identify emergent structural variables. We validate the method on benchmark systems and demonstrate its utility on two challenging examples: 1) coarse-graining star polymers at challenging levels of coarse-graining while preserving nonequilibrium statistics, and 2) learning models from high-speed video of colloidal suspensions that capture coupling between local rearrangement events and emergent stochastic dynamics. We provide open-source implementations in both PyTorch and LAMMPS, enabling large-scale inference and extensibility to diverse particle-based systems.</w:t>
      </w:r>
    </w:p>
    <w:p>
      <w:pPr>
        <w:spacing w:before="120" w:after="120"/>
      </w:pPr>
      <w:r>
        <w:rPr>
          <w:sz w:val="18"/>
        </w:rPr>
        <w:t>——————————————————————————————————————————————————————————————————————</w:t>
      </w:r>
    </w:p>
    <w:p>
      <w:pPr>
        <w:spacing w:before="160" w:after="40" w:line="240" w:lineRule="auto"/>
      </w:pPr>
      <w:r>
        <w:rPr>
          <w:b/>
        </w:rPr>
        <w:t xml:space="preserve">[339] </w:t>
      </w:r>
      <w:hyperlink r:id="rId847">
        <w:r>
          <w:rPr>
            <w:color w:val="1155CC"/>
            <w:u w:val="single"/>
          </w:rPr>
          <w:t>磷脂酶D调节肉豆蔻酰化蛋白的膜上扩散性并定义PIP3斑块区域</w:t>
        </w:r>
      </w:hyperlink>
    </w:p>
    <w:p>
      <w:pPr>
        <w:spacing w:before="0" w:after="80"/>
      </w:pPr>
      <w:r>
        <w:rPr>
          <w:i/>
          <w:sz w:val="20"/>
        </w:rPr>
        <w:t>EN: Phospholipase D regulates on-membrane diffusivity of a myristoylated protein and defines the PIP3 patch territory</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48">
        <w:r>
          <w:rPr>
            <w:color w:val="1155CC"/>
            <w:u w:val="single"/>
          </w:rPr>
          <w:t>10.1073/pnas.2608790123</w:t>
        </w:r>
      </w:hyperlink>
    </w:p>
    <w:p>
      <w:pPr>
        <w:spacing w:before="0" w:after="120"/>
      </w:pPr>
      <w:r>
        <w:rPr>
          <w:b/>
        </w:rPr>
        <w:t xml:space="preserve">Notes: </w:t>
      </w:r>
      <w:r>
        <w:t>abstract_source=crossref</w:t>
      </w:r>
    </w:p>
    <w:p>
      <w:pPr>
        <w:spacing w:before="0" w:after="80" w:lineRule="auto" w:line="276"/>
      </w:pPr>
      <w:r>
        <w:rPr>
          <w:b/>
        </w:rPr>
        <w:t xml:space="preserve">摘要（ZH）: </w:t>
      </w:r>
      <w:r>
        <w:t>在活细胞中，分子扩散的控制对于高度流动的膜作为生化反应和细胞骨架组装的基质至关重要。膜中的横向扩散依赖于高度多样化和稳态控制的脂质组成。这种复杂性限制了我们对生物膜中扩散性如何被调节的理解。在这项研究中，我们表明在存在细胞质提取物的情况下，模型膜中的脂质扩散显著减少。通过靶向磷脂酶D（PLD），可以药理学地抑制脂质扩散性的降低。相反，当仅将PLD添加到膜中时，脂质扩散性降低。磷脂酸（PA）是PLD的直接产物，扩散缓慢，其存在降低了周围脂质的扩散性。此外，我们发现PLD可能通过位于脂化尾部附近的阳离子残基与阴离子磷脂之间的辅助静电相互作用，控制</w:t>
      </w:r>
      <w:r>
        <w:t xml:space="preserve"> </w:t>
      </w:r>
      <w:r>
        <w:t>Dictyostelium</w:t>
      </w:r>
      <w:r>
        <w:t xml:space="preserve"> </w:t>
      </w:r>
      <w:r>
        <w:t>细胞中肉豆蔻酰化蛋白PKBR1的横向扩散。与PKBR1在调节磷脂酰肌醇(3,4,5)-三磷酸（PIP3）中的作用一致，PLD的过表达抑制了PIP3微域的大小和寿命以及GPCR介导的PIP3升高的敏感性。我们的结果强调了PLD及其产物PA作为脂化蛋白扩散性调节剂的重要性，促进了质膜中磷酸肌醇的动态横向组织。</w:t>
      </w:r>
    </w:p>
    <w:p>
      <w:pPr>
        <w:spacing w:before="0" w:after="200" w:lineRule="auto" w:line="276"/>
      </w:pPr>
      <w:r>
        <w:rPr>
          <w:b/>
        </w:rPr>
        <w:t xml:space="preserve">Abstract (EN): </w:t>
      </w:r>
      <w:r>
        <w:t>In living cells, the control of molecular diffusion is pivotal for highly fluidic membranes to serve as substrates for biochemical reactions and cytoskeletal assemblies. Lateral diffusion in membranes depends on a highly diverse and homeostatically controlled lipid composition. This complexity has limited our understanding of how diffusivity in biological membranes is regulated. In this study, we show that lipid diffusion in model membranes decreases markedly in the presence of cytosolic extracts. The reduction in lipid diffusivity can be pharmacologically inhibited by targeting phospholipase D (PLD). Conversely, lipid diffusivity was reduced when PLD alone was added to the membrane. Phosphatidic acid (PA), a direct product of PLD, diffuses slowly, and its presence reduces the diffusivity of surrounding lipids. Furthermore, we found that PLD controls the lateral diffusion of a myristoylated protein PKBR1 in</w:t>
      </w:r>
      <w:r>
        <w:t xml:space="preserve"> </w:t>
      </w:r>
      <w:r>
        <w:t>Dictyostelium</w:t>
      </w:r>
      <w:r>
        <w:t xml:space="preserve"> </w:t>
      </w:r>
      <w:r>
        <w:t>cells, possibly through auxiliary electrostatic interactions between cationic residues located near the lipidated tail and anionic phospholipids. In line with the role of PKBR1 in regulating phosphatidylinositol(3,4,5)-trisphosphates (PIP3), PLD overexpression suppressed the size and lifetime of PIP3 microdomains as well as the sensitivity of GPCR-mediated PIP3 elevation. Our results underscore the importance of PLD and its product PA as regulators of lipidated protein diffusivity, facilitating the dynamical lateral organization of phosphoinositides in the plasma membrane.</w:t>
      </w:r>
    </w:p>
    <w:p>
      <w:pPr>
        <w:spacing w:before="120" w:after="120"/>
      </w:pPr>
      <w:r>
        <w:rPr>
          <w:sz w:val="18"/>
        </w:rPr>
        <w:t>——————————————————————————————————————————————————————————————————————</w:t>
      </w:r>
    </w:p>
    <w:p>
      <w:pPr>
        <w:spacing w:before="160" w:after="40" w:line="240" w:lineRule="auto"/>
      </w:pPr>
      <w:r>
        <w:rPr>
          <w:b/>
        </w:rPr>
        <w:t xml:space="preserve">[340] </w:t>
      </w:r>
      <w:hyperlink r:id="rId849">
        <w:r>
          <w:rPr>
            <w:color w:val="1155CC"/>
            <w:u w:val="single"/>
          </w:rPr>
          <w:t>复杂战略决策的速度和质量</w:t>
        </w:r>
      </w:hyperlink>
    </w:p>
    <w:p>
      <w:pPr>
        <w:spacing w:before="0" w:after="80"/>
      </w:pPr>
      <w:r>
        <w:rPr>
          <w:i/>
          <w:sz w:val="20"/>
        </w:rPr>
        <w:t>EN: Speed and quality of complex strategic decisions</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50">
        <w:r>
          <w:rPr>
            <w:color w:val="1155CC"/>
            <w:u w:val="single"/>
          </w:rPr>
          <w:t>10.1073/pnas.2531472123</w:t>
        </w:r>
      </w:hyperlink>
    </w:p>
    <w:p>
      <w:pPr>
        <w:spacing w:before="0" w:after="120"/>
      </w:pPr>
      <w:r>
        <w:rPr>
          <w:b/>
        </w:rPr>
        <w:t xml:space="preserve">Notes: </w:t>
      </w:r>
      <w:r>
        <w:t>abstract_source=crossref</w:t>
      </w:r>
    </w:p>
    <w:p>
      <w:pPr>
        <w:spacing w:before="0" w:after="80" w:lineRule="auto" w:line="276"/>
      </w:pPr>
      <w:r>
        <w:rPr>
          <w:b/>
        </w:rPr>
        <w:t xml:space="preserve">摘要（ZH）: </w:t>
      </w:r>
      <w:r>
        <w:t>许多战略决策涉及相当复杂性和时间压力，但对认知要求高的战略决策的决策速度与决策质量之间的关系尚不清楚。本文通过一个具有异常详细和精确的决策时间和决策质量信息的环境对此问题提供了证据——它分析了面对面职业国际象棋比赛中的逐步数据。决策质量通过将实际走棋与使用国际象棋引擎的人工智能构建的最佳走棋的计算基准进行比较来衡量。结果表明，即使在考虑计算复杂性、替代方案之间的独特性和时间压力之后，较快的决策与较高的决策质量相关。更大的计算复杂性和较低的走棋替代方案之间的独特性与较长的决策时间相关，而更大的时间压力与较短的决策时间相关。所有三个因素都与较低的决策质量相关。我们根据不同决策模型的预测讨论了这些发现，这些模型中个体依次获取关于具有不确定估值的替代方案的信息，将最初在非战略决策背景下开发的理论扩展到战略环境中。</w:t>
      </w:r>
    </w:p>
    <w:p>
      <w:pPr>
        <w:spacing w:before="0" w:after="200" w:lineRule="auto" w:line="276"/>
      </w:pPr>
      <w:r>
        <w:rPr>
          <w:b/>
        </w:rPr>
        <w:t xml:space="preserve">Abstract (EN): </w:t>
      </w:r>
      <w:r>
        <w:t>Many strategic decisions involve both substantial complexity and time pressure, but the association between decision speed and decision quality of cognitively demanding strategic decisions is not well understood. This paper presents evidence on this question using a setting with exceptionally detailed and precise information about decision times and decision quality—it analyses move-by-move data from in-person professional chess tournaments. Decision quality is measured by comparing actual moves to a computational benchmark of best moves constructed using the artificial intelligence of a chess engine. The results show that faster decisions are associated with higher decision quality, even after accounting for computational complexity, distinctiveness between alternatives, and time pressure. Greater computational complexity and lower distinctiveness between move alternatives are associated with longer decision times, whereas greater time pressure is associated with shorter decision times. All three factors are associated with lower decision quality. We discuss the findings against the predictions of different decision models in which individuals sequentially acquire information about alternatives with uncertain valuations, extending theories originally developed in the context of nonstrategic decisions to a strategic environment.</w:t>
      </w:r>
    </w:p>
    <w:p>
      <w:pPr>
        <w:spacing w:before="120" w:after="120"/>
      </w:pPr>
      <w:r>
        <w:rPr>
          <w:sz w:val="18"/>
        </w:rPr>
        <w:t>——————————————————————————————————————————————————————————————————————</w:t>
      </w:r>
    </w:p>
    <w:p>
      <w:pPr>
        <w:spacing w:before="160" w:after="40" w:line="240" w:lineRule="auto"/>
      </w:pPr>
      <w:r>
        <w:rPr>
          <w:b/>
        </w:rPr>
        <w:t xml:space="preserve">[341] </w:t>
      </w:r>
      <w:hyperlink r:id="rId851">
        <w:r>
          <w:rPr>
            <w:color w:val="1155CC"/>
            <w:u w:val="single"/>
          </w:rPr>
          <w:t>超越癫痫控制：识别失神癫痫中的认知网络缺陷</w:t>
        </w:r>
      </w:hyperlink>
    </w:p>
    <w:p>
      <w:pPr>
        <w:spacing w:before="0" w:after="80"/>
      </w:pPr>
      <w:r>
        <w:rPr>
          <w:i/>
          <w:sz w:val="20"/>
        </w:rPr>
        <w:t>EN: Beyond seizure control: Identifying deficits in cognitive networks in absence epilepsy</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52">
        <w:r>
          <w:rPr>
            <w:color w:val="1155CC"/>
            <w:u w:val="single"/>
          </w:rPr>
          <w:t>10.1126/sciadv.aed3642</w:t>
        </w:r>
      </w:hyperlink>
    </w:p>
    <w:p>
      <w:pPr>
        <w:spacing w:before="0" w:after="120"/>
      </w:pPr>
      <w:r>
        <w:rPr>
          <w:b/>
        </w:rPr>
        <w:t xml:space="preserve">Notes: </w:t>
      </w:r>
      <w:r>
        <w:t>abstract_source=crossref</w:t>
      </w:r>
    </w:p>
    <w:p>
      <w:pPr>
        <w:spacing w:before="0" w:after="80" w:lineRule="auto" w:line="276"/>
      </w:pPr>
      <w:r>
        <w:rPr>
          <w:b/>
        </w:rPr>
        <w:t xml:space="preserve">摘要（ZH）: </w:t>
      </w:r>
      <w:r>
        <w:t>认知障碍在失神癫痫中很常见，但这些缺陷的神经基础仍然很大程度上未知。丘脑联合核与前额叶皮层之间的通信对于灵活行为至关重要。在此，我们在患有失神癫痫的小鼠中发现了这一通路的中断。这种功能障碍导致认知灵活性受损和皮层抑制改变，将与癫痫发作相关的丘脑活动与前额叶网络失衡联系起来。值得注意的是，针对丘脑-前额叶通路的刺激缓解了癫痫发作和认知缺陷。这些发现揭示了癫痫和认知症状的共同电路机制，指出了新的干预策略。</w:t>
      </w:r>
    </w:p>
    <w:p>
      <w:pPr>
        <w:spacing w:before="0" w:after="200" w:lineRule="auto" w:line="276"/>
      </w:pPr>
      <w:r>
        <w:rPr>
          <w:b/>
        </w:rPr>
        <w:t xml:space="preserve">Abstract (EN): </w:t>
      </w:r>
      <w:r>
        <w:t>Cognitive impairments are common in absence epilepsy, yet the neural basis of these deficits remains largely unknown. Communication between the thalamic reuniens nucleus and the prefrontal cortex is critical for flexible behavior. Here, we identify a disruption of this pathway in mice with absence epilepsy. This dysfunction leads to impaired cognitive flexibility and altered cortical inhibition, linking seizure-related thalamic activity to prefrontal network imbalance. Notably, targeted stimulation of the thalamic-prefrontal pathway alleviates both seizure occurrence and cognitive deficits. These findings reveal a shared circuit mechanism underlying epileptic and cognitive symptoms, pointing to new strategies for intervention.</w:t>
      </w:r>
    </w:p>
    <w:p>
      <w:pPr>
        <w:spacing w:before="120" w:after="120"/>
      </w:pPr>
      <w:r>
        <w:rPr>
          <w:sz w:val="18"/>
        </w:rPr>
        <w:t>——————————————————————————————————————————————————————————————————————</w:t>
      </w:r>
    </w:p>
    <w:p>
      <w:pPr>
        <w:spacing w:before="160" w:after="40" w:line="240" w:lineRule="auto"/>
      </w:pPr>
      <w:r>
        <w:rPr>
          <w:b/>
        </w:rPr>
        <w:t xml:space="preserve">[342] </w:t>
      </w:r>
      <w:hyperlink r:id="rId853">
        <w:r>
          <w:rPr>
            <w:color w:val="1155CC"/>
            <w:u w:val="single"/>
          </w:rPr>
          <w:t>马的遗传学、考古学与骑乘的起源</w:t>
        </w:r>
      </w:hyperlink>
    </w:p>
    <w:p>
      <w:pPr>
        <w:spacing w:before="0" w:after="80"/>
      </w:pPr>
      <w:r>
        <w:rPr>
          <w:i/>
          <w:sz w:val="20"/>
        </w:rPr>
        <w:t>EN: Horse genetics, archaeology, and the beginning of riding</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54">
        <w:r>
          <w:rPr>
            <w:color w:val="1155CC"/>
            <w:u w:val="single"/>
          </w:rPr>
          <w:t>10.1126/sciadv.ady7336</w:t>
        </w:r>
      </w:hyperlink>
    </w:p>
    <w:p>
      <w:pPr>
        <w:spacing w:before="0" w:after="120"/>
      </w:pPr>
      <w:r>
        <w:rPr>
          <w:b/>
        </w:rPr>
        <w:t xml:space="preserve">Notes: </w:t>
      </w:r>
      <w:r>
        <w:t>abstract_source=crossref</w:t>
      </w:r>
    </w:p>
    <w:p>
      <w:pPr>
        <w:spacing w:before="0" w:after="80" w:lineRule="auto" w:line="276"/>
      </w:pPr>
      <w:r>
        <w:rPr>
          <w:b/>
        </w:rPr>
        <w:t xml:space="preserve">摘要（ZH）: </w:t>
      </w:r>
      <w:r>
        <w:t>最近的论文认为，马的驯化可以等同于首次在约公元前2200–2100年的DOM2谱系个体中显现的有利基因突变的出现。我们质疑仅凭这种基因转变就能定义驯化的观点。考古学、古代DNA、骨骼学和其他学科的证据表明，来自多个基因背景（DOM1、DOM2，以及我们在此建议的DOM3）的马早在公元前2200年之前就被管理、挤奶和骑乘。亚姆纳亚人群（约公元前3200–2600年）骑乘DOM2马——现代家养马的直接祖先——同时将它们纳入饮食、仪式和流动系统。对与耐力和性情相关的特征的选择早在几个世纪前就已开始。驯化不是一次突然的突破，而是一个漫长的、区域性多样的过程，其对人类流动性和社会组织的变革性影响早在第四甚至第五千年公元前就已开始，并为后来的DOM2主导地位奠定了基础。</w:t>
      </w:r>
    </w:p>
    <w:p>
      <w:pPr>
        <w:spacing w:before="0" w:after="200" w:lineRule="auto" w:line="276"/>
      </w:pPr>
      <w:r>
        <w:rPr>
          <w:b/>
        </w:rPr>
        <w:t xml:space="preserve">Abstract (EN): </w:t>
      </w:r>
      <w:r>
        <w:t>Recent papers argued that the domestication of horses can be equated with the appearance of favorable genetic mutations that are first evident in individuals in the DOM2 clade dated about ∼2200–2100 BCE. We challenge the idea that this genetic shift alone defines domestication. Evidence from archaeology, ancient DNA, osteology, and other disciplines shows that horses from multiple genetic backgrounds (DOM1, DOM2, and, as we suggest here, DOM3) were managed, milked, and ridden long before 2200 BCE. Yamnaya groups (∼3200–2600 BCE) rode DOM2 horses—the direct ancestors of modern domestic stock—while incorporating them into diets, rituals, and mobility systems. Selection for traits linked to endurance and temperament began centuries earlier. Rather than a sudden breakthrough, domestication was a protracted, regionally varied process whose transformative effects on human mobility and social organization began as early as the fourth, if not the fifth millennium BCE, and set the stage for later DOM2 dominance.</w:t>
      </w:r>
    </w:p>
    <w:p>
      <w:pPr>
        <w:spacing w:before="120" w:after="120"/>
      </w:pPr>
      <w:r>
        <w:rPr>
          <w:sz w:val="18"/>
        </w:rPr>
        <w:t>——————————————————————————————————————————————————————————————————————</w:t>
      </w:r>
    </w:p>
    <w:p>
      <w:pPr>
        <w:spacing w:before="160" w:after="40" w:line="240" w:lineRule="auto"/>
      </w:pPr>
      <w:r>
        <w:rPr>
          <w:b/>
        </w:rPr>
        <w:t xml:space="preserve">[343] </w:t>
      </w:r>
      <w:hyperlink r:id="rId855">
        <w:r>
          <w:rPr>
            <w:color w:val="1155CC"/>
            <w:u w:val="single"/>
          </w:rPr>
          <w:t>引言：用于能源解决方案的单晶材料：从材料化学到制造科学</w:t>
        </w:r>
      </w:hyperlink>
    </w:p>
    <w:p>
      <w:pPr>
        <w:spacing w:before="0" w:after="80"/>
      </w:pPr>
      <w:r>
        <w:rPr>
          <w:i/>
          <w:sz w:val="20"/>
        </w:rPr>
        <w:t>EN: Introduction: Single Crystal Materials for Energy Solutions: From Materials Chemistry to Manufacturing Science</w:t>
      </w:r>
    </w:p>
    <w:p>
      <w:pPr>
        <w:spacing w:before="0" w:after="120"/>
      </w:pPr>
      <w:r>
        <w:rPr>
          <w:b/>
        </w:rPr>
        <w:t xml:space="preserve">Source: </w:t>
      </w:r>
      <w:r>
        <w:t>acs: Chemical Reviews: Table of Contents</w:t>
      </w:r>
      <w:r>
        <w:t xml:space="preserve">    </w:t>
      </w:r>
      <w:r>
        <w:rPr>
          <w:b/>
        </w:rPr>
        <w:t xml:space="preserve">Pub date: </w:t>
      </w:r>
      <w:r>
        <w:t>2026-05-13 07:00:00+00:00</w:t>
      </w:r>
      <w:r>
        <w:t xml:space="preserve">    </w:t>
      </w:r>
      <w:r>
        <w:rPr>
          <w:b/>
        </w:rPr>
        <w:t xml:space="preserve">DOI: </w:t>
      </w:r>
      <w:hyperlink r:id="rId856">
        <w:r>
          <w:rPr>
            <w:color w:val="1155CC"/>
            <w:u w:val="single"/>
          </w:rPr>
          <w:t>10.1021/acs.chemrev.6c00315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[344] </w:t>
      </w:r>
      <w:hyperlink r:id="rId857">
        <w:r>
          <w:rPr>
            <w:color w:val="1155CC"/>
            <w:u w:val="single"/>
          </w:rPr>
          <w:t>人体缝隙连接的原位结构</w:t>
        </w:r>
      </w:hyperlink>
    </w:p>
    <w:p>
      <w:pPr>
        <w:spacing w:before="0" w:after="80"/>
      </w:pPr>
      <w:r>
        <w:rPr>
          <w:i/>
          <w:sz w:val="20"/>
        </w:rPr>
        <w:t>EN: In situ structure of the human gap junction</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58">
        <w:r>
          <w:rPr>
            <w:color w:val="1155CC"/>
            <w:u w:val="single"/>
          </w:rPr>
          <w:t>10.1126/sciadv.aea4183</w:t>
        </w:r>
      </w:hyperlink>
    </w:p>
    <w:p>
      <w:pPr>
        <w:spacing w:before="0" w:after="120"/>
      </w:pPr>
      <w:r>
        <w:rPr>
          <w:b/>
        </w:rPr>
        <w:t xml:space="preserve">Notes: </w:t>
      </w:r>
      <w:r>
        <w:t>abstract_source=crossref</w:t>
      </w:r>
    </w:p>
    <w:p>
      <w:pPr>
        <w:spacing w:before="0" w:after="80" w:lineRule="auto" w:line="276"/>
      </w:pPr>
      <w:r>
        <w:rPr>
          <w:b/>
        </w:rPr>
        <w:t xml:space="preserve">摘要（ZH）: </w:t>
      </w:r>
      <w:r>
        <w:t>缝隙连接斑块（GJPs）能够实现直接的细胞间通信，由排列成二维晶格的连接蛋白通道组成。虽然纯化的连接蛋白通道结构为门控模型提供了信息，但它们省略了关键的细胞内区域并缺乏天然背景。在此，我们使用冷冻电子断层扫描和聚焦离子束铣削确定了HEK293细胞中人类连接蛋白43（Cx43）GJPs的原位结构，分辨率为14埃。我们揭示了一个先前未解决的结构贡献，即大羧基末端结构域对侧向通道-通道相互作用的贡献，这似乎对斑块组装至关重要。粗粒度分子动力学模拟表明脂质和胆固醇如何占据相邻连接蛋白之间的空间。这些发现解决了一个关于缝隙连接组织的几十年问题，并强调了羧基末端结构域的机械功能，可能由螺旋-环-螺旋结构调节。我们的研究为理解连接蛋白多样性和调控如何塑造健康和疾病中的组织级通信提供了结构蓝图。</w:t>
      </w:r>
    </w:p>
    <w:p>
      <w:pPr>
        <w:spacing w:before="0" w:after="200" w:lineRule="auto" w:line="276"/>
      </w:pPr>
      <w:r>
        <w:rPr>
          <w:b/>
        </w:rPr>
        <w:t xml:space="preserve">Abstract (EN): </w:t>
      </w:r>
      <w:r>
        <w:t>Gap junction plaques (GJPs) enable direct intercellular communication and consist of connexin channels arranged into two-dimensional lattices. While structures of purified connexin channels have informed models of gating, they omit key intracellular regions and lack native context. Here, we use cryo–electron tomography and focused ion beam milling to determine the in situ structure of human connexin 43 (Cx43) GJPs in HEK293 cells at 14-Å resolution. We reveal a previously unresolved structural contribution of the large carboxyl-terminal domain to lateral channel-channel interactions that appear critical for plaque assembly. Coarse-grained molecular dynamics simulations suggest how lipids and cholesterol occupy the space between adjacent connexins. These findings resolve a decades-old question regarding gap junction organization and highlight a mechanistic function for the carboxyl-terminal domain, likely regulated by a helix-loop-helix motif. Our study provides a structural blueprint for understanding how connexin diversity and regulation shape tissue-level communication in health and disease.</w:t>
      </w:r>
    </w:p>
    <w:p>
      <w:pPr>
        <w:spacing w:before="120" w:after="120"/>
      </w:pPr>
      <w:r>
        <w:rPr>
          <w:sz w:val="18"/>
        </w:rPr>
        <w:t>——————————————————————————————————————————————————————————————————————</w:t>
      </w:r>
    </w:p>
    <w:p>
      <w:pPr>
        <w:spacing w:before="160" w:after="40" w:line="240" w:lineRule="auto"/>
      </w:pPr>
      <w:r>
        <w:rPr>
          <w:b/>
        </w:rPr>
        <w:t xml:space="preserve">[345] </w:t>
      </w:r>
      <w:hyperlink r:id="rId859">
        <w:r>
          <w:rPr>
            <w:color w:val="1155CC"/>
            <w:u w:val="single"/>
          </w:rPr>
          <w:t>甲状腺激素介导的视蛋白转换启动原始脊椎动物的变态</w:t>
        </w:r>
      </w:hyperlink>
    </w:p>
    <w:p>
      <w:pPr>
        <w:spacing w:before="0" w:after="80"/>
      </w:pPr>
      <w:r>
        <w:rPr>
          <w:i/>
          <w:sz w:val="20"/>
        </w:rPr>
        <w:t>EN: A thyroid hormone–mediated opsin switch initiates metamorphosis in a proto-vertebrate</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60">
        <w:r>
          <w:rPr>
            <w:color w:val="1155CC"/>
            <w:u w:val="single"/>
          </w:rPr>
          <w:t>10.1126/sciadv.aeb8106</w:t>
        </w:r>
      </w:hyperlink>
    </w:p>
    <w:p>
      <w:pPr>
        <w:spacing w:before="0" w:after="120"/>
      </w:pPr>
      <w:r>
        <w:rPr>
          <w:b/>
        </w:rPr>
        <w:t xml:space="preserve">Notes: </w:t>
      </w:r>
      <w:r>
        <w:t>abstract_source=crossref</w:t>
      </w:r>
    </w:p>
    <w:p>
      <w:pPr>
        <w:spacing w:before="0" w:after="80" w:lineRule="auto" w:line="276"/>
      </w:pPr>
      <w:r>
        <w:rPr>
          <w:b/>
        </w:rPr>
        <w:t xml:space="preserve">摘要（ZH）: </w:t>
      </w:r>
      <w:r>
        <w:t>甲状腺激素（THs）在脊椎动物中启动变态过程，尽管这一过程的进化起源尚不确定。在此，我们展示了大多数TH处理基因存在于原始脊椎动物模型</w:t>
      </w:r>
      <w:r>
        <w:t xml:space="preserve"> </w:t>
      </w:r>
      <w:r>
        <w:t>Ciona</w:t>
      </w:r>
      <w:r>
        <w:t xml:space="preserve"> </w:t>
      </w:r>
      <w:r>
        <w:t>中，并在启动变态过程中发挥指导作用，其中具有脊索动物体型的游泳蝌蚪被转变为固着的滤食者。外源甲状腺素（T4）加速变态，而TH抑制剂则延迟开始。最值得注意的是，我们提供了证据表明TH激活了</w:t>
      </w:r>
      <w:r>
        <w:t xml:space="preserve"> </w:t>
      </w:r>
      <w:r>
        <w:t>Opsin2</w:t>
      </w:r>
      <w:r>
        <w:t xml:space="preserve"> </w:t>
      </w:r>
      <w:r>
        <w:t>（</w:t>
      </w:r>
      <w:r>
        <w:t xml:space="preserve"> </w:t>
      </w:r>
      <w:r>
        <w:t>Opsin1/2b</w:t>
      </w:r>
      <w:r>
        <w:t xml:space="preserve"> </w:t>
      </w:r>
      <w:r>
        <w:t>）在游泳蝌蚪简单大脑中的一部分光感受器细胞中启动附着，这是变态的第一步。我们的研究结果表明TH驱动的视觉可塑性在脊椎动物中具有深远的进化起源。我们强调了</w:t>
      </w:r>
      <w:r>
        <w:t xml:space="preserve"> </w:t>
      </w:r>
      <w:r>
        <w:t>Ciona</w:t>
      </w:r>
      <w:r>
        <w:t xml:space="preserve"> </w:t>
      </w:r>
      <w:r>
        <w:t>蝌蚪附着与小鲑鱼化的相似之处，其中年轻的鲑鱼类鱼类从紫外线视蛋白转变为蓝色视蛋白，以适应从淡水到咸水的过渡。</w:t>
      </w:r>
    </w:p>
    <w:p>
      <w:pPr>
        <w:spacing w:before="0" w:after="200" w:lineRule="auto" w:line="276"/>
      </w:pPr>
      <w:r>
        <w:rPr>
          <w:b/>
        </w:rPr>
        <w:t xml:space="preserve">Abstract (EN): </w:t>
      </w:r>
      <w:r>
        <w:t>Thyroid hormones (THs) initiate metamorphosis in vertebrates, although the evolutionary origins of this process are uncertain. Here, we show that most TH processing genes are present in the proto-vertebrate model</w:t>
      </w:r>
      <w:r>
        <w:t xml:space="preserve"> </w:t>
      </w:r>
      <w:r>
        <w:t>Ciona</w:t>
      </w:r>
      <w:r>
        <w:t xml:space="preserve"> </w:t>
      </w:r>
      <w:r>
        <w:t>and play an instructive role in initiating metamorphosis, whereby swimming tadpoles with a chordate body plan are transformed into sessile filter feeders. Exogenous thyroxine (T4) accelerates metamorphosis, whereas TH inhibitors delay onset. Most notably, we present evidence that TH activates</w:t>
      </w:r>
      <w:r>
        <w:t xml:space="preserve"> </w:t>
      </w:r>
      <w:r>
        <w:t>Opsin2</w:t>
      </w:r>
      <w:r>
        <w:t xml:space="preserve"> </w:t>
      </w:r>
      <w:r>
        <w:t>(</w:t>
      </w:r>
      <w:r>
        <w:t xml:space="preserve"> </w:t>
      </w:r>
      <w:r>
        <w:t>Opsin1/2b</w:t>
      </w:r>
      <w:r>
        <w:t xml:space="preserve"> </w:t>
      </w:r>
      <w:r>
        <w:t>) in a subset of photoreceptor cells in the simple brain of swimming tadpoles to initiate attachment, the first step in metamorphosis. Our findings suggest a deep evolutionary origin of TH-driven visual plasticity in vertebrates. We highlight the parallels between attachment of</w:t>
      </w:r>
      <w:r>
        <w:t xml:space="preserve"> </w:t>
      </w:r>
      <w:r>
        <w:t>Ciona</w:t>
      </w:r>
      <w:r>
        <w:t xml:space="preserve"> </w:t>
      </w:r>
      <w:r>
        <w:t>tadpoles and smoltification, whereby young salmonid fishes switch from UV to blue opsins for their transition from fresh to saltwater.</w:t>
      </w:r>
    </w:p>
    <w:p>
      <w:pPr>
        <w:spacing w:before="120" w:after="120"/>
      </w:pPr>
      <w:r>
        <w:rPr>
          <w:sz w:val="18"/>
        </w:rPr>
        <w:t>——————————————————————————————————————————————————————————————————————</w:t>
      </w:r>
    </w:p>
    <w:p>
      <w:pPr>
        <w:spacing w:before="160" w:after="40" w:line="240" w:lineRule="auto"/>
      </w:pPr>
      <w:r>
        <w:rPr>
          <w:b/>
        </w:rPr>
        <w:t xml:space="preserve">[346] </w:t>
      </w:r>
      <w:hyperlink r:id="rId861">
        <w:r>
          <w:rPr>
            <w:color w:val="1155CC"/>
            <w:u w:val="single"/>
          </w:rPr>
          <w:t>具有记忆能力的遗传电路的磁性医疗微型机器人</w:t>
        </w:r>
      </w:hyperlink>
    </w:p>
    <w:p>
      <w:pPr>
        <w:spacing w:before="0" w:after="80"/>
      </w:pPr>
      <w:r>
        <w:rPr>
          <w:i/>
          <w:sz w:val="20"/>
        </w:rPr>
        <w:t>EN: Magnetic medical microrobots with memory-capable genetic circuits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62">
        <w:r>
          <w:rPr>
            <w:color w:val="1155CC"/>
            <w:u w:val="single"/>
          </w:rPr>
          <w:t>10.1126/sciadv.aeb2528</w:t>
        </w:r>
      </w:hyperlink>
    </w:p>
    <w:p>
      <w:pPr>
        <w:spacing w:before="0" w:after="120"/>
      </w:pPr>
      <w:r>
        <w:rPr>
          <w:b/>
        </w:rPr>
        <w:t xml:space="preserve">Notes: </w:t>
      </w:r>
      <w:r>
        <w:t>abstract_source=crossref</w:t>
      </w:r>
    </w:p>
    <w:p>
      <w:pPr>
        <w:spacing w:before="0" w:after="80" w:lineRule="auto" w:line="276"/>
      </w:pPr>
      <w:r>
        <w:rPr>
          <w:b/>
        </w:rPr>
        <w:t xml:space="preserve">摘要（ZH）: </w:t>
      </w:r>
      <w:r>
        <w:t>自主微型机器人可以到达人类身体中难以接触的区域进行微创治疗。然而，其微观尺寸限制了机载存储器的集成，使其操作依赖于外部控制。在此，我们开发了一种磁性益生菌微型机器人，集成了具有存储能力的遗传电路，以执行自主的抗肿瘤治疗。通过一次性磁热触发，微型机器人中的生物热传感器感知温度变化并激活存储模块Bxb1-ssrA-attB-P7-attP，将微型机器人转变为治疗状态，持续降解纤维蛋白并软化肿瘤微环境。遗传记忆至少保持活跃12天。随后，在记忆编码的软化和通过磁控波状运动的微型机器人物理穿透之间建立了对深层肿瘤穿透的协同作用。与无记忆的微型机器人相比，所提出的微型机器人实现了6.70倍的肿瘤基质刚度降低，并将体内抗癌效果从21.86%提高到87.52%。除了肿瘤学之外，所提出的系统建立了一个可推广的记忆编码医疗微型机器人框架。</w:t>
      </w:r>
    </w:p>
    <w:p>
      <w:pPr>
        <w:spacing w:before="0" w:after="200" w:lineRule="auto" w:line="276"/>
      </w:pPr>
      <w:r>
        <w:rPr>
          <w:b/>
        </w:rPr>
        <w:t xml:space="preserve">Abstract (EN): </w:t>
      </w:r>
      <w:r>
        <w:t>Autonomous microrobots can reach hard-to-access regions in the human body for minimally invasive therapy. However, their microscale size limits the integration of on-board memory, making their operation dependent on external controls. Here, we develop a magnetic probiotic microrobot integrated with memory-capable genetic circuit to execute autonomous antitumor treatment. Through a one-time magnetic hyperthermia trigger, the biological thermal sensor in the microrobot perceives temperature change and activates the memory module Bxb1-ssrA-</w:t>
      </w:r>
      <w:r>
        <w:t>attB</w:t>
      </w:r>
      <w:r>
        <w:t xml:space="preserve"> </w:t>
      </w:r>
      <w:r>
        <w:t>-P7-</w:t>
      </w:r>
      <w:r>
        <w:t>attP</w:t>
      </w:r>
      <w:r>
        <w:t xml:space="preserve"> </w:t>
      </w:r>
      <w:r>
        <w:t>, transferring the microrobots into a therapeutic state to continuously degrade fibrin and soften the tumor microenvironment. The genetic memory remains active for at least 12 days. A synergy toward deep tumor penetration is subsequently established between the memory-encoded softening and the physical penetration through magnetically controlled wave-like locomotion of microrobots. Compared with memory-absent microrobots, the proposed microrobots achieve a 6.70-fold tumor matrix stiffness reduction and boost in vivo anticancer efficacy from 21.86 to 87.52%. Beyond oncology, the proposed system establishes a generalizable framework of memory-encoded medical microrobots.</w:t>
      </w:r>
    </w:p>
    <w:p>
      <w:pPr>
        <w:spacing w:before="120" w:after="120"/>
      </w:pPr>
      <w:r>
        <w:rPr>
          <w:sz w:val="18"/>
        </w:rPr>
        <w:t>——————————————————————————————————————————————————————————————————————</w:t>
      </w:r>
    </w:p>
    <w:p>
      <w:pPr>
        <w:spacing w:before="160" w:after="40" w:line="240" w:lineRule="auto"/>
      </w:pPr>
      <w:r>
        <w:rPr>
          <w:b/>
        </w:rPr>
        <w:t xml:space="preserve">[347] </w:t>
      </w:r>
      <w:hyperlink r:id="rId863">
        <w:r>
          <w:rPr>
            <w:color w:val="1155CC"/>
            <w:u w:val="single"/>
          </w:rPr>
          <w:t>m6A RNA修饰指导选择性多聚腺苷酸化以维持T细胞静止</w:t>
        </w:r>
      </w:hyperlink>
    </w:p>
    <w:p>
      <w:pPr>
        <w:spacing w:before="0" w:after="80"/>
      </w:pPr>
      <w:r>
        <w:rPr>
          <w:i/>
          <w:sz w:val="20"/>
        </w:rPr>
        <w:t>EN: m6A RNA modification guides alternative polyadenylation to maintain T cell quiescence</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64">
        <w:r>
          <w:rPr>
            <w:color w:val="1155CC"/>
            <w:u w:val="single"/>
          </w:rPr>
          <w:t>10.1126/sciadv.aea4983</w:t>
        </w:r>
      </w:hyperlink>
    </w:p>
    <w:p>
      <w:pPr>
        <w:spacing w:before="0" w:after="120"/>
      </w:pPr>
      <w:r>
        <w:rPr>
          <w:b/>
        </w:rPr>
        <w:t xml:space="preserve">Notes: </w:t>
      </w:r>
      <w:r>
        <w:t>abstract_source=crossref</w:t>
      </w:r>
    </w:p>
    <w:p>
      <w:pPr>
        <w:spacing w:before="0" w:after="80" w:lineRule="auto" w:line="276"/>
      </w:pPr>
      <w:r>
        <w:rPr>
          <w:b/>
        </w:rPr>
        <w:t xml:space="preserve">摘要（ZH）: </w:t>
      </w:r>
      <w:r>
        <w:t>N6-甲基腺苷（m6A）主要富集在信使RNA（mRNA）的最后外显子和3′非翻译区（3′UTR），并与T细胞稳态相关。在T细胞激活时，通过选择性多聚腺苷化（APA）促进全局mRNA 3′UTR缩短。然而，目前尚不清楚T细胞如何协调这两个重要的转录后调控事件以维持静止。在此，我们发现m6A“写入者”METTL3直接与APA因子NUDT21相互作用并指导多聚（A）位点选择。在T细胞中删除Nudt21导致同时过度激活和加速凋亡，导致T细胞丧失和适应性免疫功能受损。在机制上，METTL3将NUDT21招募到Rragd mRNA的近端多聚（A）位点，生成带有m6A修饰的长3′UTR。Nudt21缺乏导致Rragd 3′UTR缩短并增加Rragd表达，导致哺乳动物雷帕霉素靶标信号的过度激活。我们的研究揭示了一种m6A指导的多聚（A）位点选择机制，并定义了m6A-APA串话在维持T细胞静止中的体内作用。</w:t>
      </w:r>
    </w:p>
    <w:p>
      <w:pPr>
        <w:spacing w:before="0" w:after="200" w:lineRule="auto" w:line="276"/>
      </w:pPr>
      <w:r>
        <w:rPr>
          <w:b/>
        </w:rPr>
        <w:t xml:space="preserve">Abstract (EN): </w:t>
      </w:r>
      <w:r>
        <w:t>N</w:t>
      </w:r>
      <w:r>
        <w:rPr>
          <w:vertAlign w:val="subscript"/>
        </w:rPr>
        <w:t>6</w:t>
      </w:r>
      <w:r>
        <w:t>-Methyladenosine (m</w:t>
      </w:r>
      <w:r>
        <w:rPr>
          <w:vertAlign w:val="subscript"/>
        </w:rPr>
        <w:t>6</w:t>
      </w:r>
      <w:r>
        <w:t>A) is primarily enriched in the last exons and 3′ untranslated regions (3′UTRs) of messenger RNAs (mRNAs) and is associated with T cell homeostasis. Upon T cell activation, global mRNA 3′UTR shortening is facilitated through alternative polyadenylation (APA). However, it is unclear how T cells coordinate these two important posttranscriptional regulatory events to maintain quiescence. Here, we found that the m</w:t>
      </w:r>
      <w:r>
        <w:rPr>
          <w:vertAlign w:val="subscript"/>
        </w:rPr>
        <w:t>6</w:t>
      </w:r>
      <w:r>
        <w:t>A “writer” METTL3 directly interacts with APA factor NUDT21 and guided poly(A) site selection. Deletion of</w:t>
      </w:r>
      <w:r>
        <w:t xml:space="preserve"> </w:t>
      </w:r>
      <w:r>
        <w:t>Nudt21</w:t>
      </w:r>
      <w:r>
        <w:t xml:space="preserve"> </w:t>
      </w:r>
      <w:r>
        <w:t>in T cells resulted in simultaneous overactivation and accelerated apoptosis, leading to T cell loss and impaired adaptive immune function. Mechanistically, METTL3 recruits NUDT21 to the proximal poly(A) site of</w:t>
      </w:r>
      <w:r>
        <w:t xml:space="preserve"> </w:t>
      </w:r>
      <w:r>
        <w:t>Rragd</w:t>
      </w:r>
      <w:r>
        <w:t xml:space="preserve"> </w:t>
      </w:r>
      <w:r>
        <w:t>mRNA, generating long 3′UTR with m</w:t>
      </w:r>
      <w:r>
        <w:rPr>
          <w:vertAlign w:val="subscript"/>
        </w:rPr>
        <w:t>6</w:t>
      </w:r>
      <w:r>
        <w:t>A modifications.</w:t>
      </w:r>
      <w:r>
        <w:t xml:space="preserve"> </w:t>
      </w:r>
      <w:r>
        <w:t>Nudt21</w:t>
      </w:r>
      <w:r>
        <w:t xml:space="preserve"> </w:t>
      </w:r>
      <w:r>
        <w:t>deficiency causes</w:t>
      </w:r>
      <w:r>
        <w:t xml:space="preserve"> </w:t>
      </w:r>
      <w:r>
        <w:t>Rragd</w:t>
      </w:r>
      <w:r>
        <w:t xml:space="preserve"> </w:t>
      </w:r>
      <w:r>
        <w:t>3′UTR shortening and increases</w:t>
      </w:r>
      <w:r>
        <w:t xml:space="preserve"> </w:t>
      </w:r>
      <w:r>
        <w:t>Rragd</w:t>
      </w:r>
      <w:r>
        <w:t xml:space="preserve"> </w:t>
      </w:r>
      <w:r>
        <w:t>expression, leading to overactivation of mammalian target of rapamycin signaling. Our study reveals an m</w:t>
      </w:r>
      <w:r>
        <w:rPr>
          <w:vertAlign w:val="subscript"/>
        </w:rPr>
        <w:t>6</w:t>
      </w:r>
      <w:r>
        <w:t>A-guided poly(A) site selection mechanism and defines in vivo roles of m</w:t>
      </w:r>
      <w:r>
        <w:rPr>
          <w:vertAlign w:val="subscript"/>
        </w:rPr>
        <w:t>6</w:t>
      </w:r>
      <w:r>
        <w:t>A-APA cross-talk in maintaining T cell quiescence.</w:t>
      </w:r>
    </w:p>
    <w:p>
      <w:pPr>
        <w:spacing w:before="120" w:after="120"/>
      </w:pPr>
      <w:r>
        <w:rPr>
          <w:sz w:val="18"/>
        </w:rPr>
        <w:t>——————————————————————————————————————————————————————————————————————</w:t>
      </w:r>
    </w:p>
    <w:p>
      <w:pPr>
        <w:spacing w:before="160" w:after="40" w:line="240" w:lineRule="auto"/>
      </w:pPr>
      <w:r>
        <w:rPr>
          <w:b/>
        </w:rPr>
        <w:t xml:space="preserve">[348] </w:t>
      </w:r>
      <w:hyperlink r:id="rId865">
        <w:r>
          <w:rPr>
            <w:color w:val="1155CC"/>
            <w:u w:val="single"/>
          </w:rPr>
          <w:t>脉冲火山硫排放与三叠纪末陆地危机相关联</w:t>
        </w:r>
      </w:hyperlink>
    </w:p>
    <w:p>
      <w:pPr>
        <w:spacing w:before="0" w:after="80"/>
      </w:pPr>
      <w:r>
        <w:rPr>
          <w:i/>
          <w:sz w:val="20"/>
        </w:rPr>
        <w:t>EN: Pulsed volcanic sulfur emissions linked to the end-Triassic terrestrial crisis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66">
        <w:r>
          <w:rPr>
            <w:color w:val="1155CC"/>
            <w:u w:val="single"/>
          </w:rPr>
          <w:t>10.1126/sciadv.adz6570</w:t>
        </w:r>
      </w:hyperlink>
    </w:p>
    <w:p>
      <w:pPr>
        <w:spacing w:before="0" w:after="120"/>
      </w:pPr>
      <w:r>
        <w:rPr>
          <w:b/>
        </w:rPr>
        <w:t xml:space="preserve">Notes: </w:t>
      </w:r>
      <w:r>
        <w:t>abstract_source=crossref</w:t>
      </w:r>
    </w:p>
    <w:p>
      <w:pPr>
        <w:spacing w:before="0" w:after="80" w:lineRule="auto" w:line="276"/>
      </w:pPr>
      <w:r>
        <w:rPr>
          <w:b/>
        </w:rPr>
        <w:t xml:space="preserve">摘要（ZH）: </w:t>
      </w:r>
      <w:r>
        <w:t>三叠纪末大灭绝（ETE）是由中大西洋火成岩省（CAMP）火山活动引发的，该活动向大气中释放了大量的二氧化碳、二氧化硫和卤素，影响了海洋和陆地生态系统，但驱动陆地危机的机制仍不清楚。在此，我们研究了高纬度和低/中纬度的两个陆地三叠纪-侏罗纪剖面，发现汞浓度、硫（S）同位素、S相关分子化石和生物标志物（芘烯、菲满烯和冠烯）的同步异常，表明火山硫沉积高峰与植物多样性丧失和蕨类植物激增相吻合，并在约60,000年的时间间隔内加剧了高温野火。我们提出，CAMP喷发的最大脉冲迅速增加了火山硫流入（酸雨）陆地盆地，导致ETE期间植物大规模死亡。随之而来的无水生物质的产生为越来越频繁和广泛的强烈野火提供了燃料，甚至在全球范围内发生。</w:t>
      </w:r>
    </w:p>
    <w:p>
      <w:pPr>
        <w:spacing w:before="0" w:after="200" w:lineRule="auto" w:line="276"/>
      </w:pPr>
      <w:r>
        <w:rPr>
          <w:b/>
        </w:rPr>
        <w:t xml:space="preserve">Abstract (EN): </w:t>
      </w:r>
      <w:r>
        <w:t>The end-Triassic mass extinction (ETE) was triggered by Central Atlantic Magmatic Province (CAMP) volcanism, which released voluminous carbon dioxide, sulfur dioxide, and halogens into the atmosphere, affecting marine and terrestrial ecosystems, but the mechanism driving terrestrial crisis remains unclear. Here, we investigate two terrestrial Triassic-Jurassic sections in high- and low/middle- paleolatitudes, finding synchronous anomalies of mercury concentration, sulfur (S) isotopes, S-associated molecular fossils, and biomarkers (retene, pimanthrene, and coronene), indicating that peak volcanic sulfur deposition coincided with floral diversity loss and fern spikes, and intensified high-temperature wildfires over an interval of ~60,000 years. We propose that the pulse of maximum CAMP eruptions rapidly increased volcanic-S influxes (acid rain) to terrestrial basins, leading to catastrophic plant dieback during the ETE. The consequent creation of moisture-free biomass supplied fuel for increasingly frequent and widespread intense wildfires, occurring even on a global scale.</w:t>
      </w:r>
    </w:p>
    <w:p>
      <w:pPr>
        <w:spacing w:before="120" w:after="120"/>
      </w:pPr>
      <w:r>
        <w:rPr>
          <w:sz w:val="18"/>
        </w:rPr>
        <w:t>——————————————————————————————————————————————————————————————————————</w:t>
      </w:r>
    </w:p>
    <w:p>
      <w:pPr>
        <w:spacing w:before="160" w:after="40" w:line="240" w:lineRule="auto"/>
      </w:pPr>
      <w:r>
        <w:rPr>
          <w:b/>
        </w:rPr>
        <w:t xml:space="preserve">[349] </w:t>
      </w:r>
      <w:hyperlink r:id="rId867">
        <w:r>
          <w:rPr>
            <w:color w:val="1155CC"/>
            <w:u w:val="single"/>
          </w:rPr>
          <w:t>从热力学驱动力和结构特性预测锰氧化物还原速率</w:t>
        </w:r>
      </w:hyperlink>
    </w:p>
    <w:p>
      <w:pPr>
        <w:spacing w:before="0" w:after="80"/>
      </w:pPr>
      <w:r>
        <w:rPr>
          <w:i/>
          <w:sz w:val="20"/>
        </w:rPr>
        <w:t>EN: Predicting rates of manganese oxide reduction from thermodynamic driving forces and structural properties</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68">
        <w:r>
          <w:rPr>
            <w:color w:val="1155CC"/>
            <w:u w:val="single"/>
          </w:rPr>
          <w:t>10.1073/pnas.2525899123</w:t>
        </w:r>
      </w:hyperlink>
    </w:p>
    <w:p>
      <w:pPr>
        <w:spacing w:before="0" w:after="120"/>
      </w:pPr>
      <w:r>
        <w:rPr>
          <w:b/>
        </w:rPr>
        <w:t xml:space="preserve">Notes: </w:t>
      </w:r>
      <w:r>
        <w:t>abstract_source=crossref</w:t>
      </w:r>
    </w:p>
    <w:p>
      <w:pPr>
        <w:spacing w:before="0" w:after="80" w:lineRule="auto" w:line="276"/>
      </w:pPr>
      <w:r>
        <w:rPr>
          <w:b/>
        </w:rPr>
        <w:t xml:space="preserve">摘要（ZH）: </w:t>
      </w:r>
      <w:r>
        <w:t>锰（氧）氢氧化物是丰富的氧化还原活性矿物，影响多种生物地球化学过程，但由于矿物结构和锰氧化态的变化，其氧化还原反应性仍然知之甚少。我们使用具有不同氧化还原电位的细胞外电子穿梭体量化了三种地球化学相关锰氧化物——水钠锰矿、锰矿和锰铁矿的还原动力学，以系统地调节电子转移的驱动力。虽然吉布斯自由能（ΔrG）很好地描述了单个氧化物的动力学，但Pourbaix自由能差（ΔΨ）通过在不需要详细了解反应路径的情况下预测反应性提供了独特的优势，这对于氧化还原反应不明确的系统尤其有价值。我们进一步开发了一个耦合动力学-质量传输模型，显示电子转移速率常数在氧化物之间有所不同，而质量传输系数则相似。应用经典成核理论来解释这些差异，表明</w:t>
      </w:r>
    </w:p>
    <w:p>
      <w:pPr>
        <w:spacing w:before="0" w:after="200" w:lineRule="auto" w:line="276"/>
      </w:pPr>
      <w:r>
        <w:rPr>
          <w:b/>
        </w:rPr>
        <w:t xml:space="preserve">Abstract (EN): </w:t>
      </w:r>
      <w:r>
        <w:t>Manganese (oxyhydr)oxides are abundant redox-active minerals that influence diverse biogeochemical processes, yet their redox reactivity remains poorly understood due to variations in mineral structure and manganese oxidation state. We quantified the reduction kinetics of three geochemically relevant manganese oxides—birnessite, manganite, and hausmannite—using extracellular electron shuttles with varying redox potentials to systematically modulate the driving force for electron transfer. While the Gibbs free energy (</w:t>
      </w:r>
      <w:r>
        <w:t xml:space="preserve"> </w:t>
      </w:r>
      <w:r>
        <w:t>Δ</w:t>
      </w:r>
      <w:r>
        <w:t xml:space="preserve"> </w:t>
      </w:r>
      <w:r>
        <w:t>r</w:t>
      </w:r>
      <w:r>
        <w:t xml:space="preserve"> </w:t>
      </w:r>
      <w:r>
        <w:t>G</w:t>
      </w:r>
      <w:r>
        <w:t xml:space="preserve"> </w:t>
      </w:r>
      <w:r>
        <w:t>) described the kinetics of individual oxides well, the Pourbaix free-energy difference (</w:t>
      </w:r>
      <w:r>
        <w:t xml:space="preserve"> </w:t>
      </w:r>
      <w:r>
        <w:t>Δ</w:t>
      </w:r>
      <w:r>
        <w:t xml:space="preserve"> </w:t>
      </w:r>
      <w:r>
        <w:t>Ψ</w:t>
      </w:r>
      <w:r>
        <w:t xml:space="preserve"> </w:t>
      </w:r>
      <w:r>
        <w:t>) offered a distinct advantage by predicting reactivity without requiring detailed knowledge on reaction pathways, making it especially valuable for systems where exact redox reactions are undefined. We further developed a coupled kinetic-mass transport model, which showed that electron-transfer rate constants varied among oxides, whereas mass-transfer coefficients were similar. Classical nucleation theory was applied to contextualize these differences, indicating that the balance between surface and bulk energies controls the dissolution barrier. Our findings not only demonstrate how reaction thermodynamics and phase differences jointly control manganese oxide reduction kinetics but also support a generalizable predictive framework for the reactivity of redox-active minerals across diverse environmental conditions.</w:t>
      </w:r>
    </w:p>
    <w:p>
      <w:pPr>
        <w:spacing w:before="120" w:after="120"/>
      </w:pPr>
      <w:r>
        <w:rPr>
          <w:sz w:val="18"/>
        </w:rPr>
        <w:t>——————————————————————————————————————————————————————————————————————</w:t>
      </w:r>
    </w:p>
    <w:p>
      <w:pPr>
        <w:spacing w:before="160" w:after="40" w:line="240" w:lineRule="auto"/>
      </w:pPr>
      <w:r>
        <w:rPr>
          <w:b/>
        </w:rPr>
        <w:t xml:space="preserve">[350] </w:t>
      </w:r>
      <w:hyperlink r:id="rId869">
        <w:r>
          <w:rPr>
            <w:color w:val="1155CC"/>
            <w:u w:val="single"/>
          </w:rPr>
          <w:t>机械拉力和交流电共调电流电动打印</w:t>
        </w:r>
      </w:hyperlink>
    </w:p>
    <w:p>
      <w:pPr>
        <w:spacing w:before="0" w:after="80"/>
      </w:pPr>
      <w:r>
        <w:rPr>
          <w:i/>
          <w:sz w:val="20"/>
        </w:rPr>
        <w:t>EN: Mechanical pulling force and alternating current comodulation electrohydrodynamic printing</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70">
        <w:r>
          <w:rPr>
            <w:color w:val="1155CC"/>
            <w:u w:val="single"/>
          </w:rPr>
          <w:t>10.1126/sciadv.adz5180</w:t>
        </w:r>
      </w:hyperlink>
    </w:p>
    <w:p>
      <w:pPr>
        <w:spacing w:before="0" w:after="120"/>
      </w:pPr>
      <w:r>
        <w:rPr>
          <w:b/>
        </w:rPr>
        <w:t xml:space="preserve">Notes: </w:t>
      </w:r>
      <w:r>
        <w:t>abstract_source=crossref</w:t>
      </w:r>
    </w:p>
    <w:p>
      <w:pPr>
        <w:spacing w:before="0" w:after="80" w:lineRule="auto" w:line="276"/>
      </w:pPr>
      <w:r>
        <w:rPr>
          <w:b/>
        </w:rPr>
        <w:t xml:space="preserve">摘要（ZH）: </w:t>
      </w:r>
      <w:r>
        <w:t>为了在绝缘基板上使用高粘度浆料实现精确打印，我们提出了一种机械拉力和交流共调制电流动力学（MAC-EHD）打印方法。该技术通过利用机械拉力和电场力的协同效应，有效地在沉积过程中精炼高粘度浆料的液桥，从而提高打印分辨率。此外，它通过交变电场实现了电荷的原位中和，增强了打印过程的稳定性。为了解决MAC-EHD打印中工艺参数控制的挑战，我们开发了一种高精度的MAC-EHD打印模式预测模型。该模型确定了良好MAC-EHD打印模式所需的工艺参数范围。实验结果表明，使用该技术制造的柔性透明导电面板表现出优越的性能。这些发现验证了MAC-EHD打印在高粘度浆料沉积方面的高分辨率和高成型精度的优势。</w:t>
      </w:r>
    </w:p>
    <w:p>
      <w:pPr>
        <w:spacing w:before="0" w:after="200" w:lineRule="auto" w:line="276"/>
      </w:pPr>
      <w:r>
        <w:rPr>
          <w:b/>
        </w:rPr>
        <w:t xml:space="preserve">Abstract (EN): </w:t>
      </w:r>
      <w:r>
        <w:t>To achieve precise printing using high-viscosity paste on insulating substrates, we propose a mechanical pulling force and alternating current comodulation electrohydrodynamic (MAC-EHD) printing method. The technique effectively refines the liquid bridges of high-viscosity paste during deposition by leveraging the synergistic effect of mechanical pulling force and electric field force, thereby improving printing resolution. In addition, it achieves in situ neutralization of charge through an alternating electric field, enhancing the stability of the printing process. To address the challenge of controlling process parameters in MAC-EHD printing, we develop a high-precision prediction model for the MAC-EHD printing mode. This model determines the range of process parameters required for well MAC-EHD printing mode. Experimental results demonstrate that the flexible transparent conductive panels fabricated using this technology exhibit superior performance. These findings validate the advantages of MAC-EHD printing in terms of high resolution and high molding accuracy for high-viscosity paste deposition.</w:t>
      </w:r>
    </w:p>
    <w:p>
      <w:pPr>
        <w:spacing w:before="120" w:after="120"/>
      </w:pPr>
      <w:r>
        <w:rPr>
          <w:sz w:val="18"/>
        </w:rPr>
        <w:t>——————————————————————————————————————————————————————————————————————</w:t>
      </w:r>
    </w:p>
    <w:p>
      <w:pPr>
        <w:spacing w:before="160" w:after="40" w:line="240" w:lineRule="auto"/>
      </w:pPr>
      <w:r>
        <w:rPr>
          <w:b/>
        </w:rPr>
        <w:t xml:space="preserve">[351] </w:t>
      </w:r>
      <w:hyperlink r:id="rId871">
        <w:r>
          <w:rPr>
            <w:color w:val="1155CC"/>
            <w:u w:val="single"/>
          </w:rPr>
          <w:t>甘油介导的鼻脑共递送抗IL-17和抗CD73抗体增强黑色素瘤脑转移的免疫治疗</w:t>
        </w:r>
      </w:hyperlink>
    </w:p>
    <w:p>
      <w:pPr>
        <w:spacing w:before="0" w:after="80"/>
      </w:pPr>
      <w:r>
        <w:rPr>
          <w:i/>
          <w:sz w:val="20"/>
        </w:rPr>
        <w:t>EN: Glycerol-mediated nose-to-brain codelivery of anti–IL-17 and anti-CD73 antibodies enhances immunotherapy for melanoma brain metastases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72">
        <w:r>
          <w:rPr>
            <w:color w:val="1155CC"/>
            <w:u w:val="single"/>
          </w:rPr>
          <w:t>10.1126/sciadv.adx7966</w:t>
        </w:r>
      </w:hyperlink>
    </w:p>
    <w:p>
      <w:pPr>
        <w:spacing w:before="0" w:after="120"/>
      </w:pPr>
      <w:r>
        <w:rPr>
          <w:b/>
        </w:rPr>
        <w:t xml:space="preserve">Notes: </w:t>
      </w:r>
      <w:r>
        <w:t>abstract_source=crossref</w:t>
      </w:r>
    </w:p>
    <w:p>
      <w:pPr>
        <w:spacing w:before="0" w:after="80" w:lineRule="auto" w:line="276"/>
      </w:pPr>
      <w:r>
        <w:rPr>
          <w:b/>
        </w:rPr>
        <w:t xml:space="preserve">摘要（ZH）: </w:t>
      </w:r>
      <w:r>
        <w:t>免疫检查点抑制剂在治疗黑色素瘤脑转移方面显示出希望，但受到CD73/腺苷轴介导的免疫逃逸的限制。直接用抗体靶向CD73面临挑战，因为血脑屏障的渗透性差以及肿瘤微环境中的代谢调节因子（IL-17驱动的HIF-1α/VEGF-A）。为了克服这些障碍，我们开发了一种鼻脑递送平台，使用甘油作为粘膜渗透增强剂，共递送抗IL-17和抗CD73抗体。甘油可逆地打开鼻上皮紧密连接蛋白，分别增强抗IL-17和抗CD73抗体向大脑的递送19.4倍和17.1倍，同时将全身暴露降至最低。关键是，抗IL-17减弱了CD73/腺苷轴介导的免疫逃逸，显著提高了抗CD73的靶向效力。最终，这种组合促进了CD8+ T细胞的激活和驻留，促炎性巨噬细胞的极化，并减少了Treg细胞的浸润，从而引发了强烈的抗肿瘤效应。我们的结果建立了一种有效的鼻脑递送大分子平台，并提出了一种使用抗IL-17克服TME对CD73靶向免疫治疗限制的治疗策略。</w:t>
      </w:r>
    </w:p>
    <w:p>
      <w:pPr>
        <w:spacing w:before="0" w:after="200" w:lineRule="auto" w:line="276"/>
      </w:pPr>
      <w:r>
        <w:rPr>
          <w:b/>
        </w:rPr>
        <w:t xml:space="preserve">Abstract (EN): </w:t>
      </w:r>
      <w:r>
        <w:t>Immune checkpoint inhibitors show promise in the treatment of melanoma brain metastases but are limited by CD73/adenosine axis-mediated immune evasion. Directly targeting CD73 with antibodies faces challenges due to poor blood-brain barrier permeability and metabolic regulators within the tumor microenvironment (IL-17-driven HIF-1α/VEGF-A). To overcome these barriers, we developed a nose-to-brain delivery platform using glycerol as a mucosal penetration enhancer to codeliver anti–IL-17 and anti-CD73 antibodies. Glycerol reversibly opened nasal epithelial tight junction proteins, enhancing the brain delivery of anti–IL-17 and anti-CD73 antibodies by 19.4- and 17.1-fold, respectively, while minimizing systemic exposure. Critically, anti–IL-17 attenuated CD73/adenosine axis-mediated immune evasion, significantly boosting anti-CD73 targeting efficacy. Ultimately, this combination promoted CD8</w:t>
      </w:r>
      <w:r>
        <w:t xml:space="preserve"> </w:t>
      </w:r>
      <w:r>
        <w:t>+</w:t>
      </w:r>
      <w:r>
        <w:t xml:space="preserve"> </w:t>
      </w:r>
      <w:r>
        <w:t>T cell activation and residency, pro-inflammatory macrophage polarization, and reduced T</w:t>
      </w:r>
      <w:r>
        <w:t xml:space="preserve"> </w:t>
      </w:r>
      <w:r>
        <w:t>reg</w:t>
      </w:r>
      <w:r>
        <w:t xml:space="preserve"> </w:t>
      </w:r>
      <w:r>
        <w:t>cell infiltration, thereby eliciting a strong antitumor effect. Our results establish an efficient nose-to-brain delivery platform for macromolecules and propose a therapeutic strategy for tumors using anti–IL-17 to overcome TME-imposed limitations in CD73-targeted immunotherapy.</w:t>
      </w:r>
    </w:p>
    <w:p>
      <w:pPr>
        <w:spacing w:before="120" w:after="120"/>
      </w:pPr>
      <w:r>
        <w:rPr>
          <w:sz w:val="18"/>
        </w:rPr>
        <w:t>——————————————————————————————————————————————————————————————————————</w:t>
      </w:r>
    </w:p>
    <w:p>
      <w:pPr>
        <w:spacing w:before="160" w:after="40" w:line="240" w:lineRule="auto"/>
      </w:pPr>
      <w:r>
        <w:rPr>
          <w:b/>
        </w:rPr>
        <w:t xml:space="preserve">[352] </w:t>
      </w:r>
      <w:hyperlink r:id="rId873">
        <w:r>
          <w:rPr>
            <w:color w:val="1155CC"/>
            <w:u w:val="single"/>
          </w:rPr>
          <w:t>间充质胶质母细胞瘤的高甘露糖含量与羟基质子转移加权（HPTw）MRI相关，作为肿瘤侵袭性的无创生物标志物</w:t>
        </w:r>
      </w:hyperlink>
    </w:p>
    <w:p>
      <w:pPr>
        <w:spacing w:before="0" w:after="80"/>
      </w:pPr>
      <w:r>
        <w:rPr>
          <w:i/>
          <w:sz w:val="20"/>
        </w:rPr>
        <w:t>EN: High mannose content of mesenchymal glioblastoma correlates with hydroxyl proton transfer–weighted (HPTw) MRI as noninvasive biomarker of tumor aggressiveness</w:t>
      </w:r>
    </w:p>
    <w:p>
      <w:pPr>
        <w:spacing w:before="0" w:after="120"/>
      </w:pPr>
      <w:r>
        <w:rPr>
          <w:b/>
        </w:rPr>
        <w:t xml:space="preserve">Source: </w:t>
      </w:r>
      <w:r>
        <w:t>AAAS: Science Advances: Table of Contents</w:t>
      </w:r>
      <w:r>
        <w:t xml:space="preserve">    </w:t>
      </w:r>
      <w:r>
        <w:rPr>
          <w:b/>
        </w:rPr>
        <w:t xml:space="preserve">Pub date: </w:t>
      </w:r>
      <w:r>
        <w:t>2026-05-13 07:00:00+00:00</w:t>
      </w:r>
      <w:r>
        <w:t xml:space="preserve">    </w:t>
      </w:r>
      <w:r>
        <w:rPr>
          <w:b/>
        </w:rPr>
        <w:t xml:space="preserve">DOI: </w:t>
      </w:r>
      <w:hyperlink r:id="rId874">
        <w:r>
          <w:rPr>
            <w:color w:val="1155CC"/>
            <w:u w:val="single"/>
          </w:rPr>
          <w:t>10.1126/sciadv.adz5324</w:t>
        </w:r>
      </w:hyperlink>
    </w:p>
    <w:p>
      <w:pPr>
        <w:spacing w:before="0" w:after="120"/>
      </w:pPr>
      <w:r>
        <w:rPr>
          <w:b/>
        </w:rPr>
        <w:t xml:space="preserve">Notes: </w:t>
      </w:r>
      <w:r>
        <w:t>abstract_source=crossref</w:t>
      </w:r>
    </w:p>
    <w:p>
      <w:pPr>
        <w:spacing w:before="0" w:after="80" w:lineRule="auto" w:line="276"/>
      </w:pPr>
      <w:r>
        <w:rPr>
          <w:b/>
        </w:rPr>
        <w:t xml:space="preserve">摘要（ZH）: </w:t>
      </w:r>
      <w:r>
        <w:t>胶质母细胞瘤（GBM）包含间充质癌症干细胞，这些细胞驱动肿瘤的侵袭性和复发，并在原神经型到间充质型转变过程中表现出异常的糖基化。对人类GBM转录组数据集的全面计算分析显示，与正常大脑相比，13个参与糖甘露糖基化的基因上调，并且对代表35例GBM病例的组织阵列进行的组织病理学染色显示，甘露糖水平升高与间充质标志物CD44的表达增加相关。羟基质子转移加权磁共振成像（HPTw MRI）检测到体外和体内侵袭性人类间充质GBM中的甘露糖水平升高，但在侵袭性较低的非间充质表型GBM中未检测到。为了建立因果关系而非相关性，抑制调节甘露糖化蛋白质细胞内加工的甘露糖结合凝集素LMAN1/2的表达降低了胶质瘤细胞的HPTw MRI信号。我们的研究结果表明，HPTw MRI与间充质GBM细胞中的高甘露糖和可能的其他糖水平相关，作为预测肿瘤侵袭性和复发的替代成像生物标志物。</w:t>
      </w:r>
    </w:p>
    <w:p>
      <w:pPr>
        <w:spacing w:before="0" w:after="200" w:lineRule="auto" w:line="276"/>
      </w:pPr>
      <w:r>
        <w:rPr>
          <w:b/>
        </w:rPr>
        <w:t xml:space="preserve">Abstract (EN): </w:t>
      </w:r>
      <w:r>
        <w:t>Glioblastoma (GBM) contains mesenchymal cancer stem cells that drive tumor aggressiveness and recurrence and exhibit aberrant glycosylation during proneural-to-mesenchymal transition. A comprehensive computational analysis of human GBM transcriptomic datasets revealed an up-regulation of 13 genes involved in glycan mannosylation compared to normal brain, and histopathological staining of a tissue array representing 35 GBM cases revealed elevated mannose levels that correlated with increased expression of the mesenchymal marker CD44. Hydroxyl proton transfer–weighted magnetic resonance imaging (HPTw MRI) detected elevated mannose levels in aggressive human mesenchymal GBM in vitro and in vivo but not in GBM with a less aggressive nonmesenchymal phenotype. To establish causation over correlation, inhibiting expression of the mannose-binding lectins LMAN1/2 that regulate intracellular processing of mannosylated proteins decreased the glioma cell HPTw MRI signal. Our findings indicate that HPTw MRI correlates with high mannose and possibly other saccharide levels in mesenchymal GBM cells, serving as a surrogate imaging biomarker for predicting tumor aggressiveness and recurrence.</w:t>
      </w:r>
    </w:p>
    <w:p>
      <w:pPr>
        <w:spacing w:before="120" w:after="120"/>
      </w:pPr>
      <w:r>
        <w:rPr>
          <w:sz w:val="18"/>
        </w:rPr>
        <w:t>——————————————————————————————————————————————————————————————————————</w:t>
      </w:r>
    </w:p>
    <w:p>
      <w:pPr>
        <w:spacing w:before="160" w:after="40" w:line="240" w:lineRule="auto"/>
      </w:pPr>
      <w:r>
        <w:rPr>
          <w:b/>
        </w:rPr>
        <w:t xml:space="preserve">[353] </w:t>
      </w:r>
      <w:hyperlink r:id="rId875">
        <w:r>
          <w:rPr>
            <w:color w:val="1155CC"/>
            <w:u w:val="single"/>
          </w:rPr>
          <w:t>强调人类火星探索的科学策略</w:t>
        </w:r>
      </w:hyperlink>
    </w:p>
    <w:p>
      <w:pPr>
        <w:spacing w:before="0" w:after="80"/>
      </w:pPr>
      <w:r>
        <w:rPr>
          <w:i/>
          <w:sz w:val="20"/>
        </w:rPr>
        <w:t>EN: Highlighting a science strategy for human exploration of Mars</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76">
        <w:r>
          <w:rPr>
            <w:color w:val="1155CC"/>
            <w:u w:val="single"/>
          </w:rPr>
          <w:t>10.1073/pnas.2611962123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[354] </w:t>
      </w:r>
      <w:hyperlink r:id="rId877">
        <w:r>
          <w:rPr>
            <w:color w:val="1155CC"/>
            <w:u w:val="single"/>
          </w:rPr>
          <w:t>后Sylvian区前庭方向感知的半球解码原理</w:t>
        </w:r>
      </w:hyperlink>
    </w:p>
    <w:p>
      <w:pPr>
        <w:spacing w:before="0" w:after="80"/>
      </w:pPr>
      <w:r>
        <w:rPr>
          <w:i/>
          <w:sz w:val="20"/>
        </w:rPr>
        <w:t>EN: A hemispheric decoding principle for vestibular heading perception in the posterior sylvian area</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78">
        <w:r>
          <w:rPr>
            <w:color w:val="1155CC"/>
            <w:u w:val="single"/>
          </w:rPr>
          <w:t>10.1073/pnas.2533498123</w:t>
        </w:r>
      </w:hyperlink>
    </w:p>
    <w:p>
      <w:pPr>
        <w:spacing w:before="0" w:after="120"/>
      </w:pPr>
      <w:r>
        <w:rPr>
          <w:b/>
        </w:rPr>
        <w:t xml:space="preserve">Notes: </w:t>
      </w:r>
      <w:r>
        <w:t>abstract_source=crossref</w:t>
      </w:r>
    </w:p>
    <w:p>
      <w:pPr>
        <w:spacing w:before="0" w:after="80" w:lineRule="auto" w:line="276"/>
      </w:pPr>
      <w:r>
        <w:rPr>
          <w:b/>
        </w:rPr>
        <w:t xml:space="preserve">摘要（ZH）: </w:t>
      </w:r>
      <w:r>
        <w:t>识别神经活动与行为感知之间的功能联系是推断因果关系和信息解码手段的基础神经科学问题。使用扰动方法，许多研究提供了直接证据，表明在许多系统（例如视觉）中，感官信息因操控神经元的偏好特征（标记线代码）而被因果读取以供受试者的感知选择。在此，我们报告了一种在视觉后Sylvian区（VPS）的替代解码原则。具体而言，每个半球的VPS神经元在地球水平面上基于惯性或视觉运动线索对左偏与右偏偏好对称地编码航向信息。在航向辨别任务中，神经活动与感知选择之间的逐试相关性（选择概率）也显著依赖于神经元的调谐功能。然而，VPS中的电微刺激显著偏向于同侧半球的猕猴航向判断，而不论人工刺激的神经元编码的航向偏好。这种效应仅在前庭而非视觉条件下观察到，并且仅在VPS而非邻近区域观察到。微刺激引起的感知偏差可以通过化学失活操作来补充。在外周内耳器官施加的非侵入性电前庭刺激在受试者的行为表现中产生了类似的偏差，并激活了中央VPS。我们的研究结果揭示了一个</w:t>
      </w:r>
    </w:p>
    <w:p>
      <w:pPr>
        <w:spacing w:before="0" w:after="200" w:lineRule="auto" w:line="276"/>
      </w:pPr>
      <w:r>
        <w:rPr>
          <w:b/>
        </w:rPr>
        <w:t xml:space="preserve">Abstract (EN): </w:t>
      </w:r>
      <w:r>
        <w:t>Identifying functional links between neural activity and behavioral perception is a fundamental neuroscience issue for inferring causality and means of information-decoding. Using perturbation methods, numerous studies have provided direct evidence showing that sensory information in many systems (e.g., vision) is causally read out for subjects’ perceptual choice with respect to the manipulated neurons’ preferred feature (labeled-line code). Here we report an alternative decoding principle in the visual posterior sylvian area (VPS). Specifically, VPS neurons in each hemisphere encode heading information symmetrically in terms of leftward vs. rightward preference in the earth-horizontal plane based on inertial or visual motion cues. In a heading discrimination task, correlation between neural activity and perceptual choice on a trial-by-trial basis (choice probability) was also significantly dependent on the neurons’ tuning functions. However, electrical microstimulation in VPS significantly biased macaques’ heading judgments toward the ipsilateral hemisphere, irrespective of the artificially-stimulated neurons’ encoded heading preference. This effect was observed exclusively in the vestibular but not visual condition, and in VPS but not neighboring areas. The microstimulation induced perceptual bias could be complemented by chemical inactivation manipulations. A noninvasive galvanic vestibular stimulation applied at the peripheral inner ear organs produced similar bias in the subjects’ behavioral performance, as well as activation in the central VPS. Our findings reveal a hemispheric-readout algorithm that predominates over the labeled-line code in the central vestibular system, which may constrain the way of information integration across sensory modalities.</w:t>
      </w:r>
    </w:p>
    <w:p>
      <w:pPr>
        <w:spacing w:before="120" w:after="120"/>
      </w:pPr>
      <w:r>
        <w:rPr>
          <w:sz w:val="18"/>
        </w:rPr>
        <w:t>——————————————————————————————————————————————————————————————————————</w:t>
      </w:r>
    </w:p>
    <w:p>
      <w:pPr>
        <w:spacing w:before="160" w:after="40" w:line="240" w:lineRule="auto"/>
      </w:pPr>
      <w:r>
        <w:rPr>
          <w:b/>
        </w:rPr>
        <w:t xml:space="preserve">[355] </w:t>
      </w:r>
      <w:hyperlink r:id="rId879">
        <w:r>
          <w:rPr>
            <w:color w:val="1155CC"/>
            <w:u w:val="single"/>
          </w:rPr>
          <w:t>人类Pannexin突变及其在侵蚀性骨关节炎中的影响</w:t>
        </w:r>
      </w:hyperlink>
    </w:p>
    <w:p>
      <w:pPr>
        <w:spacing w:before="0" w:after="80"/>
      </w:pPr>
      <w:r>
        <w:rPr>
          <w:i/>
          <w:sz w:val="20"/>
        </w:rPr>
        <w:t>EN: Human pannexin mutations and their implications in erosive osteoarthritis</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80">
        <w:r>
          <w:rPr>
            <w:color w:val="1155CC"/>
            <w:u w:val="single"/>
          </w:rPr>
          <w:t>10.1073/pnas.2535302123</w:t>
        </w:r>
      </w:hyperlink>
    </w:p>
    <w:p>
      <w:pPr>
        <w:spacing w:before="0" w:after="120"/>
      </w:pPr>
      <w:r>
        <w:rPr>
          <w:b/>
        </w:rPr>
        <w:t xml:space="preserve">Notes: </w:t>
      </w:r>
      <w:r>
        <w:t>abstract_source=crossref</w:t>
      </w:r>
    </w:p>
    <w:p>
      <w:pPr>
        <w:spacing w:before="0" w:after="80" w:lineRule="auto" w:line="276"/>
      </w:pPr>
      <w:r>
        <w:rPr>
          <w:b/>
        </w:rPr>
        <w:t xml:space="preserve">摘要（ZH）: </w:t>
      </w:r>
      <w:r>
        <w:t>侵蚀性手部骨关节炎（EHOA）是一种慢性关节疾病，其特征是严重的炎症和软骨及骨组织的退化。由于这种疾病的多因素性质，影响其发病机制的分子机制尚不清楚，导致缺乏改变疾病进程的疗法。然而，通过筛选40个具有EHOA显性遗传模式的家族，我们发现了两个与EHOA发病相关的独立的种系杂合突变：PANX1 [c.G455A:p.R152H] 和 PANX3 [c.G71A:p.R24H]。Pannexin 1（PANX1）和Pannexin 3（PANX3）是机械敏感的通道形成糖蛋白，能够传递各种代谢物和离子，如三磷酸腺苷（ATP）和钙，以调节包括组织发育、细胞分化和稳态在内的众多生理和细胞过程。在本研究中，我们报告了电生理记录、ATP释放和基础染料摄取实验显示PANX1 R152H变体的通道活性增加，导致长期表达后细胞毒性增加。相反，R24H突变的PANX3通道在机械刺激的染料摄取实验中表现出功能丧失。在稳定的中等表达条件下，这种通道活性的减少与细胞生长减少相关，而过表达则导致细胞死亡增加。在体内，斑马鱼胚胎中的R24H表达增加了凋亡和p21及成骨基因的上调。</w:t>
      </w:r>
    </w:p>
    <w:p>
      <w:pPr>
        <w:spacing w:before="0" w:after="200" w:lineRule="auto" w:line="276"/>
      </w:pPr>
      <w:r>
        <w:rPr>
          <w:b/>
        </w:rPr>
        <w:t xml:space="preserve">Abstract (EN): </w:t>
      </w:r>
      <w:r>
        <w:t>Erosive hand osteoarthritis (EHOA) is a chronic joint disease characterized by severe inflammation and degeneration of cartilage and bone tissue. As this disease is multifactorial in nature, the molecular mechanisms that influence its pathogenesis are unclear, leading to a lack of disease-modifying therapies. However, by screening 40 families with a dominant inheritance pattern for EHOA, we identified two independent germline heterozygous mutations that associated with EHOA onset:</w:t>
      </w:r>
      <w:r>
        <w:t xml:space="preserve"> </w:t>
      </w:r>
      <w:r>
        <w:t>PANX1</w:t>
      </w:r>
      <w:r>
        <w:t xml:space="preserve"> </w:t>
      </w:r>
      <w:r>
        <w:t>[c.G455A:p.R152H] and</w:t>
      </w:r>
      <w:r>
        <w:t xml:space="preserve"> </w:t>
      </w:r>
      <w:r>
        <w:t>PANX3</w:t>
      </w:r>
      <w:r>
        <w:t xml:space="preserve"> </w:t>
      </w:r>
      <w:r>
        <w:t>[c.G71A:p.R24H]. Pannexin 1 (PANX1) and Pannexin 3 (PANX3) are mechanosensitive channel-forming glycoproteins that pass various metabolites and ions such as adenosine triphosphate (ATP) and calcium to regulate numerous physiological and cellular processes including tissue development, cell differentiation, and homeostasis. In this study, we report that electrophysiological recordings, ATP release, and basal dye uptake assays revealed increased channel activity of the PANX1 R152H variant, which led to increased cytotoxicity following long-term expression. In contrast, R24H mutant PANX3 channels exhibited a loss-of-function in mechanically stimulated dye uptake assays. Under stable, moderate expression conditions, this reduction in channel activity was associated with decreased cell growth, whereas overexpression led to increased cell death. In vivo, R24H expression in zebrafish embryos increased apoptosis and upregulation of</w:t>
      </w:r>
      <w:r>
        <w:t xml:space="preserve"> </w:t>
      </w:r>
      <w:r>
        <w:t>p21</w:t>
      </w:r>
      <w:r>
        <w:t xml:space="preserve"> </w:t>
      </w:r>
      <w:r>
        <w:t>and osteogenic genes. Together these findings demonstrate that two mutations with opposing alterations in PANX channel activity, hyperactivity in R152H PANX1 and loss-of-function in R24H PANX3, can converge on degenerative cellular outcomes. Collectively, we report the first germline PANX3 mutation associated with disease and provide the first evidence linking PANX1 and PANX3 mutations to human erosive osteoarthritis.</w:t>
      </w:r>
    </w:p>
    <w:p>
      <w:pPr>
        <w:spacing w:before="120" w:after="120"/>
      </w:pPr>
      <w:r>
        <w:rPr>
          <w:sz w:val="18"/>
        </w:rPr>
        <w:t>——————————————————————————————————————————————————————————————————————</w:t>
      </w:r>
    </w:p>
    <w:p>
      <w:pPr>
        <w:spacing w:before="160" w:after="40" w:line="240" w:lineRule="auto"/>
      </w:pPr>
      <w:r>
        <w:rPr>
          <w:b/>
        </w:rPr>
        <w:t xml:space="preserve">[356] </w:t>
      </w:r>
      <w:hyperlink r:id="rId881">
        <w:r>
          <w:rPr>
            <w:color w:val="1155CC"/>
            <w:u w:val="single"/>
          </w:rPr>
          <w:t>与E. Dale Abel的问答</w:t>
        </w:r>
      </w:hyperlink>
    </w:p>
    <w:p>
      <w:pPr>
        <w:spacing w:before="0" w:after="80"/>
      </w:pPr>
      <w:r>
        <w:rPr>
          <w:i/>
          <w:sz w:val="20"/>
        </w:rPr>
        <w:t>EN: QnAs with E. Dale Abel</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82">
        <w:r>
          <w:rPr>
            <w:color w:val="1155CC"/>
            <w:u w:val="single"/>
          </w:rPr>
          <w:t>10.1073/pnas.2614006123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[357] </w:t>
      </w:r>
      <w:hyperlink r:id="rId883">
        <w:r>
          <w:rPr>
            <w:color w:val="1155CC"/>
            <w:u w:val="single"/>
          </w:rPr>
          <w:t>Pr取代的YBa2Cu3O7−δ中的超导性抑制和双层解耦</w:t>
        </w:r>
      </w:hyperlink>
    </w:p>
    <w:p>
      <w:pPr>
        <w:spacing w:before="0" w:after="80"/>
      </w:pPr>
      <w:r>
        <w:rPr>
          <w:i/>
          <w:sz w:val="20"/>
        </w:rPr>
        <w:t>EN: Superconductivity suppression and bilayer decoupling in Pr-substituted YBa2Cu3O7−δ</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84">
        <w:r>
          <w:rPr>
            <w:color w:val="1155CC"/>
            <w:u w:val="single"/>
          </w:rPr>
          <w:t>10.1073/pnas.2536919123</w:t>
        </w:r>
      </w:hyperlink>
    </w:p>
    <w:p>
      <w:pPr>
        <w:spacing w:before="0" w:after="120"/>
      </w:pPr>
      <w:r>
        <w:rPr>
          <w:b/>
        </w:rPr>
        <w:t xml:space="preserve">Notes: </w:t>
      </w:r>
      <w:r>
        <w:t>abstract_source=crossref</w:t>
      </w:r>
    </w:p>
    <w:p>
      <w:pPr>
        <w:spacing w:before="0" w:after="80" w:lineRule="auto" w:line="276"/>
      </w:pPr>
      <w:r>
        <w:rPr>
          <w:b/>
        </w:rPr>
        <w:t xml:space="preserve">摘要（ZH）: </w:t>
      </w:r>
      <w:r>
        <w:t>自从发现以来，Pr替代YBa2Cu3O7−δ（YBCO）引起的超导性抑制机制一直是个谜：尽管Pr与Y3+等价且具有小的磁矩，但它是唯一对YBCO的超导性能产生显著影响的稀土元素。通过使用角分辨光电子能谱（ARPES）和DFT+U计算，我们揭示了Pr替代如何改变YBCO的低能电子结构。与流行的Fehrenbacher–Rice（FR）和Liechtenstein–Mazin（LM）模型相反，低能电子结构中没有任何f电子杂化或额外的f态费米面片的特征。然而，主要在反键费米面上观察到强电子掺杂。同时，我们揭示了随着Pr替代增加，对Cu衍生态的主要电子结构修改：显著的CuO2双层解耦和沿CuO链的增强跃迁，暗示了超越简单4f态电离的间接电子释放路径。我们的结果挑战了</w:t>
      </w:r>
    </w:p>
    <w:p>
      <w:pPr>
        <w:spacing w:before="0" w:after="200" w:lineRule="auto" w:line="276"/>
      </w:pPr>
      <w:r>
        <w:rPr>
          <w:b/>
        </w:rPr>
        <w:t xml:space="preserve">Abstract (EN): </w:t>
      </w:r>
      <w:r>
        <w:t>The mechanism behind superconductivity suppression induced by Pr substitutions in YBa</w:t>
      </w:r>
      <w:r>
        <w:rPr>
          <w:vertAlign w:val="subscript"/>
        </w:rPr>
        <w:t>2</w:t>
      </w:r>
      <w:r>
        <w:t>Cu</w:t>
      </w:r>
      <w:r>
        <w:rPr>
          <w:vertAlign w:val="subscript"/>
        </w:rPr>
        <w:t>3</w:t>
      </w:r>
      <w:r>
        <w:t>O</w:t>
      </w:r>
      <w:r>
        <w:t xml:space="preserve"> </w:t>
      </w:r>
      <w:r>
        <w:t>7−</w:t>
      </w:r>
      <w:r>
        <w:t>δ</w:t>
      </w:r>
      <w:r>
        <w:t xml:space="preserve"> </w:t>
      </w:r>
      <w:r>
        <w:t>(YBCO) has been a mystery since its discovery: in spite of being isovalent to Y</w:t>
      </w:r>
      <w:r>
        <w:t xml:space="preserve"> </w:t>
      </w:r>
      <w:r>
        <w:t>3+</w:t>
      </w:r>
      <w:r>
        <w:t xml:space="preserve"> </w:t>
      </w:r>
      <w:r>
        <w:t>with a small magnetic moment, it is the only rare-earth element that has a dramatic impact on YBCO’s superconducting properties. Using angle-resolved photoemission spectroscopy (ARPES) and DFT+</w:t>
      </w:r>
      <w:r>
        <w:t xml:space="preserve"> </w:t>
      </w:r>
      <w:r>
        <w:t>U</w:t>
      </w:r>
      <w:r>
        <w:t xml:space="preserve"> </w:t>
      </w:r>
      <w:r>
        <w:t>calculations, we uncover how Pr substitution modifies the low-energy electronic structure of YBCO. Contrary to the prevailing Fehrenbacher–Rice (FR) and Liechtenstein–Mazin (LM) models, the low-energy electronic structure contains no signature of any</w:t>
      </w:r>
      <w:r>
        <w:t xml:space="preserve"> </w:t>
      </w:r>
      <w:r>
        <w:t>f</w:t>
      </w:r>
      <w:r>
        <w:t xml:space="preserve"> </w:t>
      </w:r>
      <w:r>
        <w:t>-electron hybridization or additional</w:t>
      </w:r>
      <w:r>
        <w:t xml:space="preserve"> </w:t>
      </w:r>
      <w:r>
        <w:t>f</w:t>
      </w:r>
      <w:r>
        <w:t xml:space="preserve"> </w:t>
      </w:r>
      <w:r>
        <w:t>-state Fermi surface sheets. Yet, strong electron doping is observed primarily on the antibonding Fermi surface. Meanwhile, we reveal major electronic structure modifications to Cu-derived states with increasing Pr substitution: a pronounced CuO</w:t>
      </w:r>
      <w:r>
        <w:rPr>
          <w:vertAlign w:val="subscript"/>
        </w:rPr>
        <w:t>2</w:t>
      </w:r>
      <w:r>
        <w:t>bilayer decoupling and enhanced hopping along the CuO chain, implying indirect electron-release pathways beyond simple 4</w:t>
      </w:r>
      <w:r>
        <w:t xml:space="preserve"> </w:t>
      </w:r>
      <w:r>
        <w:t>f</w:t>
      </w:r>
      <w:r>
        <w:t xml:space="preserve"> </w:t>
      </w:r>
      <w:r>
        <w:t>state ionization. Our results challenge the long-standing FR/LM mechanism, and establish Pr substituted YBCO as a potential platform for exploring correlation-driven phenomena in coupled 1D–2D systems.</w:t>
      </w:r>
    </w:p>
    <w:p>
      <w:pPr>
        <w:spacing w:before="120" w:after="120"/>
      </w:pPr>
      <w:r>
        <w:rPr>
          <w:sz w:val="18"/>
        </w:rPr>
        <w:t>——————————————————————————————————————————————————————————————————————</w:t>
      </w:r>
    </w:p>
    <w:p>
      <w:pPr>
        <w:spacing w:before="160" w:after="40" w:line="240" w:lineRule="auto"/>
      </w:pPr>
      <w:r>
        <w:rPr>
          <w:b/>
        </w:rPr>
        <w:t xml:space="preserve">[358] </w:t>
      </w:r>
      <w:hyperlink r:id="rId885">
        <w:r>
          <w:rPr>
            <w:color w:val="1155CC"/>
            <w:u w:val="single"/>
          </w:rPr>
          <w:t>PAM1通过将RNA加工与染色体轴耦合来调节减数分裂</w:t>
        </w:r>
      </w:hyperlink>
    </w:p>
    <w:p>
      <w:pPr>
        <w:spacing w:before="0" w:after="80"/>
      </w:pPr>
      <w:r>
        <w:rPr>
          <w:i/>
          <w:sz w:val="20"/>
        </w:rPr>
        <w:t>EN: PAM1 regulates meiosis by coupling RNA processing to the chromosome axis</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86">
        <w:r>
          <w:rPr>
            <w:color w:val="1155CC"/>
            <w:u w:val="single"/>
          </w:rPr>
          <w:t>10.1073/pnas.2535316123</w:t>
        </w:r>
      </w:hyperlink>
    </w:p>
    <w:p>
      <w:pPr>
        <w:spacing w:before="0" w:after="120"/>
      </w:pPr>
      <w:r>
        <w:rPr>
          <w:b/>
        </w:rPr>
        <w:t xml:space="preserve">Notes: </w:t>
      </w:r>
      <w:r>
        <w:t>abstract_source=crossref</w:t>
      </w:r>
    </w:p>
    <w:p>
      <w:pPr>
        <w:spacing w:before="0" w:after="80" w:lineRule="auto" w:line="276"/>
      </w:pPr>
      <w:r>
        <w:rPr>
          <w:b/>
        </w:rPr>
        <w:t xml:space="preserve">摘要（ZH）: </w:t>
      </w:r>
      <w:r>
        <w:t>减数分裂是负责有性生殖和在后代中产生遗传多样性的基本过程。其成功完成需要对许多基因的表达程序进行微调：促进参与减数分裂过程的基因表达，抑制可能干扰减数分裂的基因表达。参与减数分裂转录组调控和控制减数分裂进程的分子机制在植物、动物和真菌之间有所不同，仍然难以捉摸。我们发现玉米中的</w:t>
      </w:r>
      <w:r>
        <w:t xml:space="preserve"> </w:t>
      </w:r>
      <w:r>
        <w:t>Plural abnormalities of meiosis1</w:t>
      </w:r>
      <w:r>
        <w:t xml:space="preserve"> </w:t>
      </w:r>
      <w:r>
        <w:t>(</w:t>
      </w:r>
      <w:r>
        <w:t xml:space="preserve"> </w:t>
      </w:r>
      <w:r>
        <w:t>Pam1</w:t>
      </w:r>
      <w:r>
        <w:t xml:space="preserve"> </w:t>
      </w:r>
      <w:r>
        <w:t>)基因通过将转录组处理与减数分裂特异性染色体轴结合来控制减数分裂进程。</w:t>
      </w:r>
      <w:r>
        <w:t xml:space="preserve"> </w:t>
      </w:r>
      <w:r>
        <w:t>Pam1</w:t>
      </w:r>
      <w:r>
        <w:t xml:space="preserve"> </w:t>
      </w:r>
      <w:r>
        <w:t>编码一种RNA结合蛋白，在减数分裂前期I早期与染色体结合，结合大量与减数分裂相关的基因的转录本，并通过与CCR4-NOT RNA处理蛋白复合物相互作用影响其剪接。破坏</w:t>
      </w:r>
      <w:r>
        <w:t xml:space="preserve"> </w:t>
      </w:r>
      <w:r>
        <w:t>Pam1</w:t>
      </w:r>
      <w:r>
        <w:t xml:space="preserve"> </w:t>
      </w:r>
      <w:r>
        <w:t>功能导致一系列严重的减数分裂缺陷，影响染色体凝聚和动态、核膜和细胞骨架组织，以及整体减数分裂进程。</w:t>
      </w:r>
      <w:r>
        <w:t xml:space="preserve"> </w:t>
      </w:r>
      <w:r>
        <w:t>Pam1</w:t>
      </w:r>
      <w:r>
        <w:t xml:space="preserve"> </w:t>
      </w:r>
      <w:r>
        <w:t>仅控制一部分减数分裂基因和过程，表明多个指导转录组结构的程序共同调节减数分裂。已发现RNA结合蛋白在真菌和动物中控制减数分裂进程。</w:t>
      </w:r>
    </w:p>
    <w:p>
      <w:pPr>
        <w:spacing w:before="0" w:after="200" w:lineRule="auto" w:line="276"/>
      </w:pPr>
      <w:r>
        <w:rPr>
          <w:b/>
        </w:rPr>
        <w:t xml:space="preserve">Abstract (EN): </w:t>
      </w:r>
      <w:r>
        <w:t>Meiosis is a fundamental process responsible for sexual reproduction and generating genetic diversity in the progeny. Its successful completion requires fine-tuning of expression programs of many genes: promoting expression of genes involved in meiotic processes and suppressing genes whose expression may interfere with meiosis. Molecular mechanisms involved in meiotic transcriptome regulation and controlling meiosis progression vary between plants, animals, and fungi and remain elusive. We found that the</w:t>
      </w:r>
      <w:r>
        <w:t xml:space="preserve"> </w:t>
      </w:r>
      <w:r>
        <w:t>Plural abnormalities of meiosis1</w:t>
      </w:r>
      <w:r>
        <w:t xml:space="preserve"> </w:t>
      </w:r>
      <w:r>
        <w:t>(</w:t>
      </w:r>
      <w:r>
        <w:t xml:space="preserve"> </w:t>
      </w:r>
      <w:r>
        <w:t>Pam1</w:t>
      </w:r>
      <w:r>
        <w:t xml:space="preserve"> </w:t>
      </w:r>
      <w:r>
        <w:t>) gene in maize controls meiosis progression by tethering transcriptome processing to the meiosis-specific chromosome axis.</w:t>
      </w:r>
      <w:r>
        <w:t xml:space="preserve"> </w:t>
      </w:r>
      <w:r>
        <w:t>Pam1</w:t>
      </w:r>
      <w:r>
        <w:t xml:space="preserve"> </w:t>
      </w:r>
      <w:r>
        <w:t>encodes an RNA binding protein that becomes associated with chromosomes during early meiotic prophase I, binds transcripts of a large number of meiosis-related genes, and affects their splicing by interacting with the CCR4-NOT RNA processing protein complex. Disrupting</w:t>
      </w:r>
      <w:r>
        <w:t xml:space="preserve"> </w:t>
      </w:r>
      <w:r>
        <w:t>Pam1</w:t>
      </w:r>
      <w:r>
        <w:t xml:space="preserve"> </w:t>
      </w:r>
      <w:r>
        <w:t>function results in a wide array of severe meiosis defects affecting chromosome condensation and dynamics, nuclear envelope and cytoskeleton organization, as well as the overall meiosis progression.</w:t>
      </w:r>
      <w:r>
        <w:t xml:space="preserve"> </w:t>
      </w:r>
      <w:r>
        <w:t>Pam1</w:t>
      </w:r>
      <w:r>
        <w:t xml:space="preserve"> </w:t>
      </w:r>
      <w:r>
        <w:t>controls only a subset of meiotic genes and processes, indicating that several programs directing transcriptome architecture collectively regulate meiosis. RNA-binding proteins have been found to control meiosis progression in fungi and animals, and it is now shown to be also the case in plants. Interestingly, these proteins all exhibit distinct modes of action and evolutionary origins, presenting a remarkable case of convergent evolution. Uncovering mechanisms controlling meiosis progression should enable engineering meiosis to benefit crop improvement efforts.</w:t>
      </w:r>
    </w:p>
    <w:p>
      <w:pPr>
        <w:spacing w:before="120" w:after="120"/>
      </w:pPr>
      <w:r>
        <w:rPr>
          <w:sz w:val="18"/>
        </w:rPr>
        <w:t>——————————————————————————————————————————————————————————————————————</w:t>
      </w:r>
    </w:p>
    <w:p>
      <w:pPr>
        <w:spacing w:before="160" w:after="40" w:line="240" w:lineRule="auto"/>
      </w:pPr>
      <w:r>
        <w:rPr>
          <w:b/>
        </w:rPr>
        <w:t xml:space="preserve">[359] </w:t>
      </w:r>
      <w:hyperlink r:id="rId887">
        <w:r>
          <w:rPr>
            <w:color w:val="1155CC"/>
            <w:u w:val="single"/>
          </w:rPr>
          <w:t>Dpp和免疫反应通路因子介导果蝇中衰老细胞的旁分泌诱导</w:t>
        </w:r>
      </w:hyperlink>
    </w:p>
    <w:p>
      <w:pPr>
        <w:spacing w:before="0" w:after="80"/>
      </w:pPr>
      <w:r>
        <w:rPr>
          <w:i/>
          <w:sz w:val="20"/>
        </w:rPr>
        <w:t>EN: Dpp and immune response pathway factors mediate paracrine induction of senescent cells in Drosophila</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88">
        <w:r>
          <w:rPr>
            <w:color w:val="1155CC"/>
            <w:u w:val="single"/>
          </w:rPr>
          <w:t>10.1073/pnas.2602167123</w:t>
        </w:r>
      </w:hyperlink>
    </w:p>
    <w:p>
      <w:pPr>
        <w:spacing w:before="0" w:after="120"/>
      </w:pPr>
      <w:r>
        <w:rPr>
          <w:b/>
        </w:rPr>
        <w:t xml:space="preserve">Notes: </w:t>
      </w:r>
      <w:r>
        <w:t>abstract_source=crossref</w:t>
      </w:r>
    </w:p>
    <w:p>
      <w:pPr>
        <w:spacing w:before="0" w:after="80" w:lineRule="auto" w:line="276"/>
      </w:pPr>
      <w:r>
        <w:rPr>
          <w:b/>
        </w:rPr>
        <w:t xml:space="preserve">摘要（ZH）: </w:t>
      </w:r>
      <w:r>
        <w:t>向衰老过渡是细胞对各种形式压力的反应。这一现象在从昆虫到人类的物种中进化上是保守的。衰老细胞（SCs）永久退出细胞周期并经历生理变化，特别是获得强大的分泌活性，表现为释放大量分子，包括细胞因子、趋化因子和金属蛋白酶。通过这种被称为衰老相关分泌表型的程序，SCs与其微环境进行交流并产生影响。在哺乳动物组织中，SCs的数量随着年龄的增长而增加，其积累被认为有助于与年龄相关的病理。脊椎动物系统的研究表明，新SCs可以通过来自现有SCs的旁分泌信号产生，这一过程需要转化生长因子β（TGF-β）的活性。我们研究了果蝇</w:t>
      </w:r>
      <w:r>
        <w:t xml:space="preserve"> </w:t>
      </w:r>
      <w:r>
        <w:t>Drosophila</w:t>
      </w:r>
      <w:r>
        <w:t xml:space="preserve"> </w:t>
      </w:r>
      <w:r>
        <w:t>中SCs的旁分泌招募现象。我们的结果表明，初始压力事件诱导了SCs的初级波，占细胞群体的约10%。随后，通过来自初始群体的旁分泌信号，第二波SCs出现，将SCs的总体比例增加到约24%。第二波的形成由生长因子Decapentaplegic（Dpp）介导，Dpp是TGF-β超家族的果蝇同源物。Dpp在非SCs中激活非经典信号途径，驱动其转变为衰老细胞。</w:t>
      </w:r>
    </w:p>
    <w:p>
      <w:pPr>
        <w:spacing w:before="0" w:after="200" w:lineRule="auto" w:line="276"/>
      </w:pPr>
      <w:r>
        <w:rPr>
          <w:b/>
        </w:rPr>
        <w:t xml:space="preserve">Abstract (EN): </w:t>
      </w:r>
      <w:r>
        <w:t>Transition toward senescence is a cellular response to various forms of stress. This phenomenon is evolutionarily conserved across species, from insects to humans. Senescent cells (SCs) permanently withdraw from the cell cycle and undergo physiological changes, notably the acquisition of a robust secretory activity characterized by the release of numerous molecules, including cytokines, chemokines, and metalloproteinases. Through this program, termed Senescence-Associated Secretory Phenotype, SCs communicate with and influence their microenvironment. In mammalian tissues, the number of SCs increases with age and their accumulation has been proposed to contribute to age-associated pathologies. Studies in vertebrate systems have demonstrated that new SCs can arise through paracrine signaling from preexisting SCs, a process that requires the activity of the Transforming Growth Factor β (TGF-β). We have investigated the occurrence of paracrine recruitment of SCs in the fruitfly</w:t>
      </w:r>
      <w:r>
        <w:t xml:space="preserve"> </w:t>
      </w:r>
      <w:r>
        <w:t>Drosophila</w:t>
      </w:r>
      <w:r>
        <w:t xml:space="preserve"> </w:t>
      </w:r>
      <w:r>
        <w:t>. Our results show that an initial stress event induces a primary wave of SCs, comprising approximately 10% of the cell population. Subsequently, a second wave of SCs emerges through paracrine signaling from the initial cohort, increasing the overall proportion of SCs to about 24%. The formation of this second wave is mediated by the growth factor Decapentaplegic (Dpp), a</w:t>
      </w:r>
      <w:r>
        <w:t xml:space="preserve"> </w:t>
      </w:r>
      <w:r>
        <w:t>Drosophila</w:t>
      </w:r>
      <w:r>
        <w:t xml:space="preserve"> </w:t>
      </w:r>
      <w:r>
        <w:t>ortholog of the TGF-β superfamily. Dpp activates a noncanonical signaling route in non-SCs, driving their conversion to a senescent state. This branch of the Dpp pathway engages components of the innate immune response. Collectively, these findings underscore the evolutionary conservation of senescence-associated signaling networks and suggest that paracrine amplification of senescence may play a role in tumorigenesis.</w:t>
      </w:r>
    </w:p>
    <w:p>
      <w:pPr>
        <w:spacing w:before="120" w:after="120"/>
      </w:pPr>
      <w:r>
        <w:rPr>
          <w:sz w:val="18"/>
        </w:rPr>
        <w:t>——————————————————————————————————————————————————————————————————————</w:t>
      </w:r>
    </w:p>
    <w:p>
      <w:pPr>
        <w:spacing w:before="160" w:after="40" w:line="240" w:lineRule="auto"/>
      </w:pPr>
      <w:r>
        <w:rPr>
          <w:b/>
        </w:rPr>
        <w:t xml:space="preserve">[360] </w:t>
      </w:r>
      <w:hyperlink r:id="rId889">
        <w:r>
          <w:rPr>
            <w:color w:val="1155CC"/>
            <w:u w:val="single"/>
          </w:rPr>
          <w:t>通过RAF-SnRK2核心凝聚体快速感知和传递细胞高渗透压应激信号</w:t>
        </w:r>
      </w:hyperlink>
    </w:p>
    <w:p>
      <w:pPr>
        <w:spacing w:before="0" w:after="80"/>
      </w:pPr>
      <w:r>
        <w:rPr>
          <w:i/>
          <w:sz w:val="20"/>
        </w:rPr>
        <w:t>EN: Rapid sensing and relaying of cellular hyperosmotic stress signals via RAF–SnRK2 core condensates</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90">
        <w:r>
          <w:rPr>
            <w:color w:val="1155CC"/>
            <w:u w:val="single"/>
          </w:rPr>
          <w:t>10.1073/pnas.2603627123</w:t>
        </w:r>
      </w:hyperlink>
    </w:p>
    <w:p>
      <w:pPr>
        <w:spacing w:before="0" w:after="120"/>
      </w:pPr>
      <w:r>
        <w:rPr>
          <w:b/>
        </w:rPr>
        <w:t xml:space="preserve">Notes: </w:t>
      </w:r>
      <w:r>
        <w:t>abstract_source=crossref</w:t>
      </w:r>
    </w:p>
    <w:p>
      <w:pPr>
        <w:spacing w:before="0" w:after="80" w:lineRule="auto" w:line="276"/>
      </w:pPr>
      <w:r>
        <w:rPr>
          <w:b/>
        </w:rPr>
        <w:t xml:space="preserve">摘要（ZH）: </w:t>
      </w:r>
      <w:r>
        <w:t>由干旱、高盐或寒冷压力引起的高渗透性抑制植物生长和作物生产力。细胞质B-RAFs和SnRK2s的保守蛋白激酶级联在渗透压应激下迅速激活，以启动下游适应性反应，这是植物对渗透压应激已知的最快反应之一。激酶级联如何被渗透压应激激活尚不清楚。在此，我们展示了</w:t>
      </w:r>
      <w:r>
        <w:t xml:space="preserve"> </w:t>
      </w:r>
      <w:r>
        <w:t>Arabidopsis</w:t>
      </w:r>
      <w:r>
        <w:t xml:space="preserve"> </w:t>
      </w:r>
      <w:r>
        <w:t>B4亚组RAFs具有内在无序区域，并通过可逆凝聚直接感知离子和非离子高渗透性。B4-RAFs招募并与亚类I SnRK2s共同凝聚以磷酸化并激活SnRK2s，避免不可凝聚的抑制性A类PP2C磷酸酶。这种简单的渗透感知和传递模块可以通过共同表达三个组分在</w:t>
      </w:r>
      <w:r>
        <w:t xml:space="preserve"> </w:t>
      </w:r>
      <w:r>
        <w:t>Escherichia coli</w:t>
      </w:r>
      <w:r>
        <w:t xml:space="preserve"> </w:t>
      </w:r>
      <w:r>
        <w:t>中完全重建，或在试管中使用重组蛋白在溶液中重建。我们的研究发现B-RAFs是主要的细胞渗透感受器，通过共同凝聚检测低水势，与SnRK2s形成信号枢纽以协调植物的适应性反应，并代表跨界的进化保守的渗透感知机制。</w:t>
      </w:r>
    </w:p>
    <w:p>
      <w:pPr>
        <w:spacing w:before="0" w:after="200" w:lineRule="auto" w:line="276"/>
      </w:pPr>
      <w:r>
        <w:rPr>
          <w:b/>
        </w:rPr>
        <w:t xml:space="preserve">Abstract (EN): </w:t>
      </w:r>
      <w:r>
        <w:t>Hyperosmolarity caused by drought, high salinity, or cold stress inhibits plant growth and crop productivity. A conserved protein-kinase cascade of cytosolic B-RAFs and SnRK2s is rapidly activated upon osmotic stresses to initiate downstream adaptive responses, which represents one of the fastest known responses to osmotic stress in plants. How the kinase cascade is activated by osmotic stress is unknown. Here, we show that</w:t>
      </w:r>
      <w:r>
        <w:t xml:space="preserve"> </w:t>
      </w:r>
      <w:r>
        <w:t>Arabidopsis</w:t>
      </w:r>
      <w:r>
        <w:t xml:space="preserve"> </w:t>
      </w:r>
      <w:r>
        <w:t>B4 subgroup RAFs have intrinsically disordered regions and directly sense both ionic and nonionic hyperosmolarity by reversible condensation. B4-RAFs recruit and cocondense with subclass-I SnRK2s to phosphorylate and turn on SnRK2s, evading the noncondensable inhibitory A-clade PP2C phosphatases. This straightforward osmosensing and relaying module can be fully reconstituted in</w:t>
      </w:r>
      <w:r>
        <w:t xml:space="preserve"> </w:t>
      </w:r>
      <w:r>
        <w:t>Escherichia coli</w:t>
      </w:r>
      <w:r>
        <w:t xml:space="preserve"> </w:t>
      </w:r>
      <w:r>
        <w:t>by coexpressing three components or in solution in a test tube using recombinant proteins. Our findings identify B-RAFs as the chief cellular osmosensors that detect low water potential by cocondensation, forming a signal hub with SnRK2s to orchestrate adaptive responses in plants, and represent an evolutionarily conserved osmosensing mechanism across kingdoms.</w:t>
      </w:r>
    </w:p>
    <w:p>
      <w:pPr>
        <w:spacing w:before="120" w:after="120"/>
      </w:pPr>
      <w:r>
        <w:rPr>
          <w:sz w:val="18"/>
        </w:rPr>
        <w:t>——————————————————————————————————————————————————————————————————————</w:t>
      </w:r>
    </w:p>
    <w:p>
      <w:pPr>
        <w:spacing w:before="160" w:after="40" w:line="240" w:lineRule="auto"/>
      </w:pPr>
      <w:r>
        <w:rPr>
          <w:b/>
        </w:rPr>
        <w:t xml:space="preserve">[361] </w:t>
      </w:r>
      <w:hyperlink r:id="rId891">
        <w:r>
          <w:rPr>
            <w:color w:val="1155CC"/>
            <w:u w:val="single"/>
          </w:rPr>
          <w:t>理查德·罗布森、北川进和奥马尔·M·亚吉简介：2025年诺贝尔化学奖得主</w:t>
        </w:r>
      </w:hyperlink>
    </w:p>
    <w:p>
      <w:pPr>
        <w:spacing w:before="0" w:after="80"/>
      </w:pPr>
      <w:r>
        <w:rPr>
          <w:i/>
          <w:sz w:val="20"/>
        </w:rPr>
        <w:t>EN: Profile of Richard Robson, Susumu Kitagawa, and Omar M. Yaghi: 2025 Nobel laureates in Chemistry</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92">
        <w:r>
          <w:rPr>
            <w:color w:val="1155CC"/>
            <w:u w:val="single"/>
          </w:rPr>
          <w:t>10.1073/pnas.2605022123</w:t>
        </w:r>
      </w:hyperlink>
    </w:p>
    <w:p>
      <w:pPr>
        <w:spacing w:before="0" w:after="120"/>
      </w:pPr>
      <w:r>
        <w:rPr>
          <w:b/>
        </w:rPr>
        <w:t xml:space="preserve">Notes: </w:t>
      </w:r>
      <w:r>
        <w:t>abstract_source=crossref</w:t>
      </w:r>
    </w:p>
    <w:p>
      <w:pPr>
        <w:spacing w:before="0" w:after="80" w:lineRule="auto" w:line="276"/>
      </w:pPr>
      <w:r>
        <w:rPr>
          <w:b/>
        </w:rPr>
        <w:t xml:space="preserve">摘要（ZH）: </w:t>
      </w:r>
      <w:r>
        <w:t>2025年诺贝尔化学奖授予理查德·罗布森、北川进和奥马尔·M·亚吉，以表彰他们将金属有机框架（MOFs）确立为一种新型晶体多孔材料，并更广泛地改变了化学家设计扩展物质的方式。他们的工作表明，固体可以由定义明确的无机和有机成分构建，并对结构、孔隙率和功能进行非同寻常的控制。此简介突出了三位获奖者的独特和互补贡献，从网络设计的概念基础到永久孔隙率的展示以及网状化学的发展。它还探讨了MOFs的更广泛科学遗产，包括其对催化、分离、可持续性和现代数据驱动材料发现的影响。</w:t>
      </w:r>
    </w:p>
    <w:p>
      <w:pPr>
        <w:spacing w:before="0" w:after="200" w:lineRule="auto" w:line="276"/>
      </w:pPr>
      <w:r>
        <w:rPr>
          <w:b/>
        </w:rPr>
        <w:t xml:space="preserve">Abstract (EN): </w:t>
      </w:r>
      <w:r>
        <w:t>The 2025 Nobel Prize in Chemistry honors Richard Robson, Susumu Kitagawa, and Omar M. Yaghi for establishing metal-organic frameworks (MOFs) as a new class of crystalline porous materials and, more broadly, for transforming how chemists design extended matter. Their work showed that solids could be built from well-defined inorganic and organic components with unusual control over structure, porosity, and function. This profile highlights the distinct and complementary contributions of the three laureates, from the conceptual foundations of network design to the demonstration of permanent porosity and the development of reticular chemistry. It also examines the broader scientific legacy of MOFs, including their impact on catalysis, separations, sustainability, and modern data-driven materials discovery.</w:t>
      </w:r>
    </w:p>
    <w:p>
      <w:pPr>
        <w:spacing w:before="120" w:after="120"/>
      </w:pPr>
      <w:r>
        <w:rPr>
          <w:sz w:val="18"/>
        </w:rPr>
        <w:t>——————————————————————————————————————————————————————————————————————</w:t>
      </w:r>
    </w:p>
    <w:p>
      <w:pPr>
        <w:spacing w:before="160" w:after="40" w:line="240" w:lineRule="auto"/>
      </w:pPr>
      <w:r>
        <w:rPr>
          <w:b/>
        </w:rPr>
        <w:t xml:space="preserve">[362] </w:t>
      </w:r>
      <w:hyperlink r:id="rId893">
        <w:r>
          <w:rPr>
            <w:color w:val="1155CC"/>
            <w:u w:val="single"/>
          </w:rPr>
          <w:t>柔软的皮肤界面电子设备实现无套管无线监测睡眠呼吸</w:t>
        </w:r>
      </w:hyperlink>
    </w:p>
    <w:p>
      <w:pPr>
        <w:spacing w:before="0" w:after="80"/>
      </w:pPr>
      <w:r>
        <w:rPr>
          <w:i/>
          <w:sz w:val="20"/>
        </w:rPr>
        <w:t>EN: Soft, skin-interfaced electronics enable cannula-free wireless monitoring of sleep respiration</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94">
        <w:r>
          <w:rPr>
            <w:color w:val="1155CC"/>
            <w:u w:val="single"/>
          </w:rPr>
          <w:t>10.1073/pnas.2605960123</w:t>
        </w:r>
      </w:hyperlink>
    </w:p>
    <w:p>
      <w:pPr>
        <w:spacing w:before="0" w:after="120"/>
      </w:pPr>
      <w:r>
        <w:rPr>
          <w:b/>
        </w:rPr>
        <w:t xml:space="preserve">Notes: </w:t>
      </w:r>
      <w:r>
        <w:t>abstract_source=crossref</w:t>
      </w:r>
    </w:p>
    <w:p>
      <w:pPr>
        <w:spacing w:before="0" w:after="80" w:lineRule="auto" w:line="276"/>
      </w:pPr>
      <w:r>
        <w:rPr>
          <w:b/>
        </w:rPr>
        <w:t xml:space="preserve">摘要（ZH）: </w:t>
      </w:r>
      <w:r>
        <w:t>与睡眠相关的呼吸障碍普遍存在但常常未被诊断，部分原因是传统呼吸监测技术的局限性。标准鼻导管引入气流阻力、不适感和长期依从性差，限制了家庭和纵向评估。在此，我们报告了一种柔软、皮肤界面的鼻贴，可在睡眠期间实现无导管、无线监测呼吸活动。该设备由超薄弹性材料构成，贴合鼻面，将呼吸引起的组织变形耦合到应变传感元件。皮肤-设备界面的力学和弹性响应决定了信号传输的灵敏度和线性度，使呼吸动态的定量捕获成为可能。集成的无线平台将变形信号直接传输到移动设备，消除了外部管道或有线模块的需求。模块化制造允许更换应变传感器和皮肤接触界面而不影响机械性能。在生理相关变形下的机械表征显示出高重复性和低滞后，而体内研究证实该贴片准确再现呼吸波形，并与金标准鼻导管测量密切相关。通过整合柔性材料力学、可穿戴应变传感和无线电子技术，该系统提供了一种最小侵入性的连续呼吸监测平台。本文介绍的技术类别在这方面提供了一个</w:t>
      </w:r>
    </w:p>
    <w:p>
      <w:pPr>
        <w:spacing w:before="0" w:after="200" w:lineRule="auto" w:line="276"/>
      </w:pPr>
      <w:r>
        <w:rPr>
          <w:b/>
        </w:rPr>
        <w:t xml:space="preserve">Abstract (EN): </w:t>
      </w:r>
      <w:r>
        <w:t>Sleep-related breathing disorders are prevalent yet frequently underdiagnosed, in part due to limitations of conventional respiratory monitoring technologies. Standard nasal cannulas introduce airflow resistance, discomfort, and poor long-term adherence, constraining at-home and longitudinal assessment. Here, we report a soft, skin-interfaced nasal patch that enables cannula-free, wireless monitoring of respiratory activity during sleep. The device is constructed from ultrathin, elastomeric materials that conform to the nasal surface, coupling respiratory-induced tissue deformation to a strain-sensing element. The mechanics of the skin–device interface and the elastomeric response govern the sensitivity and linearity of signal transduction, enabling quantitative capture of breathing dynamics. An integrated wireless platform transmits deformation signals directly to mobile devices, eliminating the need for external tubing or tethered modules. Modular fabrication permits replacement of the strain sensor and skin-contact interface without compromising mechanical performance. Mechanical characterization under physiologically relevant deformation demonstrates high repeatability and low hysteresis, while in vivo studies confirm that the patch accurately reproduces respiratory waveforms and correlates closely with gold-standard nasal cannula measurements. By integrating soft materials mechanics, wearable strain sensing, and wireless electronics, this system provides a minimally obtrusive platform for continuous respiratory monitoring. The class of technologies presented in this work establishes design principles for skin-interfaced devices, in which elastomeric mechanics, strain transduction, and wireless integration combine to enable quantitative, unobtrusive physiological monitoring in clinical and home environments.</w:t>
      </w:r>
    </w:p>
    <w:p>
      <w:pPr>
        <w:spacing w:before="120" w:after="120"/>
      </w:pPr>
      <w:r>
        <w:rPr>
          <w:sz w:val="18"/>
        </w:rPr>
        <w:t>——————————————————————————————————————————————————————————————————————</w:t>
      </w:r>
    </w:p>
    <w:p>
      <w:pPr>
        <w:spacing w:before="160" w:after="40" w:line="240" w:lineRule="auto"/>
      </w:pPr>
      <w:r>
        <w:rPr>
          <w:b/>
        </w:rPr>
        <w:t xml:space="preserve">[363] </w:t>
      </w:r>
      <w:hyperlink r:id="rId895">
        <w:r>
          <w:rPr>
            <w:color w:val="1155CC"/>
            <w:u w:val="single"/>
          </w:rPr>
          <w:t>沃尔巴克氏体介导的昆虫媒介病毒传播增强</w:t>
        </w:r>
      </w:hyperlink>
    </w:p>
    <w:p>
      <w:pPr>
        <w:spacing w:before="0" w:after="80"/>
      </w:pPr>
      <w:r>
        <w:rPr>
          <w:i/>
          <w:sz w:val="20"/>
        </w:rPr>
        <w:t>EN: Wolbachia-mediated viral transmission enhancement in insect vectors</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96">
        <w:r>
          <w:rPr>
            <w:color w:val="1155CC"/>
            <w:u w:val="single"/>
          </w:rPr>
          <w:t>10.1073/pnas.2607638123</w:t>
        </w:r>
      </w:hyperlink>
    </w:p>
    <w:p>
      <w:pPr>
        <w:spacing w:before="0" w:after="120"/>
      </w:pPr>
      <w:r>
        <w:rPr>
          <w:b/>
        </w:rPr>
        <w:t xml:space="preserve">Notes: </w:t>
      </w:r>
      <w:r>
        <w:t>abstract_source=crossref</w:t>
      </w:r>
    </w:p>
    <w:p>
      <w:pPr>
        <w:spacing w:before="0" w:after="80" w:lineRule="auto" w:line="276"/>
      </w:pPr>
      <w:r>
        <w:rPr>
          <w:b/>
        </w:rPr>
        <w:t xml:space="preserve">摘要（ZH）: </w:t>
      </w:r>
      <w:r>
        <w:t>白背飞虱（Sogatella furcifera）是南方水稻黑条矮缩病毒（SRBSDV）的传播媒介，不同种群的传播效率各异。本研究确定了一种常见的昆虫共生体Wolbachia作为突破唾液腺屏障的关键促进者，揭示了病毒如何利用昆虫共生体进行传播的机制。通过田间和实验室调查，观察到高传播（HT）飞虱种群中含有高水平的Wolbachia，而低传播（LT）种群中含量极少。涉及胸部注射的实验证实了Wolbachia在渗透唾液腺中的特定作用，因为尽管SRBSDV在系统中存在，但在Wolbachia耗尽的昆虫中无法定殖腺体。超微结构分析显示Wolbachia包裹在腺细胞内的SRBSDV颗粒中，分子检测进一步支持了Wolbachia表面蛋白（WSP）与病毒P8衣壳蛋白之间的直接相互作用。使用抗WSP抗体破坏这种相互作用降低了唾液腺病毒载量和传播率，强调了其功能重要性。这些结果与Wolbachia的抗病毒效应形成对比。</w:t>
      </w:r>
    </w:p>
    <w:p>
      <w:pPr>
        <w:spacing w:before="0" w:after="200" w:lineRule="auto" w:line="276"/>
      </w:pPr>
      <w:r>
        <w:rPr>
          <w:b/>
        </w:rPr>
        <w:t xml:space="preserve">Abstract (EN): </w:t>
      </w:r>
      <w:r>
        <w:t>The white-backed planthopper (</w:t>
      </w:r>
      <w:r>
        <w:t xml:space="preserve"> </w:t>
      </w:r>
      <w:r>
        <w:t>Sogatella furcifera</w:t>
      </w:r>
      <w:r>
        <w:t xml:space="preserve"> </w:t>
      </w:r>
      <w:r>
        <w:t>) serves as the vector for the southern rice black-streaked dwarf virus (SRBSDV), with varying transmission efficiencies across populations. This research identifies</w:t>
      </w:r>
      <w:r>
        <w:t xml:space="preserve"> </w:t>
      </w:r>
      <w:r>
        <w:t>Wolbachia</w:t>
      </w:r>
      <w:r>
        <w:t xml:space="preserve"> </w:t>
      </w:r>
      <w:r>
        <w:t>, a common insect symbiont, as a key facilitator in breaching the salivary gland barrier for SRBSDV, revealing a mechanism by which the virus exploits an insect symbiont for transmission. Through field and laboratory investigations, it was observed that high-transmission (HT) planthopper populations contained high levels of</w:t>
      </w:r>
      <w:r>
        <w:t xml:space="preserve"> </w:t>
      </w:r>
      <w:r>
        <w:t>Wolbachia</w:t>
      </w:r>
      <w:r>
        <w:t xml:space="preserve"> </w:t>
      </w:r>
      <w:r>
        <w:t>, while low-transmission (LT) populations had minimal titers. Experiments involving thoracic injections confirmed</w:t>
      </w:r>
      <w:r>
        <w:t xml:space="preserve"> </w:t>
      </w:r>
      <w:r>
        <w:t>Wolbachia</w:t>
      </w:r>
      <w:r>
        <w:t xml:space="preserve"> </w:t>
      </w:r>
      <w:r>
        <w:t>’s specific role in infiltrating salivary glands, as SRBSDV was unable to colonize glands in</w:t>
      </w:r>
      <w:r>
        <w:t xml:space="preserve"> </w:t>
      </w:r>
      <w:r>
        <w:t>Wolbachia</w:t>
      </w:r>
      <w:r>
        <w:t xml:space="preserve"> </w:t>
      </w:r>
      <w:r>
        <w:t>-depleted insects despite being present systemically. Ultrastructural analysis showed</w:t>
      </w:r>
      <w:r>
        <w:t xml:space="preserve"> </w:t>
      </w:r>
      <w:r>
        <w:t>Wolbachia</w:t>
      </w:r>
      <w:r>
        <w:t xml:space="preserve"> </w:t>
      </w:r>
      <w:r>
        <w:t>enveloping SRBSDV particles within gland cells, further supported by molecular assays indicating a direct interaction between</w:t>
      </w:r>
      <w:r>
        <w:t xml:space="preserve"> </w:t>
      </w:r>
      <w:r>
        <w:t>Wolbachia</w:t>
      </w:r>
      <w:r>
        <w:t xml:space="preserve"> </w:t>
      </w:r>
      <w:r>
        <w:t>surface protein (WSP) and viral P8 capsid protein. Disruption of this interaction using anti-WSP antibodies reduced salivary gland viral load and transmission rates, underscoring its functional importance. These results contrast with</w:t>
      </w:r>
      <w:r>
        <w:t xml:space="preserve"> </w:t>
      </w:r>
      <w:r>
        <w:t>Wolbachia</w:t>
      </w:r>
      <w:r>
        <w:t xml:space="preserve"> </w:t>
      </w:r>
      <w:r>
        <w:t>’s antiviral effects in mosquitoes, highlighting a context-dependent “hitchhiking” strategy for viral dissemination. The WSP–P8 interaction presents a specific target for inhibiting SRBSDV transmission without resorting to pesticides, proposing a symbiont-informed approach as a sustainable strategy against rice viral diseases.</w:t>
      </w:r>
    </w:p>
    <w:p>
      <w:pPr>
        <w:spacing w:before="120" w:after="120"/>
      </w:pPr>
      <w:r>
        <w:rPr>
          <w:sz w:val="18"/>
        </w:rPr>
        <w:t>——————————————————————————————————————————————————————————————————————</w:t>
      </w:r>
    </w:p>
    <w:p>
      <w:pPr>
        <w:spacing w:before="160" w:after="40" w:line="240" w:lineRule="auto"/>
      </w:pPr>
      <w:r>
        <w:rPr>
          <w:b/>
        </w:rPr>
        <w:t xml:space="preserve">[364] </w:t>
      </w:r>
      <w:hyperlink r:id="rId897">
        <w:r>
          <w:rPr>
            <w:color w:val="1155CC"/>
            <w:u w:val="single"/>
          </w:rPr>
          <w:t>ICMT通过膜靶向CAAX蛋白INPP5E支持BRAFV600E驱动的肿瘤生长</w:t>
        </w:r>
      </w:hyperlink>
    </w:p>
    <w:p>
      <w:pPr>
        <w:spacing w:before="0" w:after="80"/>
      </w:pPr>
      <w:r>
        <w:rPr>
          <w:i/>
          <w:sz w:val="20"/>
        </w:rPr>
        <w:t>EN: ICMT supports BRAFV600E-driven tumor growth by membrane targeting of the CAAX protein INPP5E</w:t>
      </w:r>
    </w:p>
    <w:p>
      <w:pPr>
        <w:spacing w:before="0" w:after="120"/>
      </w:pPr>
      <w:r>
        <w:rPr>
          <w:b/>
        </w:rPr>
        <w:t xml:space="preserve">Source: </w:t>
      </w:r>
      <w:r>
        <w:t>Proceedings of the National Academy of Sciences: Keyword search for query</w:t>
      </w:r>
      <w:r>
        <w:t xml:space="preserve">    </w:t>
      </w:r>
      <w:r>
        <w:rPr>
          <w:b/>
        </w:rPr>
        <w:t xml:space="preserve">Pub date: </w:t>
      </w:r>
      <w:r>
        <w:t>2026-05-13 07:00:00+00:00</w:t>
      </w:r>
      <w:r>
        <w:t xml:space="preserve">    </w:t>
      </w:r>
      <w:r>
        <w:rPr>
          <w:b/>
        </w:rPr>
        <w:t xml:space="preserve">DOI: </w:t>
      </w:r>
      <w:hyperlink r:id="rId898">
        <w:r>
          <w:rPr>
            <w:color w:val="1155CC"/>
            <w:u w:val="single"/>
          </w:rPr>
          <w:t>10.1073/pnas.2601795123</w:t>
        </w:r>
      </w:hyperlink>
    </w:p>
    <w:p>
      <w:pPr>
        <w:spacing w:before="0" w:after="120"/>
      </w:pPr>
      <w:r>
        <w:rPr>
          <w:b/>
        </w:rPr>
        <w:t xml:space="preserve">Notes: </w:t>
      </w:r>
      <w:r>
        <w:t>abstract_source=crossref</w:t>
      </w:r>
    </w:p>
    <w:p>
      <w:pPr>
        <w:spacing w:before="0" w:after="80" w:lineRule="auto" w:line="276"/>
      </w:pPr>
      <w:r>
        <w:rPr>
          <w:b/>
        </w:rPr>
        <w:t xml:space="preserve">摘要（ZH）: </w:t>
      </w:r>
      <w:r>
        <w:t>异戊二烯半胱氨酸羧甲基转移酶（ICMT）催化异戊二烯化CAAX蛋白的C末端甲基化，这是促进膜结合和信号传导的最后一步处理。尽管ICMT已被用于破坏RAS膜靶向，但其在BRAF V600E驱动的癌症中的作用及其关键底物仍不清楚。在此，遗传和药理学（UCM-1336）ICMT抑制在BRAF V600E突变的黑色素瘤细胞中抑制了增殖和侵袭，并减少了异种移植和小鼠中的肿瘤生长。ICMT敲低抑制了BRAF抑制剂耐药的黑色素瘤细胞的增殖。我们确定INPP5E是一个ICMT依赖的底物：ICMT抑制减少了INPP5E的甲基化，使其从膜上移位，并增加了PI(4,5)P2。强制INPP5E膜靶向部分挽救了ICMT抑制引起的生长缺陷。这些发现表明ICMT-INPP5E轴支持BRAF V600E驱动的肿瘤生长。</w:t>
      </w:r>
    </w:p>
    <w:p>
      <w:pPr>
        <w:spacing w:before="0" w:after="200" w:lineRule="auto" w:line="276"/>
      </w:pPr>
      <w:r>
        <w:rPr>
          <w:b/>
        </w:rPr>
        <w:t xml:space="preserve">Abstract (EN): </w:t>
      </w:r>
      <w:r>
        <w:t>Isoprenylcysteine carboxyl methyltransferase (ICMT) catalyzes C-terminal methylation of prenylated CAAX proteins, a final processing step promoting membrane association and signaling. Although ICMT has been pursued to disrupt RAS membrane targeting, its role in BRAF</w:t>
      </w:r>
      <w:r>
        <w:t xml:space="preserve"> </w:t>
      </w:r>
      <w:r>
        <w:t>V600E</w:t>
      </w:r>
      <w:r>
        <w:t xml:space="preserve"> </w:t>
      </w:r>
      <w:r>
        <w:t>-driven cancers and critical substrates remains unclear. Here, genetic and pharmacologic (UCM-1336) ICMT inhibition suppressed proliferation and invasion in BRAF</w:t>
      </w:r>
      <w:r>
        <w:t xml:space="preserve"> </w:t>
      </w:r>
      <w:r>
        <w:t>V600E</w:t>
      </w:r>
      <w:r>
        <w:t xml:space="preserve"> </w:t>
      </w:r>
      <w:r>
        <w:t>-mutant melanoma cells and reduced tumor growth in xenografts and mice. ICMT knockdown inhibited proliferation of BRAF-inhibitor-resistant melanoma cells. We identify INPP5E as an ICMT-dependent substrate: ICMT inhibition reduced INPP5E methylation, displaced it from membranes, and increased PI(4,5)P</w:t>
      </w:r>
      <w:r>
        <w:rPr>
          <w:vertAlign w:val="subscript"/>
        </w:rPr>
        <w:t>2</w:t>
      </w:r>
      <w:r>
        <w:t>. Forced INPP5E membrane targeting partially rescued growth defects caused by ICMT inhibition. These findings implicate an ICMT-INPP5E-axis that supports BRAF</w:t>
      </w:r>
      <w:r>
        <w:t xml:space="preserve"> </w:t>
      </w:r>
      <w:r>
        <w:t>V600E</w:t>
      </w:r>
      <w:r>
        <w:t xml:space="preserve"> </w:t>
      </w:r>
      <w:r>
        <w:t>-driven tumor growth.</w:t>
      </w:r>
    </w:p>
    <w:p>
      <w:pPr>
        <w:spacing w:before="120" w:after="120"/>
      </w:pPr>
      <w:r>
        <w:rPr>
          <w:sz w:val="18"/>
        </w:rPr>
        <w:t>——————————————————————————————————————————————————————————————————————</w:t>
      </w:r>
    </w:p>
    <w:p>
      <w:pPr>
        <w:spacing w:before="160" w:after="40" w:line="240" w:lineRule="auto"/>
      </w:pPr>
      <w:r>
        <w:rPr>
          <w:b/>
        </w:rPr>
        <w:t xml:space="preserve">[365] </w:t>
      </w:r>
      <w:hyperlink r:id="rId899">
        <w:r>
          <w:rPr>
            <w:color w:val="1155CC"/>
            <w:u w:val="single"/>
          </w:rPr>
          <w:t>通过仿生离子泵实现高效动态电位稳定，防止传感信号漂移</w:t>
        </w:r>
      </w:hyperlink>
    </w:p>
    <w:p>
      <w:pPr>
        <w:spacing w:before="0" w:after="80"/>
      </w:pPr>
      <w:r>
        <w:rPr>
          <w:i/>
          <w:sz w:val="20"/>
        </w:rPr>
        <w:t>EN: Efficient Dynamic Potential Stabilization via a Bioinspired Ion Pump Prevents Sensing Signals Drift</w:t>
      </w:r>
    </w:p>
    <w:p>
      <w:pPr>
        <w:spacing w:before="0" w:after="120"/>
      </w:pPr>
      <w:r>
        <w:rPr>
          <w:b/>
        </w:rPr>
        <w:t xml:space="preserve">Source: </w:t>
      </w:r>
      <w:r>
        <w:t>Wiley: Advanced Materials: Table of Contents</w:t>
      </w:r>
      <w:r>
        <w:t xml:space="preserve">    </w:t>
      </w:r>
      <w:r>
        <w:rPr>
          <w:b/>
        </w:rPr>
        <w:t xml:space="preserve">Pub date: </w:t>
      </w:r>
      <w:r>
        <w:t>2026-05-13 08:04:40+00:00</w:t>
      </w:r>
      <w:r>
        <w:t xml:space="preserve">    </w:t>
      </w:r>
      <w:r>
        <w:rPr>
          <w:b/>
        </w:rPr>
        <w:t xml:space="preserve">DOI: </w:t>
      </w:r>
      <w:hyperlink r:id="rId900">
        <w:r>
          <w:rPr>
            <w:color w:val="1155CC"/>
            <w:u w:val="single"/>
          </w:rPr>
          <w:t>10.1002/adma.202522373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离子传感系统依赖外部电源维持界面电位，面临持续的稳定性挑战。在连续操作期间，逐渐的能量消耗导致电位衰减，表现为信号漂移和最终的系统失效。这个问题源于缺乏类似于生物离子泵的高效主动调节机制，生物离子泵通过ATP水解主动运输离子以抵抗电化学梯度，动态补偿电位耗散。受此机制启发，我们开发了一种氧驱动的仿生离子泵，利用NH4+插层的V2O5中的氧敏感O─Zn键实现高效的Zn2+提取和在富氧环境中的反向泵送，成功模拟了生物主动运输。该设计通过动态离子泵送实现了电极电位的持续稳定性，同时显著增强了V2O5的离子存储能力。理论模拟阐明了O─Zn键解离与氧富集下吸附位能态之间的机制，以及由此产生的Zn2+泵送过程。构建的自供电呼吸传感器在480</w:t>
      </w:r>
    </w:p>
    <w:p>
      <w:pPr>
        <w:spacing w:before="0" w:after="200" w:lineRule="auto" w:line="276"/>
      </w:pPr>
      <w:r>
        <w:rPr>
          <w:b/>
        </w:rPr>
        <w:t xml:space="preserve">Abstract (EN): </w:t>
      </w:r>
      <w:r>
        <w:t>Artificial ion‐sensing systems rely on external power to sustain interfacial potentials, facing persistent stability challenges. During continuous operation, progressive energy depletion results in potential decay, manifesting as signal drift and eventual system failure. This problem stems from the absence of an efficient active regulation mechanism analogous to biological ion pumps, which harness ATP hydrolysis to actively transport ions against electrochemical gradients, dynamically compensating for potential dissipation. Inspired by this mechanism, we developed an oxygen‐driven bioinspired ion pump that exploits oxygen‐sensitive O─Zn bonds within NH</w:t>
      </w:r>
      <w:r>
        <w:rPr>
          <w:vertAlign w:val="subscript"/>
        </w:rPr>
        <w:t>4</w:t>
      </w:r>
      <w:r>
        <w:t>+</w:t>
      </w:r>
      <w:r>
        <w:t xml:space="preserve"> </w:t>
      </w:r>
      <w:r>
        <w:t>‐intercalated V</w:t>
      </w:r>
      <w:r>
        <w:rPr>
          <w:vertAlign w:val="subscript"/>
        </w:rPr>
        <w:t>2</w:t>
      </w:r>
      <w:r>
        <w:t>O</w:t>
      </w:r>
      <w:r>
        <w:rPr>
          <w:vertAlign w:val="subscript"/>
        </w:rPr>
        <w:t>5</w:t>
      </w:r>
      <w:r>
        <w:t>to achieve efficient Zn</w:t>
      </w:r>
      <w:r>
        <w:t xml:space="preserve"> </w:t>
      </w:r>
      <w:r>
        <w:t>2+</w:t>
      </w:r>
      <w:r>
        <w:t xml:space="preserve"> </w:t>
      </w:r>
      <w:r>
        <w:t>extraction and reverse pumping in oxygen‐rich environments, successfully emulating biological active transport. This design enables sustained electrode potential stability through dynamic ion pumping while significantly enhancing the ion‐storage capacity of V</w:t>
      </w:r>
      <w:r>
        <w:rPr>
          <w:vertAlign w:val="subscript"/>
        </w:rPr>
        <w:t>2</w:t>
      </w:r>
      <w:r>
        <w:t>O</w:t>
      </w:r>
      <w:r>
        <w:rPr>
          <w:vertAlign w:val="subscript"/>
        </w:rPr>
        <w:t>5</w:t>
      </w:r>
      <w:r>
        <w:t>. Theoretical simulations elucidated the mechanism linking O─Zn bond dissociation to adsorption site energy states under oxygen enrichment, alongside the resulting Zn</w:t>
      </w:r>
      <w:r>
        <w:t xml:space="preserve"> </w:t>
      </w:r>
      <w:r>
        <w:t>2+</w:t>
      </w:r>
      <w:r>
        <w:t xml:space="preserve"> </w:t>
      </w:r>
      <w:r>
        <w:t>pumping process. The constructed self‐powered respiration sensor demonstrated stable operation for 480 h in ambient air without external power, exhibiting a minimal performance degradation rate of only 0.2% (compared to 13.9% in oxygen‐free environments). This work proposes an oxygen‐driven bioinspired ion‐pumping strategy, offering a novel pathway to overcome persistent energy supply challenges in potentiometric sensors.</w:t>
      </w:r>
    </w:p>
    <w:p>
      <w:pPr>
        <w:spacing w:before="120" w:after="120"/>
      </w:pPr>
      <w:r>
        <w:rPr>
          <w:sz w:val="18"/>
        </w:rPr>
        <w:t>——————————————————————————————————————————————————————————————————————</w:t>
      </w:r>
    </w:p>
    <w:p>
      <w:pPr>
        <w:spacing w:before="160" w:after="40" w:line="240" w:lineRule="auto"/>
      </w:pPr>
      <w:r>
        <w:rPr>
          <w:b/>
        </w:rPr>
        <w:t xml:space="preserve">[366] </w:t>
      </w:r>
      <w:hyperlink r:id="rId901">
        <w:r>
          <w:rPr>
            <w:color w:val="1155CC"/>
            <w:u w:val="single"/>
          </w:rPr>
          <w:t>N-乙酰半胱氨酸介导的吸入mRNA脂质纳米颗粒表面重塑实现协调的粘膜和系统性抗肿瘤免疫</w:t>
        </w:r>
      </w:hyperlink>
    </w:p>
    <w:p>
      <w:pPr>
        <w:spacing w:before="0" w:after="80"/>
      </w:pPr>
      <w:r>
        <w:rPr>
          <w:i/>
          <w:sz w:val="20"/>
        </w:rPr>
        <w:t>EN: N‐Acetylcysteine–Mediated Surface Remodeling of Inhaled mRNA Lipid Nanoparticles Enables Coordinated Mucosal and Systemic Antitumor Immunity</w:t>
      </w:r>
    </w:p>
    <w:p>
      <w:pPr>
        <w:spacing w:before="0" w:after="120"/>
      </w:pPr>
      <w:r>
        <w:rPr>
          <w:b/>
        </w:rPr>
        <w:t xml:space="preserve">Source: </w:t>
      </w:r>
      <w:r>
        <w:t>Wiley: Advanced Materials: Table of Contents</w:t>
      </w:r>
      <w:r>
        <w:t xml:space="preserve">    </w:t>
      </w:r>
      <w:r>
        <w:rPr>
          <w:b/>
        </w:rPr>
        <w:t xml:space="preserve">Pub date: </w:t>
      </w:r>
      <w:r>
        <w:t>2026-05-13 08:07:08+00:00</w:t>
      </w:r>
      <w:r>
        <w:t xml:space="preserve">    </w:t>
      </w:r>
      <w:r>
        <w:rPr>
          <w:b/>
        </w:rPr>
        <w:t xml:space="preserve">DOI: </w:t>
      </w:r>
      <w:hyperlink r:id="rId902">
        <w:r>
          <w:rPr>
            <w:color w:val="1155CC"/>
            <w:u w:val="single"/>
          </w:rPr>
          <w:t>10.1002/adma.73362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吸入信使RNA（mRNA）传递受到气溶胶化引起的应力和气道屏障的限制，这些因素限制了沉积后的运输和免疫激活。在此，我们报告了一种N-乙酰半胱氨酸（NAC）启用的策略，该策略在气道沉积后动态重塑吸入的mRNA脂质纳米颗粒（LNP）。LNP通过在雾化过程中通过静电排斥力稳定，其表面带有负电荷的二硫键肽-脂质共轭物。沉积后，NAC介导巯基-二硫键交换以切断肽-脂质连接，去除阴离子肽并恢复细胞摄取，同时保持气溶胶稳定性。同时，NAC作为粘液溶解剂降低粘液密度，增强LNP穿透和跨上皮运输。结果，吸入的mRNA-LNP产生强大的肺部mRNA表达，并在肺外组织中实现mRNA表达。在免疫学上，吸入的mRNA-LNP引发强烈的粘膜免疫反应，而NAC启用的传递还激活了全身免疫激活。在小鼠肿瘤模型中，这一策略实现了远处肿瘤的完全根除，并提供了对肿瘤再挑战的持久保护。这些发现突出了动态纳米颗粒表面重塑在克服吸入mRNA传递障碍中的潜力。</w:t>
      </w:r>
    </w:p>
    <w:p>
      <w:pPr>
        <w:spacing w:before="0" w:after="200" w:lineRule="auto" w:line="276"/>
      </w:pPr>
      <w:r>
        <w:rPr>
          <w:b/>
        </w:rPr>
        <w:t xml:space="preserve">Abstract (EN): </w:t>
      </w:r>
      <w:r>
        <w:t>Inhaled messenger RNA (mRNA) delivery is constrained by aerosolization‐induced stress and airway barriers that limit post‐deposition transport and immune activation. Here, we report an N‐acetylcysteine (NAC)—enabled strategy that dynamically remodels inhaled mRNA lipid nanoparticles (LNP) after airway deposition. The LNPs are stabilized through electrostatic repulsions during nebulization by a negatively charged, disulfide‐linked peptide–lipid conjugate on the LNP surface. Following deposition, NAC mediates thiol–disulfide exchange to cleave the peptide–lipid linkage, removing the anionic peptide and restoring cellular uptake while preserving aerosol stability. Concurrently, NAC reduces mucus density as a mucolytic, enhancing LNP penetration and trans‐epithelial transport. As a result, inhaled mRNA‐LNP yields robust pulmonary mRNA expression and enables mRNA expression in extrapulmonary tissues. Immunologically, inhaled mRNA‐LNPs elicit strong mucosal immune responses, while NAC‐enabled delivery additionally activates systemic immune activation. In mouse tumor models, this strategy achieves complete eradication of distant tumors and confers durable protection against tumor rechallenge. These findings highlight the potential of dynamic nanoparticle surface remodeling to overcome barriers in inhaled mRNA delivery.</w:t>
      </w:r>
    </w:p>
    <w:p>
      <w:pPr>
        <w:spacing w:before="120" w:after="120"/>
      </w:pPr>
      <w:r>
        <w:rPr>
          <w:sz w:val="18"/>
        </w:rPr>
        <w:t>——————————————————————————————————————————————————————————————————————</w:t>
      </w:r>
    </w:p>
    <w:p>
      <w:pPr>
        <w:spacing w:before="160" w:after="40" w:line="240" w:lineRule="auto"/>
      </w:pPr>
      <w:r>
        <w:rPr>
          <w:b/>
        </w:rPr>
        <w:t xml:space="preserve">[367] </w:t>
      </w:r>
      <w:hyperlink r:id="rId903">
        <w:r>
          <w:rPr>
            <w:color w:val="1155CC"/>
            <w:u w:val="single"/>
          </w:rPr>
          <w:t>三维细胞层的驱动</w:t>
        </w:r>
      </w:hyperlink>
    </w:p>
    <w:p>
      <w:pPr>
        <w:spacing w:before="0" w:after="80"/>
      </w:pPr>
      <w:r>
        <w:rPr>
          <w:i/>
          <w:sz w:val="20"/>
        </w:rPr>
        <w:t>EN: Actuation of Cell Layers in Three Dimensions</w:t>
      </w:r>
    </w:p>
    <w:p>
      <w:pPr>
        <w:spacing w:before="0" w:after="120"/>
      </w:pPr>
      <w:r>
        <w:rPr>
          <w:b/>
        </w:rPr>
        <w:t xml:space="preserve">Source: </w:t>
      </w:r>
      <w:r>
        <w:t>Wiley: Advanced Materials: Table of Contents</w:t>
      </w:r>
      <w:r>
        <w:t xml:space="preserve">    </w:t>
      </w:r>
      <w:r>
        <w:rPr>
          <w:b/>
        </w:rPr>
        <w:t xml:space="preserve">Pub date: </w:t>
      </w:r>
      <w:r>
        <w:t>2026-05-13 08:08:57+00:00</w:t>
      </w:r>
      <w:r>
        <w:t xml:space="preserve">    </w:t>
      </w:r>
      <w:r>
        <w:rPr>
          <w:b/>
        </w:rPr>
        <w:t xml:space="preserve">DOI: </w:t>
      </w:r>
      <w:hyperlink r:id="rId904">
        <w:r>
          <w:rPr>
            <w:color w:val="1155CC"/>
            <w:u w:val="single"/>
          </w:rPr>
          <w:t>10.1002/adma.202522191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活组织中纤维和细胞的排列影响其机械性能和功能。在此背景下，可以将组织与向列型液晶弹性体进行类比。我们通过在二维图案化基底上培养成纤维细胞，并观察细胞片从基底上脱离时的收缩来探索这种类比。当成纤维细胞片脱离时，它们经历各向异性收缩，最大收缩沿向列导向，就像向列弹性体在相变期间所做的那样。我们使用带有条纹的图案化基底来诱导对齐，量化这种各向异性，发现细胞片类似于具有负二维泊松比的向列弹性体。剥离片的收缩对调节细胞骨架重塑的药物具有鲁棒性。然后，我们应用用于编程向列弹性体曲率的设计原则来驱动脱离的成纤维细胞层中的三维结构，展示了这些原则的应用，并通过模拟支持结果。这一概念验证显示了通过二维图案化控制细胞层三维形状的能力，开辟了编程组织的有前途的途径。</w:t>
      </w:r>
    </w:p>
    <w:p>
      <w:pPr>
        <w:spacing w:before="0" w:after="200" w:lineRule="auto" w:line="276"/>
      </w:pPr>
      <w:r>
        <w:rPr>
          <w:b/>
        </w:rPr>
        <w:t xml:space="preserve">Abstract (EN): </w:t>
      </w:r>
      <w:r>
        <w:t>The alignment of fibers and cells in living tissues affect their mechanical properties and functionality. In this context, one can draw an analogy between tissues and nematic liquid crystal elastomers. We explore this analogy by growing fibroblasts on 2D‐patterned substrates and observing the contraction of cell sheets upon detachment from the substrates. When fibroblast sheets detach, they undergo an anisotropic contraction, with maximum contraction along the nematic director, like nematic elastomers do during phase transition. We quantify this anisotropy using substrates patterned with stripes to induce alignment, finding that cell sheets resemble nematic elastomers with negative 2D Poisson ratio. The contraction of the peeling sheet is robust to drugs that modulate cytoskeletal remodeling. We then apply design principles used for programming curvature in nematic elastomers to actuate 3D structures in the detached fibroblast layers, demonstrating an application of these principles and we support the results with simulations. This proof of concept shows the ability to control the 3D shape through 2D patterning in cell layers, leading to promising avenues to program tissues.</w:t>
      </w:r>
    </w:p>
    <w:p>
      <w:pPr>
        <w:spacing w:before="120" w:after="120"/>
      </w:pPr>
      <w:r>
        <w:rPr>
          <w:sz w:val="18"/>
        </w:rPr>
        <w:t>——————————————————————————————————————————————————————————————————————</w:t>
      </w:r>
    </w:p>
    <w:p>
      <w:pPr>
        <w:spacing w:before="160" w:after="40" w:line="240" w:lineRule="auto"/>
      </w:pPr>
      <w:r>
        <w:rPr>
          <w:b/>
        </w:rPr>
        <w:t xml:space="preserve">[368] </w:t>
      </w:r>
      <w:hyperlink r:id="rId905">
        <w:r>
          <w:rPr>
            <w:color w:val="1155CC"/>
            <w:u w:val="single"/>
          </w:rPr>
          <w:t>超分子错配提高离子凝胶的流动转变温度</w:t>
        </w:r>
      </w:hyperlink>
    </w:p>
    <w:p>
      <w:pPr>
        <w:spacing w:before="0" w:after="80"/>
      </w:pPr>
      <w:r>
        <w:rPr>
          <w:i/>
          <w:sz w:val="20"/>
        </w:rPr>
        <w:t>EN: Supramolecular Mismatch Elevates the Flow Transition Temperature of Ionogels</w:t>
      </w:r>
    </w:p>
    <w:p>
      <w:pPr>
        <w:spacing w:before="0" w:after="120"/>
      </w:pPr>
      <w:r>
        <w:rPr>
          <w:b/>
        </w:rPr>
        <w:t xml:space="preserve">Source: </w:t>
      </w:r>
      <w:r>
        <w:t>Wiley: Advanced Materials: Table of Contents</w:t>
      </w:r>
      <w:r>
        <w:t xml:space="preserve">    </w:t>
      </w:r>
      <w:r>
        <w:rPr>
          <w:b/>
        </w:rPr>
        <w:t xml:space="preserve">Pub date: </w:t>
      </w:r>
      <w:r>
        <w:t>2026-05-13 08:14:28+00:00</w:t>
      </w:r>
      <w:r>
        <w:t xml:space="preserve">    </w:t>
      </w:r>
      <w:r>
        <w:rPr>
          <w:b/>
        </w:rPr>
        <w:t xml:space="preserve">DOI: </w:t>
      </w:r>
      <w:hyperlink r:id="rId906">
        <w:r>
          <w:rPr>
            <w:color w:val="1155CC"/>
            <w:u w:val="single"/>
          </w:rPr>
          <w:t>10.1002/adma.73377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离子凝胶通过将聚合物网络与离子液体（ILs）结合形成，在柔性电子和离子电子设备中具有前景，但其实际应用常因低流动转变温度（</w:t>
      </w:r>
      <w:r>
        <w:t xml:space="preserve"> </w:t>
      </w:r>
      <w:r>
        <w:t>T</w:t>
      </w:r>
      <w:r>
        <w:t xml:space="preserve"> </w:t>
      </w:r>
      <w:r>
        <w:t>f</w:t>
      </w:r>
      <w:r>
        <w:t xml:space="preserve"> </w:t>
      </w:r>
      <w:r>
        <w:t>）导致的高温稳定性差而受到限制，这通常在加入ILs后降低。在此，我们报告了一种超分子错配策略，从根本上提高了聚氨酯基离子凝胶的</w:t>
      </w:r>
      <w:r>
        <w:t xml:space="preserve"> </w:t>
      </w:r>
      <w:r>
        <w:t>T</w:t>
      </w:r>
      <w:r>
        <w:t xml:space="preserve"> </w:t>
      </w:r>
      <w:r>
        <w:t>f</w:t>
      </w:r>
      <w:r>
        <w:t xml:space="preserve"> </w:t>
      </w:r>
      <w:r>
        <w:t>，有效抑制了加热下的热软化。通过在聚合物主链中引入错配的超分子链扩展剂，所得离子凝胶表现出显著增加的</w:t>
      </w:r>
      <w:r>
        <w:t xml:space="preserve"> </w:t>
      </w:r>
      <w:r>
        <w:t>T</w:t>
      </w:r>
      <w:r>
        <w:t xml:space="preserve"> </w:t>
      </w:r>
      <w:r>
        <w:t>f</w:t>
      </w:r>
      <w:r>
        <w:t xml:space="preserve"> </w:t>
      </w:r>
      <w:r>
        <w:t>高达151°C，并且操作温度窗口显著扩展至接近200°C。流变学测量显示，错配离子凝胶在高温下具有显著更高的损耗模量，表明增强的内摩擦稳定了网络，防止热流动。重要的是，这一策略减轻了ILs对聚合物-聚合物相互作用的破坏性影响，同时保持高离子电导率和光学透明性。除了热稳定性，离子凝胶还表现出良好的弹性、自愈能力和在高温下稳定的传感性能。这项工作确立了超分子错配作为克服内在热</w:t>
      </w:r>
    </w:p>
    <w:p>
      <w:pPr>
        <w:spacing w:before="0" w:after="200" w:lineRule="auto" w:line="276"/>
      </w:pPr>
      <w:r>
        <w:rPr>
          <w:b/>
        </w:rPr>
        <w:t xml:space="preserve">Abstract (EN): </w:t>
      </w:r>
      <w:r>
        <w:t>Ionogels, formed by integrating polymer networks with ionic liquids (ILs), are promising for flexible electronics and ionotronic devices, yet their practical application is often limited by poor high‐temperature stability arising from low flow transition temperatures (</w:t>
      </w:r>
      <w:r>
        <w:t xml:space="preserve"> </w:t>
      </w:r>
      <w:r>
        <w:t>T</w:t>
      </w:r>
      <w:r>
        <w:t xml:space="preserve"> </w:t>
      </w:r>
      <w:r>
        <w:t>f</w:t>
      </w:r>
      <w:r>
        <w:t xml:space="preserve"> </w:t>
      </w:r>
      <w:r>
        <w:t>), which are commonly reduced upon incorporation of ILs. Here, we report a supramolecular mismatch strategy that fundamentally elevates the</w:t>
      </w:r>
      <w:r>
        <w:t xml:space="preserve"> </w:t>
      </w:r>
      <w:r>
        <w:t>T</w:t>
      </w:r>
      <w:r>
        <w:t xml:space="preserve"> </w:t>
      </w:r>
      <w:r>
        <w:t>f</w:t>
      </w:r>
      <w:r>
        <w:t xml:space="preserve"> </w:t>
      </w:r>
      <w:r>
        <w:t>of polyurethane‐based ionogels, effectively suppressing thermal softening under heating. By introducing mismatched supramolecular chain extenders into the polymer backbone, the resulting ionogels exhibit a markedly increased</w:t>
      </w:r>
      <w:r>
        <w:t xml:space="preserve"> </w:t>
      </w:r>
      <w:r>
        <w:t>T</w:t>
      </w:r>
      <w:r>
        <w:t xml:space="preserve"> </w:t>
      </w:r>
      <w:r>
        <w:t>f</w:t>
      </w:r>
      <w:r>
        <w:t xml:space="preserve"> </w:t>
      </w:r>
      <w:r>
        <w:t>of up to 151°C and a substantially expanded operating temperature window approaching 200°C. Rheological measurements reveal a markedly higher loss modulus for the mismatched ionogel at elevated temperatures, indicating enhanced internal friction that stabilizes the network against thermal flow. Importantly, this strategy mitigates the disruptive effect of ILs on polymer–polymer interactions while maintaining high ionic conductivity and optical transparency. Beyond thermal stability, the ionogels also display good elasticity, self‐healing capability, and stable sensing performance at elevated temperatures. This work establishes supramolecular mismatch as a powerful design principle for overcoming the intrinsic thermal limitations of ionogels, enabling their use in wide‐temperature‐range soft electronic and sensing applications.</w:t>
      </w:r>
    </w:p>
    <w:p>
      <w:pPr>
        <w:spacing w:before="120" w:after="120"/>
      </w:pPr>
      <w:r>
        <w:rPr>
          <w:sz w:val="18"/>
        </w:rPr>
        <w:t>——————————————————————————————————————————————————————————————————————</w:t>
      </w:r>
    </w:p>
    <w:p>
      <w:pPr>
        <w:spacing w:before="160" w:after="40" w:line="240" w:lineRule="auto"/>
      </w:pPr>
      <w:r>
        <w:rPr>
          <w:b/>
        </w:rPr>
        <w:t xml:space="preserve">[369] </w:t>
      </w:r>
      <w:hyperlink r:id="rId907">
        <w:r>
          <w:rPr>
            <w:color w:val="1155CC"/>
            <w:u w:val="single"/>
          </w:rPr>
          <w:t>路径解耦阳离子外延III-V范德华忆阻半导体用于缓解神经形态精度-能量权衡</w:t>
        </w:r>
      </w:hyperlink>
    </w:p>
    <w:p>
      <w:pPr>
        <w:spacing w:before="0" w:after="80"/>
      </w:pPr>
      <w:r>
        <w:rPr>
          <w:i/>
          <w:sz w:val="20"/>
        </w:rPr>
        <w:t>EN: Path‐Decoupled Cation‐Eutaxy III–V van der Waals Memristive Semiconductors for Mitigating the Neuromorphic Accuracy‐Energy Trade‐off</w:t>
      </w:r>
    </w:p>
    <w:p>
      <w:pPr>
        <w:spacing w:before="0" w:after="120"/>
      </w:pPr>
      <w:r>
        <w:rPr>
          <w:b/>
        </w:rPr>
        <w:t xml:space="preserve">Source: </w:t>
      </w:r>
      <w:r>
        <w:t>Wiley: Advanced Materials: Table of Contents</w:t>
      </w:r>
      <w:r>
        <w:t xml:space="preserve">    </w:t>
      </w:r>
      <w:r>
        <w:rPr>
          <w:b/>
        </w:rPr>
        <w:t xml:space="preserve">Pub date: </w:t>
      </w:r>
      <w:r>
        <w:t>2026-05-13 08:15:44+00:00</w:t>
      </w:r>
      <w:r>
        <w:t xml:space="preserve">    </w:t>
      </w:r>
      <w:r>
        <w:rPr>
          <w:b/>
        </w:rPr>
        <w:t xml:space="preserve">DOI: </w:t>
      </w:r>
      <w:hyperlink r:id="rId908">
        <w:r>
          <w:rPr>
            <w:color w:val="1155CC"/>
            <w:u w:val="single"/>
          </w:rPr>
          <w:t>10.1002/adma.202523670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基于晶体管的计算面临一个基本的能量-分辨率权衡：降低电导率可以减少编程能量（Eprog），但同时缩小了多级状态辨别所需的动态范围（</w:t>
      </w:r>
      <w:r>
        <w:t xml:space="preserve"> </w:t>
      </w:r>
      <w:r>
        <w:t>G</w:t>
      </w:r>
      <w:r>
        <w:t xml:space="preserve"> </w:t>
      </w:r>
      <w:r>
        <w:t>max</w:t>
      </w:r>
      <w:r>
        <w:t xml:space="preserve"> </w:t>
      </w:r>
      <w:r>
        <w:t>/</w:t>
      </w:r>
      <w:r>
        <w:t>G</w:t>
      </w:r>
      <w:r>
        <w:t xml:space="preserve"> </w:t>
      </w:r>
      <w:r>
        <w:t>min</w:t>
      </w:r>
      <w:r>
        <w:t xml:space="preserve"> </w:t>
      </w:r>
      <w:r>
        <w:t>）。忆阻器提供模拟可编程性，但由于降低电导率会减少</w:t>
      </w:r>
      <w:r>
        <w:t xml:space="preserve"> </w:t>
      </w:r>
      <w:r>
        <w:t>G</w:t>
      </w:r>
      <w:r>
        <w:t xml:space="preserve"> </w:t>
      </w:r>
      <w:r>
        <w:t>max</w:t>
      </w:r>
      <w:r>
        <w:t xml:space="preserve"> </w:t>
      </w:r>
      <w:r>
        <w:t>/</w:t>
      </w:r>
      <w:r>
        <w:t>G</w:t>
      </w:r>
      <w:r>
        <w:t xml:space="preserve"> </w:t>
      </w:r>
      <w:r>
        <w:t>min</w:t>
      </w:r>
      <w:r>
        <w:t xml:space="preserve"> </w:t>
      </w:r>
      <w:r>
        <w:t>，从而降低学习准确性，因此也面临同样的限制。在此，一种路径解耦的III-V范德华（vdW）忆阻晶体管通过离子和电子传输路径的空间分离克服了这一限制。使用H</w:t>
      </w:r>
      <w:r>
        <w:t xml:space="preserve"> </w:t>
      </w:r>
      <w:r>
        <w:t>x</w:t>
      </w:r>
      <w:r>
        <w:t xml:space="preserve"> </w:t>
      </w:r>
      <w:r>
        <w:t>K</w:t>
      </w:r>
      <w:r>
        <w:t xml:space="preserve"> </w:t>
      </w:r>
      <w:r>
        <w:t>1–x</w:t>
      </w:r>
      <w:r>
        <w:t xml:space="preserve"> </w:t>
      </w:r>
      <w:r>
        <w:t>GaSb</w:t>
      </w:r>
      <w:r>
        <w:rPr>
          <w:vertAlign w:val="subscript"/>
        </w:rPr>
        <w:t>2</w:t>
      </w:r>
      <w:r>
        <w:t>，限制在vdW间隙中的K</w:t>
      </w:r>
      <w:r>
        <w:t xml:space="preserve"> </w:t>
      </w:r>
      <w:r>
        <w:t>+</w:t>
      </w:r>
      <w:r>
        <w:t xml:space="preserve"> </w:t>
      </w:r>
      <w:r>
        <w:t>空位作为可移动的离子物种，而空穴在共价键合的[GaSb</w:t>
      </w:r>
      <w:r>
        <w:rPr>
          <w:vertAlign w:val="subscript"/>
        </w:rPr>
        <w:t>2</w:t>
      </w:r>
      <w:r>
        <w:t>]层中传导。这种解耦产生了高K</w:t>
      </w:r>
      <w:r>
        <w:t xml:space="preserve"> </w:t>
      </w:r>
      <w:r>
        <w:t>+</w:t>
      </w:r>
      <w:r>
        <w:t xml:space="preserve"> </w:t>
      </w:r>
      <w:r>
        <w:t>扩散率，并在显著降低的电压下实现了忆阻开关。忆阻窗口</w:t>
      </w:r>
      <w:r>
        <w:t xml:space="preserve"> </w:t>
      </w:r>
      <w:r>
        <w:t>G</w:t>
      </w:r>
      <w:r>
        <w:t xml:space="preserve"> </w:t>
      </w:r>
      <w:r>
        <w:t>max</w:t>
      </w:r>
      <w:r>
        <w:t xml:space="preserve"> </w:t>
      </w:r>
      <w:r>
        <w:t>/</w:t>
      </w:r>
      <w:r>
        <w:t>G</w:t>
      </w:r>
      <w:r>
        <w:t xml:space="preserve"> </w:t>
      </w:r>
      <w:r>
        <w:t>min</w:t>
      </w:r>
      <w:r>
        <w:t xml:space="preserve"> </w:t>
      </w:r>
      <w:r>
        <w:t>—由离子运动设定—在门控下保持不变</w:t>
      </w:r>
    </w:p>
    <w:p>
      <w:pPr>
        <w:spacing w:before="0" w:after="200" w:lineRule="auto" w:line="276"/>
      </w:pPr>
      <w:r>
        <w:rPr>
          <w:b/>
        </w:rPr>
        <w:t xml:space="preserve">Abstract (EN): </w:t>
      </w:r>
      <w:r>
        <w:t>Transistor‐based computing faces a fundamental energy‐resolution trade‐off: lowering the conductance reduces the programming energy (Eprog) but simultaneously narrows the dynamic range (</w:t>
      </w:r>
      <w:r>
        <w:t xml:space="preserve"> </w:t>
      </w:r>
      <w:r>
        <w:t>G</w:t>
      </w:r>
      <w:r>
        <w:t xml:space="preserve"> </w:t>
      </w:r>
      <w:r>
        <w:t>max</w:t>
      </w:r>
      <w:r>
        <w:t xml:space="preserve"> </w:t>
      </w:r>
      <w:r>
        <w:t>/</w:t>
      </w:r>
      <w:r>
        <w:t>G</w:t>
      </w:r>
      <w:r>
        <w:t xml:space="preserve"> </w:t>
      </w:r>
      <w:r>
        <w:t>min</w:t>
      </w:r>
      <w:r>
        <w:t xml:space="preserve"> </w:t>
      </w:r>
      <w:r>
        <w:t>) required for multilevel state discrimination. A memristor offers analog programmability, but it suffers from the same limitation because reducing the conductance decreases</w:t>
      </w:r>
      <w:r>
        <w:t xml:space="preserve"> </w:t>
      </w:r>
      <w:r>
        <w:t>G</w:t>
      </w:r>
      <w:r>
        <w:t xml:space="preserve"> </w:t>
      </w:r>
      <w:r>
        <w:t>max</w:t>
      </w:r>
      <w:r>
        <w:t xml:space="preserve"> </w:t>
      </w:r>
      <w:r>
        <w:t>/</w:t>
      </w:r>
      <w:r>
        <w:t>G</w:t>
      </w:r>
      <w:r>
        <w:t xml:space="preserve"> </w:t>
      </w:r>
      <w:r>
        <w:t>min</w:t>
      </w:r>
      <w:r>
        <w:t xml:space="preserve"> </w:t>
      </w:r>
      <w:r>
        <w:t>, degrading the learning accuracy. Here, a path‐decoupled III–V van der Waals (vdW) memtransistor overcomes this constraint via the spatial separation of the ionic and electronic transport pathways. Using H</w:t>
      </w:r>
      <w:r>
        <w:t xml:space="preserve"> </w:t>
      </w:r>
      <w:r>
        <w:t>x</w:t>
      </w:r>
      <w:r>
        <w:t xml:space="preserve"> </w:t>
      </w:r>
      <w:r>
        <w:t>K</w:t>
      </w:r>
      <w:r>
        <w:t xml:space="preserve"> </w:t>
      </w:r>
      <w:r>
        <w:t>1–x</w:t>
      </w:r>
      <w:r>
        <w:t xml:space="preserve"> </w:t>
      </w:r>
      <w:r>
        <w:t>GaSb</w:t>
      </w:r>
      <w:r>
        <w:rPr>
          <w:vertAlign w:val="subscript"/>
        </w:rPr>
        <w:t>2</w:t>
      </w:r>
      <w:r>
        <w:t>, K</w:t>
      </w:r>
      <w:r>
        <w:t xml:space="preserve"> </w:t>
      </w:r>
      <w:r>
        <w:t>+</w:t>
      </w:r>
      <w:r>
        <w:t xml:space="preserve"> </w:t>
      </w:r>
      <w:r>
        <w:t>vacancies confined to the vdW gap serve as mobile ionic species, while holes conduct within the covalently bonded [GaSb</w:t>
      </w:r>
      <w:r>
        <w:rPr>
          <w:vertAlign w:val="subscript"/>
        </w:rPr>
        <w:t>2</w:t>
      </w:r>
      <w:r>
        <w:t>] layers. This decoupling yields a high K</w:t>
      </w:r>
      <w:r>
        <w:t xml:space="preserve"> </w:t>
      </w:r>
      <w:r>
        <w:t>+</w:t>
      </w:r>
      <w:r>
        <w:t xml:space="preserve"> </w:t>
      </w:r>
      <w:r>
        <w:t>diffusivity and enables memristive switching at markedly reduced voltages. The memristive window</w:t>
      </w:r>
      <w:r>
        <w:t xml:space="preserve"> </w:t>
      </w:r>
      <w:r>
        <w:t>G</w:t>
      </w:r>
      <w:r>
        <w:t xml:space="preserve"> </w:t>
      </w:r>
      <w:r>
        <w:t>max</w:t>
      </w:r>
      <w:r>
        <w:t xml:space="preserve"> </w:t>
      </w:r>
      <w:r>
        <w:t>/</w:t>
      </w:r>
      <w:r>
        <w:t>G</w:t>
      </w:r>
      <w:r>
        <w:t xml:space="preserve"> </w:t>
      </w:r>
      <w:r>
        <w:t>min</w:t>
      </w:r>
      <w:r>
        <w:t xml:space="preserve"> </w:t>
      </w:r>
      <w:r>
        <w:t>—which is set by ionic motion—remains invariant under gate modulation, whereas</w:t>
      </w:r>
      <w:r>
        <w:t xml:space="preserve"> </w:t>
      </w:r>
      <w:r>
        <w:t>E</w:t>
      </w:r>
      <w:r>
        <w:t xml:space="preserve"> </w:t>
      </w:r>
      <w:r>
        <w:t>prog</w:t>
      </w:r>
      <w:r>
        <w:t xml:space="preserve"> </w:t>
      </w:r>
      <w:r>
        <w:t>decreases via electrostatic control of the channel conductance. Consequently, the synaptic plasticity and neuromorphic inference maintain a high accuracy (&amp;gt;80%), while</w:t>
      </w:r>
      <w:r>
        <w:t xml:space="preserve"> </w:t>
      </w:r>
      <w:r>
        <w:t>E</w:t>
      </w:r>
      <w:r>
        <w:t xml:space="preserve"> </w:t>
      </w:r>
      <w:r>
        <w:t>prog</w:t>
      </w:r>
      <w:r>
        <w:t xml:space="preserve"> </w:t>
      </w:r>
      <w:r>
        <w:t>is reduced by more than an order of magnitude. The results establish ionic‐electronic path decoupling as a general strategy for breaking the accuracy‐energy trade‐off in emerging neuromorphic hardware and position III–V vdW materials, which are promising candidates for application in low‐energy, artificial intelligence accelerators.</w:t>
      </w:r>
    </w:p>
    <w:p>
      <w:pPr>
        <w:spacing w:before="120" w:after="120"/>
      </w:pPr>
      <w:r>
        <w:rPr>
          <w:sz w:val="18"/>
        </w:rPr>
        <w:t>——————————————————————————————————————————————————————————————————————</w:t>
      </w:r>
    </w:p>
    <w:p>
      <w:pPr>
        <w:spacing w:before="160" w:after="40" w:line="240" w:lineRule="auto"/>
      </w:pPr>
      <w:r>
        <w:rPr>
          <w:b/>
        </w:rPr>
        <w:t xml:space="preserve">[370] </w:t>
      </w:r>
      <w:hyperlink r:id="rId909">
        <w:r>
          <w:rPr>
            <w:color w:val="1155CC"/>
            <w:u w:val="single"/>
          </w:rPr>
          <w:t>[ASAP] 液-液界面物种门控质量传递框架</w:t>
        </w:r>
      </w:hyperlink>
    </w:p>
    <w:p>
      <w:pPr>
        <w:spacing w:before="0" w:after="80"/>
      </w:pPr>
      <w:r>
        <w:rPr>
          <w:i/>
          <w:sz w:val="20"/>
        </w:rPr>
        <w:t>EN: [ASAP] Framework for Speciation-Gated Mass Transfer at Liquid–Liquid Interfaces</w:t>
      </w:r>
    </w:p>
    <w:p>
      <w:pPr>
        <w:spacing w:before="0" w:after="120"/>
      </w:pPr>
      <w:r>
        <w:rPr>
          <w:b/>
        </w:rPr>
        <w:t xml:space="preserve">Source: </w:t>
      </w:r>
      <w:r>
        <w:t>Journal of the American Chemical Society: Latest Articles (ACS Publications)</w:t>
      </w:r>
      <w:r>
        <w:t xml:space="preserve">    </w:t>
      </w:r>
      <w:r>
        <w:rPr>
          <w:b/>
        </w:rPr>
        <w:t xml:space="preserve">Pub date: </w:t>
      </w:r>
      <w:r>
        <w:t>2026-05-13 08:21:03+00:00</w:t>
      </w:r>
      <w:r>
        <w:t xml:space="preserve">    </w:t>
      </w:r>
      <w:r>
        <w:rPr>
          <w:b/>
        </w:rPr>
        <w:t xml:space="preserve">DOI: </w:t>
      </w:r>
      <w:hyperlink r:id="rId910">
        <w:r>
          <w:rPr>
            <w:color w:val="1155CC"/>
            <w:u w:val="single"/>
          </w:rPr>
          <w:t>10.1021/jacs.6c04456</w:t>
        </w:r>
      </w:hyperlink>
    </w:p>
    <w:p>
      <w:pPr>
        <w:spacing w:before="0" w:after="120"/>
      </w:pPr>
      <w:r>
        <w:rPr>
          <w:b/>
        </w:rPr>
        <w:t xml:space="preserve">Notes: </w:t>
      </w:r>
      <w:r>
        <w:t>abstract_source=pubmed</w:t>
      </w:r>
    </w:p>
    <w:p>
      <w:pPr>
        <w:spacing w:before="0" w:after="80" w:lineRule="auto" w:line="276"/>
      </w:pPr>
      <w:r>
        <w:rPr>
          <w:b/>
        </w:rPr>
        <w:t xml:space="preserve">摘要（ZH）: </w:t>
      </w:r>
      <w:r>
        <w:t>可电离表面活性剂在油/水界面的行为对于从乳化到液-液萃取的应用至关重要，但预测控制仍然是一个挑战。目前的模型通常将界面吸附与不可避免会影响表面活性剂可用性的酸碱化学分离。在此，我们建立了一个框架，展示了界面现象由物种门控的质量传递控制。使用一系列线性羧酸（C5-C16），我们结合动态界面张力测量、解析的动力学分析和相位解析的物种/分配模型，表明表面活性物质的通量由酸碱平衡门控。整个系列中出现了两种动力学机制：长链酸单调地向平衡松弛，而短链酸表现出明显的非单调行为，与初始界面活性后通过有机到水相转移和水中解离的耗竭一致。我们的框架明确耦合了分配（log P）和解离（pKa）参数，展示了时间依赖的界面张力，包括由质量传递驱动的非单调行为及相应的pH。我们的方法预测了界面张力动态，并捕捉到系统从油偏好到水偏好的pH切换门。我们在不同浓度、pH和链长以及弱碱（癸胺）中验证了这些预测。这为设计响应性提供了预测基础。</w:t>
      </w:r>
    </w:p>
    <w:p>
      <w:pPr>
        <w:spacing w:before="0" w:after="200" w:lineRule="auto" w:line="276"/>
      </w:pPr>
      <w:r>
        <w:rPr>
          <w:b/>
        </w:rPr>
        <w:t xml:space="preserve">Abstract (EN): </w:t>
      </w:r>
      <w:r>
        <w:t>The behavior of ionizable surfactants at oil/water interfaces is central to applications from emulsification to liquid-liquid extraction, yet predictive control remains a challenge. Current models often decouple interfacial adsorption from the underlying acid-base chemistry that inevitably will influence surfactant availability. Here, we establish a framework demonstrating that interfacial phenomena are controlled by speciation-gated mass transfer. Using a homologous series of linear carboxylic acids (C5-C16), we combine dynamic interfacial tension measurements with resolved kinetic analysis and a phase-resolved speciation/partitioning model to show that the flux of surface-active species is gated by the acid-base equilibrium. Two kinetic regimes emerge across the series: long-chain acids relax monotonically toward equilibrium, whereas short-chain acids display pronounced nonmonotonic behavior, consistent with initial interfacial activity followed by depletion through organic-to-aqueous transfer and dissociation in water. Our framework, which explicitly couples partitioning (log P) and dissociation (pKa) parameters, illustrates the time-dependent interfacial tension, including nonmonotonic behavior driven by mass transfer, and the corresponding pH. Our approach predicts interfacial tension dynamics and captures the pH switching gate at which the system switches from oil-favored to water-favored behavior. We validate these predictions across concentrations, pHs, and chain lengths, as well as in weak bases (decylamine). This provides a predictive basis for designing responsive liquid-liquid interfaces from empirical trial-and-error to a predictive, thermodynamically guided approach, in which pH and molecular structure (pKa and log P) serve as explicit design levers to control interfacial energy and dynamics.</w:t>
      </w:r>
    </w:p>
    <w:p>
      <w:pPr>
        <w:spacing w:before="120" w:after="120"/>
      </w:pPr>
      <w:r>
        <w:rPr>
          <w:sz w:val="18"/>
        </w:rPr>
        <w:t>——————————————————————————————————————————————————————————————————————</w:t>
      </w:r>
    </w:p>
    <w:p>
      <w:pPr>
        <w:spacing w:before="160" w:after="40" w:line="240" w:lineRule="auto"/>
      </w:pPr>
      <w:r>
        <w:rPr>
          <w:b/>
        </w:rPr>
        <w:t xml:space="preserve">[371] </w:t>
      </w:r>
      <w:hyperlink r:id="rId911">
        <w:r>
          <w:rPr>
            <w:color w:val="1155CC"/>
            <w:u w:val="single"/>
          </w:rPr>
          <w:t>仿生双面织物具有冰植物气泡状细胞结构，用于被动白天辐射冷却和可穿戴应用的能量转换</w:t>
        </w:r>
      </w:hyperlink>
    </w:p>
    <w:p>
      <w:pPr>
        <w:spacing w:before="0" w:after="80"/>
      </w:pPr>
      <w:r>
        <w:rPr>
          <w:i/>
          <w:sz w:val="20"/>
        </w:rPr>
        <w:t>EN: Biomimetic Janus Fabric with Ice Plant Bubble‐Like Cell Structure for Passive Daytime Radiative Cooling and Energy Conversion for Wearable Applications</w:t>
      </w:r>
    </w:p>
    <w:p>
      <w:pPr>
        <w:spacing w:before="0" w:after="120"/>
      </w:pPr>
      <w:r>
        <w:rPr>
          <w:b/>
        </w:rPr>
        <w:t xml:space="preserve">Source: </w:t>
      </w:r>
      <w:r>
        <w:t>Wiley: Advanced Materials: Table of Contents</w:t>
      </w:r>
      <w:r>
        <w:t xml:space="preserve">    </w:t>
      </w:r>
      <w:r>
        <w:rPr>
          <w:b/>
        </w:rPr>
        <w:t xml:space="preserve">Pub date: </w:t>
      </w:r>
      <w:r>
        <w:t>2026-05-13 09:12:26+00:00</w:t>
      </w:r>
      <w:r>
        <w:t xml:space="preserve">    </w:t>
      </w:r>
      <w:r>
        <w:rPr>
          <w:b/>
        </w:rPr>
        <w:t xml:space="preserve">DOI: </w:t>
      </w:r>
      <w:hyperlink r:id="rId912">
        <w:r>
          <w:rPr>
            <w:color w:val="1155CC"/>
            <w:u w:val="single"/>
          </w:rPr>
          <w:t>10.1002/adma.73337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智能纺织品需要先进的传感能力，但现有的传感器集成织物存在透气性差、脆性和热脆弱性，限制了大规模部署。在此，受冰植物表皮泡状细胞结构的启发，我们开发了一种超轻量级的Janus织物，以聚电解质膜为关键组件——其固有的高稳定性、优异的离子导电性和良好的兼容性赋予织物卓越的结构灵活性和功能协同。这种设计集成了被动白天辐射冷却（PDRC）和传感功能，保持透气性和定向湿气传输。值得注意的是，增强的聚电解质膜织物在1太阳强度下实现了9.86°C的亚环境冷却（101 W m−2净冷却功率），100%准确的运动监测和稳定的摩擦电输出（在10 N恒定力下10 V稳定输出），以及卓越的耐久性（1000次折叠循环）、可回收性和抗菌活性。由于结构创新、卓越性能和强大实用性的显著优势，本研究不仅可以有效扩展到其他无机颗粒系统（例如SiO2、氮化硼），还在可穿戴电子设备、柔性机器人和智能传感系统中具有广泛的应用前景。</w:t>
      </w:r>
    </w:p>
    <w:p>
      <w:pPr>
        <w:spacing w:before="0" w:after="200" w:lineRule="auto" w:line="276"/>
      </w:pPr>
      <w:r>
        <w:rPr>
          <w:b/>
        </w:rPr>
        <w:t xml:space="preserve">Abstract (EN): </w:t>
      </w:r>
      <w:r>
        <w:t>Smart textiles require advanced sensing capabilities, yet existing sensor‐integrated fabrics suffer from poor breathability, brittleness, and thermal vulnerability, restricting large‐scale deployment. Herein, inspired by the epidermal bubble‐like cell structure of ice plants, we developed an ultra‐lightweight Janus fabric, with a polyelectrolyte membrane as the key component—its inherent high stability, excellent ion conductivity, and good compatibility endow the fabric with superior structural flexibility and functional synergy. This design integrates passive daytime radiative cooling (PDRC) and sensing functions, retaining breathability and directional moisture transport. Notably, the polyelectrolyte membrane‐enhanced fabric achieves 9.86°C sub‐ambient cooling (101 W m</w:t>
      </w:r>
      <w:r>
        <w:t xml:space="preserve"> </w:t>
      </w:r>
      <w:r>
        <w:t>−</w:t>
      </w:r>
      <w:r>
        <w:rPr>
          <w:vertAlign w:val="subscript"/>
        </w:rPr>
        <w:t>2</w:t>
      </w:r>
      <w:r>
        <w:t>net cooling power) under 1 sun intensity, 100% accurate motion monitoring, and stable triboelectric output (10 V stable output under 10 N constant force), along with exceptional durability (1000 folding cycles), recyclability, and antibacterial activity. Owing to the prominent advantages of structural innovation, excellent performance, and strong practicality, this study can not only be effectively extended to other inorganic particle systems (e.g., SiO</w:t>
      </w:r>
      <w:r>
        <w:rPr>
          <w:vertAlign w:val="subscript"/>
        </w:rPr>
        <w:t>2</w:t>
      </w:r>
      <w:r>
        <w:t>, boron nitride) but also holds broad application prospects in wearable electronic devices, flexible robots, and intelligent sensing systems.</w:t>
      </w:r>
    </w:p>
    <w:p>
      <w:pPr>
        <w:spacing w:before="120" w:after="120"/>
      </w:pPr>
      <w:r>
        <w:rPr>
          <w:sz w:val="18"/>
        </w:rPr>
        <w:t>——————————————————————————————————————————————————————————————————————</w:t>
      </w:r>
    </w:p>
    <w:p>
      <w:pPr>
        <w:spacing w:before="160" w:after="40" w:line="240" w:lineRule="auto"/>
      </w:pPr>
      <w:r>
        <w:rPr>
          <w:b/>
        </w:rPr>
        <w:t xml:space="preserve">[372] </w:t>
      </w:r>
      <w:hyperlink r:id="rId913">
        <w:r>
          <w:rPr>
            <w:color w:val="1155CC"/>
            <w:u w:val="single"/>
          </w:rPr>
          <w:t>[ASAP] 非平衡生长过程生成甘油醛和甘油作为星际糖和磷脂的构建模块</w:t>
        </w:r>
      </w:hyperlink>
    </w:p>
    <w:p>
      <w:pPr>
        <w:spacing w:before="0" w:after="80"/>
      </w:pPr>
      <w:r>
        <w:rPr>
          <w:i/>
          <w:sz w:val="20"/>
        </w:rPr>
        <w:t>EN: [ASAP] Non-Equilibrium Growth Processes to Glyceraldehyde and Glycerol as Building Blocks of Interstellar Sugars and Phospholipids</w:t>
      </w:r>
    </w:p>
    <w:p>
      <w:pPr>
        <w:spacing w:before="0" w:after="120"/>
      </w:pPr>
      <w:r>
        <w:rPr>
          <w:b/>
        </w:rPr>
        <w:t xml:space="preserve">Source: </w:t>
      </w:r>
      <w:r>
        <w:t>Journal of the American Chemical Society: Latest Articles (ACS Publications)</w:t>
      </w:r>
      <w:r>
        <w:t xml:space="preserve">    </w:t>
      </w:r>
      <w:r>
        <w:rPr>
          <w:b/>
        </w:rPr>
        <w:t xml:space="preserve">Pub date: </w:t>
      </w:r>
      <w:r>
        <w:t>2026-05-13 10:24:54+00:00</w:t>
      </w:r>
      <w:r>
        <w:t xml:space="preserve">    </w:t>
      </w:r>
      <w:r>
        <w:rPr>
          <w:b/>
        </w:rPr>
        <w:t xml:space="preserve">DOI: </w:t>
      </w:r>
      <w:hyperlink r:id="rId914">
        <w:r>
          <w:rPr>
            <w:color w:val="1155CC"/>
            <w:u w:val="single"/>
          </w:rPr>
          <w:t>10.1021/jacs.6c04482</w:t>
        </w:r>
      </w:hyperlink>
    </w:p>
    <w:p>
      <w:pPr>
        <w:spacing w:before="0" w:after="120"/>
      </w:pPr>
      <w:r>
        <w:rPr>
          <w:b/>
        </w:rPr>
        <w:t xml:space="preserve">Notes: </w:t>
      </w:r>
      <w:r>
        <w:t>abstract_source=pubmed</w:t>
      </w:r>
    </w:p>
    <w:p>
      <w:pPr>
        <w:spacing w:before="0" w:after="80" w:lineRule="auto" w:line="276"/>
      </w:pPr>
      <w:r>
        <w:rPr>
          <w:b/>
        </w:rPr>
        <w:t xml:space="preserve">摘要（ZH）: </w:t>
      </w:r>
      <w:r>
        <w:t>复杂有机分子（COMs），如醛糖和多元醇，是重要的前生化化合物，并作为关键生物分子的基本分子构建块，包括糖和脂类。尽管在恒星形成区和碳质陨石中检测到它们，但这些COMs在外星环境中的形成机制仍然存在很大争议。在此，我们展示了在模拟银河宇宙射线（GCRs）下，甲醛-水（H2CO-H2O）冰模拟物中多样化的COMs的自下而上合成，包括醛糖和多元醇（乙醛糖、乙二醇、甘油醛和甘油），以及其他化合物如乙二醛、甲氧基甲醇、（甲氧基甲氧基）甲醇、甲酸和甲三醇。这些含氧COMs的鉴定是通过在温度程序升华（TPD）阶段使用同步加速器真空紫外光电离反射飞行时间质谱（SVUV-PI-ReToF-MS）实现的。通过同位素标记实验和拟合母体产物和碎片离子的光电离效率（PIE）曲线，进一步确认了它们的明确分配。这些COMs的高效合成揭示了在太空中形成醛糖和多元醇的分子复杂性和反应路径的限制，扩展了我们对这些生物相关前体在外星环境中形成及其在地球生命非生物起源中潜在作用的理解。</w:t>
      </w:r>
    </w:p>
    <w:p>
      <w:pPr>
        <w:spacing w:before="0" w:after="200" w:lineRule="auto" w:line="276"/>
      </w:pPr>
      <w:r>
        <w:rPr>
          <w:b/>
        </w:rPr>
        <w:t xml:space="preserve">Abstract (EN): </w:t>
      </w:r>
      <w:r>
        <w:t>Complex organic molecules (COMs) such as aldoses and polyols are essential prebiotic compounds and serve as fundamental molecular building blocks for key biomolecules, including sugars and lipids. Despite their detection in star-forming regions and carbonaceous meteorites, the mechanisms of formation of these COMs in extraterrestrial environments remain largely controversial. Here, we demonstrate the bottom-up synthesis of a diverse set of COMs in the formaldehyde-water (H2CO-H2O) ice analogs subjected to simulated galactic cosmic rays (GCRs), including aldoses and polyols (glycolaldehyde, ethylene glycol, glyceraldehyde, and glycerol), as well as other compounds like glyoxal, methoxymethanol, (methoxymethoxy)methanol, formic acid, and methanetriol. The identification of these oxygen-bearing COMs was achieved using synchrotron vacuum ultraviolet photoionization reflectron time-of-flight mass spectrometry (SVUV-PI-ReToF-MS) during the temperature-programmed desorption (TPD) phase. Their unambiguous assignment was further confirmed by isotopic labeling experiments and by fitting the photoionization efficiency (PIE) curves of the parent product and fragment ions. The efficient synthesis of these COMs reveals constraints of the molecular complexity and reaction pathways available for forming aldoses and polyols in space, expanding our understanding of how such biorelevant precursors form in the extraterrestrial environments and their potential role in the abiotic origin of life on Earth.</w:t>
      </w:r>
    </w:p>
    <w:p>
      <w:pPr>
        <w:spacing w:before="120" w:after="120"/>
      </w:pPr>
      <w:r>
        <w:rPr>
          <w:sz w:val="18"/>
        </w:rPr>
        <w:t>——————————————————————————————————————————————————————————————————————</w:t>
      </w:r>
    </w:p>
    <w:p>
      <w:pPr>
        <w:spacing w:before="160" w:after="40" w:line="240" w:lineRule="auto"/>
      </w:pPr>
      <w:r>
        <w:rPr>
          <w:b/>
        </w:rPr>
        <w:t xml:space="preserve">[373] </w:t>
      </w:r>
      <w:hyperlink r:id="rId915">
        <w:r>
          <w:rPr>
            <w:color w:val="1155CC"/>
            <w:u w:val="single"/>
          </w:rPr>
          <w:t>[ASAP] 独特的RNA物理微环境在生物分子凝聚体中形成独特的性质和功能</w:t>
        </w:r>
      </w:hyperlink>
    </w:p>
    <w:p>
      <w:pPr>
        <w:spacing w:before="0" w:after="80"/>
      </w:pPr>
      <w:r>
        <w:rPr>
          <w:i/>
          <w:sz w:val="20"/>
        </w:rPr>
        <w:t>EN: [ASAP] Distinct RNA Physical Microenvironments Shape Unique Properties and Functions within Biomolecular Condensates</w:t>
      </w:r>
    </w:p>
    <w:p>
      <w:pPr>
        <w:spacing w:before="0" w:after="120"/>
      </w:pPr>
      <w:r>
        <w:rPr>
          <w:b/>
        </w:rPr>
        <w:t xml:space="preserve">Source: </w:t>
      </w:r>
      <w:r>
        <w:t>Journal of the American Chemical Society: Latest Articles (ACS Publications)</w:t>
      </w:r>
      <w:r>
        <w:t xml:space="preserve">    </w:t>
      </w:r>
      <w:r>
        <w:rPr>
          <w:b/>
        </w:rPr>
        <w:t xml:space="preserve">Pub date: </w:t>
      </w:r>
      <w:r>
        <w:t>2026-05-13 12:03:51+00:00</w:t>
      </w:r>
      <w:r>
        <w:t xml:space="preserve">    </w:t>
      </w:r>
      <w:r>
        <w:rPr>
          <w:b/>
        </w:rPr>
        <w:t xml:space="preserve">DOI: </w:t>
      </w:r>
      <w:hyperlink r:id="rId916">
        <w:r>
          <w:rPr>
            <w:color w:val="1155CC"/>
            <w:u w:val="single"/>
          </w:rPr>
          <w:t>10.1021/jacs.6c02760</w:t>
        </w:r>
      </w:hyperlink>
    </w:p>
    <w:p>
      <w:pPr>
        <w:spacing w:before="0" w:after="120"/>
      </w:pPr>
      <w:r>
        <w:rPr>
          <w:b/>
        </w:rPr>
        <w:t xml:space="preserve">Notes: </w:t>
      </w:r>
      <w:r>
        <w:t>abstract_source=pubmed</w:t>
      </w:r>
    </w:p>
    <w:p>
      <w:pPr>
        <w:spacing w:before="0" w:after="80" w:lineRule="auto" w:line="276"/>
      </w:pPr>
      <w:r>
        <w:rPr>
          <w:b/>
        </w:rPr>
        <w:t xml:space="preserve">摘要（ZH）: </w:t>
      </w:r>
      <w:r>
        <w:t>大多数生物分子凝聚体通过蛋白质和RNA之间的多价相互作用形成。这些多组分凝聚体创造了对细胞调控至关重要的专门物理微环境。虽然蛋白质的物理微环境在凝聚体中已被最近研究，但RNA的物理微环境仍然不太为人所知。在此，我们开发了一种化学方法，通过将RNA标记化学与环境敏感的荧光团和荧光寿命成像显微镜相结合，定量测量RNA的物理微环境。我们展示了RNA在凝聚体中表现出与蛋白质不同的微极性和微粘度，同时仍然可混溶，这与蛋白质-蛋白质系统在微极性不同时发生分离的情况形成对比。这种行为可能归因于瞬态RNA-蛋白质相互作用的形成，其状态受微极性兼容性影响。我们进一步证明，RNA和蛋白质之间的微极性差异与RNA在凝聚体中的分配和选择性分布相关。在RNA功能方面，我们展示了RNA微极性的升高与核酶催化活性相关。综上所述，这些结果揭示了RNA的物理微环境在塑造RNA在生物分子凝聚体中的组织和功能方面起着积极作用。</w:t>
      </w:r>
    </w:p>
    <w:p>
      <w:pPr>
        <w:spacing w:before="0" w:after="200" w:lineRule="auto" w:line="276"/>
      </w:pPr>
      <w:r>
        <w:rPr>
          <w:b/>
        </w:rPr>
        <w:t xml:space="preserve">Abstract (EN): </w:t>
      </w:r>
      <w:r>
        <w:t>Most of the biomolecular condensates form through multivalent interactions between proteins and RNAs. These multicomponent condensates create specialized physical microenvironments that are critical for cellular regulation. While physical microenvironments of proteins have been recently studied in condensates, the physical microenvironments of RNA remain less understood. Here, we develop a chemical method to quantitatively measure RNA physical microenvironments by integrating RNA-labeling chemistry with environmentally sensitive fluorophores and fluorescence lifetime imaging microscopy. We show that RNAs exhibit distinct micropolarity and microviscosity from proteins while remaining miscible in condensates, in contrast to protein-protein systems that demix upon differing micropolarity. This behavior may be attributed to the formation of transient RNA-protein interactions, whose status is influenced by micropolarity compatibility. We further demonstrate that micropolarity differences between RNAs and proteins correlates to RNA partitioning and selective RNA distribution among condensates. In terms of RNA function, we show that elevated RNA micropolarity is associated with ribozyme catalytic activity. Taken together, these results reveal that RNA physical microenvironments play an active role in shaping RNA organization and function within biomolecular condensates.</w:t>
      </w:r>
    </w:p>
    <w:p>
      <w:pPr>
        <w:spacing w:before="120" w:after="120"/>
      </w:pPr>
      <w:r>
        <w:rPr>
          <w:sz w:val="18"/>
        </w:rPr>
        <w:t>——————————————————————————————————————————————————————————————————————</w:t>
      </w:r>
    </w:p>
    <w:p>
      <w:pPr>
        <w:spacing w:before="160" w:after="40" w:line="240" w:lineRule="auto"/>
      </w:pPr>
      <w:r>
        <w:rPr>
          <w:b/>
        </w:rPr>
        <w:t xml:space="preserve">[374] </w:t>
      </w:r>
      <w:hyperlink r:id="rId917">
        <w:r>
          <w:rPr>
            <w:color w:val="1155CC"/>
            <w:u w:val="single"/>
          </w:rPr>
          <w:t>[ASAP] 对“电化CO2转化为HCOOH的增值：酸性流动电池和固态电解质电池反应器的比较技术分析”的更正</w:t>
        </w:r>
      </w:hyperlink>
    </w:p>
    <w:p>
      <w:pPr>
        <w:spacing w:before="0" w:after="80"/>
      </w:pPr>
      <w:r>
        <w:rPr>
          <w:i/>
          <w:sz w:val="20"/>
        </w:rPr>
        <w:t>EN: [ASAP] Correction to “Electrified CO2-to-HCOOH Valorization: A Comparative Technical Analysis on Acidic Flow Cell and Solid-State Electrolyte Cell Reactors”</w:t>
      </w:r>
    </w:p>
    <w:p>
      <w:pPr>
        <w:spacing w:before="0" w:after="120"/>
      </w:pPr>
      <w:r>
        <w:rPr>
          <w:b/>
        </w:rPr>
        <w:t xml:space="preserve">Source: </w:t>
      </w:r>
      <w:r>
        <w:t>ACS Energy Letters: Latest Articles (ACS Publications)</w:t>
      </w:r>
      <w:r>
        <w:t xml:space="preserve">    </w:t>
      </w:r>
      <w:r>
        <w:rPr>
          <w:b/>
        </w:rPr>
        <w:t xml:space="preserve">Pub date: </w:t>
      </w:r>
      <w:r>
        <w:t>2026-05-13 12:12:24+00:00</w:t>
      </w:r>
      <w:r>
        <w:t xml:space="preserve">    </w:t>
      </w:r>
      <w:r>
        <w:rPr>
          <w:b/>
        </w:rPr>
        <w:t xml:space="preserve">DOI: </w:t>
      </w:r>
      <w:hyperlink r:id="rId918">
        <w:r>
          <w:rPr>
            <w:color w:val="1155CC"/>
            <w:u w:val="single"/>
          </w:rPr>
          <w:t>10.1021/acsenergylett.6c01373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[375] </w:t>
      </w:r>
      <w:hyperlink r:id="rId919">
        <w:r>
          <w:rPr>
            <w:color w:val="1155CC"/>
            <w:u w:val="single"/>
          </w:rPr>
          <w:t>[ASAP] 具有高流动性的持久Ni(0)-戊二烯配合物：更强的反芳香性是否促进金属-配体相互作用？</w:t>
        </w:r>
      </w:hyperlink>
    </w:p>
    <w:p>
      <w:pPr>
        <w:spacing w:before="0" w:after="80"/>
      </w:pPr>
      <w:r>
        <w:rPr>
          <w:i/>
          <w:sz w:val="20"/>
        </w:rPr>
        <w:t>EN: [ASAP] A Persistent Ni(0)–Pentalene Complex with High Fluxionality: Does Stronger Antiaromaticity Promote Metal–Ligand Interactions?</w:t>
      </w:r>
    </w:p>
    <w:p>
      <w:pPr>
        <w:spacing w:before="0" w:after="120"/>
      </w:pPr>
      <w:r>
        <w:rPr>
          <w:b/>
        </w:rPr>
        <w:t xml:space="preserve">Source: </w:t>
      </w:r>
      <w:r>
        <w:t>Journal of the American Chemical Society: Latest Articles (ACS Publications)</w:t>
      </w:r>
      <w:r>
        <w:t xml:space="preserve">    </w:t>
      </w:r>
      <w:r>
        <w:rPr>
          <w:b/>
        </w:rPr>
        <w:t xml:space="preserve">Pub date: </w:t>
      </w:r>
      <w:r>
        <w:t>2026-05-13 12:54:20+00:00</w:t>
      </w:r>
      <w:r>
        <w:t xml:space="preserve">    </w:t>
      </w:r>
      <w:r>
        <w:rPr>
          <w:b/>
        </w:rPr>
        <w:t xml:space="preserve">DOI: </w:t>
      </w:r>
      <w:hyperlink r:id="rId920">
        <w:r>
          <w:rPr>
            <w:color w:val="1155CC"/>
            <w:u w:val="single"/>
          </w:rPr>
          <w:t>10.1021/jacs.6c05255</w:t>
        </w:r>
      </w:hyperlink>
    </w:p>
    <w:p>
      <w:pPr>
        <w:spacing w:before="0" w:after="120"/>
      </w:pPr>
      <w:r>
        <w:rPr>
          <w:b/>
        </w:rPr>
        <w:t xml:space="preserve">Notes: </w:t>
      </w:r>
      <w:r>
        <w:t>abstract_source=pubmed</w:t>
      </w:r>
    </w:p>
    <w:p>
      <w:pPr>
        <w:spacing w:before="0" w:after="80" w:lineRule="auto" w:line="276"/>
      </w:pPr>
      <w:r>
        <w:rPr>
          <w:b/>
        </w:rPr>
        <w:t xml:space="preserve">摘要（ZH）: </w:t>
      </w:r>
      <w:r>
        <w:t>尽管长期以来使用过渡金属络合来稳定反芳香烃，但支配其配位行为的基本因素仍不清楚。合成并表征了一种镍(0)配合物[Ni(cod)(1)]，其特征是具有苯并噻吩-S,S-二氧化物融合的戊二烯配体，并与苯并噻吩融合的类似物[Ni(cod)(2)]进行比较，后者具有更强的反芳香性但较弱的电子受体戊二烯配体。单晶X射线衍射、X射线吸收光谱和变温NMR结合计算分析表明，[Ni(cod)(1)]的增强稳定性主要来自于强电子吸引的SO2基团促进的显著π-反向供电子作用，这降低了1的LUMO能量。与[Ni(cod)(2)]的比较进一步表明，更强的反芳香性核心不一定导致更强的镍中心配位。令人惊讶的是，稳健的[Ni(cod)(1)]配合物在溶液中是可变的；镍中心通过键移机制可逆地在戊二烯配体的两个五元环之间迁移。</w:t>
      </w:r>
    </w:p>
    <w:p>
      <w:pPr>
        <w:spacing w:before="0" w:after="200" w:lineRule="auto" w:line="276"/>
      </w:pPr>
      <w:r>
        <w:rPr>
          <w:b/>
        </w:rPr>
        <w:t xml:space="preserve">Abstract (EN): </w:t>
      </w:r>
      <w:r>
        <w:t>Despite the long-standing use of transition metal complexation for stabilizing antiaromatic hydrocarbons, the underlying factors that govern their coordination behavior remain unclear. A Ni(0) complex, [Ni(cod)(1)], featuring a benzothiophene-S,S-dioxide-fused pentalene ligand, was synthesized and characterized, and compared to a benzothiophene-fused analogue, [Ni(cod)(2)], which bears a more antiaromatic yet less electron-accepting pentalene ligand. Single-crystal X-ray diffraction, X-ray absorption spectroscopy, and variable-temperature NMR, combined with computational analyses, reveal that the enhanced stability of [Ni(cod)(1)] arises primarily from substantial π-back-donation facilitated by strongly electron-withdrawing SO2 groups that lower the LUMO energy of 1. Comparisons to [Ni(cod)(2)] further demonstrate that a more antiaromatic core does not necessarily lead to stronger coordination to the Ni center. Surprisingly, the robust [Ni(cod)(1)] complex is fluxional in solution; the Ni center migrates reversibly between the two five-membered rings of the pentalene ligand via a bond shift mechanism.</w:t>
      </w:r>
    </w:p>
    <w:p>
      <w:pPr>
        <w:spacing w:before="120" w:after="120"/>
      </w:pPr>
      <w:r>
        <w:rPr>
          <w:sz w:val="18"/>
        </w:rPr>
        <w:t>——————————————————————————————————————————————————————————————————————</w:t>
      </w:r>
    </w:p>
    <w:p>
      <w:pPr>
        <w:spacing w:before="160" w:after="40" w:line="240" w:lineRule="auto"/>
      </w:pPr>
      <w:r>
        <w:rPr>
          <w:b/>
        </w:rPr>
        <w:t xml:space="preserve">[376] </w:t>
      </w:r>
      <w:hyperlink r:id="rId921">
        <w:r>
          <w:rPr>
            <w:color w:val="1155CC"/>
            <w:u w:val="single"/>
          </w:rPr>
          <w:t>[ASAP] CXCR4激活机制的计算洞察：小分子激动剂设计的启示</w:t>
        </w:r>
      </w:hyperlink>
    </w:p>
    <w:p>
      <w:pPr>
        <w:spacing w:before="0" w:after="80"/>
      </w:pPr>
      <w:r>
        <w:rPr>
          <w:i/>
          <w:sz w:val="20"/>
        </w:rPr>
        <w:t>EN: [ASAP] Computational Insights into the Activation Mechanism of CXCR4: Implications for the Design of Small Molecule Agonists</w:t>
      </w:r>
    </w:p>
    <w:p>
      <w:pPr>
        <w:spacing w:before="0" w:after="120"/>
      </w:pPr>
      <w:r>
        <w:rPr>
          <w:b/>
        </w:rPr>
        <w:t xml:space="preserve">Source: </w:t>
      </w:r>
      <w:r>
        <w:t>Journal of the American Chemical Society: Latest Articles (ACS Publications)</w:t>
      </w:r>
      <w:r>
        <w:t xml:space="preserve">    </w:t>
      </w:r>
      <w:r>
        <w:rPr>
          <w:b/>
        </w:rPr>
        <w:t xml:space="preserve">Pub date: </w:t>
      </w:r>
      <w:r>
        <w:t>2026-05-13 13:04:33+00:00</w:t>
      </w:r>
      <w:r>
        <w:t xml:space="preserve">    </w:t>
      </w:r>
      <w:r>
        <w:rPr>
          <w:b/>
        </w:rPr>
        <w:t xml:space="preserve">DOI: </w:t>
      </w:r>
      <w:hyperlink r:id="rId922">
        <w:r>
          <w:rPr>
            <w:color w:val="1155CC"/>
            <w:u w:val="single"/>
          </w:rPr>
          <w:t>10.1021/jacs.6c01087</w:t>
        </w:r>
      </w:hyperlink>
    </w:p>
    <w:p>
      <w:pPr>
        <w:spacing w:before="0" w:after="120"/>
      </w:pPr>
      <w:r>
        <w:rPr>
          <w:b/>
        </w:rPr>
        <w:t xml:space="preserve">Notes: </w:t>
      </w:r>
      <w:r>
        <w:t>abstract_source=pubmed</w:t>
      </w:r>
    </w:p>
    <w:p>
      <w:pPr>
        <w:spacing w:before="0" w:after="80" w:lineRule="auto" w:line="276"/>
      </w:pPr>
      <w:r>
        <w:rPr>
          <w:b/>
        </w:rPr>
        <w:t xml:space="preserve">摘要（ZH）: </w:t>
      </w:r>
      <w:r>
        <w:t>G蛋白偶联受体（GPCRs）是跨膜蛋白，介导多种信号功能，使其成为重要的治疗靶点。趋化因子受体CXCR4是一种GPCR，在正常生理和病理过程中发挥多方面的作用。在此，我们使用靶向分子动力学（TMD）和分子动力学（MD）模拟结合我们改进的膜蛋白粗粒化（CG）模型构建了CXCR4激活的构象自由能谱。模拟显示CXCR4激活涉及三个不同的过渡态。TS1表现出最高的激活能垒，主要涉及细胞内环3（ICL3）的构象变化和跨膜螺旋TM5和TM6的预重排。此外，CXCR4活性位点内W94和E288特定活性构象的稳定化被发现可以分别降低TS2和TS3的激活能垒。丙氨酸扫描进一步揭示了其他残基的动态作用，这些残基在CXCR4激活中的关键作用之前已被假设，从稳定化不活跃状态到在后期阶段促进激活。受这些计算洞察的指导，我们使用双基团策略设计了一种小分子化合物HL82624，将SDF-1α的前两个氨基酸（赖氨酸和脯氨酸）与CXCR4拮抗剂HF51116结合。竞争性结合和细胞迁移实验表明，HL82624与CXCR4结合并有效触发细胞迁移，确认其作为CXCR4激动剂的活性。</w:t>
      </w:r>
    </w:p>
    <w:p>
      <w:pPr>
        <w:spacing w:before="0" w:after="200" w:lineRule="auto" w:line="276"/>
      </w:pPr>
      <w:r>
        <w:rPr>
          <w:b/>
        </w:rPr>
        <w:t xml:space="preserve">Abstract (EN): </w:t>
      </w:r>
      <w:r>
        <w:t>G protein-coupled receptors (GPCRs) are transmembrane proteins that mediate diverse signaling functions, making them important therapeutic targets. The chemokine receptor CXCR4, a GPCR, plays multifaceted roles in both normal physiological and pathological processes. Here, we constructed conformational free energy profiles of CXCR4 activation using Targeted Molecular Dynamics (TMD) and Molecular Dynamics (MD) simulations combined with our refined Coarse-Grained (CG) model for membrane proteins. The simulations revealed that CXCR4 activation involves three distinct transition states. TS1, which exhibits the highest activation energy barrier, primarily involves conformational changes in intracellular loop 3 (ICL3) and the prerearrangement of transmembrane helices TM5 and TM6. Additionally, the stabilization of the specific active conformations of W94 and E288 within the CXCR4 active site was found to reduce the activation energy barriers of TS2 and TS3, respectively. Alanine scanning further revealed the dynamic roles of other residues whose putative crucial role in CXCR4 activation had previously been postulated, transitioning from stabilizing the inactive state to facilitating activation in later stages. Guided by these computational insights, we designed a small-molecule compound, HL82624, using a dual-moiety strategy combining the first two amino acids of SDF-1α (Lys and Pro) with the CXCR4 antagonist HF51116. Competitive binding and cell migration assays showed that HL82624 binds to CXCR4 and effectively triggers cell migration, confirming its activity as a CXCR4 agonist. Taken together, this study provides mechanistic insight into CXCR4 activation and a computational strategy for the rational design of small-molecule CXCR4 agonists.</w:t>
      </w:r>
    </w:p>
    <w:p>
      <w:pPr>
        <w:spacing w:before="120" w:after="120"/>
      </w:pPr>
      <w:r>
        <w:rPr>
          <w:sz w:val="18"/>
        </w:rPr>
        <w:t>——————————————————————————————————————————————————————————————————————</w:t>
      </w:r>
    </w:p>
    <w:p>
      <w:pPr>
        <w:spacing w:before="160" w:after="40" w:line="240" w:lineRule="auto"/>
      </w:pPr>
      <w:r>
        <w:rPr>
          <w:b/>
        </w:rPr>
        <w:t xml:space="preserve">[377] </w:t>
      </w:r>
      <w:hyperlink r:id="rId923">
        <w:r>
          <w:rPr>
            <w:color w:val="1155CC"/>
            <w:u w:val="single"/>
          </w:rPr>
          <w:t>[ASAP] 铁催化选择性硝基(杂)芳烃与烷基溴化物的C(sp2)–C(sp3)偶联通过配对电解</w:t>
        </w:r>
      </w:hyperlink>
    </w:p>
    <w:p>
      <w:pPr>
        <w:spacing w:before="0" w:after="80"/>
      </w:pPr>
      <w:r>
        <w:rPr>
          <w:i/>
          <w:sz w:val="20"/>
        </w:rPr>
        <w:t>EN: [ASAP] Iron-Catalyzed Selective C(sp2)–C(sp3) Coupling of Nitro(hetero)arenes and Alkyl Bromides by Paired Electrolysis</w:t>
      </w:r>
    </w:p>
    <w:p>
      <w:pPr>
        <w:spacing w:before="0" w:after="120"/>
      </w:pPr>
      <w:r>
        <w:rPr>
          <w:b/>
        </w:rPr>
        <w:t xml:space="preserve">Source: </w:t>
      </w:r>
      <w:r>
        <w:t>Journal of the American Chemical Society: Latest Articles (ACS Publications)</w:t>
      </w:r>
      <w:r>
        <w:t xml:space="preserve">    </w:t>
      </w:r>
      <w:r>
        <w:rPr>
          <w:b/>
        </w:rPr>
        <w:t xml:space="preserve">Pub date: </w:t>
      </w:r>
      <w:r>
        <w:t>2026-05-13 13:05:50+00:00</w:t>
      </w:r>
      <w:r>
        <w:t xml:space="preserve">    </w:t>
      </w:r>
      <w:r>
        <w:rPr>
          <w:b/>
        </w:rPr>
        <w:t xml:space="preserve">DOI: </w:t>
      </w:r>
      <w:hyperlink r:id="rId924">
        <w:r>
          <w:rPr>
            <w:color w:val="1155CC"/>
            <w:u w:val="single"/>
          </w:rPr>
          <w:t>10.1021/jacs.6c05805</w:t>
        </w:r>
      </w:hyperlink>
    </w:p>
    <w:p>
      <w:pPr>
        <w:spacing w:before="0" w:after="120"/>
      </w:pPr>
      <w:r>
        <w:rPr>
          <w:b/>
        </w:rPr>
        <w:t xml:space="preserve">Notes: </w:t>
      </w:r>
      <w:r>
        <w:t>abstract_source=openalex</w:t>
      </w:r>
    </w:p>
    <w:p>
      <w:pPr>
        <w:spacing w:before="0" w:after="80" w:lineRule="auto" w:line="276"/>
      </w:pPr>
      <w:r>
        <w:rPr>
          <w:b/>
        </w:rPr>
        <w:t xml:space="preserve">摘要（ZH）: </w:t>
      </w:r>
      <w:r>
        <w:t>自由基加成中的选择性。这些关键机制已通过DFT计算在理论上得到验证。值得注意的是，该方案以广泛的官能团兼容性、可扩展性、高能效和温和条件为特点，展示了在生物相关化合物的后期修饰和包括IDO抑制剂在内的药物中间体合成中的实用性，IDO抑制剂代表了癌症免疫治疗中临床相关的小分子类别。</w:t>
      </w:r>
    </w:p>
    <w:p>
      <w:pPr>
        <w:spacing w:before="0" w:after="200" w:lineRule="auto" w:line="276"/>
      </w:pPr>
      <w:r>
        <w:rPr>
          <w:b/>
        </w:rPr>
        <w:t xml:space="preserve">Abstract (EN): </w:t>
      </w:r>
      <w:r>
        <w:t>-selectivity in the radical addition. These key mechanisms have been theoretically validated through DFT calculations. Notably, the protocol is distinguished by broad functional group compatibility, scalability, high energy efficiency, and mild conditions, demonstrating practicality in the late-stage modification of biorelevant compounds and the synthesis of pharmaceutical intermediates, including IDO inhibitors, which represent a clinically relevant class of small molecules in cancer immunotherapy.</w:t>
      </w:r>
    </w:p>
    <w:p>
      <w:pPr>
        <w:spacing w:before="120" w:after="120"/>
      </w:pPr>
      <w:r>
        <w:rPr>
          <w:sz w:val="18"/>
        </w:rPr>
        <w:t>——————————————————————————————————————————————————————————————————————</w:t>
      </w:r>
    </w:p>
    <w:p>
      <w:pPr>
        <w:spacing w:before="160" w:after="40" w:line="240" w:lineRule="auto"/>
      </w:pPr>
      <w:r>
        <w:rPr>
          <w:b/>
        </w:rPr>
        <w:t xml:space="preserve">[378] </w:t>
      </w:r>
      <w:hyperlink r:id="rId925">
        <w:r>
          <w:rPr>
            <w:color w:val="1155CC"/>
            <w:u w:val="single"/>
          </w:rPr>
          <w:t>[ASAP] 无机抗体模拟H-沸石通过E340靶向生物识别阻断空气传播病毒</w:t>
        </w:r>
      </w:hyperlink>
    </w:p>
    <w:p>
      <w:pPr>
        <w:spacing w:before="0" w:after="80"/>
      </w:pPr>
      <w:r>
        <w:rPr>
          <w:i/>
          <w:sz w:val="20"/>
        </w:rPr>
        <w:t>EN: [ASAP] Inorganic Antibody-Mimetic H-Zeolite Blocks Airborne Viruses via E340-Targeted Biorecognition</w:t>
      </w:r>
    </w:p>
    <w:p>
      <w:pPr>
        <w:spacing w:before="0" w:after="120"/>
      </w:pPr>
      <w:r>
        <w:rPr>
          <w:b/>
        </w:rPr>
        <w:t xml:space="preserve">Source: </w:t>
      </w:r>
      <w:r>
        <w:t>Journal of the American Chemical Society: Latest Articles (ACS Publications)</w:t>
      </w:r>
      <w:r>
        <w:t xml:space="preserve">    </w:t>
      </w:r>
      <w:r>
        <w:rPr>
          <w:b/>
        </w:rPr>
        <w:t xml:space="preserve">Pub date: </w:t>
      </w:r>
      <w:r>
        <w:t>2026-05-13 13:06:37+00:00</w:t>
      </w:r>
      <w:r>
        <w:t xml:space="preserve">    </w:t>
      </w:r>
      <w:r>
        <w:rPr>
          <w:b/>
        </w:rPr>
        <w:t xml:space="preserve">DOI: </w:t>
      </w:r>
      <w:hyperlink r:id="rId926">
        <w:r>
          <w:rPr>
            <w:color w:val="1155CC"/>
            <w:u w:val="single"/>
          </w:rPr>
          <w:t>10.1021/jacs.6c06207</w:t>
        </w:r>
      </w:hyperlink>
    </w:p>
    <w:p>
      <w:pPr>
        <w:spacing w:before="0" w:after="120"/>
      </w:pPr>
      <w:r>
        <w:rPr>
          <w:b/>
        </w:rPr>
        <w:t xml:space="preserve">Notes: </w:t>
      </w:r>
      <w:r>
        <w:t>abstract_source=openalex</w:t>
      </w:r>
    </w:p>
    <w:p>
      <w:pPr>
        <w:spacing w:before="0" w:after="80" w:lineRule="auto" w:line="276"/>
      </w:pPr>
      <w:r>
        <w:rPr>
          <w:b/>
        </w:rPr>
        <w:t xml:space="preserve">摘要（ZH）: </w:t>
      </w:r>
      <w:r>
        <w:t>这种强竞争性结合有效阻断了RBD-ACE2蛋白-蛋白相互作用，这是病毒进入宿主细胞的初始步骤。基于这一机制，我们开发了一种基于H-Zeo的抗病毒纱布（H-ZG）用于个人防护，其对真实SARS-CoV-2的灭活率超过99.99%。值得注意的是，H-Zeo在所有测试浓度下保持&gt;90%的细胞活力，克服了金属交换沸石（如Cu-zeolite）的细胞毒性限制。作为一种低成本、可扩展和生物相容的材料，H-Zeo为减轻空气传播的SARS-CoV-2提供了实用的解决方案，具有广泛的个人防护设备和公共卫生干预应用潜力。</w:t>
      </w:r>
    </w:p>
    <w:p>
      <w:pPr>
        <w:spacing w:before="0" w:after="200" w:lineRule="auto" w:line="276"/>
      </w:pPr>
      <w:r>
        <w:rPr>
          <w:b/>
        </w:rPr>
        <w:t xml:space="preserve">Abstract (EN): </w:t>
      </w:r>
      <w:r>
        <w:t>). This strong competitive binding potently blocks the RBD-ACE2 protein-protein interaction, the initial step of viral entry into host cells. Based on this mechanism, we developed an H-Zeo-based antiviral gauze (H-ZG) for personal protection, which achieves &gt;99.99% inactivation of authentic SARS-CoV-2. Notably, H-Zeo maintains &gt;90% cell viability across all tested concentrations, overcoming the cytotoxicity limitations of metal-exchanged zeolites (e.g., Cu-zeolite). As a low-cost, scalable, and biocompatible material, H-Zeo provides a practical solution for mitigating airborne SARS-CoV-2 transmission, with broad potential for application in personal protective equipment and public health interventions.</w:t>
      </w:r>
    </w:p>
    <w:p>
      <w:pPr>
        <w:spacing w:before="120" w:after="120"/>
      </w:pPr>
      <w:r>
        <w:rPr>
          <w:sz w:val="18"/>
        </w:rPr>
        <w:t>——————————————————————————————————————————————————————————————————————</w:t>
      </w:r>
    </w:p>
    <w:p>
      <w:pPr>
        <w:spacing w:before="160" w:after="40" w:line="240" w:lineRule="auto"/>
      </w:pPr>
      <w:r>
        <w:rPr>
          <w:b/>
        </w:rPr>
        <w:t xml:space="preserve">[379] </w:t>
      </w:r>
      <w:hyperlink r:id="rId927">
        <w:r>
          <w:rPr>
            <w:color w:val="1155CC"/>
            <w:u w:val="single"/>
          </w:rPr>
          <w:t>[ASAP] 扭曲线性聚合物自由基的光催化全氟辛酸去氟化</w:t>
        </w:r>
      </w:hyperlink>
    </w:p>
    <w:p>
      <w:pPr>
        <w:spacing w:before="0" w:after="80"/>
      </w:pPr>
      <w:r>
        <w:rPr>
          <w:i/>
          <w:sz w:val="20"/>
        </w:rPr>
        <w:t>EN: [ASAP] Photocatalytic Defluorination of Perfluorooctanoic Acid by Twisted Linear Polymer Radicals</w:t>
      </w:r>
    </w:p>
    <w:p>
      <w:pPr>
        <w:spacing w:before="0" w:after="120"/>
      </w:pPr>
      <w:r>
        <w:rPr>
          <w:b/>
        </w:rPr>
        <w:t xml:space="preserve">Source: </w:t>
      </w:r>
      <w:r>
        <w:t>Journal of the American Chemical Society: Latest Articles (ACS Publications)</w:t>
      </w:r>
      <w:r>
        <w:t xml:space="preserve">    </w:t>
      </w:r>
      <w:r>
        <w:rPr>
          <w:b/>
        </w:rPr>
        <w:t xml:space="preserve">Pub date: </w:t>
      </w:r>
      <w:r>
        <w:t>2026-05-13 13:13:39+00:00</w:t>
      </w:r>
      <w:r>
        <w:t xml:space="preserve">    </w:t>
      </w:r>
      <w:r>
        <w:rPr>
          <w:b/>
        </w:rPr>
        <w:t xml:space="preserve">DOI: </w:t>
      </w:r>
      <w:hyperlink r:id="rId928">
        <w:r>
          <w:rPr>
            <w:color w:val="1155CC"/>
            <w:u w:val="single"/>
          </w:rPr>
          <w:t>10.1021/jacs.5c17497</w:t>
        </w:r>
      </w:hyperlink>
    </w:p>
    <w:p>
      <w:pPr>
        <w:spacing w:before="0" w:after="120"/>
      </w:pPr>
      <w:r>
        <w:rPr>
          <w:b/>
        </w:rPr>
        <w:t xml:space="preserve">Notes: </w:t>
      </w:r>
      <w:r>
        <w:t>abstract_source=pubmed</w:t>
      </w:r>
    </w:p>
    <w:p>
      <w:pPr>
        <w:spacing w:before="0" w:after="80" w:lineRule="auto" w:line="276"/>
      </w:pPr>
      <w:r>
        <w:rPr>
          <w:b/>
        </w:rPr>
        <w:t xml:space="preserve">摘要（ZH）: </w:t>
      </w:r>
      <w:r>
        <w:t>全氟和多氟烷基物质（PFAS）的异常持久性源于惰性的C-F键，这需要超越高能耗处理的修复策略。在此，我们报告了一种二噻吩-芴-吡啶（BT-Fl-Py）线性聚合物，在可见光照射下实现了全氟辛酸（PFOA）的定量去氟化。光激发后，聚合物经历芴π桥的构型扭转松弛，形成稳定的扭曲分子内电荷转移态（TICT1），在长寿命还原态下稳定光生电子。同时，疏水聚合物骨架富集PFOA，激活C-F键并促进高效的界面电子转移。构型调控的电荷分离与界面底物富集的协同作用，使得在温和条件下实现了PFOA的完全去氟化，为降解超稳定PFAS建立了一条可持续的途径，并为开发还原性聚合物光催化剂提供了分子设计原则。</w:t>
      </w:r>
    </w:p>
    <w:p>
      <w:pPr>
        <w:spacing w:before="0" w:after="200" w:lineRule="auto" w:line="276"/>
      </w:pPr>
      <w:r>
        <w:rPr>
          <w:b/>
        </w:rPr>
        <w:t xml:space="preserve">Abstract (EN): </w:t>
      </w:r>
      <w:r>
        <w:t>The exceptional persistence of per- and polyfluoroalkyl substances (PFAS) rooted in inert C-F bonds demands remediation strategies beyond energy-intensive treatments. Here, we report a bithiophene-fluorene-pyridine (BT-Fl-Py) linear polymer that achieves quantitative defluorination of perfluorooctanoic acid (PFOA) under visible-light irradiation. Upon photoexcitation, the polymer undergoes configurational torsional relaxation of the fluorene π-bridge, forming a stable twisted intramolecular charge-transfer state (TICT1) that stabilizes photogenerated electrons in a long-lived reducing state. Concurrently, the hydrophobic polymer backbone enriches PFOA, activating C-F bonds and facilitating efficient interfacial electron transfer. The cooperation between conformationally regulated charge separation and interfacial substrate enrichment enables complete PFOA defluorination under mild conditions, establishing a sustainable route for degrading ultrastable PFAS and providing a molecular design principle for developing reducing polymer photocatalysts.</w:t>
      </w:r>
    </w:p>
    <w:p>
      <w:pPr>
        <w:spacing w:before="120" w:after="120"/>
      </w:pPr>
      <w:r>
        <w:rPr>
          <w:sz w:val="18"/>
        </w:rPr>
        <w:t>——————————————————————————————————————————————————————————————————————</w:t>
      </w:r>
    </w:p>
    <w:p>
      <w:pPr>
        <w:spacing w:before="160" w:after="40" w:line="240" w:lineRule="auto"/>
      </w:pPr>
      <w:r>
        <w:rPr>
          <w:b/>
        </w:rPr>
        <w:t xml:space="preserve">[380] </w:t>
      </w:r>
      <w:hyperlink r:id="rId929">
        <w:r>
          <w:rPr>
            <w:color w:val="1155CC"/>
            <w:u w:val="single"/>
          </w:rPr>
          <w:t>[ASAP] 可视化跨电化学能量技术的扩散阻抗</w:t>
        </w:r>
      </w:hyperlink>
    </w:p>
    <w:p>
      <w:pPr>
        <w:spacing w:before="0" w:after="80"/>
      </w:pPr>
      <w:r>
        <w:rPr>
          <w:i/>
          <w:sz w:val="20"/>
        </w:rPr>
        <w:t>EN: [ASAP] Visualizing Diffusion Impedance across Electrochemical Energy Technologies</w:t>
      </w:r>
    </w:p>
    <w:p>
      <w:pPr>
        <w:spacing w:before="0" w:after="120"/>
      </w:pPr>
      <w:r>
        <w:rPr>
          <w:b/>
        </w:rPr>
        <w:t xml:space="preserve">Source: </w:t>
      </w:r>
      <w:r>
        <w:t>ACS Energy Letters: Latest Articles (ACS Publications)</w:t>
      </w:r>
      <w:r>
        <w:t xml:space="preserve">    </w:t>
      </w:r>
      <w:r>
        <w:rPr>
          <w:b/>
        </w:rPr>
        <w:t xml:space="preserve">Pub date: </w:t>
      </w:r>
      <w:r>
        <w:t>2026-05-13 13:16:50+00:00</w:t>
      </w:r>
      <w:r>
        <w:t xml:space="preserve">    </w:t>
      </w:r>
      <w:r>
        <w:rPr>
          <w:b/>
        </w:rPr>
        <w:t xml:space="preserve">DOI: </w:t>
      </w:r>
      <w:hyperlink r:id="rId930">
        <w:r>
          <w:rPr>
            <w:color w:val="1155CC"/>
            <w:u w:val="single"/>
          </w:rPr>
          <w:t>10.1021/acsenergylett.6c00568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[381] </w:t>
      </w:r>
      <w:hyperlink r:id="rId931">
        <w:r>
          <w:rPr>
            <w:color w:val="1155CC"/>
            <w:u w:val="single"/>
          </w:rPr>
          <w:t>[ASAP] 在1,2-BN-杂芳烃中定制协同振动进展和电荷转移以实现高效稳定的窄带电致发光</w:t>
        </w:r>
      </w:hyperlink>
    </w:p>
    <w:p>
      <w:pPr>
        <w:spacing w:before="0" w:after="80"/>
      </w:pPr>
      <w:r>
        <w:rPr>
          <w:i/>
          <w:sz w:val="20"/>
        </w:rPr>
        <w:t>EN: [ASAP] Tailored Synergistic Vibronic Progression and Charge Transfer in 1,2-BN-Heteroarenes for Efficient and Stable Narrowband Electroluminescence</w:t>
      </w:r>
    </w:p>
    <w:p>
      <w:pPr>
        <w:spacing w:before="0" w:after="120"/>
      </w:pPr>
      <w:r>
        <w:rPr>
          <w:b/>
        </w:rPr>
        <w:t xml:space="preserve">Source: </w:t>
      </w:r>
      <w:r>
        <w:t>Journal of the American Chemical Society: Latest Articles (ACS Publications)</w:t>
      </w:r>
      <w:r>
        <w:t xml:space="preserve">    </w:t>
      </w:r>
      <w:r>
        <w:rPr>
          <w:b/>
        </w:rPr>
        <w:t xml:space="preserve">Pub date: </w:t>
      </w:r>
      <w:r>
        <w:t>2026-05-13 14:00:04+00:00</w:t>
      </w:r>
      <w:r>
        <w:t xml:space="preserve">    </w:t>
      </w:r>
      <w:r>
        <w:rPr>
          <w:b/>
        </w:rPr>
        <w:t xml:space="preserve">DOI: </w:t>
      </w:r>
      <w:hyperlink r:id="rId932">
        <w:r>
          <w:rPr>
            <w:color w:val="1155CC"/>
            <w:u w:val="single"/>
          </w:rPr>
          <w:t>10.1021/jacs.6c05118</w:t>
        </w:r>
      </w:hyperlink>
    </w:p>
    <w:p>
      <w:pPr>
        <w:spacing w:before="0" w:after="120"/>
      </w:pPr>
      <w:r>
        <w:rPr>
          <w:b/>
        </w:rPr>
        <w:t xml:space="preserve">Notes: </w:t>
      </w:r>
      <w:r>
        <w:t>abstract_source=pubmed</w:t>
      </w:r>
    </w:p>
    <w:p>
      <w:pPr>
        <w:spacing w:before="0" w:after="80" w:lineRule="auto" w:line="276"/>
      </w:pPr>
      <w:r>
        <w:rPr>
          <w:b/>
        </w:rPr>
        <w:t xml:space="preserve">摘要（ZH）: </w:t>
      </w:r>
      <w:r>
        <w:t>有机窄带发射体的发展面临着扩展结构多样性、提高合成效率、阐明窄带发射机制以及增强整体电致发光（EL）性能的长期挑战。在此，我们报告了一类基于1,2-BN-杂芳烃的新型窄带发射体，通过系统的设计策略实现，包括平面锁定、外围旋转和BN单元扩展，以调整振动进程，使其与窄带发射的原理相一致。它们通过硼烯物种促进的胺导向一锅硼化反应合成，产率超过80%，并表现出可调的发射颜色，这源于局部激发（LE）、长程电荷转移（CT）和短程CT状态之间的相互作用。代表性发射体[B-N]2和[B-N]2-DPA在460和482 nm处表现出峰值发射，具有超窄的半高宽（FWHM），分别为16和18 nm，并且接近单位的光致发光（PL）量子产率。此外，通过采用“热激子层”设计以促进激子动力学，相应的窄带有机发光二极管（OLED）实现了29.6%的高最大外量子效率（EQE），在1000 cd m-2时表现出异常低的效率滚降5.7%，并且与对照1,4-BN-杂芳烃相比，具有优越的操作稳定性。这些发现为设计具有多样结构和高EL性能的窄带发射体提供了新的见解。</w:t>
      </w:r>
    </w:p>
    <w:p>
      <w:pPr>
        <w:spacing w:before="0" w:after="200" w:lineRule="auto" w:line="276"/>
      </w:pPr>
      <w:r>
        <w:rPr>
          <w:b/>
        </w:rPr>
        <w:t xml:space="preserve">Abstract (EN): </w:t>
      </w:r>
      <w:r>
        <w:t>The development of organic narrowband emitters faces long-standing challenges in expanding structural diversity, improving synthetic efficiency, elucidating narrowband emission mechanisms, and enhancing overall electroluminescence (EL) performance. Herein, we report a new class of narrowband emitters based on 1,2-BN-heteroarenes, enabled by a systematic design strategy that integrates planar locking, peripheral rotation, and BN-unit extension to tailor vibronic progression in alignment with the principles governing narrowband emission. They are readily synthesized using a borenium species-promoted, amine-directed one-pot borylation in yields over 80%, and exhibit tunable emission colors arising from interplay among locally excited (LE), long-range charge-transfer (CT), and short-range CT states. Representative emitters [B-N]2 and [B-N]2-DPA exhibit peak emissions at 460 and 482 nm with ultranarrow full widths at half-maximums (FWHMs) of 16 and 18 nm, respectively, and near-unity photoluminescence (PL) quantum yields. Furthermore, by employing a "hot-exciton layer" design to facilitate exciton dynamics, the corresponding narrowband organic light-emitting diodes (OLEDs) deliver a high maximum external quantum efficiency (EQE) of 29.6%, an exceptionally low efficiency roll-off of 5.7% at 1000 cd m-2, and superior operational stability compared with the control 1,4-BN-heteroarene. These findings offer new insights into the design of narrowband emitters with diverse structures and high EL performance.</w:t>
      </w:r>
    </w:p>
    <w:p>
      <w:pPr>
        <w:spacing w:before="120" w:after="120"/>
      </w:pPr>
      <w:r>
        <w:rPr>
          <w:sz w:val="18"/>
        </w:rPr>
        <w:t>——————————————————————————————————————————————————————————————————————</w:t>
      </w:r>
    </w:p>
    <w:p>
      <w:pPr>
        <w:spacing w:before="160" w:after="40" w:line="240" w:lineRule="auto"/>
      </w:pPr>
      <w:r>
        <w:rPr>
          <w:b/>
        </w:rPr>
        <w:t xml:space="preserve">[382] </w:t>
      </w:r>
      <w:hyperlink r:id="rId933">
        <w:r>
          <w:rPr>
            <w:color w:val="1155CC"/>
            <w:u w:val="single"/>
          </w:rPr>
          <w:t>[ASAP] 微环境镁过载破坏细菌膜功能用于中枢神经系统感染治疗</w:t>
        </w:r>
      </w:hyperlink>
    </w:p>
    <w:p>
      <w:pPr>
        <w:spacing w:before="0" w:after="80"/>
      </w:pPr>
      <w:r>
        <w:rPr>
          <w:i/>
          <w:sz w:val="20"/>
        </w:rPr>
        <w:t>EN: [ASAP] Microenvironment Magnesium Overload Disrupts Bacterial Membrane Functions for the Central Nervous System Infection Treatment</w:t>
      </w:r>
    </w:p>
    <w:p>
      <w:pPr>
        <w:spacing w:before="0" w:after="120"/>
      </w:pPr>
      <w:r>
        <w:rPr>
          <w:b/>
        </w:rPr>
        <w:t xml:space="preserve">Source: </w:t>
      </w:r>
      <w:r>
        <w:t>Journal of the American Chemical Society: Latest Articles (ACS Publications)</w:t>
      </w:r>
      <w:r>
        <w:t xml:space="preserve">    </w:t>
      </w:r>
      <w:r>
        <w:rPr>
          <w:b/>
        </w:rPr>
        <w:t xml:space="preserve">Pub date: </w:t>
      </w:r>
      <w:r>
        <w:t>2026-05-13 14:18:25+00:00</w:t>
      </w:r>
      <w:r>
        <w:t xml:space="preserve">    </w:t>
      </w:r>
      <w:r>
        <w:rPr>
          <w:b/>
        </w:rPr>
        <w:t xml:space="preserve">DOI: </w:t>
      </w:r>
      <w:hyperlink r:id="rId934">
        <w:r>
          <w:rPr>
            <w:color w:val="1155CC"/>
            <w:u w:val="single"/>
          </w:rPr>
          <w:t>10.1021/jacs.5c20581</w:t>
        </w:r>
      </w:hyperlink>
    </w:p>
    <w:p>
      <w:pPr>
        <w:spacing w:before="0" w:after="120"/>
      </w:pPr>
      <w:r>
        <w:rPr>
          <w:b/>
        </w:rPr>
        <w:t xml:space="preserve">Notes: </w:t>
      </w:r>
      <w:r>
        <w:t>abstract_source=openalex</w:t>
      </w:r>
    </w:p>
    <w:p>
      <w:pPr>
        <w:spacing w:before="0" w:after="80" w:lineRule="auto" w:line="276"/>
      </w:pPr>
      <w:r>
        <w:rPr>
          <w:b/>
        </w:rPr>
        <w:t xml:space="preserve">摘要（ZH）: </w:t>
      </w:r>
      <w:r>
        <w:t>最终引发快速的杀菌效果。Magnesene在体外表现出强效和广谱的抗菌活性，对CNS感染患者的临床脑脊液样本的分析进一步证实了其在减少微生物负担方面的转化潜力。在大鼠CNS感染模型中，magnesene显著抑制细菌增殖并减轻神经炎症。作为一种新型无机纳米药物，magnesene为对抗顽固性CNS感染提供了一种有前景的策略，并可能拓宽对抗多种微生物病原体的治疗选择。</w:t>
      </w:r>
    </w:p>
    <w:p>
      <w:pPr>
        <w:spacing w:before="0" w:after="200" w:lineRule="auto" w:line="276"/>
      </w:pPr>
      <w:r>
        <w:rPr>
          <w:b/>
        </w:rPr>
        <w:t xml:space="preserve">Abstract (EN): </w:t>
      </w:r>
      <w:r>
        <w:t>, ultimately triggering rapid bactericidal effects. Magnesene exhibits potent and broad-spectrum antimicrobial activity in vitro, and analysis of clinical cerebrospinal fluid samples from CNS-infected patients further confirms its translational potential in reducing microbial burden. In rat CNS infection models, magnesene markedly suppresses bacterial proliferation and attenuates neuroinflammation. As a novel inorganic nanomedicine, magnesene offers a promising strategy for combating refractory CNS infections and may broaden therapeutic options against diverse microbial pathogens.</w:t>
      </w:r>
    </w:p>
    <w:p>
      <w:pPr>
        <w:spacing w:before="120" w:after="120"/>
      </w:pPr>
      <w:r>
        <w:rPr>
          <w:sz w:val="18"/>
        </w:rPr>
        <w:t>——————————————————————————————————————————————————————————————————————</w:t>
      </w:r>
    </w:p>
    <w:p>
      <w:pPr>
        <w:spacing w:before="160" w:after="40" w:line="240" w:lineRule="auto"/>
      </w:pPr>
      <w:r>
        <w:rPr>
          <w:b/>
        </w:rPr>
        <w:t xml:space="preserve">[383] </w:t>
      </w:r>
      <w:hyperlink r:id="rId935">
        <w:r>
          <w:rPr>
            <w:color w:val="1155CC"/>
            <w:u w:val="single"/>
          </w:rPr>
          <w:t>晶面依赖的金属-载体相互作用用于稳定Cuδ+物种以实现高效CO2电还原</w:t>
        </w:r>
      </w:hyperlink>
    </w:p>
    <w:p>
      <w:pPr>
        <w:spacing w:before="0" w:after="80"/>
      </w:pPr>
      <w:r>
        <w:rPr>
          <w:i/>
          <w:sz w:val="20"/>
        </w:rPr>
        <w:t>EN: Crystal Facet‐Dependent Metal‐Support Interaction for Stabilizing Cuδ+ Species Toward Efficient CO2 Electroreduction</w:t>
      </w:r>
    </w:p>
    <w:p>
      <w:pPr>
        <w:spacing w:before="0" w:after="120"/>
      </w:pPr>
      <w:r>
        <w:rPr>
          <w:b/>
        </w:rPr>
        <w:t xml:space="preserve">Source: </w:t>
      </w:r>
      <w:r>
        <w:t>Wiley: Angewandte Chemie International Edition: Table of Contents</w:t>
      </w:r>
      <w:r>
        <w:t xml:space="preserve">    </w:t>
      </w:r>
      <w:r>
        <w:rPr>
          <w:b/>
        </w:rPr>
        <w:t xml:space="preserve">Pub date: </w:t>
      </w:r>
      <w:r>
        <w:t>2026-05-13 14:43:30+00:00</w:t>
      </w:r>
      <w:r>
        <w:t xml:space="preserve">    </w:t>
      </w:r>
      <w:r>
        <w:rPr>
          <w:b/>
        </w:rPr>
        <w:t xml:space="preserve">DOI: </w:t>
      </w:r>
      <w:hyperlink r:id="rId936">
        <w:r>
          <w:rPr>
            <w:color w:val="1155CC"/>
            <w:u w:val="single"/>
          </w:rPr>
          <w:t>10.1002/anie.5559534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uδ+物种被认为是电催化CO2还原反应的最佳活性位点。虽然金属-载体相互作用（MSIs）调节了Cuδ+的局部微环境，但载体晶体学面的固有贡献被干扰的氧空位所掩盖。在这项工作中，我们通过利用具有可比氧空位浓度的CeO2载体，提出了一项明确的研究，将晶面效应与空位相关变量分离。我们的研究结果表明，支持在不同CeO2晶面上的Cu单原子遵循明显的晶面依赖稳定性顺序Cu/CeO2-(110) &gt; Cu/CeO2-(100) &gt; Cu/CeO2-(111)，但表现出晶面无关的甲烷法拉第效率（在−200 mA/cm2时约80%）。机制研究揭示了这种二分法，表明相同的Cu配位环境驱动了均匀的初始活性，而不同的表面电子结构通过调节晶面依赖的MSIs决定了长期稳定性。具体而言，（110）晶面表现出最强的MSI，作为一个稳健的“电子缓冲器”，牢固地锚定高价Cuδ+。</w:t>
      </w:r>
    </w:p>
    <w:p>
      <w:pPr>
        <w:spacing w:before="0" w:after="200" w:lineRule="auto" w:line="276"/>
      </w:pPr>
      <w:r>
        <w:rPr>
          <w:b/>
        </w:rPr>
        <w:t xml:space="preserve">Abstract (EN): </w:t>
      </w:r>
      <w:r>
        <w:t>Cu</w:t>
      </w:r>
      <w:r>
        <w:t xml:space="preserve"> </w:t>
      </w:r>
      <w:r>
        <w:t>δ+</w:t>
      </w:r>
      <w:r>
        <w:t xml:space="preserve"> </w:t>
      </w:r>
      <w:r>
        <w:t>species are recognized as optimal active sites for the electrocatalytic CO</w:t>
      </w:r>
      <w:r>
        <w:rPr>
          <w:vertAlign w:val="subscript"/>
        </w:rPr>
        <w:t>2</w:t>
      </w:r>
      <w:r>
        <w:t>reduction reaction. While metal‐support interactions (MSIs) modulate the local microenvironment of Cu</w:t>
      </w:r>
      <w:r>
        <w:t xml:space="preserve"> </w:t>
      </w:r>
      <w:r>
        <w:t>δ+</w:t>
      </w:r>
      <w:r>
        <w:t xml:space="preserve"> </w:t>
      </w:r>
      <w:r>
        <w:t>, the intrinsic contribution of support crystallographic facets to these interactions remains obscured by interfering oxygen vacancies. In this work, we present a definitive study decoupling the facet effect from vacancy‐related variables by utilizing CeO</w:t>
      </w:r>
      <w:r>
        <w:rPr>
          <w:vertAlign w:val="subscript"/>
        </w:rPr>
        <w:t>2</w:t>
      </w:r>
      <w:r>
        <w:t>supports with comparable oxygen vacancy concentrations. Our findings reveal that Cu single atoms supported on various CeO</w:t>
      </w:r>
      <w:r>
        <w:rPr>
          <w:vertAlign w:val="subscript"/>
        </w:rPr>
        <w:t>2</w:t>
      </w:r>
      <w:r>
        <w:t>facets follow a pronounced facet‐dependent stability order of Cu/CeO</w:t>
      </w:r>
      <w:r>
        <w:rPr>
          <w:vertAlign w:val="subscript"/>
        </w:rPr>
        <w:t>2</w:t>
      </w:r>
      <w:r>
        <w:t>‐(110) &amp;gt; Cu/CeO</w:t>
      </w:r>
      <w:r>
        <w:rPr>
          <w:vertAlign w:val="subscript"/>
        </w:rPr>
        <w:t>2</w:t>
      </w:r>
      <w:r>
        <w:t>‐(100) &amp;gt; Cu/CeO</w:t>
      </w:r>
      <w:r>
        <w:rPr>
          <w:vertAlign w:val="subscript"/>
        </w:rPr>
        <w:t>2</w:t>
      </w:r>
      <w:r>
        <w:t>‐(111), yet exhibit facet‐independent methane Faraday efficiency (∼80% at −200 mA/cm</w:t>
      </w:r>
      <w:r>
        <w:rPr>
          <w:vertAlign w:val="subscript"/>
        </w:rPr>
        <w:t>2</w:t>
      </w:r>
      <w:r>
        <w:t>). Mechanistic studies unravel this dichotomy, revealing that identical Cu coordination environments drive the uniform initial activity, whereas distinct surface electronic structures dictate long‐term stability by modulating facet‐dependent MSIs. Specifically, the (110) facet exhibits the strongest MSI, acting as a robust “electron buffer” that securely anchors high‐valent Cu</w:t>
      </w:r>
      <w:r>
        <w:t xml:space="preserve"> </w:t>
      </w:r>
      <w:r>
        <w:t>δ+</w:t>
      </w:r>
      <w:r>
        <w:t xml:space="preserve"> </w:t>
      </w:r>
      <w:r>
        <w:t>species and effectively retards their irreversible reductive agglomeration into clusters. By establishing an unambiguous structure–performance relationship under single‐variable conditions, this study provides a rational geometric descriptor for designing long‐lasting CO</w:t>
      </w:r>
      <w:r>
        <w:rPr>
          <w:vertAlign w:val="subscript"/>
        </w:rPr>
        <w:t>2</w:t>
      </w:r>
      <w:r>
        <w:t>conversion catalysts.</w:t>
      </w:r>
    </w:p>
    <w:p>
      <w:pPr>
        <w:spacing w:before="120" w:after="120"/>
      </w:pPr>
      <w:r>
        <w:rPr>
          <w:sz w:val="18"/>
        </w:rPr>
        <w:t>——————————————————————————————————————————————————————————————————————</w:t>
      </w:r>
    </w:p>
    <w:p>
      <w:pPr>
        <w:spacing w:before="160" w:after="40" w:line="240" w:lineRule="auto"/>
      </w:pPr>
      <w:r>
        <w:rPr>
          <w:b/>
        </w:rPr>
        <w:t xml:space="preserve">[384] </w:t>
      </w:r>
      <w:hyperlink r:id="rId937">
        <w:r>
          <w:rPr>
            <w:color w:val="1155CC"/>
            <w:u w:val="single"/>
          </w:rPr>
          <w:t>通过Pareto引导的多目标贝叶斯优化和机器人AI化学家实现氯气析出反应高熵催化剂的实用设计</w:t>
        </w:r>
      </w:hyperlink>
    </w:p>
    <w:p>
      <w:pPr>
        <w:spacing w:before="0" w:after="80"/>
      </w:pPr>
      <w:r>
        <w:rPr>
          <w:i/>
          <w:sz w:val="20"/>
        </w:rPr>
        <w:t>EN: Toward Practical Design of High‐Entropy Catalysts for Chlorine Evolution Reaction via Pareto‐Guided Multi‐Objective Bayesian Optimization Enabled by a Robotic AI‐Chemist</w:t>
      </w:r>
    </w:p>
    <w:p>
      <w:pPr>
        <w:spacing w:before="0" w:after="120"/>
      </w:pPr>
      <w:r>
        <w:rPr>
          <w:b/>
        </w:rPr>
        <w:t xml:space="preserve">Source: </w:t>
      </w:r>
      <w:r>
        <w:t>Wiley: Angewandte Chemie International Edition: Table of Contents</w:t>
      </w:r>
      <w:r>
        <w:t xml:space="preserve">    </w:t>
      </w:r>
      <w:r>
        <w:rPr>
          <w:b/>
        </w:rPr>
        <w:t xml:space="preserve">Pub date: </w:t>
      </w:r>
      <w:r>
        <w:t>2026-05-13 14:45:39+00:00</w:t>
      </w:r>
      <w:r>
        <w:t xml:space="preserve">    </w:t>
      </w:r>
      <w:r>
        <w:rPr>
          <w:b/>
        </w:rPr>
        <w:t xml:space="preserve">DOI: </w:t>
      </w:r>
      <w:hyperlink r:id="rId938">
        <w:r>
          <w:rPr>
            <w:color w:val="1155CC"/>
            <w:u w:val="single"/>
          </w:rPr>
          <w:t>10.1002/anie.8794274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氯气演化反应（CER）对现代氯碱工业至关重要，但传统的RuO2催化剂存在寄生氧气演化的问题。高熵氧化钌（Ru-HEO）是有前途的替代品，但其实际设计受到复杂的成分-结构-性能关系的阻碍。在此，我们构建了一个Pareto引导的多目标贝叶斯优化框架，以实现五元Ru-HEO系统的自主高通量探索。通过这种权衡策略，我们识别出有效平衡质量活性、Cl2选择性和材料成本的成分。领先的Ru-HEO催化剂仅含8.4 at% Ru，在1.50 V对RHE时实现了5083 A g−1 Ru的显著活性，并保持了优异的100小时稳定性，性能优于商业RuO2和报道的最先进催化剂。集成到光伏-电化学（PV-EC）原型设备中并在模拟昼夜照明下测试，它维持了&gt;95%的选择性，最大太阳能到化学（STC）效率为14.6%，预计Cl2生产成本低至每公斤0.177美元。我们的工作建立了一个闭环、AI加速的研究范式，将多目标优化与机器人实验相结合，提供了一条通用且加速的途径。</w:t>
      </w:r>
    </w:p>
    <w:p>
      <w:pPr>
        <w:spacing w:before="0" w:after="200" w:lineRule="auto" w:line="276"/>
      </w:pPr>
      <w:r>
        <w:rPr>
          <w:b/>
        </w:rPr>
        <w:t xml:space="preserve">Abstract (EN): </w:t>
      </w:r>
      <w:r>
        <w:t>The electrocatalytic chlorine evolution reaction (CER) is essential to modern chlor‐alkali industry, yet conventional RuO</w:t>
      </w:r>
      <w:r>
        <w:rPr>
          <w:vertAlign w:val="subscript"/>
        </w:rPr>
        <w:t>2</w:t>
      </w:r>
      <w:r>
        <w:t>catalysts suffer from parasitic oxygen evolution. High‐entropy ruthenium oxides (Ru‐HEO) are promising alternatives, but their practical design is hindered by complex composition‐structure‐performance relationship. Herein, we construct a Pareto‐guided multi‐objective Bayesian optimization framework to enable autonomous high‐throughput exploration of quinary Ru‐HEO system. Through this trade‐off strategy, we identify compositions that efficiently balance mass activity, Cl</w:t>
      </w:r>
      <w:r>
        <w:rPr>
          <w:vertAlign w:val="subscript"/>
        </w:rPr>
        <w:t>2</w:t>
      </w:r>
      <w:r>
        <w:t>selectivity and material cost. The leading Ru‐HEO catalyst with only 8.4 at% Ru achieves a remarkable activity of 5083 A g</w:t>
      </w:r>
      <w:r>
        <w:t xml:space="preserve"> </w:t>
      </w:r>
      <w:r>
        <w:t>−1</w:t>
      </w:r>
      <w:r>
        <w:t xml:space="preserve"> </w:t>
      </w:r>
      <w:r>
        <w:t>Ru</w:t>
      </w:r>
      <w:r>
        <w:t xml:space="preserve"> </w:t>
      </w:r>
      <w:r>
        <w:t>at 1.50 V versus RHE and maintains excellent 100‐h stability, outperforming commercial RuO</w:t>
      </w:r>
      <w:r>
        <w:rPr>
          <w:vertAlign w:val="subscript"/>
        </w:rPr>
        <w:t>2</w:t>
      </w:r>
      <w:r>
        <w:t>and the state‐of‐the‐art catalysts reported. Integrated into a photovoltaic‐electrochemical (PV‐EC) prototype device and tested under simulated diurnal illumination, it sustains &amp;gt;95% selectivity, a maximum solar‐to‐chemical (STC) efficiency of 14.6% and projected Cl</w:t>
      </w:r>
      <w:r>
        <w:rPr>
          <w:vertAlign w:val="subscript"/>
        </w:rPr>
        <w:t>2</w:t>
      </w:r>
      <w:r>
        <w:t>production costs as low as $0.177 per kg. Our work establishes a closed‐loop, AI‐accelerated research paradigm that integrates multi‐objective optimization with robotic experimentation, offering a generalizable and expedited pathway toward high‐performance electrocatalysts for sustainable chemicals manufacturing.</w:t>
      </w:r>
    </w:p>
    <w:p>
      <w:pPr>
        <w:spacing w:before="120" w:after="120"/>
      </w:pPr>
      <w:r>
        <w:rPr>
          <w:sz w:val="18"/>
        </w:rPr>
        <w:t>——————————————————————————————————————————————————————————————————————</w:t>
      </w:r>
    </w:p>
    <w:p>
      <w:pPr>
        <w:spacing w:before="160" w:after="40" w:line="240" w:lineRule="auto"/>
      </w:pPr>
      <w:r>
        <w:rPr>
          <w:b/>
        </w:rPr>
        <w:t xml:space="preserve">[385] </w:t>
      </w:r>
      <w:hyperlink r:id="rId939">
        <w:r>
          <w:rPr>
            <w:color w:val="1155CC"/>
            <w:u w:val="single"/>
          </w:rPr>
          <w:t>在水煤气变换反应中实现本质稳定的铑催化剂的自适应重构</w:t>
        </w:r>
      </w:hyperlink>
    </w:p>
    <w:p>
      <w:pPr>
        <w:spacing w:before="0" w:after="80"/>
      </w:pPr>
      <w:r>
        <w:rPr>
          <w:i/>
          <w:sz w:val="20"/>
        </w:rPr>
        <w:t>EN: Adaptive Restructuring toward Intrinsically Stable Rh Catalyst during Water–Gas Shift Reaction</w:t>
      </w:r>
    </w:p>
    <w:p>
      <w:pPr>
        <w:spacing w:before="0" w:after="120"/>
      </w:pPr>
      <w:r>
        <w:rPr>
          <w:b/>
        </w:rPr>
        <w:t xml:space="preserve">Source: </w:t>
      </w:r>
      <w:r>
        <w:t>Wiley: Angewandte Chemie International Edition: Table of Contents</w:t>
      </w:r>
      <w:r>
        <w:t xml:space="preserve">    </w:t>
      </w:r>
      <w:r>
        <w:rPr>
          <w:b/>
        </w:rPr>
        <w:t xml:space="preserve">Pub date: </w:t>
      </w:r>
      <w:r>
        <w:t>2026-05-13 14:46:54+00:00</w:t>
      </w:r>
      <w:r>
        <w:t xml:space="preserve">    </w:t>
      </w:r>
      <w:r>
        <w:rPr>
          <w:b/>
        </w:rPr>
        <w:t xml:space="preserve">DOI: </w:t>
      </w:r>
      <w:hyperlink r:id="rId940">
        <w:r>
          <w:rPr>
            <w:color w:val="1155CC"/>
            <w:u w:val="single"/>
          </w:rPr>
          <w:t>10.1002/anie.5021940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反应形成的催化位点的内在稳定性并理解其起源仍然是异相催化中的一个核心挑战。尽管在甲烷重整和相关反应中观察到了CO驱动的原子分散金属重组为亚纳米簇，但这些位点上产生的稳定性的电子基础和催化机制仍然未知。在这项研究中，我们展示了在水煤气变换（WGS）反应过程中，分散在CeO</w:t>
      </w:r>
      <w:r>
        <w:rPr>
          <w:vertAlign w:val="subscript"/>
        </w:rPr>
        <w:t>2</w:t>
      </w:r>
      <w:r>
        <w:t>纳米棒上的原子级Rh自发演变为Rh</w:t>
      </w:r>
      <w:r>
        <w:rPr>
          <w:vertAlign w:val="subscript"/>
        </w:rPr>
        <w:t>3</w:t>
      </w:r>
      <w:r>
        <w:t>(CO)</w:t>
      </w:r>
      <w:r>
        <w:rPr>
          <w:vertAlign w:val="subscript"/>
        </w:rPr>
        <w:t>4</w:t>
      </w:r>
      <w:r>
        <w:t>簇，并且这种重组解决了固有的活性-稳定性权衡。具有较高初始活性的亚稳态Rh</w:t>
      </w:r>
      <w:r>
        <w:rPr>
          <w:vertAlign w:val="subscript"/>
        </w:rPr>
        <w:t>3</w:t>
      </w:r>
      <w:r>
        <w:t>(CO)</w:t>
      </w:r>
      <w:r>
        <w:rPr>
          <w:vertAlign w:val="subscript"/>
        </w:rPr>
        <w:t>3</w:t>
      </w:r>
      <w:r>
        <w:t>簇转变为热力学稳定的Rh</w:t>
      </w:r>
      <w:r>
        <w:rPr>
          <w:vertAlign w:val="subscript"/>
        </w:rPr>
        <w:t>3</w:t>
      </w:r>
      <w:r>
        <w:t>(CO)</w:t>
      </w:r>
      <w:r>
        <w:rPr>
          <w:vertAlign w:val="subscript"/>
        </w:rPr>
        <w:t>4</w:t>
      </w:r>
      <w:r>
        <w:t>，在300°C下持续5000小时而无明显失活。结合原位光谱、动力学分析和密度泛函理论计算，我们揭示了这种内在稳定性的双重起源。第四个CO配体的配位通过Rh到CO的反向供电子-π*杂化降低了簇形成能2.15 eV，使Rh</w:t>
      </w:r>
      <w:r>
        <w:rPr>
          <w:vertAlign w:val="subscript"/>
        </w:rPr>
        <w:t>3</w:t>
      </w:r>
      <w:r>
        <w:t>(CO)</w:t>
      </w:r>
      <w:r>
        <w:rPr>
          <w:vertAlign w:val="subscript"/>
        </w:rPr>
        <w:t>4</w:t>
      </w:r>
      <w:r>
        <w:t>成为一个热力学稳定的状态，具有弹性</w:t>
      </w:r>
    </w:p>
    <w:p>
      <w:pPr>
        <w:spacing w:before="0" w:after="200" w:lineRule="auto" w:line="276"/>
      </w:pPr>
      <w:r>
        <w:rPr>
          <w:b/>
        </w:rPr>
        <w:t xml:space="preserve">Abstract (EN): </w:t>
      </w:r>
      <w:r>
        <w:t>Achieving intrinsic stability of reaction‐formed catalytic sites, and understanding its origin, remains a central challenge in heterogeneous catalysis. Although CO‐driven restructuring of atomically dispersed metals into subnanometer clusters has been observed in methane reforming and related reactions, the electronic basis of the resulting stability and the catalytic mechanism on these sites remain unknown. In this study, we show that atomically dispersed Rh on CeO</w:t>
      </w:r>
      <w:r>
        <w:rPr>
          <w:vertAlign w:val="subscript"/>
        </w:rPr>
        <w:t>2</w:t>
      </w:r>
      <w:r>
        <w:t>nanorods spontaneously evolves into Rh</w:t>
      </w:r>
      <w:r>
        <w:rPr>
          <w:vertAlign w:val="subscript"/>
        </w:rPr>
        <w:t>3</w:t>
      </w:r>
      <w:r>
        <w:t>(CO)</w:t>
      </w:r>
      <w:r>
        <w:rPr>
          <w:vertAlign w:val="subscript"/>
        </w:rPr>
        <w:t>4</w:t>
      </w:r>
      <w:r>
        <w:t>clusters during the water–gas shift (WGS) reaction, and that this restructuring resolves the inherent activity–stability trade‐off. Metastable Rh</w:t>
      </w:r>
      <w:r>
        <w:rPr>
          <w:vertAlign w:val="subscript"/>
        </w:rPr>
        <w:t>3</w:t>
      </w:r>
      <w:r>
        <w:t>(CO)</w:t>
      </w:r>
      <w:r>
        <w:rPr>
          <w:vertAlign w:val="subscript"/>
        </w:rPr>
        <w:t>3</w:t>
      </w:r>
      <w:r>
        <w:t>clusters with higher initial activity transform into thermodynamically stable Rh</w:t>
      </w:r>
      <w:r>
        <w:rPr>
          <w:vertAlign w:val="subscript"/>
        </w:rPr>
        <w:t>3</w:t>
      </w:r>
      <w:r>
        <w:t>(CO)</w:t>
      </w:r>
      <w:r>
        <w:rPr>
          <w:vertAlign w:val="subscript"/>
        </w:rPr>
        <w:t>4</w:t>
      </w:r>
      <w:r>
        <w:t>that sustains performance over 5000 h at 300°C without apparent deactivation. Combining in situ spectroscopy, kinetic analysis, and density functional theory calculations, we reveal the dual origins of this intrinsic stability. Coordination of the fourth CO ligand lowers the cluster formation energy by 2.15 eV, driven by ‐π* hybridization through Rh‐to‐CO back‐donation, rendering Rh</w:t>
      </w:r>
      <w:r>
        <w:rPr>
          <w:vertAlign w:val="subscript"/>
        </w:rPr>
        <w:t>3</w:t>
      </w:r>
      <w:r>
        <w:t>(CO)</w:t>
      </w:r>
      <w:r>
        <w:rPr>
          <w:vertAlign w:val="subscript"/>
        </w:rPr>
        <w:t>4</w:t>
      </w:r>
      <w:r>
        <w:t>a thermodynamic sink resilient to reaction‐induced perturbations. Meanwhile, surface hydride species generated at oxygen vacancies open a concerted COOH dehydrogenation pathway, markedly lowering the rate‐determining barrier. This work demonstrates that reactive atmospheres can steer catalytic sites toward configurations where structural stability and catalytic function coexist.</w:t>
      </w:r>
    </w:p>
    <w:p>
      <w:pPr>
        <w:spacing w:before="120" w:after="120"/>
      </w:pPr>
      <w:r>
        <w:rPr>
          <w:sz w:val="18"/>
        </w:rPr>
        <w:t>——————————————————————————————————————————————————————————————————————</w:t>
      </w:r>
    </w:p>
    <w:p>
      <w:pPr>
        <w:spacing w:before="160" w:after="40" w:line="240" w:lineRule="auto"/>
      </w:pPr>
      <w:r>
        <w:rPr>
          <w:b/>
        </w:rPr>
        <w:t xml:space="preserve">[386] </w:t>
      </w:r>
      <w:hyperlink r:id="rId941">
        <w:r>
          <w:rPr>
            <w:color w:val="1155CC"/>
            <w:u w:val="single"/>
          </w:rPr>
          <w:t>BIBOP催化的不对称Staudinger/aza‐Wittig反应：统一合成(–)‐Minfiensine和(+)‐Aspidophylline A</w:t>
        </w:r>
      </w:hyperlink>
    </w:p>
    <w:p>
      <w:pPr>
        <w:spacing w:before="0" w:after="80"/>
      </w:pPr>
      <w:r>
        <w:rPr>
          <w:i/>
          <w:sz w:val="20"/>
        </w:rPr>
        <w:t>EN: BIBOP‐Catalyzed Asymmetric Staudinger/aza‐Wittig Reaction: Unified Syntheses of (–)‐Minfiensine and (+)‐Aspidophylline A</w:t>
      </w:r>
    </w:p>
    <w:p>
      <w:pPr>
        <w:spacing w:before="0" w:after="120"/>
      </w:pPr>
      <w:r>
        <w:rPr>
          <w:b/>
        </w:rPr>
        <w:t xml:space="preserve">Source: </w:t>
      </w:r>
      <w:r>
        <w:t>Wiley: Angewandte Chemie International Edition: Table of Contents</w:t>
      </w:r>
      <w:r>
        <w:t xml:space="preserve">    </w:t>
      </w:r>
      <w:r>
        <w:rPr>
          <w:b/>
        </w:rPr>
        <w:t xml:space="preserve">Pub date: </w:t>
      </w:r>
      <w:r>
        <w:t>2026-05-13 14:47:22+00:00</w:t>
      </w:r>
      <w:r>
        <w:t xml:space="preserve">    </w:t>
      </w:r>
      <w:r>
        <w:rPr>
          <w:b/>
        </w:rPr>
        <w:t xml:space="preserve">DOI: </w:t>
      </w:r>
      <w:hyperlink r:id="rId942">
        <w:r>
          <w:rPr>
            <w:color w:val="1155CC"/>
            <w:u w:val="single"/>
          </w:rPr>
          <w:t>10.1002/anie.5183787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了一种统一的方法来构建存在于各种单萜吲哚生物碱中的特征性4a,9a-杂环融合四氢咔唑骨架。该方法依赖于一种独特的手性双膦BIBOP催化的不对称Staudinger/aza-Wittig反应，随后进行亚胺环化。与传统的单膦和双膦相比，BIBOP在各种反应条件下表现出更强的性能。机制研究表明，BIBOP(O)，即BIBOP的单氧化衍生物，也可以以优异的对映选择性促进不对称转化。利用开发的方法，我们已成功实现了（–）-minfiensine的简洁全合成和（+）-aspidophylline A的形式合成。这项工作不仅建立了一个合成多样单萜吲哚生物碱的多功能平台，还提供了一类新的有机膦催化剂，适用于不对称Staudinger/aza-Wittig反应及相关转化。</w:t>
      </w:r>
    </w:p>
    <w:p>
      <w:pPr>
        <w:spacing w:before="0" w:after="200" w:lineRule="auto" w:line="276"/>
      </w:pPr>
      <w:r>
        <w:rPr>
          <w:b/>
        </w:rPr>
        <w:t xml:space="preserve">Abstract (EN): </w:t>
      </w:r>
      <w:r>
        <w:t>A unified approach has been developed to construct the characteristic 4a,9a‐heterocycle‐fused tetrahydrocarbazole skeleton present in various monoterpene indole alkaloids. This method hinges on a unique chiral bisphosphine BIBOP‐catalyzed asymmetric Staudinger/aza‐Wittig reaction followed by imine cyclization. Compared to conventional mono‐ and bisphosphines, BIBOP exhibits more robust performance across diverse reaction settings. Mechanistic studies revealed that BIBOP(O), the mono‐oxidized derivative of BIBOP, could also promote the asymmetric transformation with excellent enantioselectivity. Leveraging the developed method, we have accomplished a concise total synthesis of (–)‐minfiensine and a formal synthesis of (+)‐aspidophylline A. This work not only establishes a versatile platform for the synthesis of diverse monoterpene indole alkaloids but also offers a new class of organophosphine catalysts applicable to asymmetric Staudinger/aza‐Wittig reaction as well as related transformations.</w:t>
      </w:r>
    </w:p>
    <w:p>
      <w:pPr>
        <w:spacing w:before="120" w:after="120"/>
      </w:pPr>
      <w:r>
        <w:rPr>
          <w:sz w:val="18"/>
        </w:rPr>
        <w:t>——————————————————————————————————————————————————————————————————————</w:t>
      </w:r>
    </w:p>
    <w:p>
      <w:pPr>
        <w:spacing w:before="160" w:after="40" w:line="240" w:lineRule="auto"/>
      </w:pPr>
      <w:r>
        <w:rPr>
          <w:b/>
        </w:rPr>
        <w:t xml:space="preserve">[387] </w:t>
      </w:r>
      <w:hyperlink r:id="rId943">
        <w:r>
          <w:rPr>
            <w:color w:val="1155CC"/>
            <w:u w:val="single"/>
          </w:rPr>
          <w:t>用于精确靶向和调控RNA G四联体的AND逻辑门控适配体开关</w:t>
        </w:r>
      </w:hyperlink>
    </w:p>
    <w:p>
      <w:pPr>
        <w:spacing w:before="0" w:after="80"/>
      </w:pPr>
      <w:r>
        <w:rPr>
          <w:i/>
          <w:sz w:val="20"/>
        </w:rPr>
        <w:t>EN: AND‐Logic‐Gated Aptamer Switch for Precise Targeting and Regulation of RNA G‐Quadruplexes</w:t>
      </w:r>
    </w:p>
    <w:p>
      <w:pPr>
        <w:spacing w:before="0" w:after="120"/>
      </w:pPr>
      <w:r>
        <w:rPr>
          <w:b/>
        </w:rPr>
        <w:t xml:space="preserve">Source: </w:t>
      </w:r>
      <w:r>
        <w:t>Wiley: Angewandte Chemie International Edition: Table of Contents</w:t>
      </w:r>
      <w:r>
        <w:t xml:space="preserve">    </w:t>
      </w:r>
      <w:r>
        <w:rPr>
          <w:b/>
        </w:rPr>
        <w:t xml:space="preserve">Pub date: </w:t>
      </w:r>
      <w:r>
        <w:t>2026-05-13 14:49:03+00:00</w:t>
      </w:r>
      <w:r>
        <w:t xml:space="preserve">    </w:t>
      </w:r>
      <w:r>
        <w:rPr>
          <w:b/>
        </w:rPr>
        <w:t xml:space="preserve">DOI: </w:t>
      </w:r>
      <w:hyperlink r:id="rId944">
        <w:r>
          <w:rPr>
            <w:color w:val="1155CC"/>
            <w:u w:val="single"/>
          </w:rPr>
          <w:t>10.1002/anie.4594145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RNA G-四链体（rG4s）在基因调控和癌症进展中起关键作用，但在肿瘤细胞中精确操控它们仍然具有挑战性。rG4靶向L-RNA适配体是一类新兴的配体，具有对rG4s的卓越亲和力；然而，其缺乏细胞类型特异性递送，阻碍了其调控和治疗潜力。在此，我们设计了一种可激活的双特异性适配体开关，称为变构RNA G-四链体ON开关（ARGON），它整合了rG4靶向L-RNA Apt.4-1c模块（由谷胱甘肽（GSH）可切割锁链掩盖）与肿瘤受体靶向Sgc8 DNA适配体，以精确靶向rG4s并调控肿瘤细胞内的下游细胞活动。AND逻辑门控的ARGON仅在同时表现出肿瘤受体过表达和GSH水平升高的肿瘤细胞中激活。细胞摄取后，GSH触发的锁链切割暴露L-Apt.4-1c的rG4结合域，使其能够结合致癌Bcl2 rG4。然后激活的ARGON调控与rG4相关的肿瘤细胞功能，同时不影响正常细胞。此外，我们应用ARGON靶向人端粒酶RNA成分（hTERC）rG4，以展示我们方法的普遍性。总体而言，通过整合细胞表面寻址与细胞内环境感知，我们的工作报告了一种“旧化学新技巧”框架，用于调控核酸结构，实现细胞RNA结构的条件性靶向，最小化</w:t>
      </w:r>
    </w:p>
    <w:p>
      <w:pPr>
        <w:spacing w:before="0" w:after="200" w:lineRule="auto" w:line="276"/>
      </w:pPr>
      <w:r>
        <w:rPr>
          <w:b/>
        </w:rPr>
        <w:t xml:space="preserve">Abstract (EN): </w:t>
      </w:r>
      <w:r>
        <w:t>RNA G‐quadruplexes (rG4s) play critical roles in gene regulation and cancer progression, yet their precise manipulation in tumor cells remains challenging. rG4‐targeting L‐RNA aptamers are an emerging class of ligands with exceptional affinity for rG4s; however, their lack of cell type‐specific delivery hinders their regulatory and therapeutic potential. Herein, we engineer an activatable bispecific aptamer switch, termed the Allosteric RNA G‐quadruplex ON‐switch (ARGON), which integrates an rG4‐targeting L‐RNA Apt.4‐1c module (masked by a glutathione (GSH)‐cleavable lock strand) with a tumor receptor‐targeting Sgc8 DNA aptamer to precisely target rG4s and regulate downstream cellular activities within tumor cells. The AND logic‐gated ARGON is activated exclusively in tumor cells that exhibit both tumor receptor overexpression and elevated GSH levels. Following cellular uptake, GSH‐triggered lock cleavage exposes L‐Apt.4‐1c's rG4‐binding domain, enabling binding oncogenic</w:t>
      </w:r>
      <w:r>
        <w:t xml:space="preserve"> </w:t>
      </w:r>
      <w:r>
        <w:t>Bcl2</w:t>
      </w:r>
      <w:r>
        <w:t xml:space="preserve"> </w:t>
      </w:r>
      <w:r>
        <w:t>rG4. Then activated ARGON regulates rG4‐associated tumor cellular functions while sparing normal cells. Besides, we apply ARGON to target human telomerase RNA component (</w:t>
      </w:r>
      <w:r>
        <w:t xml:space="preserve"> </w:t>
      </w:r>
      <w:r>
        <w:t>hTERC</w:t>
      </w:r>
      <w:r>
        <w:t xml:space="preserve"> </w:t>
      </w:r>
      <w:r>
        <w:t>) rG4 to show our method's generality. Collectively, by integrating cell‐surface addressing with intracellular environmental sensing, our work reports an “old‐chemistry‐new‐trick” framework for regulating nucleic acid structures, enabling conditional targeting of cellular RNA structures with minimal off‐target effects and propelling aptamer‐based precision biomedicine forward.</w:t>
      </w:r>
    </w:p>
    <w:p>
      <w:pPr>
        <w:spacing w:before="120" w:after="120"/>
      </w:pPr>
      <w:r>
        <w:rPr>
          <w:sz w:val="18"/>
        </w:rPr>
        <w:t>——————————————————————————————————————————————————————————————————————</w:t>
      </w:r>
    </w:p>
    <w:p>
      <w:pPr>
        <w:spacing w:before="160" w:after="40" w:line="240" w:lineRule="auto"/>
      </w:pPr>
      <w:r>
        <w:rPr>
          <w:b/>
        </w:rPr>
        <w:t xml:space="preserve">[388] </w:t>
      </w:r>
      <w:hyperlink r:id="rId945">
        <w:r>
          <w:rPr>
            <w:color w:val="1155CC"/>
            <w:u w:val="single"/>
          </w:rPr>
          <w:t>水在富缺陷TiO2低温CO2还原中的作用</w:t>
        </w:r>
      </w:hyperlink>
    </w:p>
    <w:p>
      <w:pPr>
        <w:spacing w:before="0" w:after="80"/>
      </w:pPr>
      <w:r>
        <w:rPr>
          <w:i/>
          <w:sz w:val="20"/>
        </w:rPr>
        <w:t>EN: Role of Water in Low‐Temperature CO2 Reduction at Defect‐Rich TiO2</w:t>
      </w:r>
    </w:p>
    <w:p>
      <w:pPr>
        <w:spacing w:before="0" w:after="120"/>
      </w:pPr>
      <w:r>
        <w:rPr>
          <w:b/>
        </w:rPr>
        <w:t xml:space="preserve">Source: </w:t>
      </w:r>
      <w:r>
        <w:t>Wiley: Angewandte Chemie International Edition: Table of Contents</w:t>
      </w:r>
      <w:r>
        <w:t xml:space="preserve">    </w:t>
      </w:r>
      <w:r>
        <w:rPr>
          <w:b/>
        </w:rPr>
        <w:t xml:space="preserve">Pub date: </w:t>
      </w:r>
      <w:r>
        <w:t>2026-05-13 14:50:20+00:00</w:t>
      </w:r>
      <w:r>
        <w:t xml:space="preserve">    </w:t>
      </w:r>
      <w:r>
        <w:rPr>
          <w:b/>
        </w:rPr>
        <w:t xml:space="preserve">DOI: </w:t>
      </w:r>
      <w:hyperlink r:id="rId946">
        <w:r>
          <w:rPr>
            <w:color w:val="1155CC"/>
            <w:u w:val="single"/>
          </w:rPr>
          <w:t>10.1002/anie.7574479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二氧化钛（TiO2）中的点缺陷是活化含氧化合物的最相关反应位点。在此，我们使用基于同步辐射的近环境压力X射线光电子能谱在0.1 mbar到2.6 mbar之间，从室温到700 K，原位探测高缺陷TiO2上的CO2活化。CO2活化后形成多种碳表面中间体。关键中间体的存在作为不同反应路径的指纹，即在各种气体环境中促进或抑制选定的反应步骤。在缺乏有效的H/OH供体的情况下，甲酰基、乙二醛、甲醛和卡宾路径同时被填充。然而，水性环境促进中间体形成并促进富氧有机分子，抑制沿卡宾路径的焦炭形成。超过≈550 K的热损失羟基触发这些贫氧路径的填充，同时碳中间体减少，趋向于无水条件下的化学反应。我们的结果强调了还原钛酸盐作为无贵金属的CO2活化催化剂，并展示了如何利用水来促进所需的产物分布。此处的发现将指导从高度还原的氧化物（例如黑色钛酸盐）开发可持续催化剂。</w:t>
      </w:r>
    </w:p>
    <w:p>
      <w:pPr>
        <w:spacing w:before="0" w:after="200" w:lineRule="auto" w:line="276"/>
      </w:pPr>
      <w:r>
        <w:rPr>
          <w:b/>
        </w:rPr>
        <w:t xml:space="preserve">Abstract (EN): </w:t>
      </w:r>
      <w:r>
        <w:t>Point defects in titanium dioxide (TiO</w:t>
      </w:r>
      <w:r>
        <w:rPr>
          <w:vertAlign w:val="subscript"/>
        </w:rPr>
        <w:t>2</w:t>
      </w:r>
      <w:r>
        <w:t>) are the most relevant reaction sites for the activation of oxygenates. Herein, we probe the activation of CO</w:t>
      </w:r>
      <w:r>
        <w:rPr>
          <w:vertAlign w:val="subscript"/>
        </w:rPr>
        <w:t>2</w:t>
      </w:r>
      <w:r>
        <w:t>on highly defective TiO</w:t>
      </w:r>
      <w:r>
        <w:rPr>
          <w:vertAlign w:val="subscript"/>
        </w:rPr>
        <w:t>2</w:t>
      </w:r>
      <w:r>
        <w:t>in situ using synchrotron‐based near‐ambient pressure X‐ray photoelectron spectroscopy between 0.1 mbar and 2.6 mbar from room temperature to 700 K. Multiple carbon surface intermediates form upon CO</w:t>
      </w:r>
      <w:r>
        <w:rPr>
          <w:vertAlign w:val="subscript"/>
        </w:rPr>
        <w:t>2</w:t>
      </w:r>
      <w:r>
        <w:t>activation. The presence of key intermediates acts as a fingerprint for the population of different reaction pathways, that is, promotion or suppression of selected reaction steps in various gas environments. In the absence of potent H/OH donors, the formyl, glyoxal, formaldehyde and carbene pathways are populated simultaneously. However, aqueous atmospheres boost intermediate formation and promote oxygen‐rich organic molecules, suppressing coke formation along the carbene pathway. Thermal loss of hydroxyls above ≈550 K triggers the population of such oxygen‐lean routes, along with a decrease in carbon intermediates, converging to the chemistry under water‐free conditions. Our results highlight reduced titania as a noble metal‐free CO</w:t>
      </w:r>
      <w:r>
        <w:rPr>
          <w:vertAlign w:val="subscript"/>
        </w:rPr>
        <w:t>2</w:t>
      </w:r>
      <w:r>
        <w:t>activation catalyst and demonstrate how water can be used to favor the desired product distribution. The findings herein will guide the development of sustainable catalysts from heavily reduced oxides, for example, black titania, for platform chemicals based on CO</w:t>
      </w:r>
      <w:r>
        <w:rPr>
          <w:vertAlign w:val="subscript"/>
        </w:rPr>
        <w:t>2</w:t>
      </w:r>
      <w:r>
        <w:t>as a building block.</w:t>
      </w:r>
    </w:p>
    <w:p>
      <w:pPr>
        <w:spacing w:before="120" w:after="120"/>
      </w:pPr>
      <w:r>
        <w:rPr>
          <w:sz w:val="18"/>
        </w:rPr>
        <w:t>——————————————————————————————————————————————————————————————————————</w:t>
      </w:r>
    </w:p>
    <w:p>
      <w:pPr>
        <w:spacing w:before="160" w:after="40" w:line="240" w:lineRule="auto"/>
      </w:pPr>
      <w:r>
        <w:rPr>
          <w:b/>
        </w:rPr>
        <w:t xml:space="preserve">[389] </w:t>
      </w:r>
      <w:hyperlink r:id="rId947">
        <w:r>
          <w:rPr>
            <w:color w:val="1155CC"/>
            <w:u w:val="single"/>
          </w:rPr>
          <w:t>N,N′‐Diaryldihydrophenazines中B–N共价键的简便融合：实现高效窄带电致发光和可控氧化还原活性</w:t>
        </w:r>
      </w:hyperlink>
    </w:p>
    <w:p>
      <w:pPr>
        <w:spacing w:before="0" w:after="80"/>
      </w:pPr>
      <w:r>
        <w:rPr>
          <w:i/>
          <w:sz w:val="20"/>
        </w:rPr>
        <w:t>EN: Facile B–N Covalent Bond Fusion in N,N′‐Diaryldihydrophenazines: Achieving Efficient Narrowband Electroluminescence and Controlled Redox Activity</w:t>
      </w:r>
    </w:p>
    <w:p>
      <w:pPr>
        <w:spacing w:before="0" w:after="120"/>
      </w:pPr>
      <w:r>
        <w:rPr>
          <w:b/>
        </w:rPr>
        <w:t xml:space="preserve">Source: </w:t>
      </w:r>
      <w:r>
        <w:t>Wiley: Angewandte Chemie International Edition: Table of Contents</w:t>
      </w:r>
      <w:r>
        <w:t xml:space="preserve">    </w:t>
      </w:r>
      <w:r>
        <w:rPr>
          <w:b/>
        </w:rPr>
        <w:t xml:space="preserve">Pub date: </w:t>
      </w:r>
      <w:r>
        <w:t>2026-05-13 14:51:58+00:00</w:t>
      </w:r>
      <w:r>
        <w:t xml:space="preserve">    </w:t>
      </w:r>
      <w:r>
        <w:rPr>
          <w:b/>
        </w:rPr>
        <w:t xml:space="preserve">DOI: </w:t>
      </w:r>
      <w:hyperlink r:id="rId948">
        <w:r>
          <w:rPr>
            <w:color w:val="1155CC"/>
            <w:u w:val="single"/>
          </w:rPr>
          <w:t>10.1002/anie.5900367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多个B–N单元共价融合到氧化还原活性多环芳烃（PAHs）中，提供了一种创建具有新功能的π扩展系统的强大策略，但仍然是一个艰巨的挑战。在此，我们报告了一种简便的、一锅的、无锂的NH导向硼化方法，用于构建一系列由两个或四个B–N共价键融合的5,10-二氢-5,10-二苯基苯并嗪（DPPA）衍生物。这种多重B–N锁定不仅可以增强分子刚性并抑制激发态结构弛豫，还可以深刻调节中心DPPA核心的电子结构和反芳香性。有趣的是，所得的四重融合系统（4BN-Ph）可以作为一种前所未有的窄带橙红色热激活延迟荧光（TADF）发射体，能够实现高效的电致发光，外量子效率高达31.2%，在595 nm的发射峰处全宽半高仅为32 nm。此外，4BN-Ph显示出有趣的氧化还原控制特性，因为逐步氧化会生成近红外吸收的开壳层自由基阳离子和闭壳层二阳离子。这项工作建立了一种将多个B–N共价键引入PAHs的模块化路线，具有卓越的光电和自旋电子特性。</w:t>
      </w:r>
    </w:p>
    <w:p>
      <w:pPr>
        <w:spacing w:before="0" w:after="200" w:lineRule="auto" w:line="276"/>
      </w:pPr>
      <w:r>
        <w:rPr>
          <w:b/>
        </w:rPr>
        <w:t xml:space="preserve">Abstract (EN): </w:t>
      </w:r>
      <w:r>
        <w:t>Covalently fusing multiple B–N units into redox‐active polycyclic aromatic hydrocarbons (PAHs) offers a powerful strategy for creating π‐extended systems with novel functionalities, but it remains a formidable challenge. Here, we report a facile, one‐pot, and lithium‐free NH‐directed borylation to construct a series of 5,10‐dihydro‐5,10‐diphenylphenazine (DPPA) derivatives fused by two or four B–N covalent bonds. Such a multiple B–N locking is found not only to enforce molecular rigidity and suppress excited‐state structural relaxation, but also to profoundly modulate the electronic structure and antiaromaticity of the central DPPA core. Interestingly, the resultant quadruply fused system (4BN‐Ph) can function as an unprecedented narrowband orange‐red thermally activated delayed fluorescence (TADF) emitter, enabling efficient electroluminescence with a record‐high external quantum efficiency of 31.2% and a notably small full‐width at half‐maximum of 32 nm at an emissive peak of 595 nm. Also, 4BN‐Ph displays intriguing redox‐controlled properties, since a stepwise oxidation generates near‐infrared‐absorbing open‐shell radical cations and closed‐shell dications. This work establishes a modular route to PAHs incorporating multiple B–N covalent bonds, with exceptional optoelectronic and spintronic properties.</w:t>
      </w:r>
    </w:p>
    <w:p>
      <w:pPr>
        <w:spacing w:before="120" w:after="120"/>
      </w:pPr>
      <w:r>
        <w:rPr>
          <w:sz w:val="18"/>
        </w:rPr>
        <w:t>——————————————————————————————————————————————————————————————————————</w:t>
      </w:r>
    </w:p>
    <w:p>
      <w:pPr>
        <w:spacing w:before="160" w:after="40" w:line="240" w:lineRule="auto"/>
      </w:pPr>
      <w:r>
        <w:rPr>
          <w:b/>
        </w:rPr>
        <w:t xml:space="preserve">[390] </w:t>
      </w:r>
      <w:hyperlink r:id="rId949">
        <w:r>
          <w:rPr>
            <w:color w:val="1155CC"/>
            <w:u w:val="single"/>
          </w:rPr>
          <w:t>聚乙烯作为C─O键断裂的氢源通过转移氢化</w:t>
        </w:r>
      </w:hyperlink>
    </w:p>
    <w:p>
      <w:pPr>
        <w:spacing w:before="0" w:after="80"/>
      </w:pPr>
      <w:r>
        <w:rPr>
          <w:i/>
          <w:sz w:val="20"/>
        </w:rPr>
        <w:t>EN: Polyethylene as a Hydrogen Source for C─O Bond Cleavage Via Transfer Hydrogenation</w:t>
      </w:r>
    </w:p>
    <w:p>
      <w:pPr>
        <w:spacing w:before="0" w:after="120"/>
      </w:pPr>
      <w:r>
        <w:rPr>
          <w:b/>
        </w:rPr>
        <w:t xml:space="preserve">Source: </w:t>
      </w:r>
      <w:r>
        <w:t>Wiley: Angewandte Chemie International Edition: Table of Contents</w:t>
      </w:r>
      <w:r>
        <w:t xml:space="preserve">    </w:t>
      </w:r>
      <w:r>
        <w:rPr>
          <w:b/>
        </w:rPr>
        <w:t xml:space="preserve">Pub date: </w:t>
      </w:r>
      <w:r>
        <w:t>2026-05-13 14:53:40+00:00</w:t>
      </w:r>
      <w:r>
        <w:t xml:space="preserve">    </w:t>
      </w:r>
      <w:r>
        <w:rPr>
          <w:b/>
        </w:rPr>
        <w:t xml:space="preserve">DOI: </w:t>
      </w:r>
      <w:hyperlink r:id="rId950">
        <w:r>
          <w:rPr>
            <w:color w:val="1155CC"/>
            <w:u w:val="single"/>
          </w:rPr>
          <w:t>10.1002/anie.8845899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氢化广泛用于工业化学品的合成，但其对加压H2的依赖带来了安全风险并增加了碳排放。转移氢化提供了一种有吸引力的替代方案，但仍受限于典型氢供体的高成本。聚乙烯（PE）是持久性塑料废物的主要贡献者，是一种富氢聚合物，在催化解构过程中能够释放氢。在此，我们提出使用PE作为廉价氢供体，用于选择性转移氢化C─O键。我们评估了代表性底物的转移氢化，包括甲醇和木质素模型化合物如苯甲醚和苯氧基乙基苯，并显示C─OH、Caryl─O─CH3和β‐O‐4键在酸性沸石下的温和条件（常压，&lt;200°C）下进行高效选择性断裂以获得所需产物。对照实验表明，沸石的酸位点激活PE以生成氢物种，同时极化底物的C─O键，从而实现C─O键转移氢解。这些发现揭示了PE与C─O键之间先前未被认识的氢转移途径，并为开发塑料废物和生物质的综合升级策略提供了基础。</w:t>
      </w:r>
    </w:p>
    <w:p>
      <w:pPr>
        <w:spacing w:before="0" w:after="200" w:lineRule="auto" w:line="276"/>
      </w:pPr>
      <w:r>
        <w:rPr>
          <w:b/>
        </w:rPr>
        <w:t xml:space="preserve">Abstract (EN): </w:t>
      </w:r>
      <w:r>
        <w:t>Hydrogenation is widely used in the synthesis of industrial chemicals, yet its reliance on pressurized H</w:t>
      </w:r>
      <w:r>
        <w:rPr>
          <w:vertAlign w:val="subscript"/>
        </w:rPr>
        <w:t>2</w:t>
      </w:r>
      <w:r>
        <w:t>poses safety risks and contributes to carbon emissions. Transfer hydrogenation offers an attractive alternative, but it remains constrained by the high cost of typical hydrogen donors. Polyethylene (PE), a major contributor to persistent plastic wastes, is a hydrogen‐rich polymer capable of releasing hydrogen during catalytic deconstruction. Here, we propose the use of PE as an inexpensive hydrogen donor for the selective transfer hydrogenation of C─O bonds. We evaluate the transfer hydrogenation of representative substrates, including methanol and lignin model compounds such as anisole and phenoxy ethylbenzene, and show that C─OH, C</w:t>
      </w:r>
      <w:r>
        <w:t xml:space="preserve"> </w:t>
      </w:r>
      <w:r>
        <w:t>aryl</w:t>
      </w:r>
      <w:r>
        <w:t xml:space="preserve"> </w:t>
      </w:r>
      <w:r>
        <w:t>─O─CH</w:t>
      </w:r>
      <w:r>
        <w:rPr>
          <w:vertAlign w:val="subscript"/>
        </w:rPr>
        <w:t>3</w:t>
      </w:r>
      <w:r>
        <w:t>, and β‐</w:t>
      </w:r>
      <w:r>
        <w:t xml:space="preserve"> </w:t>
      </w:r>
      <w:r>
        <w:t>O</w:t>
      </w:r>
      <w:r>
        <w:t xml:space="preserve"> </w:t>
      </w:r>
      <w:r>
        <w:t>‐4 linkages undergo efficient and selective cleavage to afford the desired products over acidic zeolites under mild conditions (ambient pressure, &amp;lt;200°C). Control experiments show that the acid sites of the zeolite activate PE to generate hydrogen species while simultaneously polarizing the C─O bonds of the substrates, thereby enabling C─O bond transfer hydrogenolysis. These findings uncover a previously unrecognized hydrogen‐transfer pathway between PE and C─O bonds, and provide a basis for developing integrated upcycling strategies for plastic waste and biomass.</w:t>
      </w:r>
    </w:p>
    <w:p>
      <w:pPr>
        <w:spacing w:before="120" w:after="120"/>
      </w:pPr>
      <w:r>
        <w:rPr>
          <w:sz w:val="18"/>
        </w:rPr>
        <w:t>——————————————————————————————————————————————————————————————————————</w:t>
      </w:r>
    </w:p>
    <w:p>
      <w:pPr>
        <w:spacing w:before="160" w:after="40" w:line="240" w:lineRule="auto"/>
      </w:pPr>
      <w:r>
        <w:rPr>
          <w:b/>
        </w:rPr>
        <w:t xml:space="preserve">[391] </w:t>
      </w:r>
      <w:hyperlink r:id="rId951">
        <w:r>
          <w:rPr>
            <w:color w:val="1155CC"/>
            <w:u w:val="single"/>
          </w:rPr>
          <w:t>使用片段和远程位点描述符的IDPi结构选择性关系研究</w:t>
        </w:r>
      </w:hyperlink>
    </w:p>
    <w:p>
      <w:pPr>
        <w:spacing w:before="0" w:after="80"/>
      </w:pPr>
      <w:r>
        <w:rPr>
          <w:i/>
          <w:sz w:val="20"/>
        </w:rPr>
        <w:t>EN: Structure–Selectivity Relationship Study of IDPi Using Fragment and Remote Site Descriptors</w:t>
      </w:r>
    </w:p>
    <w:p>
      <w:pPr>
        <w:spacing w:before="0" w:after="120"/>
      </w:pPr>
      <w:r>
        <w:rPr>
          <w:b/>
        </w:rPr>
        <w:t xml:space="preserve">Source: </w:t>
      </w:r>
      <w:r>
        <w:t>Wiley: Angewandte Chemie International Edition: Table of Contents</w:t>
      </w:r>
      <w:r>
        <w:t xml:space="preserve">    </w:t>
      </w:r>
      <w:r>
        <w:rPr>
          <w:b/>
        </w:rPr>
        <w:t xml:space="preserve">Pub date: </w:t>
      </w:r>
      <w:r>
        <w:t>2026-05-13 14:54:25+00:00</w:t>
      </w:r>
      <w:r>
        <w:t xml:space="preserve">    </w:t>
      </w:r>
      <w:r>
        <w:rPr>
          <w:b/>
        </w:rPr>
        <w:t xml:space="preserve">DOI: </w:t>
      </w:r>
      <w:hyperlink r:id="rId952">
        <w:r>
          <w:rPr>
            <w:color w:val="1155CC"/>
            <w:u w:val="single"/>
          </w:rPr>
          <w:t>10.1002/anie.8614821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亚磷酰亚胺（IDPi）作为一种强大的手性有机催化剂，具有由芳基取代的BINOL单元构建的特殊设计的空腔。尽管IDPi在不对称反应中的应用广泛，但其结构-选择性关系（SSR）的理解仍不充分。在本研究中，我们采用芳基片段描述符对IDPi催化的不对称反应进行统计建模，提供了一种经济高效的方法来探索IDPi的SSR。具体而言，定义了远程sp2碳原子的位点参数，以捕捉芳基取代基远端环的特征。IDPi催化的氰硅化反应的统计模型与IDPi远端环与底物之间的C-H···π和阳离子-π相互作用在立体控制中的关键作用的机制理解相一致。通过使用这些描述符定义和筛选IDPi催化剂的化学空间，成功识别出更具选择性的催化剂用于3-己酮的挑战性氰硅化反应。这项工作不仅丰富了我们对IDPi催化剂SSR的理解，还强调了芳基片段和远程位点参数作为IDPi统计建模的通用描述符的潜在应用。</w:t>
      </w:r>
    </w:p>
    <w:p>
      <w:pPr>
        <w:spacing w:before="0" w:after="200" w:lineRule="auto" w:line="276"/>
      </w:pPr>
      <w:r>
        <w:rPr>
          <w:b/>
        </w:rPr>
        <w:t xml:space="preserve">Abstract (EN): </w:t>
      </w:r>
      <w:r>
        <w:t>Imidodiphosphorimidate (IDPi) has emerged as a powerful chiral organocatalyst featuring a specially designed cavity constructed by aryl group‐substituted BINOL units. Despite extensive applications of IDPi in asymmetric reactions, the understanding of its structure–selectivity relationship (SSR) remains underdeveloped. In this study, we employed aryl fragment descriptors for the statistical modeling of IDPi‐catalyzed asymmetric reactions, offering a cost‐effective and efficient approach to explore the SSR of IDPi. Specifically, site parameters of remote</w:t>
      </w:r>
      <w:r>
        <w:t xml:space="preserve"> </w:t>
      </w:r>
      <w:r>
        <w:t>sp</w:t>
      </w:r>
      <w:r>
        <w:rPr>
          <w:vertAlign w:val="subscript"/>
        </w:rPr>
        <w:t>2</w:t>
      </w:r>
      <w:r>
        <w:t xml:space="preserve"> </w:t>
      </w:r>
      <w:r>
        <w:t>carbon atoms were defined to capture the features of the distal ring of the aryl substituents. The established statistical models of IDPi‐catalyzed cyanosilylation reactions align well with the mechanistic understandings of the crucial role of C‐H···π and cation‐π interactions between the distal ring of IDPi and substrate in stereo‐control. More selective catalysts for the challenging cyanosilylation reaction of 3‐hexanone were successfully identified by using these descriptors to define and screen the chemical space of IDPi catalysts. This work not only enriches our understanding of the SSR of IDPi catalysts but also highlights the potential application of aryl fragment and remote site parameters as universal descriptors for IDPi in statistical modeling.</w:t>
      </w:r>
    </w:p>
    <w:p>
      <w:pPr>
        <w:spacing w:before="120" w:after="120"/>
      </w:pPr>
      <w:r>
        <w:rPr>
          <w:sz w:val="18"/>
        </w:rPr>
        <w:t>——————————————————————————————————————————————————————————————————————</w:t>
      </w:r>
    </w:p>
    <w:p>
      <w:pPr>
        <w:spacing w:before="160" w:after="40" w:line="240" w:lineRule="auto"/>
      </w:pPr>
      <w:r>
        <w:rPr>
          <w:b/>
        </w:rPr>
        <w:t xml:space="preserve">[392] </w:t>
      </w:r>
      <w:hyperlink r:id="rId953">
        <w:r>
          <w:rPr>
            <w:color w:val="1155CC"/>
            <w:u w:val="single"/>
          </w:rPr>
          <w:t>一种仿生方法用于复杂环烷烃Taxpropellane的合成</w:t>
        </w:r>
      </w:hyperlink>
    </w:p>
    <w:p>
      <w:pPr>
        <w:spacing w:before="0" w:after="80"/>
      </w:pPr>
      <w:r>
        <w:rPr>
          <w:i/>
          <w:sz w:val="20"/>
        </w:rPr>
        <w:t>EN: A Bioinspired Approach toward the Complex Cyclotaxane Taxpropellane</w:t>
      </w:r>
    </w:p>
    <w:p>
      <w:pPr>
        <w:spacing w:before="0" w:after="120"/>
      </w:pPr>
      <w:r>
        <w:rPr>
          <w:b/>
        </w:rPr>
        <w:t xml:space="preserve">Source: </w:t>
      </w:r>
      <w:r>
        <w:t>Wiley: Angewandte Chemie International Edition: Table of Contents</w:t>
      </w:r>
      <w:r>
        <w:t xml:space="preserve">    </w:t>
      </w:r>
      <w:r>
        <w:rPr>
          <w:b/>
        </w:rPr>
        <w:t xml:space="preserve">Pub date: </w:t>
      </w:r>
      <w:r>
        <w:t>2026-05-13 14:58:56+00:00</w:t>
      </w:r>
      <w:r>
        <w:t xml:space="preserve">    </w:t>
      </w:r>
      <w:r>
        <w:rPr>
          <w:b/>
        </w:rPr>
        <w:t xml:space="preserve">DOI: </w:t>
      </w:r>
      <w:hyperlink r:id="rId954">
        <w:r>
          <w:rPr>
            <w:color w:val="1155CC"/>
            <w:u w:val="single"/>
          </w:rPr>
          <w:t>10.1002/anie.9475391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Taxpropellane 是紫杉烷家族中结构独特且复杂的成员。Taxpropellane 在经典的 [6‐8‐6] 紫杉烷骨架中嵌入了两个额外的跨环 C−C 键和一个半缩醛 C−O 键。因此，其具有 11 个连续立体中心的高度紧凑和笼状的六环骨架，包括五个全碳季碳中心，使其成为最复杂的紫杉烷二萜之一。在此，我们报告了一种生物启发的方法，用于高效半合成 C1,C7‐氧化的 taxpropellane 类似物</w:t>
      </w:r>
      <w:r>
        <w:rPr>
          <w:vertAlign w:val="subscript"/>
        </w:rPr>
        <w:t>18</w:t>
      </w:r>
      <w:r>
        <w:t>，从 10‐去乙酰紫杉醇 III 开始的 15 个步骤。关键转化包括：(1) 一种生物启发的单线态氧烯反应，用于制备具有空间位阻的 C3−C4 四取代双键的 [2+2] 环加成前体</w:t>
      </w:r>
      <w:r>
        <w:rPr>
          <w:vertAlign w:val="subscript"/>
        </w:rPr>
        <w:t>17</w:t>
      </w:r>
      <w:r>
        <w:t>；(2) 一种 [2+2] 环加成/半缩醛化级联反应，用于高效组装所需的两个跨环 C−C 键和一个半缩醛 C−O 键，允许在一步中将经典的 [6‐8‐6] 核转化为高度复杂的 [6‐4‐5‐5‐6‐5] taxpropellane 核。这项工作提供了对经典和非经典紫杉烷之间生物合成关系的更广泛见解。几种合成的 taxpropellane 类似物（例如，</w:t>
      </w:r>
      <w:r>
        <w:rPr>
          <w:vertAlign w:val="subscript"/>
        </w:rPr>
        <w:t>41</w:t>
      </w:r>
      <w:r>
        <w:t>和</w:t>
      </w:r>
      <w:r>
        <w:rPr>
          <w:vertAlign w:val="subscript"/>
        </w:rPr>
        <w:t>42</w:t>
      </w:r>
      <w:r>
        <w:t>）对不同癌细胞系显示出强效的细胞毒性。</w:t>
      </w:r>
    </w:p>
    <w:p>
      <w:pPr>
        <w:spacing w:before="0" w:after="200" w:lineRule="auto" w:line="276"/>
      </w:pPr>
      <w:r>
        <w:rPr>
          <w:b/>
        </w:rPr>
        <w:t xml:space="preserve">Abstract (EN): </w:t>
      </w:r>
      <w:r>
        <w:t>Taxpropellane is a structurally unique and complex member of the taxane family. Taxpropellane features two additional transannular C−C bonds and a hemiketal C−O bond embedded in the classical [6‐8‐6] taxane skeleton. Consequently, its sterically highly compact and caged hexacyclic scaffold with 11 contiguous stereocenters, including five all‐carbon quaternary centers, renders it one of the most complex taxane diterpenes. Here we report a bioinspired approach for the efficient semisynthesis of a C1,C7‐oxygenated taxpropellane analogue</w:t>
      </w:r>
      <w:r>
        <w:rPr>
          <w:vertAlign w:val="subscript"/>
        </w:rPr>
        <w:t>18</w:t>
      </w:r>
      <w:r>
        <w:t>in 15 steps from 10‐deacetylbaccatin III. Key transformations included: (1) a bioinspired singlet oxygen ene reaction to prepare the [2+2] cycloaddition precursor</w:t>
      </w:r>
      <w:r>
        <w:rPr>
          <w:vertAlign w:val="subscript"/>
        </w:rPr>
        <w:t>17</w:t>
      </w:r>
      <w:r>
        <w:t>with a sterically hindered C3−C4 tetrasubstituted double bond; (2) a [2+2] cycloaddition/hemiketalization cascade reaction to efficiently assemble the desired two transannular C−C bonds and a hemiketal C−O bond, allowing conversion of the classical [6‐8‐6] core to the highly intricate [6‐4‐5‐5‐6‐5] taxpropellane core in a single step. This work offered broader insight into the biosynthetic relationships between classical and nonclassical taxanes. Several synthetic taxpropellane analogues (e.g.,</w:t>
      </w:r>
      <w:r>
        <w:rPr>
          <w:vertAlign w:val="subscript"/>
        </w:rPr>
        <w:t>41</w:t>
      </w:r>
      <w:r>
        <w:t>and</w:t>
      </w:r>
      <w:r>
        <w:rPr>
          <w:vertAlign w:val="subscript"/>
        </w:rPr>
        <w:t>42</w:t>
      </w:r>
      <w:r>
        <w:t>) displayed potent cytotoxicity against different cancer cell lines.</w:t>
      </w:r>
    </w:p>
    <w:p>
      <w:pPr>
        <w:spacing w:before="120" w:after="120"/>
      </w:pPr>
      <w:r>
        <w:rPr>
          <w:sz w:val="18"/>
        </w:rPr>
        <w:t>——————————————————————————————————————————————————————————————————————</w:t>
      </w:r>
    </w:p>
    <w:p>
      <w:pPr>
        <w:spacing w:before="160" w:after="40" w:line="240" w:lineRule="auto"/>
      </w:pPr>
      <w:r>
        <w:rPr>
          <w:b/>
        </w:rPr>
        <w:t xml:space="preserve">[393] </w:t>
      </w:r>
      <w:hyperlink r:id="rId955">
        <w:r>
          <w:rPr>
            <w:color w:val="1155CC"/>
            <w:u w:val="single"/>
          </w:rPr>
          <w:t>解锁催化剂活化作为交叉偶联反应的关键瓶颈：[Pd(1‐MeNAP)TFA]2预催化剂实现的弱亲核试剂的室温偶联</w:t>
        </w:r>
      </w:hyperlink>
    </w:p>
    <w:p>
      <w:pPr>
        <w:spacing w:before="0" w:after="80"/>
      </w:pPr>
      <w:r>
        <w:rPr>
          <w:i/>
          <w:sz w:val="20"/>
        </w:rPr>
        <w:t>EN: Unlocking Catalyst Activation as a Critical Bottleneck in Cross‐Coupling Reactions: Room‐Temperature Couplings of Weak Nucleophiles Enabled by [Pd(1‐MeNAP)TFA]2 Precatalysts</w:t>
      </w:r>
    </w:p>
    <w:p>
      <w:pPr>
        <w:spacing w:before="0" w:after="120"/>
      </w:pPr>
      <w:r>
        <w:rPr>
          <w:b/>
        </w:rPr>
        <w:t xml:space="preserve">Source: </w:t>
      </w:r>
      <w:r>
        <w:t>Wiley: Angewandte Chemie International Edition: Table of Contents</w:t>
      </w:r>
      <w:r>
        <w:t xml:space="preserve">    </w:t>
      </w:r>
      <w:r>
        <w:rPr>
          <w:b/>
        </w:rPr>
        <w:t xml:space="preserve">Pub date: </w:t>
      </w:r>
      <w:r>
        <w:t>2026-05-13 14:59:02+00:00</w:t>
      </w:r>
      <w:r>
        <w:t xml:space="preserve">    </w:t>
      </w:r>
      <w:r>
        <w:rPr>
          <w:b/>
        </w:rPr>
        <w:t xml:space="preserve">DOI: </w:t>
      </w:r>
      <w:hyperlink r:id="rId956">
        <w:r>
          <w:rPr>
            <w:color w:val="1155CC"/>
            <w:u w:val="single"/>
          </w:rPr>
          <w:t>10.1002/anie.3359287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三氟乙酸盐桥接的甲基萘基配合物 [Pd(1‐MeNAP)TFA]</w:t>
      </w:r>
      <w:r>
        <w:rPr>
          <w:vertAlign w:val="subscript"/>
        </w:rPr>
        <w:t>2</w:t>
      </w:r>
      <w:r>
        <w:t>被引入为一种台式稳定、高溶解度的钯源，能够始终如一地提供卓越的催化活性。它在几分钟内与即使是空间位阻最大的配体反应，形成单配体钯配合物，并在暴露于包括弱的非还原性</w:t>
      </w:r>
      <w:r>
        <w:t xml:space="preserve"> </w:t>
      </w:r>
      <w:r>
        <w:t>N</w:t>
      </w:r>
      <w:r>
        <w:t xml:space="preserve"> </w:t>
      </w:r>
      <w:r>
        <w:t>‐亲核试剂在内的亲核试剂时，迅速生成活性 Pd(0) 物种，同时释放惰性萘衍生物。在 15 种代表性转化中，从 [Pd(1‐MeNAP)TFA]</w:t>
      </w:r>
      <w:r>
        <w:rPr>
          <w:vertAlign w:val="subscript"/>
        </w:rPr>
        <w:t>2</w:t>
      </w:r>
      <w:r>
        <w:t>原位生成的催化剂能够显著降低反应温度，通常降低 80°C，同时保留既定的配体和反应条件，从而为现有的反应性限制提供了一种即插即用的解决方案。因此，酰胺、氨基甲酸酯、磺酰胺、脒、脲、环丙胺和三氟乙胺的芳基化可以在室温下进行，具有显著改善的官能团耐受性和与敏感、配位杂环的兼容性。机制研究表明，催化剂活化而非催化周转一直是许多交叉偶联反应的主要瓶颈。</w:t>
      </w:r>
    </w:p>
    <w:p>
      <w:pPr>
        <w:spacing w:before="0" w:after="200" w:lineRule="auto" w:line="276"/>
      </w:pPr>
      <w:r>
        <w:rPr>
          <w:b/>
        </w:rPr>
        <w:t xml:space="preserve">Abstract (EN): </w:t>
      </w:r>
      <w:r>
        <w:t>The trifluoroacetate‐bridged methylnaphthyl complex [Pd(1‐MeNAP)TFA]</w:t>
      </w:r>
      <w:r>
        <w:rPr>
          <w:vertAlign w:val="subscript"/>
        </w:rPr>
        <w:t>2</w:t>
      </w:r>
      <w:r>
        <w:t>is introduced as a bench‐stable, highly soluble palladium source that consistently delivers exceptional catalytic activity. It reacts within minutes with even the most sterically demanding ligands to form monoligated Pd complexes and, upon exposure to nucleophiles, including weak, non‐reducing</w:t>
      </w:r>
      <w:r>
        <w:t xml:space="preserve"> </w:t>
      </w:r>
      <w:r>
        <w:t>N</w:t>
      </w:r>
      <w:r>
        <w:t xml:space="preserve"> </w:t>
      </w:r>
      <w:r>
        <w:t>‐nucleophiles, rapidly generates reactive Pd(0) species with the release of inert naphthalene derivatives. Across 15 representative transformations, catalysts generated in situ from [Pd(1‐MeNAP)TFA]</w:t>
      </w:r>
      <w:r>
        <w:rPr>
          <w:vertAlign w:val="subscript"/>
        </w:rPr>
        <w:t>2</w:t>
      </w:r>
      <w:r>
        <w:t>enable substantial reductions in reaction temperature, often by 80°C, while preserving established ligands and reaction conditions, thereby providing a drop‐in solution to existing reactivity limitations. As a result, arylations of amides, carbamates, sulfonamides, amidines, ureas, cyclopropylamines, and trifluoroethylamines can be performed at room‐temperature with markedly improved functional‐group tolerance and compatibility with sensitive, coordinating heterocycles. Mechanistic studies reveal that catalyst activation, rather than catalytic turnover, has been the principal bottleneck in many cross‐coupling reactions.</w:t>
      </w:r>
    </w:p>
    <w:p>
      <w:pPr>
        <w:spacing w:before="120" w:after="120"/>
      </w:pPr>
      <w:r>
        <w:rPr>
          <w:sz w:val="18"/>
        </w:rPr>
        <w:t>——————————————————————————————————————————————————————————————————————</w:t>
      </w:r>
    </w:p>
    <w:p>
      <w:pPr>
        <w:spacing w:before="160" w:after="40" w:line="240" w:lineRule="auto"/>
      </w:pPr>
      <w:r>
        <w:rPr>
          <w:b/>
        </w:rPr>
        <w:t xml:space="preserve">[394] </w:t>
      </w:r>
      <w:hyperlink r:id="rId957">
        <w:r>
          <w:rPr>
            <w:color w:val="1155CC"/>
            <w:u w:val="single"/>
          </w:rPr>
          <w:t>[ASAP] 胶体量子点的相分离由Marangoni涡流驱动用于多组分微制造</w:t>
        </w:r>
      </w:hyperlink>
    </w:p>
    <w:p>
      <w:pPr>
        <w:spacing w:before="0" w:after="80"/>
      </w:pPr>
      <w:r>
        <w:rPr>
          <w:i/>
          <w:sz w:val="20"/>
        </w:rPr>
        <w:t>EN: [ASAP] Phase Segregation of Colloidal Quantum Dots Driven by Marangoni Vortex Flow for Multi-Component Microfabrication</w:t>
      </w:r>
    </w:p>
    <w:p>
      <w:pPr>
        <w:spacing w:before="0" w:after="120"/>
      </w:pPr>
      <w:r>
        <w:rPr>
          <w:b/>
        </w:rPr>
        <w:t xml:space="preserve">Source: </w:t>
      </w:r>
      <w:r>
        <w:t>Journal of the American Chemical Society: Latest Articles (ACS Publications)</w:t>
      </w:r>
      <w:r>
        <w:t xml:space="preserve">    </w:t>
      </w:r>
      <w:r>
        <w:rPr>
          <w:b/>
        </w:rPr>
        <w:t xml:space="preserve">Pub date: </w:t>
      </w:r>
      <w:r>
        <w:t>2026-05-13 15:08:41+00:00</w:t>
      </w:r>
      <w:r>
        <w:t xml:space="preserve">    </w:t>
      </w:r>
      <w:r>
        <w:rPr>
          <w:b/>
        </w:rPr>
        <w:t xml:space="preserve">DOI: </w:t>
      </w:r>
      <w:hyperlink r:id="rId958">
        <w:r>
          <w:rPr>
            <w:color w:val="1155CC"/>
            <w:u w:val="single"/>
          </w:rPr>
          <w:t>10.1021/jacs.6c05529</w:t>
        </w:r>
      </w:hyperlink>
    </w:p>
    <w:p>
      <w:pPr>
        <w:spacing w:before="0" w:after="120"/>
      </w:pPr>
      <w:r>
        <w:rPr>
          <w:b/>
        </w:rPr>
        <w:t xml:space="preserve">Notes: </w:t>
      </w:r>
      <w:r>
        <w:t>abstract_source=openalex</w:t>
      </w:r>
    </w:p>
    <w:p>
      <w:pPr>
        <w:spacing w:before="0" w:after="80" w:lineRule="auto" w:line="276"/>
      </w:pPr>
      <w:r>
        <w:rPr>
          <w:b/>
        </w:rPr>
        <w:t xml:space="preserve">摘要（ZH）: </w:t>
      </w:r>
      <w:r>
        <w:t>多种材料的确定性集成是半导体行业的基石，传统上通过复杂的微加工技术实现，如光刻、转移和晶圆键合。受生物系统精确形成复杂细胞内结构的启发，自组装提供了一种高效的自下而上的单片集成途径。然而，挑战在于控制微加工固有的混乱和受限流体环境中多种组分的传输，这通常会导致混合相和结构无序。在此，我们利用具有马兰戈尼涡流的毛细桥来按大小引导胶体量子点（CQDs）的分离，从而实现多组分微结构的高效自组装。我们系统中的流体流动建立了一个受控的浓度梯度。该梯度驱动较大 CQDs 远离蒸发前沿的扩散泳，诱导出“前小后大”的分离。我们平台的多功能性和稳健性通过具有可定制形态和多样成分的各种相分离微结构得以展示。为了展示其实用应用，我们利用该技术在单个光子电路中集成双波长激光器，实现了用于光通信的芯片上相干光传播。我们的工作引入了一种多组分微加工的新方法。</w:t>
      </w:r>
    </w:p>
    <w:p>
      <w:pPr>
        <w:spacing w:before="0" w:after="200" w:lineRule="auto" w:line="276"/>
      </w:pPr>
      <w:r>
        <w:rPr>
          <w:b/>
        </w:rPr>
        <w:t xml:space="preserve">Abstract (EN): </w:t>
      </w:r>
      <w:r>
        <w:t>The deterministic integration of multiple materials is the cornerstone of the semiconductor industry, traditionally accomplished through complex microfabrication techniques, such as lithography, transfer, and wafer bonding. Inspired by biological systems that precisely form intricate intracellular structures, self-assembly offers an efficient, bottom-up pathway for monolithic integration. The challenge, however, lies in controlling the transport of multiple components within the inherently chaotic and confined fluidic environments of microfabrication, which typically induces mixed phases and structural disorder. Herein, we utilize capillary bridges with Marangoni vortex flow to guide the segregation of colloidal quantum dots (CQDs) by size, enabling the efficient self-assembly of multicomponent microstructures. The fluid flow in our system establishes a regulated concentration gradient. This gradient drives the diffusiophoresis of larger CQDs away from the evaporation front, inducing a "small-at-front" segregation. The versatility and robustness of our platform are demonstrated by the various phase-segregated microstructures with customizable morphologies and diverse compositions. To showcase its practical application, we leverage this technique to integrate dual-wavelength lasers within a single photonic circuit, achieving the on-chip propagation of coherent light for optical communications. Our work introduces a novel approach to multicomponent microfabrication.</w:t>
      </w:r>
    </w:p>
    <w:p>
      <w:pPr>
        <w:spacing w:before="120" w:after="120"/>
      </w:pPr>
      <w:r>
        <w:rPr>
          <w:sz w:val="18"/>
        </w:rPr>
        <w:t>——————————————————————————————————————————————————————————————————————</w:t>
      </w:r>
    </w:p>
    <w:p>
      <w:pPr>
        <w:spacing w:before="160" w:after="40" w:line="240" w:lineRule="auto"/>
      </w:pPr>
      <w:r>
        <w:rPr>
          <w:b/>
        </w:rPr>
        <w:t xml:space="preserve">[395] </w:t>
      </w:r>
      <w:hyperlink r:id="rId959">
        <w:r>
          <w:rPr>
            <w:color w:val="1155CC"/>
            <w:u w:val="single"/>
          </w:rPr>
          <w:t>[ASAP] 通过原子层沉积启用的模型系统揭示固态合成中的协同双元素掺杂机制</w:t>
        </w:r>
      </w:hyperlink>
    </w:p>
    <w:p>
      <w:pPr>
        <w:spacing w:before="0" w:after="80"/>
      </w:pPr>
      <w:r>
        <w:rPr>
          <w:i/>
          <w:sz w:val="20"/>
        </w:rPr>
        <w:t>EN: [ASAP] Unraveling Synergistic Dual-Element Doping Mechanisms in Solid-State Synthesis via Atomic Layer Deposition-Enabled Model Systems</w:t>
      </w:r>
    </w:p>
    <w:p>
      <w:pPr>
        <w:spacing w:before="0" w:after="120"/>
      </w:pPr>
      <w:r>
        <w:rPr>
          <w:b/>
        </w:rPr>
        <w:t xml:space="preserve">Source: </w:t>
      </w:r>
      <w:r>
        <w:t>Journal of the American Chemical Society: Latest Articles (ACS Publications)</w:t>
      </w:r>
      <w:r>
        <w:t xml:space="preserve">    </w:t>
      </w:r>
      <w:r>
        <w:rPr>
          <w:b/>
        </w:rPr>
        <w:t xml:space="preserve">Pub date: </w:t>
      </w:r>
      <w:r>
        <w:t>2026-05-13 17:11:06+00:00</w:t>
      </w:r>
      <w:r>
        <w:t xml:space="preserve">    </w:t>
      </w:r>
      <w:r>
        <w:rPr>
          <w:b/>
        </w:rPr>
        <w:t xml:space="preserve">DOI: </w:t>
      </w:r>
      <w:hyperlink r:id="rId960">
        <w:r>
          <w:rPr>
            <w:color w:val="1155CC"/>
            <w:u w:val="single"/>
          </w:rPr>
          <w:t>10.1021/jacs.5c23086</w:t>
        </w:r>
      </w:hyperlink>
    </w:p>
    <w:p>
      <w:pPr>
        <w:spacing w:before="0" w:after="120"/>
      </w:pPr>
      <w:r>
        <w:rPr>
          <w:b/>
        </w:rPr>
        <w:t xml:space="preserve">Notes: </w:t>
      </w:r>
      <w:r>
        <w:t>abstract_source=pubmed</w:t>
      </w:r>
    </w:p>
    <w:p>
      <w:pPr>
        <w:spacing w:before="0" w:after="80" w:lineRule="auto" w:line="276"/>
      </w:pPr>
      <w:r>
        <w:rPr>
          <w:b/>
        </w:rPr>
        <w:t xml:space="preserve">摘要（ZH）: </w:t>
      </w:r>
      <w:r>
        <w:t>通过高温固态合成引入掺杂剂是一种广泛采用的策略，以增强无机材料的电子和机械性能。然而，掺杂剂的固有分布和掺入机制常常被传统方法固有的不均匀混合引起的局部副反应所掩盖。在此，我们提出了一种基于原子层沉积（ALD）顺序涂覆目标掺杂元素氧化物到基材表面的模型系统，能够精确研究固有的掺杂行为和掺杂剂-掺杂剂相互作用。这种基于ALD的方法确保了掺杂剂和基材之间的均匀和可控反应，有效消除了不需要的副产物。通过顺序沉积Al2O3和WO3到Ni0.9Co0.05Mn0.05(OH)2前驱体上，然后与LiOH·H2O煅烧，我们揭示了Al和W之间的独特协同效应：虽然W单独倾向于在颗粒表面聚集，但Al的存在促进了其晶格掺入。值得注意的是，晶格掺入的W显著增强了速率能力和高电压循环稳定性，这归因于主晶格内强大的W-O键合。这个基于ALD的模型系统为阐明固态合成中基本的掺杂机制提供了一个多功能且广泛适用的平台，提供了对复杂多掺杂剂相互作用的关键见解。</w:t>
      </w:r>
    </w:p>
    <w:p>
      <w:pPr>
        <w:spacing w:before="0" w:after="200" w:lineRule="auto" w:line="276"/>
      </w:pPr>
      <w:r>
        <w:rPr>
          <w:b/>
        </w:rPr>
        <w:t xml:space="preserve">Abstract (EN): </w:t>
      </w:r>
      <w:r>
        <w:t>Introducing dopants via high-temperature solid-state synthesis is a widely employed strategy to enhance the electronic and mechanical properties of inorganic materials. However, the intrinsic distribution and incorporation mechanisms of dopants are often obscured by localized side reactions arising from the inhomogeneous mixing inherent to conventional methods. Here, we present a model system based on sequentially coating the oxides of target dopant elements onto substrate surfaces using atomic layer deposition (ALD), enabling precise investigations of intrinsic doping behaviors and dopant-dopant interactions. This ALD-based methodology ensures uniform and controlled reactions between dopants and substrates, effectively eliminating undesired side products. By sequentially depositing Al2O3 and WO3 onto a Ni0.9Co0.05Mn0.05(OH)2 precursor followed by calcination with LiOH·H2O, we reveal a unique synergistic effect between Al and W: whereas W alone tends to segregate at the particle surface, the presence of Al facilitates its lattice incorporation. Notably, lattice-incorporated W significantly enhances rate capability and high-voltage cycling stability, attributed to robust W-O bonding within the host lattice. This ALD-based model system provides a versatile and broadly applicable platform for elucidating fundamental doping mechanisms in solid-state synthesis, offering critical insights into complex multidopant interactions.</w:t>
      </w:r>
    </w:p>
    <w:p>
      <w:pPr>
        <w:spacing w:before="120" w:after="120"/>
      </w:pPr>
      <w:r>
        <w:rPr>
          <w:sz w:val="18"/>
        </w:rPr>
        <w:t>——————————————————————————————————————————————————————————————————————</w:t>
      </w:r>
    </w:p>
    <w:p>
      <w:pPr>
        <w:spacing w:before="160" w:after="40" w:line="240" w:lineRule="auto"/>
      </w:pPr>
      <w:r>
        <w:rPr>
          <w:b/>
        </w:rPr>
        <w:t xml:space="preserve">[396] </w:t>
      </w:r>
      <w:hyperlink r:id="rId961">
        <w:r>
          <w:rPr>
            <w:color w:val="1155CC"/>
            <w:u w:val="single"/>
          </w:rPr>
          <w:t>[ASAP] 用于非常规计算应用的自振荡类神经元设备</w:t>
        </w:r>
      </w:hyperlink>
    </w:p>
    <w:p>
      <w:pPr>
        <w:spacing w:before="0" w:after="80"/>
      </w:pPr>
      <w:r>
        <w:rPr>
          <w:i/>
          <w:sz w:val="20"/>
        </w:rPr>
        <w:t>EN: [ASAP] Self-Oscillatory Neuron-like Devices for Unconventional Computing Applications</w:t>
      </w:r>
    </w:p>
    <w:p>
      <w:pPr>
        <w:spacing w:before="0" w:after="120"/>
      </w:pPr>
      <w:r>
        <w:rPr>
          <w:b/>
        </w:rPr>
        <w:t xml:space="preserve">Source: </w:t>
      </w:r>
      <w:r>
        <w:t>Chemical Reviews: Latest Articles (ACS Publications)</w:t>
      </w:r>
      <w:r>
        <w:t xml:space="preserve">    </w:t>
      </w:r>
      <w:r>
        <w:rPr>
          <w:b/>
        </w:rPr>
        <w:t xml:space="preserve">Pub date: </w:t>
      </w:r>
      <w:r>
        <w:t>2026-05-13 17:29:43+00:00</w:t>
      </w:r>
      <w:r>
        <w:t xml:space="preserve">    </w:t>
      </w:r>
      <w:r>
        <w:rPr>
          <w:b/>
        </w:rPr>
        <w:t xml:space="preserve">DOI: </w:t>
      </w:r>
      <w:hyperlink r:id="rId962">
        <w:r>
          <w:rPr>
            <w:color w:val="1155CC"/>
            <w:u w:val="single"/>
          </w:rPr>
          <w:t>10.1021/acs.chemrev.5c00878</w:t>
        </w:r>
      </w:hyperlink>
    </w:p>
    <w:p>
      <w:pPr>
        <w:spacing w:before="0" w:after="120"/>
      </w:pPr>
      <w:r>
        <w:rPr>
          <w:b/>
        </w:rPr>
        <w:t xml:space="preserve">Notes: </w:t>
      </w:r>
      <w:r>
        <w:t>abstract_source=pubmed</w:t>
      </w:r>
    </w:p>
    <w:p>
      <w:pPr>
        <w:spacing w:before="0" w:after="80" w:lineRule="auto" w:line="276"/>
      </w:pPr>
      <w:r>
        <w:rPr>
          <w:b/>
        </w:rPr>
        <w:t xml:space="preserve">摘要（ZH）: </w:t>
      </w:r>
      <w:r>
        <w:t>自维持振荡器正成为神经形态电子学的关键物理元件，提供了一种硬件途径来模拟生物神经元的尖峰动态。由于传统计算架构在功耗和并行处理方面存在局限性，振荡器件提供了一种方法来再现大脑的显著效率，以最小的能量消耗执行自适应和非线性任务。本综述统一综合了在物理学、化学和电子工程中开发的多种自振荡系统家族。我们根据其操作机制对振荡器进行分类，区分由负微分电阻（NDR）不稳定性驱动的振荡器与由主动反馈放大器维持的振荡器。它们的共同行为在一个非线性动力学框架中被描述，该框架将材料、电子响应和相空间中极限环的出现联系起来。我们讨论了这些设备——从电化学和忆阻振荡器到基于晶体管和混合架构——如何建模、测量和耦合以形成复杂网络。特别关注的是活性元件和阻抗特征的实验识别，这揭示了自振荡。通过桥接器件物理学、非线性动力学和神经形态计算，本综述概述了设计可扩展、节能振荡系统的连贯基础，将化学和电子振荡器的物理原理与大脑的计算逻辑连接起来。</w:t>
      </w:r>
    </w:p>
    <w:p>
      <w:pPr>
        <w:spacing w:before="0" w:after="200" w:lineRule="auto" w:line="276"/>
      </w:pPr>
      <w:r>
        <w:rPr>
          <w:b/>
        </w:rPr>
        <w:t xml:space="preserve">Abstract (EN): </w:t>
      </w:r>
      <w:r>
        <w:t>Self-sustained oscillators are emerging as key physical elements for neuromorphic electronics, providing a hardware route to emulate the spiking dynamics of biological neurons. As conventional computing architectures struggle with power dissipation and parallel processing limitations, oscillatory devices offer a means to reproduce the brain's remarkable efficiency-performing adaptive and nonlinear tasks with minimal energy consumption. This review provides a unified synthesis of the diverse families of self-oscillating systems developed across physics, chemistry, and electronic engineering. We classify oscillators according to their operational mechanisms, distinguishing those driven by negative differential resistance (NDR) instabilities from those sustained by active-feedback amplifiers. Their common behavior is described within a nonlinear dynamical framework that links materials, electronic response, and the emergence of limit cycles in phase space. We discuss how these devices-ranging from electrochemical and memristive oscillators to transistor-based and hybrid architectures-can be modeled, measured, and coupled to form complex networks. Particular attention is given to the experimental identification of active elements and impedance signatures that reveal self-oscillation. By bridging device physics, nonlinear dynamics, and neuromorphic computing, this review outlines a coherent foundation for designing scalable, energy-efficient oscillatory systems that connect the physical principles of chemical and electronic oscillators with the computational logic of the brain.</w:t>
      </w:r>
    </w:p>
    <w:p>
      <w:pPr>
        <w:spacing w:before="120" w:after="120"/>
      </w:pPr>
      <w:r>
        <w:rPr>
          <w:sz w:val="18"/>
        </w:rPr>
        <w:t>——————————————————————————————————————————————————————————————————————</w:t>
      </w:r>
    </w:p>
    <w:p>
      <w:pPr>
        <w:spacing w:before="160" w:after="40" w:line="240" w:lineRule="auto"/>
      </w:pPr>
      <w:r>
        <w:rPr>
          <w:b/>
        </w:rPr>
        <w:t xml:space="preserve">[397] </w:t>
      </w:r>
      <w:hyperlink r:id="rId963">
        <w:r>
          <w:rPr>
            <w:color w:val="1155CC"/>
            <w:u w:val="single"/>
          </w:rPr>
          <w:t>[ASAP] 综合化学蛋白质组学揭示选择性HMG-CoA合酶1抑制剂用于靶向癌症中的甲羟戊酸代谢</w:t>
        </w:r>
      </w:hyperlink>
    </w:p>
    <w:p>
      <w:pPr>
        <w:spacing w:before="0" w:after="80"/>
      </w:pPr>
      <w:r>
        <w:rPr>
          <w:i/>
          <w:sz w:val="20"/>
        </w:rPr>
        <w:t>EN: [ASAP] Comprehensive Chemoproteomics Unveils Selective HMG-CoA Synthase 1 Inhibitors for Targeting Mevalonate Metabolism in Cancer</w:t>
      </w:r>
    </w:p>
    <w:p>
      <w:pPr>
        <w:spacing w:before="0" w:after="120"/>
      </w:pPr>
      <w:r>
        <w:rPr>
          <w:b/>
        </w:rPr>
        <w:t xml:space="preserve">Source: </w:t>
      </w:r>
      <w:r>
        <w:t>Journal of the American Chemical Society: Latest Articles (ACS Publications)</w:t>
      </w:r>
      <w:r>
        <w:t xml:space="preserve">    </w:t>
      </w:r>
      <w:r>
        <w:rPr>
          <w:b/>
        </w:rPr>
        <w:t xml:space="preserve">Pub date: </w:t>
      </w:r>
      <w:r>
        <w:t>2026-05-13 17:55:47+00:00</w:t>
      </w:r>
      <w:r>
        <w:t xml:space="preserve">    </w:t>
      </w:r>
      <w:r>
        <w:rPr>
          <w:b/>
        </w:rPr>
        <w:t xml:space="preserve">DOI: </w:t>
      </w:r>
      <w:hyperlink r:id="rId964">
        <w:r>
          <w:rPr>
            <w:color w:val="1155CC"/>
            <w:u w:val="single"/>
          </w:rPr>
          <w:t>10.1021/jacs.6c02556</w:t>
        </w:r>
      </w:hyperlink>
    </w:p>
    <w:p>
      <w:pPr>
        <w:spacing w:before="0" w:after="120"/>
      </w:pPr>
      <w:r>
        <w:rPr>
          <w:b/>
        </w:rPr>
        <w:t xml:space="preserve">Notes: </w:t>
      </w:r>
      <w:r>
        <w:t>abstract_source=pubmed</w:t>
      </w:r>
    </w:p>
    <w:p>
      <w:pPr>
        <w:spacing w:before="0" w:after="80" w:lineRule="auto" w:line="276"/>
      </w:pPr>
      <w:r>
        <w:rPr>
          <w:b/>
        </w:rPr>
        <w:t xml:space="preserve">摘要（ZH）: </w:t>
      </w:r>
      <w:r>
        <w:t>全面的靶标验证仍然是化学探针开发中的一个重要瓶颈，特别是对于共价抑制剂，非靶向反应性可能导致毒性。使用HMG-CoA合酶1（HMGCS1），一种在甲羟戊酸途径中未被充分研究的门控酶，我们展示了如何整合正交化学蛋白质组学方法可以提供关于共价抑制剂的靶向和非靶向特征的无偏见、全面的见解。我们的研究特别强调了传统富集蛋白质组学在区分高占有率结合物与低占有率结合物方面的局限性，并通过一种补充的清除蛋白质组学方法提出了解决方案，该方法分析去富集的部分，提供蛋白质组中的靶标结合比率。该框架促进了CNP7的开发，这是一种氰基吡咯烷，通过全面的化学蛋白质组学评估，以显著选择性共价修饰HMGCS1的催化半胱氨酸。2.29 Å的冷冻电镜结构揭示了CNP7如何在HMGCS1的疏水口袋中结合催化半胱氨酸。CNP7处理在4小时内降低HMG-CoA水平并诱导全球蛋白质去异戊二烯化。值得注意的是，CNP7表现出与他汀类药物不同的细胞系特异性抗癌活性模式，表明可能存在途径节点特异性脆弱性。总之，我们的研究提供了有价值的化学工具来调节HMGCS1活性，并提出了一个在化学生物学和药物开发中严格表征共价抑制剂的框架。</w:t>
      </w:r>
    </w:p>
    <w:p>
      <w:pPr>
        <w:spacing w:before="0" w:after="200" w:lineRule="auto" w:line="276"/>
      </w:pPr>
      <w:r>
        <w:rPr>
          <w:b/>
        </w:rPr>
        <w:t xml:space="preserve">Abstract (EN): </w:t>
      </w:r>
      <w:r>
        <w:t>Comprehensive target validation remains a significant bottleneck in chemical probe development, particularly for covalent inhibitors, where off-target reactivity can lead to toxicity. Using HMG-CoA synthase 1 (HMGCS1), an underexplored gatekeeper enzyme in the mevalonate pathway, we demonstrate how integrating orthogonal chemoproteomic methods can provide unbiased, comprehensive insights into the on- and off-target profiles of covalent inhibitors. Our study specifically highlights the limitations of traditional enrichment proteomics in distinguishing high-occupancy binders from low-occupancy binders, and it proposes a solution through a complementary scavenging proteomics approach that analyzes de-enriched fractions, providing target engagement ratios across the proteome. This framework facilitated the development of CNP7, a cyanopyrrolidine that covalently modifies HMGCS1's catalytic cysteine with remarkable selectivity, as assessed by comprehensive chemoproteomics. A 2.29 Å cryo-EM structure reveals how CNP7 engages the catalytic cysteine within HMGCS1's hydrophobic pocket. CNP7 treatment decreases HMG-CoA levels and induces global protein deprenylation within 4 h. Notably, CNP7 exhibits cell line-specific anticancer activity patterns that differ from those of statins, suggesting possible pathway node-specific vulnerabilities. Together, our study offers valuable chemical tools to modulate HMGCS1 activity and presents a framework for the rigorous characterization of covalent inhibitors in chemical biology and drug development.</w:t>
      </w:r>
    </w:p>
    <w:p>
      <w:pPr>
        <w:spacing w:before="120" w:after="120"/>
      </w:pPr>
      <w:r>
        <w:rPr>
          <w:sz w:val="18"/>
        </w:rPr>
        <w:t>——————————————————————————————————————————————————————————————————————</w:t>
      </w:r>
    </w:p>
    <w:p>
      <w:pPr>
        <w:spacing w:before="160" w:after="40" w:line="240" w:lineRule="auto"/>
      </w:pPr>
      <w:r>
        <w:rPr>
          <w:b/>
        </w:rPr>
        <w:t xml:space="preserve">[398] </w:t>
      </w:r>
      <w:hyperlink r:id="rId965">
        <w:r>
          <w:rPr>
            <w:color w:val="1155CC"/>
            <w:u w:val="single"/>
          </w:rPr>
          <w:t>[ASAP] 一种原子精确的方法来抑制一级相变及其对神经形态信号处理的影响</w:t>
        </w:r>
      </w:hyperlink>
    </w:p>
    <w:p>
      <w:pPr>
        <w:spacing w:before="0" w:after="80"/>
      </w:pPr>
      <w:r>
        <w:rPr>
          <w:i/>
          <w:sz w:val="20"/>
        </w:rPr>
        <w:t>EN: [ASAP] An Atom-Precise Approach to Damp First-Order Phase Transitions and Its Implications for Neuromorphic Signal Processing</w:t>
      </w:r>
    </w:p>
    <w:p>
      <w:pPr>
        <w:spacing w:before="0" w:after="120"/>
      </w:pPr>
      <w:r>
        <w:rPr>
          <w:b/>
        </w:rPr>
        <w:t xml:space="preserve">Source: </w:t>
      </w:r>
      <w:r>
        <w:t>Journal of the American Chemical Society: Latest Articles (ACS Publications)</w:t>
      </w:r>
      <w:r>
        <w:t xml:space="preserve">    </w:t>
      </w:r>
      <w:r>
        <w:rPr>
          <w:b/>
        </w:rPr>
        <w:t xml:space="preserve">Pub date: </w:t>
      </w:r>
      <w:r>
        <w:t>2026-05-13 17:56:20+00:00</w:t>
      </w:r>
      <w:r>
        <w:t xml:space="preserve">    </w:t>
      </w:r>
      <w:r>
        <w:rPr>
          <w:b/>
        </w:rPr>
        <w:t xml:space="preserve">DOI: </w:t>
      </w:r>
      <w:hyperlink r:id="rId966">
        <w:r>
          <w:rPr>
            <w:color w:val="1155CC"/>
            <w:u w:val="single"/>
          </w:rPr>
          <w:t>10.1021/jacs.6c02370</w:t>
        </w:r>
      </w:hyperlink>
    </w:p>
    <w:p>
      <w:pPr>
        <w:spacing w:before="0" w:after="120"/>
      </w:pPr>
      <w:r>
        <w:rPr>
          <w:b/>
        </w:rPr>
        <w:t xml:space="preserve">Notes: </w:t>
      </w:r>
      <w:r>
        <w:t>abstract_source=pubmed</w:t>
      </w:r>
    </w:p>
    <w:p>
      <w:pPr>
        <w:spacing w:before="0" w:after="80" w:lineRule="auto" w:line="276"/>
      </w:pPr>
      <w:r>
        <w:rPr>
          <w:b/>
        </w:rPr>
        <w:t xml:space="preserve">摘要（ZH）: </w:t>
      </w:r>
      <w:r>
        <w:t>受哺乳动物智能启发的神经形态计算旨在模拟生物神经元和突触的非线性动态，以实现快速、低能耗和高效的信息处理。大脑启发的计算依赖于设计和发现具有非线性电流-电压特性的材料，通常由电子态转变支撑，以实现尖峰神经元和动态可调的突触。人工神经元设计中的一个标志性挑战是控制活性元件中一级转变的陡度，因为突然的转变有可能导致不稳定的电压和温度振荡，从而导致灾难性的器件故障。一个关键的知识空白是缺乏结构-功能相关性，将晶体固体的组成和原子结构映射到非线性动力学响应特征。在这里，我们解决了如何修改原子结构与神经元样功能变化相关的关键问题。从毫米级单晶构建振荡器电路可以实现高分辨率的原子结构解决方案，我们用它来证明选择性定位Pb阳离子即使在低插入化学计量下也能修改沿一维CuxV2O5框架的电荷排序，从而提供了一种原子精确的设计参数来抑制一级转变。我们使用温度变化的X射线衍射和X射线光谱来阐明基于Pb离子精确定位的Cu离子穿梭的抑制。</w:t>
      </w:r>
    </w:p>
    <w:p>
      <w:pPr>
        <w:spacing w:before="0" w:after="200" w:lineRule="auto" w:line="276"/>
      </w:pPr>
      <w:r>
        <w:rPr>
          <w:b/>
        </w:rPr>
        <w:t xml:space="preserve">Abstract (EN): </w:t>
      </w:r>
      <w:r>
        <w:t>Neuromorphic computing inspired by mammalian intelligence aims to emulate the nonlinear dynamics of biological neurons and synapses to achieve fast, low-energy, and highly efficient information processing. Brain-inspired computing relies on the design and discovery of materials exhibiting nonlinear current-voltage profiles, frequently underpinned by electronic state transitions, to achieve spiking neurons and dynamically tunable synapses. A signature challenge in the design of artificial neurons is controlling the steepness of first-order transitions in active elements, as abrupt transitions are at risk of driving unstable voltage and temperature oscillations, which result in catastrophic device failure. A critical knowledge gap is the lack of structure-function correlations mapping the composition and atomistic structure of crystalline solids to nonlinear dynamical response characteristics. Here, we address the key question of how modification of atomistic structure correlates with alteration of neuron-like functionality. Constructing oscillator circuits from millimeter-scale single crystals enables high-resolution atomic structure solutions, which we use to demonstrate that the selective positioning of Pb cations modifies charge ordering along a one-dimensional CuxV2O5 framework even at low insertion stoichiometries, thereby providing an atom-precise design parameter for damping first-order transitions. We use temperature-variant X-ray diffraction and X-ray spectroscopy to elucidate the suppression of Cu-ion shuttling based on the precise positioning of Pb ions in seven-coordinated tunnel interstitial sites as the mechanistic basis for transition broadening, thus bridging a critical gap between statistical mechanics and quantum chemical descriptions of phase transitions. Such mechanistic understanding thus paves the way to site-selective modification strategies for modulating the sharpness of first-order transitions, with an exemplary demonstration here in tuning neuronal signal processing.</w:t>
      </w:r>
    </w:p>
    <w:p>
      <w:pPr>
        <w:spacing w:before="120" w:after="120"/>
      </w:pPr>
      <w:r>
        <w:rPr>
          <w:sz w:val="18"/>
        </w:rPr>
        <w:t>——————————————————————————————————————————————————————————————————————</w:t>
      </w:r>
    </w:p>
    <w:p>
      <w:pPr>
        <w:spacing w:before="160" w:after="40" w:line="240" w:lineRule="auto"/>
      </w:pPr>
      <w:r>
        <w:rPr>
          <w:b/>
        </w:rPr>
        <w:t xml:space="preserve">[399] </w:t>
      </w:r>
      <w:hyperlink r:id="rId967">
        <w:r>
          <w:rPr>
            <w:color w:val="1155CC"/>
            <w:u w:val="single"/>
          </w:rPr>
          <w:t>[ASAP] 血管化组织的生物制造</w:t>
        </w:r>
      </w:hyperlink>
    </w:p>
    <w:p>
      <w:pPr>
        <w:spacing w:before="0" w:after="80"/>
      </w:pPr>
      <w:r>
        <w:rPr>
          <w:i/>
          <w:sz w:val="20"/>
        </w:rPr>
        <w:t>EN: [ASAP] Biofabrication of Vascularized Tissues</w:t>
      </w:r>
    </w:p>
    <w:p>
      <w:pPr>
        <w:spacing w:before="0" w:after="120"/>
      </w:pPr>
      <w:r>
        <w:rPr>
          <w:b/>
        </w:rPr>
        <w:t xml:space="preserve">Source: </w:t>
      </w:r>
      <w:r>
        <w:t>Chemical Reviews: Latest Articles (ACS Publications)</w:t>
      </w:r>
      <w:r>
        <w:t xml:space="preserve">    </w:t>
      </w:r>
      <w:r>
        <w:rPr>
          <w:b/>
        </w:rPr>
        <w:t xml:space="preserve">Pub date: </w:t>
      </w:r>
      <w:r>
        <w:t>2026-05-13 17:57:38+00:00</w:t>
      </w:r>
      <w:r>
        <w:t xml:space="preserve">    </w:t>
      </w:r>
      <w:r>
        <w:rPr>
          <w:b/>
        </w:rPr>
        <w:t xml:space="preserve">DOI: </w:t>
      </w:r>
      <w:hyperlink r:id="rId968">
        <w:r>
          <w:rPr>
            <w:color w:val="1155CC"/>
            <w:u w:val="single"/>
          </w:rPr>
          <w:t>10.1021/acs.chemrev.5c00914</w:t>
        </w:r>
      </w:hyperlink>
    </w:p>
    <w:p>
      <w:pPr>
        <w:spacing w:before="0" w:after="120"/>
      </w:pPr>
      <w:r>
        <w:rPr>
          <w:b/>
        </w:rPr>
        <w:t xml:space="preserve">Notes: </w:t>
      </w:r>
      <w:r>
        <w:t>abstract_source=pubmed</w:t>
      </w:r>
    </w:p>
    <w:p>
      <w:pPr>
        <w:spacing w:before="0" w:after="80" w:lineRule="auto" w:line="276"/>
      </w:pPr>
      <w:r>
        <w:rPr>
          <w:b/>
        </w:rPr>
        <w:t xml:space="preserve">摘要（ZH）: </w:t>
      </w:r>
      <w:r>
        <w:t>生物制造、干细胞生物学和生物材料工程的进步使得能够生成多细胞组织结构，这些结构能够重现生物功能的关键方面。尽管取得了这些进展，但从毫米级工程组织过渡到厘米级实心器官仍然受到限制，原因是无法建立密集、功能性血管网络来维持代谢活跃的组织。这篇重点综述总结了生成生理血管的复杂性，并强调了过去二十年中开发的几种方法的进展。我们讨论了几个核心技术类别的进展，包括基于类器官和微流体的平台来模拟血管，以及构建器官级组织的可行技术，包括去细胞化器官支架的再细胞化和用于复杂3D血管和高细胞密度兼容性的自下而上生物制造方法。通过综合这些互补方法的见解，我们强调了构建分层和功能性血管网络的新兴设计原则。最后，我们概述了一条面向未来的路线图，旨在实现可扩展的血管化策略，这可能在未来十年内实现生物制造的功能性人类器官。</w:t>
      </w:r>
    </w:p>
    <w:p>
      <w:pPr>
        <w:spacing w:before="0" w:after="200" w:lineRule="auto" w:line="276"/>
      </w:pPr>
      <w:r>
        <w:rPr>
          <w:b/>
        </w:rPr>
        <w:t xml:space="preserve">Abstract (EN): </w:t>
      </w:r>
      <w:r>
        <w:t>Advances in biofabrication, stem cell biology, and biomaterials engineering have enabled the generation of multicellular tissue constructs capable of recapitulating key aspects of biological function. Despite these advances, the transition from millimeter-scale engineered tissues to centimeter-scale solid organs remains limited by the inability to establish dense, functional vascular networks capable of sustaining metabolically active tissues. This focused review summarizes the complexities involved in generating physiological vasculature and highlights progress in several approaches developed over the past two decades. We discuss progress across several core technology categories, including organoid-based and microfluidic-based platforms to model the vasculatures, as well as the techniques feasible to construct an organ-scale tissue, including recellularization of decellularized organ scaffolds, and bottom-up biofabrication approaches for complex 3D vasculature and high-cell density compatibility. By synthesizing insights from these complementary approaches, we highlight emerging design principles for constructing hierarchical and functional vascular networks. Finally, we outline a forward-looking roadmap toward scalable vascularization strategies that may enable the realization of biofabricated, functional human organs in the coming decade.</w:t>
      </w:r>
    </w:p>
    <w:p>
      <w:pPr>
        <w:spacing w:before="120" w:after="120"/>
      </w:pPr>
      <w:r>
        <w:rPr>
          <w:sz w:val="18"/>
        </w:rPr>
        <w:t>——————————————————————————————————————————————————————————————————————</w:t>
      </w:r>
    </w:p>
    <w:p>
      <w:pPr>
        <w:spacing w:before="160" w:after="40" w:line="240" w:lineRule="auto"/>
      </w:pPr>
      <w:r>
        <w:rPr>
          <w:b/>
        </w:rPr>
        <w:t xml:space="preserve">[400] </w:t>
      </w:r>
      <w:hyperlink r:id="rId969">
        <w:r>
          <w:rPr>
            <w:color w:val="1155CC"/>
            <w:u w:val="single"/>
          </w:rPr>
          <w:t>[ASAP] 远端1,4-二轴向轴异构体的合成：通过去对称化策略的CPA催化轴选择性(3 + 3)环化</w:t>
        </w:r>
      </w:hyperlink>
    </w:p>
    <w:p>
      <w:pPr>
        <w:spacing w:before="0" w:after="80"/>
      </w:pPr>
      <w:r>
        <w:rPr>
          <w:i/>
          <w:sz w:val="20"/>
        </w:rPr>
        <w:t>EN: [ASAP] Synthesis of Distal 1,4-Diaxial Atropisomers: CPA-Catalyzed Atroposelective (3 + 3)-Annulation via a Desymmetrization Strategy</w:t>
      </w:r>
    </w:p>
    <w:p>
      <w:pPr>
        <w:spacing w:before="0" w:after="120"/>
      </w:pPr>
      <w:r>
        <w:rPr>
          <w:b/>
        </w:rPr>
        <w:t xml:space="preserve">Source: </w:t>
      </w:r>
      <w:r>
        <w:t>Journal of the American Chemical Society: Latest Articles (ACS Publications)</w:t>
      </w:r>
      <w:r>
        <w:t xml:space="preserve">    </w:t>
      </w:r>
      <w:r>
        <w:rPr>
          <w:b/>
        </w:rPr>
        <w:t xml:space="preserve">Pub date: </w:t>
      </w:r>
      <w:r>
        <w:t>2026-05-13 18:07:46+00:00</w:t>
      </w:r>
      <w:r>
        <w:t xml:space="preserve">    </w:t>
      </w:r>
      <w:r>
        <w:rPr>
          <w:b/>
        </w:rPr>
        <w:t xml:space="preserve">DOI: </w:t>
      </w:r>
      <w:hyperlink r:id="rId970">
        <w:r>
          <w:rPr>
            <w:color w:val="1155CC"/>
            <w:u w:val="single"/>
          </w:rPr>
          <w:t>10.1021/jacs.6c04832</w:t>
        </w:r>
      </w:hyperlink>
    </w:p>
    <w:p>
      <w:pPr>
        <w:spacing w:before="0" w:after="120"/>
      </w:pPr>
      <w:r>
        <w:rPr>
          <w:b/>
        </w:rPr>
        <w:t xml:space="preserve">Notes: </w:t>
      </w:r>
      <w:r>
        <w:t>abstract_source=pubmed</w:t>
      </w:r>
    </w:p>
    <w:p>
      <w:pPr>
        <w:spacing w:before="0" w:after="80" w:lineRule="auto" w:line="276"/>
      </w:pPr>
      <w:r>
        <w:rPr>
          <w:b/>
        </w:rPr>
        <w:t xml:space="preserve">摘要（ZH）: </w:t>
      </w:r>
      <w:r>
        <w:t>手性轴双芳基的合成已成为有机化学中的一个重要前沿。虽然在合成具有单一手性轴的手性轴体方面取得了显著进展，但催化立体选择性组装具有多个手性轴的手性轴体仍然是一个艰巨的挑战。在此，我们报告了一种手性磷酸（CPA）催化的手性轴选择性（3 + 3）环化反应，通过去对称化策略在易得的炔丙醇和对称双芳基三醇之间进行，制备了一系列具有功能化2H-色烯和双芳基二醇片段的远端1,4-轴向手性轴体。值得注意的是，该方案能够从相同的对称三醇前体中分歧合成两组新的远端4,8-双萘基-1-基-2H-色烯二醇（BINCOLs）立体异构体。1,4-轴向BINCOLs作为不对称催化中的有前途的配体表现出相当大的实用性，正如在Cu催化的手性选择性C-H硫化铁氧化物羧酰胺中的成功应用所证明的。此外，1,4-轴向BINCOLs表现出聚集诱导发光效应，突显其作为新型多环芳香AIEgens的潜力。</w:t>
      </w:r>
    </w:p>
    <w:p>
      <w:pPr>
        <w:spacing w:before="0" w:after="200" w:lineRule="auto" w:line="276"/>
      </w:pPr>
      <w:r>
        <w:rPr>
          <w:b/>
        </w:rPr>
        <w:t xml:space="preserve">Abstract (EN): </w:t>
      </w:r>
      <w:r>
        <w:t>The synthesis of atropisomeric biaryls has emerged as a significant frontier in organic chemistry. While notable advances have been achieved in the synthesis of atropisomers with a single chiral axis, the catalytic stereoselective assembly of atropisomers bearing multiple chiral axes remains a formidable challenge. Herein, we report a chiral phosphoric acid (CPA)-catalyzed atroposelective (3 + 3)-annulation between readily accessible propargylic alcohols and symmetric biaryltriols through a desymmetrization strategy, preparing a diverse array of distal 1,4-diaxial atropisomers possessing functionalized 2H-chromen and biaryldiol fragments. Notably, the protocol enables the divergent synthesis of two new sets of stereoisomers of distal 4,8-binaphthalen-1-yl-2H-chromenediols (BINCOLs) from identical symmetric triol precursors. The 1,4-diaxial BINCOLs demonstrate considerable utility as promising ligands in asymmetric catalysis, as evidenced by the successful application in Cu-catalyzed enantioselective C-H thiolation of ferrocene carboxamide. Furthermore, the 1,4-diaxial BINCOLs exhibit an aggregation-induced emission effect, highlighting their potential as a new class of polycyclic aromatic AIEgens.</w:t>
      </w:r>
    </w:p>
    <w:p>
      <w:pPr>
        <w:spacing w:before="120" w:after="120"/>
      </w:pPr>
      <w:r>
        <w:rPr>
          <w:sz w:val="18"/>
        </w:rPr>
        <w:t>——————————————————————————————————————————————————————————————————————</w:t>
      </w:r>
    </w:p>
    <w:p>
      <w:pPr>
        <w:spacing w:before="160" w:after="40" w:line="240" w:lineRule="auto"/>
      </w:pPr>
      <w:r>
        <w:rPr>
          <w:b/>
        </w:rPr>
        <w:t xml:space="preserve">[401] </w:t>
      </w:r>
      <w:hyperlink r:id="rId971">
        <w:r>
          <w:rPr>
            <w:color w:val="1155CC"/>
            <w:u w:val="single"/>
          </w:rPr>
          <w:t>[ASAP] 通过高熵掺杂定制键异质性以实现高效酸性水氧化</w:t>
        </w:r>
      </w:hyperlink>
    </w:p>
    <w:p>
      <w:pPr>
        <w:spacing w:before="0" w:after="80"/>
      </w:pPr>
      <w:r>
        <w:rPr>
          <w:i/>
          <w:sz w:val="20"/>
        </w:rPr>
        <w:t>EN: [ASAP] Tailored Bond Heterogeneity through High-Entropy Doping for Efficient Acidic Water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2026-05-13 18:16:12+00:00</w:t>
      </w:r>
      <w:r>
        <w:t xml:space="preserve">    </w:t>
      </w:r>
      <w:r>
        <w:rPr>
          <w:b/>
        </w:rPr>
        <w:t xml:space="preserve">DOI: </w:t>
      </w:r>
      <w:hyperlink r:id="rId972">
        <w:r>
          <w:rPr>
            <w:color w:val="1155CC"/>
            <w:u w:val="single"/>
          </w:rPr>
          <w:t>10.1021/jacs.6c02500</w:t>
        </w:r>
      </w:hyperlink>
    </w:p>
    <w:p>
      <w:pPr>
        <w:spacing w:before="0" w:after="120"/>
      </w:pPr>
      <w:r>
        <w:rPr>
          <w:b/>
        </w:rPr>
        <w:t xml:space="preserve">Notes: </w:t>
      </w:r>
      <w:r>
        <w:t>abstract_source=pubmed</w:t>
      </w:r>
    </w:p>
    <w:p>
      <w:pPr>
        <w:spacing w:before="0" w:after="80" w:lineRule="auto" w:line="276"/>
      </w:pPr>
      <w:r>
        <w:rPr>
          <w:b/>
        </w:rPr>
        <w:t xml:space="preserve">摘要（ZH）: </w:t>
      </w:r>
      <w:r>
        <w:t>Ru基催化剂是质子交换膜水电解中氧析出反应的Ir的有前途的替代品，但其实际应用受到在酸性环境中快速溶解的阻碍。传统的元素掺杂通过局部的Ru-O-掺杂剂相互作用微观上改善了稳定性，但未能稳定未掺杂区域，而高熵材料在提供宏观结构稳健性的同时以活性位点稀释为代价。在此，我们引入了一种高熵掺杂（HED）策略，将多种外来元素在原子掺杂水平上整合，以实现原子尺度和晶格尺度的稳定化。由此产生的Ru-O键异质性微观上优化了活性Ru位点的电子结构以达到催化最佳性，而多轴晶格畸变增强了宏观结构完整性并抑制溶解。优化后的HED1/RuO2提供了长期耐久性，稳定性数（S-number）为2.4 × 10^6，接近IrO2的基准。</w:t>
      </w:r>
    </w:p>
    <w:p>
      <w:pPr>
        <w:spacing w:before="0" w:after="200" w:lineRule="auto" w:line="276"/>
      </w:pPr>
      <w:r>
        <w:rPr>
          <w:b/>
        </w:rPr>
        <w:t xml:space="preserve">Abstract (EN): </w:t>
      </w:r>
      <w:r>
        <w:t>Ru-based catalysts are promising alternatives to Ir for the oxygen evolution reaction in proton exchange membrane water electrolysis, yet their practical deployment is hindered by rapid dissolution in acidic environments. Conventional elemental doping microscopically improves stability through localized Ru-O-dopant interactions but fails to stabilize undoped regions, while high-entropy materials provide macroscopic structural robustness at the cost of active-site dilution. Here, we introduce a high-entropy doping (HED) strategy that integrates multiple foreign elements at the atomic dopant level to achieve both atomic-scale and lattice-scale stabilization. The resulting Ru-O bond heterogeneity microscopically optimizes the electronic structure of active Ru sites toward catalytic optimality, while multiaxial lattice distortion enhances macroscopic structural integrity and suppresses dissolution. The optimized HED1/RuO2 delivers long-term durability with a stability number (S-number) of 2.4 × 106, approaching IrO2 benchmarks.</w:t>
      </w:r>
    </w:p>
    <w:p>
      <w:pPr>
        <w:spacing w:before="120" w:after="120"/>
      </w:pPr>
      <w:r>
        <w:rPr>
          <w:sz w:val="18"/>
        </w:rPr>
        <w:t>——————————————————————————————————————————————————————————————————————</w:t>
      </w:r>
    </w:p>
    <w:p>
      <w:pPr>
        <w:spacing w:before="160" w:after="40" w:line="240" w:lineRule="auto"/>
      </w:pPr>
      <w:r>
        <w:rPr>
          <w:b/>
        </w:rPr>
        <w:t xml:space="preserve">[402] </w:t>
      </w:r>
      <w:hyperlink r:id="rId973">
        <w:r>
          <w:rPr>
            <w:color w:val="1155CC"/>
            <w:u w:val="single"/>
          </w:rPr>
          <w:t>[ASAP] Sinefungin生物合成采用B12依赖的自由基S-腺苷-L-蛋氨酸酶催化精氨酸的C-腺苷化</w:t>
        </w:r>
      </w:hyperlink>
    </w:p>
    <w:p>
      <w:pPr>
        <w:spacing w:before="0" w:after="80"/>
      </w:pPr>
      <w:r>
        <w:rPr>
          <w:i/>
          <w:sz w:val="20"/>
        </w:rPr>
        <w:t>EN: [ASAP] Sinefungin Biosynthesis Employs a B12-Dependent Radical S-Adenosyl-l-methionine Enzyme Catalyzing C-Adenosylation of Arginine</w:t>
      </w:r>
    </w:p>
    <w:p>
      <w:pPr>
        <w:spacing w:before="0" w:after="120"/>
      </w:pPr>
      <w:r>
        <w:rPr>
          <w:b/>
        </w:rPr>
        <w:t xml:space="preserve">Source: </w:t>
      </w:r>
      <w:r>
        <w:t>Journal of the American Chemical Society: Latest Articles (ACS Publications)</w:t>
      </w:r>
      <w:r>
        <w:t xml:space="preserve">    </w:t>
      </w:r>
      <w:r>
        <w:rPr>
          <w:b/>
        </w:rPr>
        <w:t xml:space="preserve">Pub date: </w:t>
      </w:r>
      <w:r>
        <w:t>2026-05-13 18:25:41+00:00</w:t>
      </w:r>
      <w:r>
        <w:t xml:space="preserve">    </w:t>
      </w:r>
      <w:r>
        <w:rPr>
          <w:b/>
        </w:rPr>
        <w:t xml:space="preserve">DOI: </w:t>
      </w:r>
      <w:hyperlink r:id="rId974">
        <w:r>
          <w:rPr>
            <w:color w:val="1155CC"/>
            <w:u w:val="single"/>
          </w:rPr>
          <w:t>10.1021/jacs.6c05246</w:t>
        </w:r>
      </w:hyperlink>
    </w:p>
    <w:p>
      <w:pPr>
        <w:spacing w:before="0" w:after="120"/>
      </w:pPr>
      <w:r>
        <w:rPr>
          <w:b/>
        </w:rPr>
        <w:t xml:space="preserve">Notes: </w:t>
      </w:r>
      <w:r>
        <w:t>abstract_source=pubmed</w:t>
      </w:r>
    </w:p>
    <w:p>
      <w:pPr>
        <w:spacing w:before="0" w:after="80" w:lineRule="auto" w:line="276"/>
      </w:pPr>
      <w:r>
        <w:rPr>
          <w:b/>
        </w:rPr>
        <w:t xml:space="preserve">摘要（ZH）: </w:t>
      </w:r>
      <w:r>
        <w:t>西那芬是从几种链霉菌菌株中分离出的核苷类天然产物。西那芬的化学结构特点是鸟氨酸和腺苷片段之间存在一种不寻常的C-C键连接。先前的研究表明，吡哆醛5'-磷酸（PLP）依赖的酶催化参与了关键的C-C键形成步骤。在此，我们展示了西那芬的生物合成并非通过PLP催化，而是涉及一种B12依赖的自由基S-腺苷-L-蛋氨酸（SAM）酶SnfB，该酶催化精氨酸的C-腺苷化。随后，SnfB产物中的胍基被SnfC水解，通过SnfH催化的隐性磷酸化步骤生成西那芬。这项研究突出了B12依赖的自由基SAM酶家族的催化多样性，并揭示了自然界中氨基酸-核苷结合物的非常规组装途径。</w:t>
      </w:r>
    </w:p>
    <w:p>
      <w:pPr>
        <w:spacing w:before="0" w:after="200" w:lineRule="auto" w:line="276"/>
      </w:pPr>
      <w:r>
        <w:rPr>
          <w:b/>
        </w:rPr>
        <w:t xml:space="preserve">Abstract (EN): </w:t>
      </w:r>
      <w:r>
        <w:t>Sinefungin is a nucleoside natural product isolated from several strains of Streptomyces. The chemical structure of sinefungin is characterized by an unusual C-C bond linkage between ornithine and adenosyl fragments. Previous studies suggested that pyridoxal 5'-phosphate (PLP)-dependent enzyme catalysis is involved in the key C-C bond-forming step. Here, we show that instead of PLP catalysis, sinefungin biosynthesis involves a B12-dependent radical S-adenosyl-l-methionine (SAM) enzyme, SnfB, that catalyzes the C-adenosylation of arginine. The amidino group in the resulting SnfB product is then hydrolyzed by SnfC to produce sinefungin via a cryptic phosphorylation step catalyzed by SnfH. This study highlights the catalytic versatility of the B12-dependent radical SAM enzyme family and unveils an unconventional assembly pathway for amino acid-nucleoside conjugates in nature.</w:t>
      </w:r>
    </w:p>
    <w:p>
      <w:pPr>
        <w:spacing w:before="120" w:after="120"/>
      </w:pPr>
      <w:r>
        <w:rPr>
          <w:sz w:val="18"/>
        </w:rPr>
        <w:t>——————————————————————————————————————————————————————————————————————</w:t>
      </w:r>
    </w:p>
    <w:p>
      <w:pPr>
        <w:spacing w:before="160" w:after="40" w:line="240" w:lineRule="auto"/>
      </w:pPr>
      <w:r>
        <w:rPr>
          <w:b/>
        </w:rPr>
        <w:t xml:space="preserve">[403] </w:t>
      </w:r>
      <w:hyperlink r:id="rId975">
        <w:r>
          <w:rPr>
            <w:color w:val="1155CC"/>
            <w:u w:val="single"/>
          </w:rPr>
          <w:t>[ASAP] 跨膜转运蛋白的共价化学标记揭示了外源铁载体的内化途径</w:t>
        </w:r>
      </w:hyperlink>
    </w:p>
    <w:p>
      <w:pPr>
        <w:spacing w:before="0" w:after="80"/>
      </w:pPr>
      <w:r>
        <w:rPr>
          <w:i/>
          <w:sz w:val="20"/>
        </w:rPr>
        <w:t>EN: [ASAP] Covalent Chemical Tagging of Transmembrane Transport Proteins Illuminates the Internalization Pathways of Xenosiderophores</w:t>
      </w:r>
    </w:p>
    <w:p>
      <w:pPr>
        <w:spacing w:before="0" w:after="120"/>
      </w:pPr>
      <w:r>
        <w:rPr>
          <w:b/>
        </w:rPr>
        <w:t xml:space="preserve">Source: </w:t>
      </w:r>
      <w:r>
        <w:t>Journal of the American Chemical Society: Latest Articles (ACS Publications)</w:t>
      </w:r>
      <w:r>
        <w:t xml:space="preserve">    </w:t>
      </w:r>
      <w:r>
        <w:rPr>
          <w:b/>
        </w:rPr>
        <w:t xml:space="preserve">Pub date: </w:t>
      </w:r>
      <w:r>
        <w:t>2026-05-13 18:27:49+00:00</w:t>
      </w:r>
      <w:r>
        <w:t xml:space="preserve">    </w:t>
      </w:r>
      <w:r>
        <w:rPr>
          <w:b/>
        </w:rPr>
        <w:t xml:space="preserve">DOI: </w:t>
      </w:r>
      <w:hyperlink r:id="rId976">
        <w:r>
          <w:rPr>
            <w:color w:val="1155CC"/>
            <w:u w:val="single"/>
          </w:rPr>
          <w:t>10.1021/jacs.6c00632</w:t>
        </w:r>
      </w:hyperlink>
    </w:p>
    <w:p>
      <w:pPr>
        <w:spacing w:before="0" w:after="120"/>
      </w:pPr>
      <w:r>
        <w:rPr>
          <w:b/>
        </w:rPr>
        <w:t xml:space="preserve">Notes: </w:t>
      </w:r>
      <w:r>
        <w:t>abstract_source=pubmed</w:t>
      </w:r>
    </w:p>
    <w:p>
      <w:pPr>
        <w:spacing w:before="0" w:after="80" w:lineRule="auto" w:line="276"/>
      </w:pPr>
      <w:r>
        <w:rPr>
          <w:b/>
        </w:rPr>
        <w:t xml:space="preserve">摘要（ZH）: </w:t>
      </w:r>
      <w:r>
        <w:t>细菌中通过铁载体介导的跨膜铁摄取是一种复杂的必需营养物质获取机制。除了专门识别和运输内源性铁载体的转运蛋白外，细菌还拥有能够高效内化其他生物体产生的铁载体-金属复合物的跨膜转运蛋白。使用间接方法发现跨膜转运蛋白已使得高亲和力转运蛋白的识别成为可能，但限制了对低亲和力、广谱转运系统的访问。因此，能够直接识别目标蛋白的共价标记策略是理想的。为此，我们研究了Fe-D1的共晶结构，这是一种与环丙沙星连接的铁氧胺复合物，与铜绿假单胞菌外膜转运蛋白FoxA结合，对铁氧胺B和E具有亲和力。通过合理设计方法，我们确定了铁氧胺基共价光交联探针的理想结构特征，这些探针对转运蛋白域内的酪氨酸和天冬氨酸丰富的结合位点具有反应性。DFO-azir-05和DFO-azir-06的Fe和Ga复合物在过表达FoxA的Escherichia coli Lemo21（DE3）突变体中有效标记FoxA。随后，DFO-azir-06成功用于直接标记和识别铜绿假单胞菌PAO1中的铁氧胺结合蛋白FoxA和FpvB，以及大肠杆菌K-12中的两个主要铁氧胺B转运蛋白FhuA和FhuE。此外，DFO-azir-06揭示了钴胺素转运蛋白BtuB在DFO衍生物运输中的潜在新作用。总之，我们</w:t>
      </w:r>
    </w:p>
    <w:p>
      <w:pPr>
        <w:spacing w:before="0" w:after="200" w:lineRule="auto" w:line="276"/>
      </w:pPr>
      <w:r>
        <w:rPr>
          <w:b/>
        </w:rPr>
        <w:t xml:space="preserve">Abstract (EN): </w:t>
      </w:r>
      <w:r>
        <w:t>Siderophore-mediated, transmembrane uptake of iron in bacteria is a complex mechanism of essential nutrient acquisition. In addition to transporters that specifically recognize and shuttle endogenous siderophores, bacteria possess transmembrane transporters that efficiently internalize siderophore-metal complexes produced by other organisms. The discovery of transmembrane transporters using indirect methods has enabled the identification of high-affinity transporters but limits access to lower-affinity, promiscuous transport systems. Therefore, covalent tagging strategies that enable the direct identification of target proteins are desirable. To this end, we examined the co-crystal structure of Fe-D1, a ciprofloxacin-linked ferrioxamine complex bound to thePseudomonas aeruginosa outer-membrane transporter FoxA with affinity for ferrioxamine B and E. Using a rational design approach, we identified ideal structural characteristics for ferrioxamine-based, covalent photo-cross-linker probes with reactivity toward tyrosine- and aspartate-rich binding sites within transporter domains. Fe and Ga complexes of DFO-azir-05 and DFO-azir-06 efficiently tag FoxA inEscherichia coli Lemo21 (DE3) mutants overexpressing FoxA. Subsequently, DFO-azir-06 was successfully used to directly tag and identify the ferrioxamine-binding proteins FoxA and FpvB inP. aeruginosa PAO1, as well as the two main transporters of ferrioxamine B inE. coli K-12, FhuA and FhuE. Moreover, DFO-azir-06 revealed a putative new role of cobalamine transporter BtuB in the transport of DFO derivatives. In conclusion, we demonstrate that careful structural design of covalent, photo-cross-linking siderophore conjugates can provide unprecedented access to the elucidation of siderophore-mediated metal ion uptake in bacteria.</w:t>
      </w:r>
    </w:p>
    <w:p>
      <w:pPr>
        <w:spacing w:before="120" w:after="120"/>
      </w:pPr>
      <w:r>
        <w:rPr>
          <w:sz w:val="18"/>
        </w:rPr>
        <w:t>——————————————————————————————————————————————————————————————————————</w:t>
      </w:r>
    </w:p>
    <w:p>
      <w:pPr>
        <w:spacing w:before="160" w:after="40" w:line="240" w:lineRule="auto"/>
      </w:pPr>
      <w:r>
        <w:rPr>
          <w:b/>
        </w:rPr>
        <w:t xml:space="preserve">[404] </w:t>
      </w:r>
      <w:hyperlink r:id="rId977">
        <w:r>
          <w:rPr>
            <w:color w:val="1155CC"/>
            <w:u w:val="single"/>
          </w:rPr>
          <w:t>[ASAP] 百克级规模合成二维机械互锁聚合物</w:t>
        </w:r>
      </w:hyperlink>
    </w:p>
    <w:p>
      <w:pPr>
        <w:spacing w:before="0" w:after="80"/>
      </w:pPr>
      <w:r>
        <w:rPr>
          <w:i/>
          <w:sz w:val="20"/>
        </w:rPr>
        <w:t>EN: [ASAP] Synthesis of Two-Dimensional Mechanically Interlocked Polymers at the Hundred-Gram Scale</w:t>
      </w:r>
    </w:p>
    <w:p>
      <w:pPr>
        <w:spacing w:before="0" w:after="120"/>
      </w:pPr>
      <w:r>
        <w:rPr>
          <w:b/>
        </w:rPr>
        <w:t xml:space="preserve">Source: </w:t>
      </w:r>
      <w:r>
        <w:t>Journal of the American Chemical Society: Latest Articles (ACS Publications)</w:t>
      </w:r>
      <w:r>
        <w:t xml:space="preserve">    </w:t>
      </w:r>
      <w:r>
        <w:rPr>
          <w:b/>
        </w:rPr>
        <w:t xml:space="preserve">Pub date: </w:t>
      </w:r>
      <w:r>
        <w:t>2026-05-13 18:47:49+00:00</w:t>
      </w:r>
      <w:r>
        <w:t xml:space="preserve">    </w:t>
      </w:r>
      <w:r>
        <w:rPr>
          <w:b/>
        </w:rPr>
        <w:t xml:space="preserve">DOI: </w:t>
      </w:r>
      <w:hyperlink r:id="rId978">
        <w:r>
          <w:rPr>
            <w:color w:val="1155CC"/>
            <w:u w:val="single"/>
          </w:rPr>
          <w:t>10.1021/jacs.6c01792</w:t>
        </w:r>
      </w:hyperlink>
    </w:p>
    <w:p>
      <w:pPr>
        <w:spacing w:before="0" w:after="120"/>
      </w:pPr>
      <w:r>
        <w:rPr>
          <w:b/>
        </w:rPr>
        <w:t xml:space="preserve">Notes: </w:t>
      </w:r>
      <w:r>
        <w:t>abstract_source=pubmed</w:t>
      </w:r>
    </w:p>
    <w:p>
      <w:pPr>
        <w:spacing w:before="0" w:after="80" w:lineRule="auto" w:line="276"/>
      </w:pPr>
      <w:r>
        <w:rPr>
          <w:b/>
        </w:rPr>
        <w:t xml:space="preserve">摘要（ZH）: </w:t>
      </w:r>
      <w:r>
        <w:t>机械键赋予聚合物独特的机械性能。然而，传统上形成具有许多机械键的聚合物是困难的，这限制了对机械互锁材料（MIMs）的研究，仅限于毫克级的量和/或稀疏的互锁组分的掺入。我们最近引入了一种二维聚合物结构，其中每个重复单元通过结晶和可扩散单体之间的共聚反应包含一个机械键。在此，我们描述了一种显著加速的这种聚合反应的变体，使得聚合物的生产规模扩大到&gt;100 g批次，并使用大多数学术研究实验室中常见的设备总共制备了&gt;500 g的聚合物。该聚合物通过两步程序生产，其中四功能酚单体结晶成由氢键支持的机械互锁结构，随后通过在己烷中与二甲基二氯硅烷反应进行聚合，己烷是晶体的非溶剂。通过加入三乙胺实现了聚合效率和动力学的提高，三乙胺加速了硅氧烷键的形成，并在单晶到单晶转变中掺入到单体晶体中。报道了生产50-g批次单体晶体的结晶程序和生产100-g批次2D MIM的聚合技术。在这些较大规模下生产的TPE-PhO[Si(CH3)2]2通过X射线光电子能谱和NMR光谱显示出一致的化学组成和预期的二维形态。</w:t>
      </w:r>
    </w:p>
    <w:p>
      <w:pPr>
        <w:spacing w:before="0" w:after="200" w:lineRule="auto" w:line="276"/>
      </w:pPr>
      <w:r>
        <w:rPr>
          <w:b/>
        </w:rPr>
        <w:t xml:space="preserve">Abstract (EN): </w:t>
      </w:r>
      <w:r>
        <w:t>Mechanical bonds impart unique mechanical properties to polymers. However, forming polymers with many mechanical bonds is traditionally difficult and has limited the study of mechanically interlocked materials (MIMs) to milligram-scale amounts and/or sparse incorporation of interlocked components. We recently introduced a two-dimensional polymer architecture in which every repeat unit contains a mechanical bond through a copolymerization reaction between crystalline and diffusible monomers. Here we described a significantly accelerated variant of this polymerization that enabled scaling to &gt;100 g batches of the polymer and the preparation of &gt;500 g of the polymer in total using equipment found in most academic research laboratories. This polymer is produced in a two-step procedure in which a tetrafunctional phenol monomer is crystallized into a mechanically interlocked structure supported by hydrogen bonding, after which polymerization occurs by reaction with dimethyldichlorosilane in hexanes, a nonsolvent for the crystal. Improved polymerization efficiency and kinetics were realized by incorporating triethylamine, which accelerates siloxane bond formation and incorporates into the monomer crystal in a single-crystal-to-single-crystal transformation. Crystallization procedures to produce monomer crystals in 50-g batches and polymerization techniques to produce the 2D MIM in 100-g batches are reported. TPE-PhO[Si(CH3)2]2 produced at these larger scales shows consistent chemical composition by X-ray photoelectron spectroscopy and NMR spectroscopy and the expected 2D morphology by scanning electron microscopy and atomic force microscopy. These findings introduce 2D MIMs as a unique yet readily accessible polymer architecture.</w:t>
      </w:r>
    </w:p>
    <w:p>
      <w:pPr>
        <w:spacing w:before="120" w:after="120"/>
      </w:pPr>
      <w:r>
        <w:rPr>
          <w:sz w:val="18"/>
        </w:rPr>
        <w:t>——————————————————————————————————————————————————————————————————————</w:t>
      </w:r>
    </w:p>
    <w:p>
      <w:pPr>
        <w:spacing w:before="160" w:after="40" w:line="240" w:lineRule="auto"/>
      </w:pPr>
      <w:r>
        <w:rPr>
          <w:b/>
        </w:rPr>
        <w:t xml:space="preserve">[405] </w:t>
      </w:r>
      <w:hyperlink r:id="rId979">
        <w:r>
          <w:rPr>
            <w:color w:val="1155CC"/>
            <w:u w:val="single"/>
          </w:rPr>
          <w:t>[ASAP] 展现场驱动竞争磁相的自旋-5/2三角晶格反铁磁体</w:t>
        </w:r>
      </w:hyperlink>
    </w:p>
    <w:p>
      <w:pPr>
        <w:spacing w:before="0" w:after="80"/>
      </w:pPr>
      <w:r>
        <w:rPr>
          <w:i/>
          <w:sz w:val="20"/>
        </w:rPr>
        <w:t>EN: [ASAP] A Spin-5/2 Triangular-Lattice Antiferromagnet Exhibiting Field-Driven Competing Magnetic Phases</w:t>
      </w:r>
    </w:p>
    <w:p>
      <w:pPr>
        <w:spacing w:before="0" w:after="120"/>
      </w:pPr>
      <w:r>
        <w:rPr>
          <w:b/>
        </w:rPr>
        <w:t xml:space="preserve">Source: </w:t>
      </w:r>
      <w:r>
        <w:t>Journal of the American Chemical Society: Latest Articles (ACS Publications)</w:t>
      </w:r>
      <w:r>
        <w:t xml:space="preserve">    </w:t>
      </w:r>
      <w:r>
        <w:rPr>
          <w:b/>
        </w:rPr>
        <w:t xml:space="preserve">Pub date: </w:t>
      </w:r>
      <w:r>
        <w:t>2026-05-13 19:00:00+00:00</w:t>
      </w:r>
      <w:r>
        <w:t xml:space="preserve">    </w:t>
      </w:r>
      <w:r>
        <w:rPr>
          <w:b/>
        </w:rPr>
        <w:t xml:space="preserve">DOI: </w:t>
      </w:r>
      <w:hyperlink r:id="rId980">
        <w:r>
          <w:rPr>
            <w:color w:val="1155CC"/>
            <w:u w:val="single"/>
          </w:rPr>
          <w:t>10.1021/jacs.6c00472</w:t>
        </w:r>
      </w:hyperlink>
    </w:p>
    <w:p>
      <w:pPr>
        <w:spacing w:before="0" w:after="120"/>
      </w:pPr>
      <w:r>
        <w:rPr>
          <w:b/>
        </w:rPr>
        <w:t xml:space="preserve">Notes: </w:t>
      </w:r>
      <w:r>
        <w:t>abstract_source=openalex</w:t>
      </w:r>
    </w:p>
    <w:p>
      <w:pPr>
        <w:spacing w:before="0" w:after="80" w:lineRule="auto" w:line="276"/>
      </w:pPr>
      <w:r>
        <w:rPr>
          <w:b/>
        </w:rPr>
        <w:t xml:space="preserve">摘要（ZH）: </w:t>
      </w:r>
      <w:r>
        <w:t>作为研究受挫磁性和新兴量子自旋态的大自旋TL反铁磁体。</w:t>
      </w:r>
    </w:p>
    <w:p>
      <w:pPr>
        <w:spacing w:before="0" w:after="200" w:lineRule="auto" w:line="276"/>
      </w:pPr>
      <w:r>
        <w:rPr>
          <w:b/>
        </w:rPr>
        <w:t xml:space="preserve">Abstract (EN): </w:t>
      </w:r>
      <w:r>
        <w:t>as a large spin TL antiferromagnet for investigating frustrated magnetism and emergent quantum spin states.</w:t>
      </w:r>
    </w:p>
    <w:p>
      <w:pPr>
        <w:spacing w:before="120" w:after="120"/>
      </w:pPr>
      <w:r>
        <w:rPr>
          <w:sz w:val="18"/>
        </w:rPr>
        <w:t>——————————————————————————————————————————————————————————————————————</w:t>
      </w:r>
    </w:p>
    <w:p>
      <w:pPr>
        <w:spacing w:before="160" w:after="40" w:line="240" w:lineRule="auto"/>
      </w:pPr>
      <w:r>
        <w:rPr>
          <w:b/>
        </w:rPr>
        <w:t xml:space="preserve">[406] </w:t>
      </w:r>
      <w:hyperlink r:id="rId981">
        <w:r>
          <w:rPr>
            <w:color w:val="1155CC"/>
            <w:u w:val="single"/>
          </w:rPr>
          <w:t>[ASAP] 具有高密度、近原子精度金属辅因子组织的人工金属DNA酶用于增强生物正交催化</w:t>
        </w:r>
      </w:hyperlink>
    </w:p>
    <w:p>
      <w:pPr>
        <w:spacing w:before="0" w:after="80"/>
      </w:pPr>
      <w:r>
        <w:rPr>
          <w:i/>
          <w:sz w:val="20"/>
        </w:rPr>
        <w:t>EN: [ASAP] Artificial MetalloDNAzymes with High-Density, Near-Atomic Precision Organization of Metal Cofactors for Enhanced Bioorthogonal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2026-05-13 19:58:46+00:00</w:t>
      </w:r>
      <w:r>
        <w:t xml:space="preserve">    </w:t>
      </w:r>
      <w:r>
        <w:rPr>
          <w:b/>
        </w:rPr>
        <w:t xml:space="preserve">DOI: </w:t>
      </w:r>
      <w:hyperlink r:id="rId982">
        <w:r>
          <w:rPr>
            <w:color w:val="1155CC"/>
            <w:u w:val="single"/>
          </w:rPr>
          <w:t>10.1021/jacs.6c07083</w:t>
        </w:r>
      </w:hyperlink>
    </w:p>
    <w:p>
      <w:pPr>
        <w:spacing w:before="0" w:after="120"/>
      </w:pPr>
      <w:r>
        <w:rPr>
          <w:b/>
        </w:rPr>
        <w:t xml:space="preserve">Notes: </w:t>
      </w:r>
      <w:r>
        <w:t>abstract_source=pubmed</w:t>
      </w:r>
    </w:p>
    <w:p>
      <w:pPr>
        <w:spacing w:before="0" w:after="80" w:lineRule="auto" w:line="276"/>
      </w:pPr>
      <w:r>
        <w:rPr>
          <w:b/>
        </w:rPr>
        <w:t xml:space="preserve">摘要（ZH）: </w:t>
      </w:r>
      <w:r>
        <w:t>由固定化过渡金属催化剂（TMCs）介导的生物正交催化提供了一种酶互补的前药激活方法，但通常受到高催化剂负载和精确空间组织之间权衡的限制。在此，我们通过将吖啶共轭钌配合物（Ru-ac）结合到功能化有AS1411适配体的四面体DNA框架（TDF）中，报告了一种人工金属DNA酶（Ru-ac@TDF），以增强生物正交前药激活。通过插入DNA双链碱基对之间，Ru-ac在TDF支架内实现了高密度、近原子精度的组织，同时获得了增强的溶解性和对非特异性失活的保护。在生物相关条件下，TDF内的高密度Ru-ac负载使催化效率相对于裸催化剂提高了1000倍以上。在核仁介导的癌细胞选择性摄取后，Ru-ac@TDF有效催化了alloc笼罩的多柔比星前药的细胞内激活，在体外产生显著的抗增殖效果，并在体内实现了强效的肿瘤抑制，具有增强的肿瘤内药物暴露和最小的全身毒性。总体而言，这项工作确立了可编程DNA纳米结构作为高密度和空间精度组织TMCs的结构定义平台，提供了一种概念上新的途径以增强生物正交催化。</w:t>
      </w:r>
    </w:p>
    <w:p>
      <w:pPr>
        <w:spacing w:before="0" w:after="200" w:lineRule="auto" w:line="276"/>
      </w:pPr>
      <w:r>
        <w:rPr>
          <w:b/>
        </w:rPr>
        <w:t xml:space="preserve">Abstract (EN): </w:t>
      </w:r>
      <w:r>
        <w:t>Bioorthogonal catalysis mediated by immobilized transition metal catalysts (TMCs) offers an enzyme-complementary approach for prodrug activation, but is often constrained by a trade-off between high catalyst loading and precise spatial organization. Here, we report an artificial metalloDNAzyme (Ru-ac@TDF) by incorporating acridine-conjugated ruthenium complexes (Ru-ac) into a tetrahedral DNA framework (TDF) functionalized with the AS1411 aptamer for enhanced bioorthogonal prodrug activation. By intercalating between base pairs of DNA duplexes, Ru-ac is spatially organized within the TDF scaffold, achieving high-density, near-atomic precision organization while simultaneously gaining enhanced solubility and protection from nonspecific deactivation. Under biologically relevant conditions, high-density Ru-ac loading within the TDF boosts the catalytic efficiency by over 1000-fold relative to the bare catalyst. Following nucleolin-mediated selective uptake by cancer cells, Ru-ac@TDF efficiently catalyzes intracellular activation of an alloc-caged doxorubicin prodrug, producing pronounced antiproliferative effect in vitro and potent tumor suppression in vivo, with enhanced intratumoral drug exposure and minimal systemic toxicity. Overall, this work establishes programmable DNA nanostructures as architecturally defined platform for organizing TMCs with high density and spatial precision, providing a conceptually new route toward enhanced bioorthogonal catalysis.</w:t>
      </w:r>
    </w:p>
    <w:p>
      <w:pPr>
        <w:spacing w:before="120" w:after="120"/>
      </w:pPr>
      <w:r>
        <w:rPr>
          <w:sz w:val="18"/>
        </w:rPr>
        <w:t>——————————————————————————————————————————————————————————————————————</w:t>
      </w:r>
    </w:p>
    <w:p>
      <w:pPr>
        <w:spacing w:before="160" w:after="40" w:line="240" w:lineRule="auto"/>
      </w:pPr>
      <w:r>
        <w:rPr>
          <w:b/>
        </w:rPr>
        <w:t xml:space="preserve">[407] </w:t>
      </w:r>
      <w:hyperlink r:id="rId983">
        <w:r>
          <w:rPr>
            <w:color w:val="1155CC"/>
            <w:u w:val="single"/>
          </w:rPr>
          <w:t>更正：从太阳能电池到忆阻器：卤化物钙钛矿作为神经形态电子学的平台</w:t>
        </w:r>
      </w:hyperlink>
    </w:p>
    <w:p>
      <w:pPr>
        <w:spacing w:before="0" w:after="80"/>
      </w:pPr>
      <w:r>
        <w:rPr>
          <w:i/>
          <w:sz w:val="20"/>
        </w:rPr>
        <w:t>EN: Correction: From solar cells to memristors: halide perovskites as a platform for neuromorphic electronics</w:t>
      </w:r>
    </w:p>
    <w:p>
      <w:pPr>
        <w:spacing w:before="0" w:after="120"/>
      </w:pPr>
      <w:r>
        <w:rPr>
          <w:b/>
        </w:rPr>
        <w:t xml:space="preserve">Source: </w:t>
      </w:r>
      <w:r>
        <w:t>RSC - Chem. Soc. Rev. latest articles</w:t>
      </w:r>
      <w:r>
        <w:t xml:space="preserve">    </w:t>
      </w:r>
      <w:r>
        <w:rPr>
          <w:b/>
        </w:rPr>
        <w:t xml:space="preserve">Pub date: </w:t>
      </w:r>
      <w:r>
        <w:t>2026-05-13 23:00:00+00:00</w:t>
      </w:r>
    </w:p>
    <w:p>
      <w:pPr>
        <w:spacing w:before="0" w:after="120"/>
      </w:pPr>
      <w:r>
        <w:rPr>
          <w:b/>
        </w:rPr>
        <w:t xml:space="preserve">Notes: </w:t>
      </w:r>
      <w:r>
        <w:t>abstract_source=rsc_html</w:t>
      </w:r>
    </w:p>
    <w:p>
      <w:pPr>
        <w:spacing w:before="0" w:after="80" w:lineRule="auto" w:line="276"/>
      </w:pPr>
      <w:r>
        <w:rPr>
          <w:b/>
        </w:rPr>
        <w:t xml:space="preserve">摘要（ZH）: </w:t>
      </w:r>
      <w:r>
        <w:t>对‘从太阳能电池到忆阻器：卤化物钙钛矿作为神经形态电子学平台’一文的更正，作者Natalia Yantara等，Chem. Soc. Rev., 2026, 55, 2145–2228, https://doi.org/10.1039/D5CS01222H。</w:t>
      </w:r>
    </w:p>
    <w:p>
      <w:pPr>
        <w:spacing w:before="0" w:after="200" w:lineRule="auto" w:line="276"/>
      </w:pPr>
      <w:r>
        <w:rPr>
          <w:b/>
        </w:rPr>
        <w:t xml:space="preserve">Abstract (EN): </w:t>
      </w:r>
      <w:r>
        <w:t>Correction for ‘From solar cells to memristors: halide perovskites as a platform for neuromorphic electronics’ by Natalia Yantara et al., Chem. Soc. Rev., 2026, 55, 2145–2228, https://doi.org/10.1039/D5CS01222H.</w:t>
      </w:r>
    </w:p>
    <w:p>
      <w:pPr>
        <w:spacing w:before="120" w:after="120"/>
      </w:pPr>
      <w:r>
        <w:rPr>
          <w:sz w:val="18"/>
        </w:rPr>
        <w:t>——————————————————————————————————————————————————————————————————————</w:t>
      </w:r>
    </w:p>
    <w:p>
      <w:pPr>
        <w:spacing w:before="160" w:after="40" w:line="240" w:lineRule="auto"/>
      </w:pPr>
      <w:r>
        <w:rPr>
          <w:b/>
        </w:rPr>
        <w:t xml:space="preserve">[408] </w:t>
      </w:r>
      <w:hyperlink r:id="rId984">
        <w:r>
          <w:rPr>
            <w:color w:val="1155CC"/>
            <w:u w:val="single"/>
          </w:rPr>
          <w:t>纳米塑料的多样起源和化学复杂性</w:t>
        </w:r>
      </w:hyperlink>
    </w:p>
    <w:p>
      <w:pPr>
        <w:spacing w:before="0" w:after="80"/>
      </w:pPr>
      <w:r>
        <w:rPr>
          <w:i/>
          <w:sz w:val="20"/>
        </w:rPr>
        <w:t>EN: Diverse origins and chemical complexity of nanoplastics</w:t>
      </w:r>
    </w:p>
    <w:p>
      <w:pPr>
        <w:spacing w:before="0" w:after="120"/>
      </w:pPr>
      <w:r>
        <w:rPr>
          <w:b/>
        </w:rPr>
        <w:t xml:space="preserve">Source: </w:t>
      </w:r>
      <w:r>
        <w:t>Nature Nanotechnology</w:t>
      </w:r>
      <w:r>
        <w:t xml:space="preserve">    </w:t>
      </w:r>
      <w:r>
        <w:rPr>
          <w:b/>
        </w:rPr>
        <w:t xml:space="preserve">Pub date: </w:t>
      </w:r>
      <w:r>
        <w:t>2026-05-14 00:00:00+00:00</w:t>
      </w:r>
      <w:r>
        <w:t xml:space="preserve">    </w:t>
      </w:r>
      <w:r>
        <w:rPr>
          <w:b/>
        </w:rPr>
        <w:t xml:space="preserve">DOI: </w:t>
      </w:r>
      <w:hyperlink r:id="rId985">
        <w:r>
          <w:rPr>
            <w:color w:val="1155CC"/>
            <w:u w:val="single"/>
          </w:rPr>
          <w:t>10.1038/s41565-026-02168-3</w:t>
        </w:r>
      </w:hyperlink>
    </w:p>
    <w:p>
      <w:pPr>
        <w:spacing w:before="0" w:after="120"/>
      </w:pPr>
      <w:r>
        <w:rPr>
          <w:b/>
        </w:rPr>
        <w:t xml:space="preserve">Notes: </w:t>
      </w:r>
      <w:r>
        <w:t>abstract_source=nature_html</w:t>
      </w:r>
    </w:p>
    <w:p>
      <w:pPr>
        <w:spacing w:before="0" w:after="80" w:lineRule="auto" w:line="276"/>
      </w:pPr>
      <w:r>
        <w:rPr>
          <w:b/>
        </w:rPr>
        <w:t xml:space="preserve">摘要（ZH）: </w:t>
      </w:r>
      <w:r>
        <w:t>纳米塑料的普遍存在，特别是那些来源于日常生活的纳米塑料，已成为一个重要的公共健康和环境问题。尽管研究不断增加，但对“纳米”方面的不成比例的强调仍然存在——特别是尺寸和尺寸分布——而这些颗粒的化学成分在很大程度上被忽视或仅限于聚合物的身份。这种理解上的差距阻碍了对纳米塑料环境行为和生物相互作用的全面评估。在此，我们探讨了纳米塑料的多样化来源，重点关注其化学多样性及其对环境命运和行为的相关影响。我们强调了在生产过程中产生的常被忽视的初级纳米塑料，如低分子量低聚物和聚合物形式的添加剂，将其与通过塑料聚合物基质降解形成的次级纳米塑料区分开来。我们讨论了纳米塑料的双重形式（聚集体或单个颗粒）如何影响其命运和影响。最后，我们提出了推进纳米塑料研究的建议，强调需要进行分子量表征，将初级纳米塑料纳入分析，并制定积极的策略以从源头上减轻纳米塑料污染。</w:t>
      </w:r>
    </w:p>
    <w:p>
      <w:pPr>
        <w:spacing w:before="0" w:after="200" w:lineRule="auto" w:line="276"/>
      </w:pPr>
      <w:r>
        <w:rPr>
          <w:b/>
        </w:rPr>
        <w:t xml:space="preserve">Abstract (EN): </w:t>
      </w:r>
      <w:r>
        <w:t>The pervasive presence of nanoplastics, particularly those originating from everyday sources, has emerged as a critical public health and environmental concern. Despite an expanding body of research, a disproportionate emphasis on the ‘nano’ aspect remains—specifically, the size and size distribution—while the chemical composition of these particles is largely overlooked or limited to the polymer identity. This gap in understanding hinders a comprehensive evaluation of the environmental behaviour and biological interactions of nanoplastics. Here we explore the diverse origins of nanoplastics, focusing on their chemical diversity and the associated implications for their environmental fate and behaviour. We highlight the often-neglected primary nanoplastics generated during production processes, such as low-molecular-weight oligomers and additives in polymeric forms, distinguishing them from secondary nanoplastics formed through the degradation of the plastic polymer matrix. We discuss how the dual forms of nanoplastics (aggregates or individual particles) affect their fate and implications. Finally, we propose recommendations for advancing nanoplastics research, emphasizing the need for molecular weight characterization, the incorporation of primary nanoplastics in analyses and the development of proactive strategies to mitigate nanoplastic pollution at its source.</w:t>
      </w:r>
    </w:p>
    <w:p>
      <w:pPr>
        <w:spacing w:before="120" w:after="120"/>
      </w:pPr>
      <w:r>
        <w:rPr>
          <w:sz w:val="18"/>
        </w:rPr>
        <w:t>——————————————————————————————————————————————————————————————————————</w:t>
      </w:r>
    </w:p>
    <w:p>
      <w:pPr>
        <w:spacing w:before="160" w:after="40" w:line="240" w:lineRule="auto"/>
      </w:pPr>
      <w:r>
        <w:rPr>
          <w:b/>
        </w:rPr>
        <w:t xml:space="preserve">[409] </w:t>
      </w:r>
      <w:hyperlink r:id="rId986">
        <w:r>
          <w:rPr>
            <w:color w:val="1155CC"/>
            <w:u w:val="single"/>
          </w:rPr>
          <w:t>围血管脂肪单细胞图谱识别CD55+脂肪来源干细胞作为动脉粥样硬化中血管重塑的调节因子</w:t>
        </w:r>
      </w:hyperlink>
    </w:p>
    <w:p>
      <w:pPr>
        <w:spacing w:before="0" w:after="80"/>
      </w:pPr>
      <w:r>
        <w:rPr>
          <w:i/>
          <w:sz w:val="20"/>
        </w:rPr>
        <w:t>EN: Perivascular adipose single-cell atlas identifies CD55+ adipose-derived stem cells as vascular remodeling regulators in atherosclerosis</w:t>
      </w:r>
    </w:p>
    <w:p>
      <w:pPr>
        <w:spacing w:before="0" w:after="120"/>
      </w:pPr>
      <w:r>
        <w:rPr>
          <w:b/>
        </w:rPr>
        <w:t xml:space="preserve">Source: </w:t>
      </w:r>
      <w:r>
        <w:t>Nature Communications</w:t>
      </w:r>
      <w:r>
        <w:t xml:space="preserve">    </w:t>
      </w:r>
      <w:r>
        <w:rPr>
          <w:b/>
        </w:rPr>
        <w:t xml:space="preserve">Pub date: </w:t>
      </w:r>
      <w:r>
        <w:t>2026-05-14 00:00:00+00:00</w:t>
      </w:r>
      <w:r>
        <w:t xml:space="preserve">    </w:t>
      </w:r>
      <w:r>
        <w:rPr>
          <w:b/>
        </w:rPr>
        <w:t xml:space="preserve">DOI: </w:t>
      </w:r>
      <w:hyperlink r:id="rId987">
        <w:r>
          <w:rPr>
            <w:color w:val="1155CC"/>
            <w:u w:val="single"/>
          </w:rPr>
          <w:t>10.1038/s41467-026-72962-z</w:t>
        </w:r>
      </w:hyperlink>
    </w:p>
    <w:p>
      <w:pPr>
        <w:spacing w:before="0" w:after="120"/>
      </w:pPr>
      <w:r>
        <w:rPr>
          <w:b/>
        </w:rPr>
        <w:t xml:space="preserve">Notes: </w:t>
      </w:r>
      <w:r>
        <w:t>abstract_source=nature_html</w:t>
      </w:r>
    </w:p>
    <w:p>
      <w:pPr>
        <w:spacing w:before="0" w:after="80" w:lineRule="auto" w:line="276"/>
      </w:pPr>
      <w:r>
        <w:rPr>
          <w:b/>
        </w:rPr>
        <w:t xml:space="preserve">摘要（ZH）: </w:t>
      </w:r>
      <w:r>
        <w:t>动脉粥样硬化性颈动脉狭窄是中风的主要原因，但驱动斑块不稳定的机制仍未完全了解。围血管脂肪组织（PVAT），即包围血管的脂肪，被认为在晚期动脉粥样硬化进展中起作用，但其细胞贡献在很大程度上未知。在此，我们展示了PVAT包含两种不同的脂肪来源的干细胞（ADSC，多能祖细胞在脂肪组织中）亚群。通过使用单细胞RNA测序、流式细胞术和病理染色分析169个临床样本，我们发现CD55⁺ADSCs在有症状的颈动脉狭窄或既往中风患者中升高。这些细胞迁移到斑块中，分化为内皮细胞，并通过FGF2分泌促进病理性血管生成和血管重塑，从而使斑块不稳定。第二种群体，CXCL14+ADSCs，通过CXCL12-CXCR4轴招募免疫细胞，加剧炎症。我们的研究发现将围血管CD55+ADSCs确定为动脉粥样硬化管理的治疗靶点。</w:t>
      </w:r>
    </w:p>
    <w:p>
      <w:pPr>
        <w:spacing w:before="0" w:after="200" w:lineRule="auto" w:line="276"/>
      </w:pPr>
      <w:r>
        <w:rPr>
          <w:b/>
        </w:rPr>
        <w:t xml:space="preserve">Abstract (EN): </w:t>
      </w:r>
      <w:r>
        <w:t>Atherosclerotic carotid stenosis is a major cause of stroke, yet the mechanisms driving plaque instability remain incompletely understood. Perivascular adipose tissue (PVAT), the fat surrounding blood vessels, has been implicated in advanced atherosclerosis progression, but its cellular contributions are largely unknown. Here we show that PVAT contains two distinct adipose-derived stem cell (ADSC, multipotent progenitor cells within fat tissue) subsets. By analyzing 169 clinical samples using single-cell RNA sequencing and flow cytometry and pathological staining, we identify CD55⁺ADSCs as elevated in patients with symptomatic carotid stenosis or prior stroke. These cells migrate into plaques, differentiate into endothelial cells and promote pathological angiogenesis and vascular remodeling through FGF2 secretion thereby destabilising plaques. A second population, CXCL14+ADSCs exacerbate inflammation by recruiting immune cells via the CXCL12-CXCR4 axis. Our findings identify perivascular CD55+ADSCs as a therapeutic target for atherosclerosis management.</w:t>
      </w:r>
    </w:p>
    <w:p>
      <w:pPr>
        <w:spacing w:before="120" w:after="120"/>
      </w:pPr>
      <w:r>
        <w:rPr>
          <w:sz w:val="18"/>
        </w:rPr>
        <w:t>——————————————————————————————————————————————————————————————————————</w:t>
      </w:r>
    </w:p>
    <w:p>
      <w:pPr>
        <w:spacing w:before="160" w:after="40" w:line="240" w:lineRule="auto"/>
      </w:pPr>
      <w:r>
        <w:rPr>
          <w:b/>
        </w:rPr>
        <w:t xml:space="preserve">[410] </w:t>
      </w:r>
      <w:hyperlink r:id="rId988">
        <w:r>
          <w:rPr>
            <w:color w:val="1155CC"/>
            <w:u w:val="single"/>
          </w:rPr>
          <w:t>糖基图谱化使细胞状态的功能追踪成为可能</w:t>
        </w:r>
      </w:hyperlink>
    </w:p>
    <w:p>
      <w:pPr>
        <w:spacing w:before="0" w:after="80"/>
      </w:pPr>
      <w:r>
        <w:rPr>
          <w:i/>
          <w:sz w:val="20"/>
        </w:rPr>
        <w:t>EN: Glycan atlassing enables functional tracing of cell state</w:t>
      </w:r>
    </w:p>
    <w:p>
      <w:pPr>
        <w:spacing w:before="0" w:after="120"/>
      </w:pPr>
      <w:r>
        <w:rPr>
          <w:b/>
        </w:rPr>
        <w:t xml:space="preserve">Source: </w:t>
      </w:r>
      <w:r>
        <w:t>Nature Nanotechnology</w:t>
      </w:r>
      <w:r>
        <w:t xml:space="preserve">    </w:t>
      </w:r>
      <w:r>
        <w:rPr>
          <w:b/>
        </w:rPr>
        <w:t xml:space="preserve">Pub date: </w:t>
      </w:r>
      <w:r>
        <w:t>2026-05-14 00:00:00+00:00</w:t>
      </w:r>
      <w:r>
        <w:t xml:space="preserve">    </w:t>
      </w:r>
      <w:r>
        <w:rPr>
          <w:b/>
        </w:rPr>
        <w:t xml:space="preserve">DOI: </w:t>
      </w:r>
      <w:hyperlink r:id="rId989">
        <w:r>
          <w:rPr>
            <w:color w:val="1155CC"/>
            <w:u w:val="single"/>
          </w:rPr>
          <w:t>10.1038/s41565-026-02151-y</w:t>
        </w:r>
      </w:hyperlink>
    </w:p>
    <w:p>
      <w:pPr>
        <w:spacing w:before="0" w:after="120"/>
      </w:pPr>
      <w:r>
        <w:rPr>
          <w:b/>
        </w:rPr>
        <w:t xml:space="preserve">Notes: </w:t>
      </w:r>
      <w:r>
        <w:t>abstract_source=nature_html</w:t>
      </w:r>
    </w:p>
    <w:p>
      <w:pPr>
        <w:spacing w:before="0" w:after="80" w:lineRule="auto" w:line="276"/>
      </w:pPr>
      <w:r>
        <w:rPr>
          <w:b/>
        </w:rPr>
        <w:t xml:space="preserve">摘要（ZH）: </w:t>
      </w:r>
      <w:r>
        <w:t>糖萼是包围人体所有细胞的复杂糖基化分子层。它参与调节关键的细胞过程，包括免疫反应调节、细胞粘附和宿主-病原体相互作用。尽管有这些见解，糖萼结构与细胞状态之间的功能关系仍然难以捉摸，主要是由于糖萼成分的结构多样性及其纳米级组织。在此，我们展示了DNA标记的凝集素标记和代谢寡糖工程使糖萼成分的多重超分辨率显微镜成为可能，生成了具有纳米级分辨率的糖萼结构图谱。对获得的糖萼成分纳米级地图进行定量分析，有助于提取准确报告细胞状态的特征空间关系。我们展示了我们的方法的能力，我们称之为糖链图谱，跨越细胞和组织类型，从培养的细胞系到初级免疫细胞、神经元和初级患者组织。糖链图谱建立了一种变革性策略，用于研究发育和疾病中的糖萼重塑，可能使在诊断和治疗中开发以糖萼为中心的靶点成为可能。</w:t>
      </w:r>
    </w:p>
    <w:p>
      <w:pPr>
        <w:spacing w:before="0" w:after="200" w:lineRule="auto" w:line="276"/>
      </w:pPr>
      <w:r>
        <w:rPr>
          <w:b/>
        </w:rPr>
        <w:t xml:space="preserve">Abstract (EN): </w:t>
      </w:r>
      <w:r>
        <w:t>The glycocalyx is a complex layer of glycosylated molecules that surrounds all cells in the human body. It is involved in regulating critical cellular processes, including immune response modulation, cell adhesion and host–pathogen interactions. Despite these insights, the functional relationship between the glycocalyx architecture and cellular state has remained elusive, largely due to the structural diversity of glycocalyx constituents and their nanoscale organization. Here we show that DNA-tagged lectin labelling and metabolic oligosaccharide engineering enable multiplexed super-resolution microscopy of the glycocalyx constituents, yielding an atlas of glycocalyx architecture with nanometre resolution. Quantitative analysis of the obtained nanoscale map of glycocalyx constituents facilitates the extraction of characteristic spatial relationships that accurately report on the cellular state. We demonstrate the capacity of our approach, which we term glycan atlassing, across cell and tissue types, ranging from cultured cell lines to primary immune cells, neurons and primary patient tissue. Glycan atlassing establishes a transformative strategy for investigating glycocalyx remodelling in development and disease, potentially enabling the development of glycocalyx-centred targets in diagnosis and therapy.</w:t>
      </w:r>
    </w:p>
    <w:p>
      <w:pPr>
        <w:spacing w:before="120" w:after="120"/>
      </w:pPr>
      <w:r>
        <w:rPr>
          <w:sz w:val="18"/>
        </w:rPr>
        <w:t>——————————————————————————————————————————————————————————————————————</w:t>
      </w:r>
    </w:p>
    <w:p>
      <w:pPr>
        <w:spacing w:before="160" w:after="40" w:line="240" w:lineRule="auto"/>
      </w:pPr>
      <w:r>
        <w:rPr>
          <w:b/>
        </w:rPr>
        <w:t xml:space="preserve">[411] </w:t>
      </w:r>
      <w:hyperlink r:id="rId990">
        <w:r>
          <w:rPr>
            <w:color w:val="1155CC"/>
            <w:u w:val="single"/>
          </w:rPr>
          <w:t>从细胞表面糖组的纳米级结构解码细胞状态</w:t>
        </w:r>
      </w:hyperlink>
    </w:p>
    <w:p>
      <w:pPr>
        <w:spacing w:before="0" w:after="80"/>
      </w:pPr>
      <w:r>
        <w:rPr>
          <w:i/>
          <w:sz w:val="20"/>
        </w:rPr>
        <w:t>EN: Decoding the cell state from the nanoscale architecture of the cell-surface glycome</w:t>
      </w:r>
    </w:p>
    <w:p>
      <w:pPr>
        <w:spacing w:before="0" w:after="120"/>
      </w:pPr>
      <w:r>
        <w:rPr>
          <w:b/>
        </w:rPr>
        <w:t xml:space="preserve">Source: </w:t>
      </w:r>
      <w:r>
        <w:t>Nature Nanotechnology</w:t>
      </w:r>
      <w:r>
        <w:t xml:space="preserve">    </w:t>
      </w:r>
      <w:r>
        <w:rPr>
          <w:b/>
        </w:rPr>
        <w:t xml:space="preserve">Pub date: </w:t>
      </w:r>
      <w:r>
        <w:t>2026-05-14 00:00:00+00:00</w:t>
      </w:r>
      <w:r>
        <w:t xml:space="preserve">    </w:t>
      </w:r>
      <w:r>
        <w:rPr>
          <w:b/>
        </w:rPr>
        <w:t xml:space="preserve">DOI: </w:t>
      </w:r>
      <w:hyperlink r:id="rId991">
        <w:r>
          <w:rPr>
            <w:color w:val="1155CC"/>
            <w:u w:val="single"/>
          </w:rPr>
          <w:t>10.1038/s41565-026-02154-9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[412] </w:t>
      </w:r>
      <w:hyperlink r:id="rId992">
        <w:r>
          <w:rPr>
            <w:color w:val="1155CC"/>
            <w:u w:val="single"/>
          </w:rPr>
          <w:t>货币社会互惠对中国农村家庭能源贫困减少的积极影响</w:t>
        </w:r>
      </w:hyperlink>
    </w:p>
    <w:p>
      <w:pPr>
        <w:spacing w:before="0" w:after="80"/>
      </w:pPr>
      <w:r>
        <w:rPr>
          <w:i/>
          <w:sz w:val="20"/>
        </w:rPr>
        <w:t>EN: The positive effect of monetary social reciprocity on energy poverty reduction in rural Chinese households</w:t>
      </w:r>
    </w:p>
    <w:p>
      <w:pPr>
        <w:spacing w:before="0" w:after="120"/>
      </w:pPr>
      <w:r>
        <w:rPr>
          <w:b/>
        </w:rPr>
        <w:t xml:space="preserve">Source: </w:t>
      </w:r>
      <w:r>
        <w:t>ScienceDirect Publication: Energy Policy</w:t>
      </w:r>
      <w:r>
        <w:t xml:space="preserve">    </w:t>
      </w:r>
      <w:r>
        <w:rPr>
          <w:b/>
        </w:rPr>
        <w:t xml:space="preserve">Pub date: </w:t>
      </w:r>
      <w:r>
        <w:t>2026-05-14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[413] </w:t>
      </w:r>
      <w:hyperlink r:id="rId993">
        <w:r>
          <w:rPr>
            <w:color w:val="1155CC"/>
            <w:u w:val="single"/>
          </w:rPr>
          <w:t>沸石中的Brønsted酸位点激活臭氧以生成用于CO氧化的活性氧物种</w:t>
        </w:r>
      </w:hyperlink>
    </w:p>
    <w:p>
      <w:pPr>
        <w:spacing w:before="0" w:after="80"/>
      </w:pPr>
      <w:r>
        <w:rPr>
          <w:i/>
          <w:sz w:val="20"/>
        </w:rPr>
        <w:t>EN: Brønsted acid sites in zeolites activate ozone to generate reactive oxygen species for CO oxidation</w:t>
      </w:r>
    </w:p>
    <w:p>
      <w:pPr>
        <w:spacing w:before="0" w:after="120"/>
      </w:pPr>
      <w:r>
        <w:rPr>
          <w:b/>
        </w:rPr>
        <w:t xml:space="preserve">Source: </w:t>
      </w:r>
      <w:r>
        <w:t>Nature Communications</w:t>
      </w:r>
      <w:r>
        <w:t xml:space="preserve">    </w:t>
      </w:r>
      <w:r>
        <w:rPr>
          <w:b/>
        </w:rPr>
        <w:t xml:space="preserve">Pub date: </w:t>
      </w:r>
      <w:r>
        <w:t>2026-05-14 00:00:00+00:00</w:t>
      </w:r>
      <w:r>
        <w:t xml:space="preserve">    </w:t>
      </w:r>
      <w:r>
        <w:rPr>
          <w:b/>
        </w:rPr>
        <w:t xml:space="preserve">DOI: </w:t>
      </w:r>
      <w:hyperlink r:id="rId994">
        <w:r>
          <w:rPr>
            <w:color w:val="1155CC"/>
            <w:u w:val="single"/>
          </w:rPr>
          <w:t>10.1038/s41467-026-72877-9</w:t>
        </w:r>
      </w:hyperlink>
    </w:p>
    <w:p>
      <w:pPr>
        <w:spacing w:before="0" w:after="120"/>
      </w:pPr>
      <w:r>
        <w:rPr>
          <w:b/>
        </w:rPr>
        <w:t xml:space="preserve">Notes: </w:t>
      </w:r>
      <w:r>
        <w:t>abstract_source=nature_html</w:t>
      </w:r>
    </w:p>
    <w:p>
      <w:pPr>
        <w:spacing w:before="0" w:after="80" w:lineRule="auto" w:line="276"/>
      </w:pPr>
      <w:r>
        <w:rPr>
          <w:b/>
        </w:rPr>
        <w:t xml:space="preserve">摘要（ZH）: </w:t>
      </w:r>
      <w:r>
        <w:t>低温催化氧化一氧化碳（CO）在环境催化中仍然是一个重大挑战，特别是在存在水（H2O）和二氧化硫（SO2）的条件下。在这项工作中，我们证明了质子化沸石中的布朗斯特酸位点（BAS）可以有效激活臭氧（O3），以产生活性氧物种，从而在低于150°C的温度下实现高效的CO氧化。金属氧化物、负载催化剂和沸石的系统比较表明，H型β沸石（Hβ5，Si/Al = 5）表现出最高的催化CO转化率，在室温下实现了超过40%的CO转化率。Hβ5在H2O和SO2存在下表现出比Au和Pt基催化剂更高的抗失活性。动力学研究揭示了CO转化率与BAS数量之间的线性相关性，表明BAS是该催化系统的活性位点。调制激发漫反射红外傅里叶变换光谱（ME-DRIFTS）和密度泛函理论（DFT）计算表明，O3直接与BAS相互作用形成活性氧物种，这些物种与CO反应生成二氧化碳（CO2）。我们的研究为非过渡金属基氧化催化提供了新的见解，并为在苛刻烟气环境下设计工业CO去除的稳健催化剂提供了有前景的策略。</w:t>
      </w:r>
    </w:p>
    <w:p>
      <w:pPr>
        <w:spacing w:before="0" w:after="200" w:lineRule="auto" w:line="276"/>
      </w:pPr>
      <w:r>
        <w:rPr>
          <w:b/>
        </w:rPr>
        <w:t xml:space="preserve">Abstract (EN): </w:t>
      </w:r>
      <w:r>
        <w:t>Low-temperature catalytic oxidation of carbon monoxide (CO) remains a significant challenge in environmental catalysis, especially under the conditions where water (H2O) and sulfur dioxide (SO2) are present. In this work, we demonstrate that Brønsted acid sites (BAS) in protonated zeolites can effectively activate ozone (O3) to generate reactive oxygen species for efficient CO oxidation at temperatures below 150 °C. Systematic comparison among metal oxides, supported catalysts, and zeolites reveals that H-type beta zeolite (Hβ5, Si/Al = 5) exhibits the highest catalytic CO conversion, achieving &gt;40% CO conversion at room temperature. Hβ5 shows higher resistance to deactivation in the presence of H2O and SO2 than Au and Pt-based catalysts. Kinetic studies reveal a linear correlation between CO conversion rates and the number of BASs, suggesting that BAS is an active site for this catalytic system. Modulation Excitation Diffuse Reflectance Infrared Fourier Transform Spectroscopy (ME-DRIFTS) and Density Functional Theory (DFT) calculations suggest that O3 interacts directly with a BAS to form reactive oxygen species, which react with CO to give carbon dioxide (CO2). Our findings provide new insight into non-transition-metal-based oxidation catalysis and offer a promising strategy for designing robust catalysts for industrial CO abatement under harsh flue gas environments.</w:t>
      </w:r>
    </w:p>
    <w:p>
      <w:pPr>
        <w:spacing w:before="120" w:after="120"/>
      </w:pPr>
      <w:r>
        <w:rPr>
          <w:sz w:val="18"/>
        </w:rPr>
        <w:t>——————————————————————————————————————————————————————————————————————</w:t>
      </w:r>
    </w:p>
    <w:p>
      <w:pPr>
        <w:spacing w:before="160" w:after="40" w:line="240" w:lineRule="auto"/>
      </w:pPr>
      <w:r>
        <w:rPr>
          <w:b/>
        </w:rPr>
        <w:t xml:space="preserve">[414] </w:t>
      </w:r>
      <w:hyperlink r:id="rId995">
        <w:r>
          <w:rPr>
            <w:color w:val="1155CC"/>
            <w:u w:val="single"/>
          </w:rPr>
          <w:t>亚稳态AlScN中的晶相记忆</w:t>
        </w:r>
      </w:hyperlink>
    </w:p>
    <w:p>
      <w:pPr>
        <w:spacing w:before="0" w:after="80"/>
      </w:pPr>
      <w:r>
        <w:rPr>
          <w:i/>
          <w:sz w:val="20"/>
        </w:rPr>
        <w:t>EN: Crystal-phase memory in metastable AlScN</w:t>
      </w:r>
    </w:p>
    <w:p>
      <w:pPr>
        <w:spacing w:before="0" w:after="120"/>
      </w:pPr>
      <w:r>
        <w:rPr>
          <w:b/>
        </w:rPr>
        <w:t xml:space="preserve">Source: </w:t>
      </w:r>
      <w:r>
        <w:t>Nature Materials</w:t>
      </w:r>
      <w:r>
        <w:t xml:space="preserve">    </w:t>
      </w:r>
      <w:r>
        <w:rPr>
          <w:b/>
        </w:rPr>
        <w:t xml:space="preserve">Pub date: </w:t>
      </w:r>
      <w:r>
        <w:t>2026-05-14 00:00:00+00:00</w:t>
      </w:r>
      <w:r>
        <w:t xml:space="preserve">    </w:t>
      </w:r>
      <w:r>
        <w:rPr>
          <w:b/>
        </w:rPr>
        <w:t xml:space="preserve">DOI: </w:t>
      </w:r>
      <w:hyperlink r:id="rId996">
        <w:r>
          <w:rPr>
            <w:color w:val="1155CC"/>
            <w:u w:val="single"/>
          </w:rPr>
          <w:t>10.1038/s41563-026-02599-2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[415] </w:t>
      </w:r>
      <w:hyperlink r:id="rId997">
        <w:r>
          <w:rPr>
            <w:color w:val="1155CC"/>
            <w:u w:val="single"/>
          </w:rPr>
          <w:t>在金属-GaN界面上的摩擦电感应异常摩擦伏打效应</w:t>
        </w:r>
      </w:hyperlink>
    </w:p>
    <w:p>
      <w:pPr>
        <w:spacing w:before="0" w:after="80"/>
      </w:pPr>
      <w:r>
        <w:rPr>
          <w:i/>
          <w:sz w:val="20"/>
        </w:rPr>
        <w:t>EN: Triboelectric-induced abnormal tribovoltaic effect at the metal-GaN interface</w:t>
      </w:r>
    </w:p>
    <w:p>
      <w:pPr>
        <w:spacing w:before="0" w:after="120"/>
      </w:pPr>
      <w:r>
        <w:rPr>
          <w:b/>
        </w:rPr>
        <w:t xml:space="preserve">Source: </w:t>
      </w:r>
      <w:r>
        <w:t>Joule</w:t>
      </w:r>
      <w:r>
        <w:t xml:space="preserve">    </w:t>
      </w:r>
      <w:r>
        <w:rPr>
          <w:b/>
        </w:rPr>
        <w:t xml:space="preserve">Pub date: </w:t>
      </w:r>
      <w:r>
        <w:t>2026-05-14 00:00:00+00:00</w:t>
      </w:r>
      <w:r>
        <w:t xml:space="preserve">    </w:t>
      </w:r>
      <w:r>
        <w:rPr>
          <w:b/>
        </w:rPr>
        <w:t xml:space="preserve">DOI: </w:t>
      </w:r>
      <w:hyperlink r:id="rId998">
        <w:r>
          <w:rPr>
            <w:color w:val="1155CC"/>
            <w:u w:val="single"/>
          </w:rPr>
          <w:t>10.1016/j.joule.2026.102479</w:t>
        </w:r>
      </w:hyperlink>
    </w:p>
    <w:p>
      <w:pPr>
        <w:spacing w:before="0" w:after="120"/>
      </w:pPr>
      <w:r>
        <w:rPr>
          <w:b/>
        </w:rPr>
        <w:t xml:space="preserve">Notes: </w:t>
      </w:r>
      <w:r>
        <w:t>abstract_source=rss_cell</w:t>
      </w:r>
    </w:p>
    <w:p>
      <w:pPr>
        <w:spacing w:before="0" w:after="80" w:lineRule="auto" w:line="276"/>
      </w:pPr>
      <w:r>
        <w:rPr>
          <w:b/>
        </w:rPr>
        <w:t xml:space="preserve">摘要（ZH）: </w:t>
      </w:r>
      <w:r>
        <w:t>在金属-GaN界面滑动时，意外地产生了与静态内建电场相反的直流输出。通过结合表面电势映射、理论计算和器件级演示，本研究揭示了一种摩擦驱动的非平衡电荷转移过程，用于高电压直流发电。</w:t>
      </w:r>
    </w:p>
    <w:p>
      <w:pPr>
        <w:spacing w:before="0" w:after="200" w:lineRule="auto" w:line="276"/>
      </w:pPr>
      <w:r>
        <w:rPr>
          <w:b/>
        </w:rPr>
        <w:t xml:space="preserve">Abstract (EN): </w:t>
      </w:r>
      <w:r>
        <w:t>Sliding at metal-GaN interfaces unexpectedly produces direct-current output opposite to the static built-in field. By combining surface-potential mapping, theoretical calculations, and device-level demonstrations, this study reveals a friction-driven non-equilibrium charge-transfer process for high-voltage direct-current generation.</w:t>
      </w:r>
    </w:p>
    <w:p>
      <w:pPr>
        <w:spacing w:before="120" w:after="120"/>
      </w:pPr>
      <w:r>
        <w:rPr>
          <w:sz w:val="18"/>
        </w:rPr>
        <w:t>——————————————————————————————————————————————————————————————————————</w:t>
      </w:r>
    </w:p>
    <w:p>
      <w:pPr>
        <w:spacing w:before="160" w:after="40" w:line="240" w:lineRule="auto"/>
      </w:pPr>
      <w:r>
        <w:rPr>
          <w:b/>
        </w:rPr>
        <w:t xml:space="preserve">[416] </w:t>
      </w:r>
      <w:hyperlink r:id="rId999">
        <w:r>
          <w:rPr>
            <w:color w:val="1155CC"/>
            <w:u w:val="single"/>
          </w:rPr>
          <w:t>双磷脂酶系统指导植物自噬最后阶段的膜水解</w:t>
        </w:r>
      </w:hyperlink>
    </w:p>
    <w:p>
      <w:pPr>
        <w:spacing w:before="0" w:after="80"/>
      </w:pPr>
      <w:r>
        <w:rPr>
          <w:i/>
          <w:sz w:val="20"/>
        </w:rPr>
        <w:t>EN: A dual phospholipase system instructs membrane hydrolysis during the final stages of plant autophagy</w:t>
      </w:r>
    </w:p>
    <w:p>
      <w:pPr>
        <w:spacing w:before="0" w:after="120"/>
      </w:pPr>
      <w:r>
        <w:rPr>
          <w:b/>
        </w:rPr>
        <w:t xml:space="preserve">Source: </w:t>
      </w:r>
      <w:r>
        <w:t>Nature Communications</w:t>
      </w:r>
      <w:r>
        <w:t xml:space="preserve">    </w:t>
      </w:r>
      <w:r>
        <w:rPr>
          <w:b/>
        </w:rPr>
        <w:t xml:space="preserve">Pub date: </w:t>
      </w:r>
      <w:r>
        <w:t>2026-05-14 00:00:00+00:00</w:t>
      </w:r>
      <w:r>
        <w:t xml:space="preserve">    </w:t>
      </w:r>
      <w:r>
        <w:rPr>
          <w:b/>
        </w:rPr>
        <w:t xml:space="preserve">DOI: </w:t>
      </w:r>
      <w:hyperlink r:id="rId1000">
        <w:r>
          <w:rPr>
            <w:color w:val="1155CC"/>
            <w:u w:val="single"/>
          </w:rPr>
          <w:t>10.1038/s41467-026-73116-x</w:t>
        </w:r>
      </w:hyperlink>
    </w:p>
    <w:p>
      <w:pPr>
        <w:spacing w:before="0" w:after="120"/>
      </w:pPr>
      <w:r>
        <w:rPr>
          <w:b/>
        </w:rPr>
        <w:t xml:space="preserve">Notes: </w:t>
      </w:r>
      <w:r>
        <w:t>abstract_source=nature_html</w:t>
      </w:r>
    </w:p>
    <w:p>
      <w:pPr>
        <w:spacing w:before="0" w:after="80" w:lineRule="auto" w:line="276"/>
      </w:pPr>
      <w:r>
        <w:rPr>
          <w:b/>
        </w:rPr>
        <w:t xml:space="preserve">摘要（ZH）: </w:t>
      </w:r>
      <w:r>
        <w:t>自噬是一种保守的细胞内分解代谢过程，对植物的抗逆性至关重要。在多细胞生物中，自噬体携带货物进入液泡后如何被水解以保证自噬降解仍不清楚。在此，我们发现两个拟南芥磷脂酶LCAT4和LCAT3通过根本不同的途径运输到液泡腔并汇聚到自噬体上。LCAT4直接结合ATG8并利用自噬作为运输系统，在自噬体内预包装后到达液泡，而LCAT3则独立于自噬体形成运输到溶解性隔室。敲除这两个基因会导致自噬体积累，并伴随自噬降解的减少。体内重建实验表明，LCAT3可以水解自噬体的膜，从而增强LCAT4的活性。总之，这项工作揭示了自噬的液泡阶段，表明植物已经进化出一个多组分途径，以有效破坏自噬体膜，这是完成自噬途径的关键步骤。</w:t>
      </w:r>
    </w:p>
    <w:p>
      <w:pPr>
        <w:spacing w:before="0" w:after="200" w:lineRule="auto" w:line="276"/>
      </w:pPr>
      <w:r>
        <w:rPr>
          <w:b/>
        </w:rPr>
        <w:t xml:space="preserve">Abstract (EN): </w:t>
      </w:r>
      <w:r>
        <w:t>Autophagy is a conserved intracellular catabolic process, critical for plant stress tolerance. Upon their delivery in the vacuole, how autophagic bodies containing cargo are hydrolyzed to warrant autophagy degradation remains unclear in multicellular organisms. Here, we found that two Arabidopsis phospholipases, LCAT4 and LCAT3, traffic to the vacuolar lumen and converge on autophagic bodies through fundamentally different routes. While LCAT4 directly binds ATG8 and uses autophagy as a transport system to reach the vacuole prepackaged within autophagosomes, LCAT3 traffics to the lytic compartment independently of autophagosome formation. Knocking out both genes causes an accumulation of autophagic bodies accompanied with a reduction in autophagy degradation. In vivo reconstitution demonstrated that LCAT3 can hydrolyse the membrane of autophagic bodies, enabling the activity of LCAT4 to enhance this process. Together, this work sheds light on the vacuolar stages of autophagy, showing that plants have evolved a multi-component pathway for the efficient disruption of autophagosomal membranes as a critical step for the completion of the autophagy pathway.</w:t>
      </w:r>
    </w:p>
    <w:p>
      <w:pPr>
        <w:spacing w:before="120" w:after="120"/>
      </w:pPr>
      <w:r>
        <w:rPr>
          <w:sz w:val="18"/>
        </w:rPr>
        <w:t>——————————————————————————————————————————————————————————————————————</w:t>
      </w:r>
    </w:p>
    <w:p>
      <w:pPr>
        <w:spacing w:before="160" w:after="40" w:line="240" w:lineRule="auto"/>
      </w:pPr>
      <w:r>
        <w:rPr>
          <w:b/>
        </w:rPr>
        <w:t xml:space="preserve">[417] </w:t>
      </w:r>
      <w:hyperlink r:id="rId1001">
        <w:r>
          <w:rPr>
            <w:color w:val="1155CC"/>
            <w:u w:val="single"/>
          </w:rPr>
          <w:t>无定形固态水结晶过程中多余悬挂OH键的形成</w:t>
        </w:r>
      </w:hyperlink>
    </w:p>
    <w:p>
      <w:pPr>
        <w:spacing w:before="0" w:after="80"/>
      </w:pPr>
      <w:r>
        <w:rPr>
          <w:i/>
          <w:sz w:val="20"/>
        </w:rPr>
        <w:t>EN: Formation of excess dangling OH bonds during crystallization of amorphous solid water</w:t>
      </w:r>
    </w:p>
    <w:p>
      <w:pPr>
        <w:spacing w:before="0" w:after="120"/>
      </w:pPr>
      <w:r>
        <w:rPr>
          <w:b/>
        </w:rPr>
        <w:t xml:space="preserve">Source: </w:t>
      </w:r>
      <w:r>
        <w:t>Nature Communications</w:t>
      </w:r>
      <w:r>
        <w:t xml:space="preserve">    </w:t>
      </w:r>
      <w:r>
        <w:rPr>
          <w:b/>
        </w:rPr>
        <w:t xml:space="preserve">Pub date: </w:t>
      </w:r>
      <w:r>
        <w:t>2026-05-14 00:00:00+00:00</w:t>
      </w:r>
      <w:r>
        <w:t xml:space="preserve">    </w:t>
      </w:r>
      <w:r>
        <w:rPr>
          <w:b/>
        </w:rPr>
        <w:t xml:space="preserve">DOI: </w:t>
      </w:r>
      <w:hyperlink r:id="rId1002">
        <w:r>
          <w:rPr>
            <w:color w:val="1155CC"/>
            <w:u w:val="single"/>
          </w:rPr>
          <w:t>10.1038/s41467-026-73221-x</w:t>
        </w:r>
      </w:hyperlink>
    </w:p>
    <w:p>
      <w:pPr>
        <w:spacing w:before="0" w:after="120"/>
      </w:pPr>
      <w:r>
        <w:rPr>
          <w:b/>
        </w:rPr>
        <w:t xml:space="preserve">Notes: </w:t>
      </w:r>
      <w:r>
        <w:t>abstract_source=nature_html</w:t>
      </w:r>
    </w:p>
    <w:p>
      <w:pPr>
        <w:spacing w:before="0" w:after="80" w:lineRule="auto" w:line="276"/>
      </w:pPr>
      <w:r>
        <w:rPr>
          <w:b/>
        </w:rPr>
        <w:t xml:space="preserve">摘要（ZH）: </w:t>
      </w:r>
      <w:r>
        <w:t>冰表面的悬挂OH键被认为在与行星、星际和前生物环境相关的表面反应中起着核心作用，但其直接表征受到表面氢键网络固有脆弱性的阻碍，特别是在相变条件下。在此，利用时间分辨原位红外反射吸收光谱，我们追踪了在等温结晶过程中无定形固态水转变为冰I时悬挂OH键的演变。我们观察到悬挂OH键的瞬时过量，这随着表面氢键网络的重组逐渐减少，反映了成核驱动的结晶与表面稳定化之间的竞争。这些发现为无定形固态水结晶过程中形成的亚稳态表面状态提供了直接的光谱证据，并揭示了一种可能影响冰表面反应性的表面重构途径。</w:t>
      </w:r>
    </w:p>
    <w:p>
      <w:pPr>
        <w:spacing w:before="0" w:after="200" w:lineRule="auto" w:line="276"/>
      </w:pPr>
      <w:r>
        <w:rPr>
          <w:b/>
        </w:rPr>
        <w:t xml:space="preserve">Abstract (EN): </w:t>
      </w:r>
      <w:r>
        <w:t>Dangling OH bonds on ice surfaces are thought to play a central role in surface reactions relevant to planetary, interstellar, and prebiotic environments, yet their direct characterization is hindered by the intrinsic fragility of surface hydrogen-bonding networks, particularly under phase transition conditions. Here, using time-resolved in situ infrared reflection-absorption spectroscopy, we track the evolution of dangling OH bonds during the isothermal crystallization of amorphous solid water into ice I. We observe a transient excess of dangling OH bonds that gradually diminishes as the surface hydrogen-bonding networks reorganize, reflecting competition between nucleation-driven crystallization and surface stabilization. These findings provide direct spectroscopic evidence for a metastable surface state formed during amorphous solid water crystallization and uncover a surface-restructuring pathway that may influence the reactivity of icy surfaces.</w:t>
      </w:r>
    </w:p>
    <w:p>
      <w:pPr>
        <w:spacing w:before="120" w:after="120"/>
      </w:pPr>
      <w:r>
        <w:rPr>
          <w:sz w:val="18"/>
        </w:rPr>
        <w:t>——————————————————————————————————————————————————————————————————————</w:t>
      </w:r>
    </w:p>
    <w:p>
      <w:pPr>
        <w:spacing w:before="160" w:after="40" w:line="240" w:lineRule="auto"/>
      </w:pPr>
      <w:r>
        <w:rPr>
          <w:b/>
        </w:rPr>
        <w:t xml:space="preserve">[418] </w:t>
      </w:r>
      <w:hyperlink r:id="rId1003">
        <w:r>
          <w:rPr>
            <w:color w:val="1155CC"/>
            <w:u w:val="single"/>
          </w:rPr>
          <w:t>通向交替磁性的非线性途径</w:t>
        </w:r>
      </w:hyperlink>
    </w:p>
    <w:p>
      <w:pPr>
        <w:spacing w:before="0" w:after="80"/>
      </w:pPr>
      <w:r>
        <w:rPr>
          <w:i/>
          <w:sz w:val="20"/>
        </w:rPr>
        <w:t>EN: A nonlinear route to altermagnetism</w:t>
      </w:r>
    </w:p>
    <w:p>
      <w:pPr>
        <w:spacing w:before="0" w:after="120"/>
      </w:pPr>
      <w:r>
        <w:rPr>
          <w:b/>
        </w:rPr>
        <w:t xml:space="preserve">Source: </w:t>
      </w:r>
      <w:r>
        <w:t>Nature Nanotechnology</w:t>
      </w:r>
      <w:r>
        <w:t xml:space="preserve">    </w:t>
      </w:r>
      <w:r>
        <w:rPr>
          <w:b/>
        </w:rPr>
        <w:t xml:space="preserve">Pub date: </w:t>
      </w:r>
      <w:r>
        <w:t>2026-05-14 00:00:00+00:00</w:t>
      </w:r>
      <w:r>
        <w:t xml:space="preserve">    </w:t>
      </w:r>
      <w:r>
        <w:rPr>
          <w:b/>
        </w:rPr>
        <w:t xml:space="preserve">DOI: </w:t>
      </w:r>
      <w:hyperlink r:id="rId1004">
        <w:r>
          <w:rPr>
            <w:color w:val="1155CC"/>
            <w:u w:val="single"/>
          </w:rPr>
          <w:t>10.1038/s41565-026-02169-2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[419] </w:t>
      </w:r>
      <w:hyperlink r:id="rId1005">
        <w:r>
          <w:rPr>
            <w:color w:val="1155CC"/>
            <w:u w:val="single"/>
          </w:rPr>
          <w:t>模块化小RNA驱动霍乱弧菌毒力特征的出现和环境权衡</w:t>
        </w:r>
      </w:hyperlink>
    </w:p>
    <w:p>
      <w:pPr>
        <w:spacing w:before="0" w:after="80"/>
      </w:pPr>
      <w:r>
        <w:rPr>
          <w:i/>
          <w:sz w:val="20"/>
        </w:rPr>
        <w:t>EN: Modular small RNA drives the emergence of virulence traits and environmental trade-offs in Vibrio cholerae</w:t>
      </w:r>
    </w:p>
    <w:p>
      <w:pPr>
        <w:spacing w:before="0" w:after="120"/>
      </w:pPr>
      <w:r>
        <w:rPr>
          <w:b/>
        </w:rPr>
        <w:t xml:space="preserve">Source: </w:t>
      </w:r>
      <w:r>
        <w:t>Nature Communications</w:t>
      </w:r>
      <w:r>
        <w:t xml:space="preserve">    </w:t>
      </w:r>
      <w:r>
        <w:rPr>
          <w:b/>
        </w:rPr>
        <w:t xml:space="preserve">Pub date: </w:t>
      </w:r>
      <w:r>
        <w:t>2026-05-14 00:00:00+00:00</w:t>
      </w:r>
      <w:r>
        <w:t xml:space="preserve">    </w:t>
      </w:r>
      <w:r>
        <w:rPr>
          <w:b/>
        </w:rPr>
        <w:t xml:space="preserve">DOI: </w:t>
      </w:r>
      <w:hyperlink r:id="rId1006">
        <w:r>
          <w:rPr>
            <w:color w:val="1155CC"/>
            <w:u w:val="single"/>
          </w:rPr>
          <w:t>10.1038/s41467-026-73137-6</w:t>
        </w:r>
      </w:hyperlink>
    </w:p>
    <w:p>
      <w:pPr>
        <w:spacing w:before="0" w:after="120"/>
      </w:pPr>
      <w:r>
        <w:rPr>
          <w:b/>
        </w:rPr>
        <w:t xml:space="preserve">Notes: </w:t>
      </w:r>
      <w:r>
        <w:t>abstract_source=nature_html</w:t>
      </w:r>
    </w:p>
    <w:p>
      <w:pPr>
        <w:spacing w:before="0" w:after="80" w:lineRule="auto" w:line="276"/>
      </w:pPr>
      <w:r>
        <w:rPr>
          <w:b/>
        </w:rPr>
        <w:t xml:space="preserve">摘要（ZH）: </w:t>
      </w:r>
      <w:r>
        <w:t>控制环境细菌转变为人类病原体的分子驱动因素和适应性权衡仍然是个谜。在此，我们描述了一种具有独特模块结构的小RNA（sRNA），它塑造了霍乱弧菌（霍乱病原体）的毒性进化。该sRNA由位于ompU开放阅读框内的可变5'模块和下游的保守3'区域组成。这种非典型位置赋予了OmpU编码的sRNA（OueS）独特的双模块结构，产生具有独特功能的等位基因变体。与环境对应物不同，来自毒性菌株的OueS等位基因以依赖域的方式控制宿主定植期间的关键表型：a）通过抑制RyhB抑制生物膜形成，b）通过激活CBASS系统赋予对肠道噬菌体的抵抗力，c）驱动粘液穿透。毒性OueS对于成功的肠道定植至关重要，并作为主毒力调节因子ToxR的功能替代品，控制其84%以上的调控组。然而，与环境菌株相比，该等位基因在自然储存库定植期间导致竞争适应性降低。最后，我们确定ompU开放阅读框的获取是模块化的，并受外源条件控制，为毒性霍乱弧菌的进化和细菌致病性状的出现提供了关键见解。</w:t>
      </w:r>
    </w:p>
    <w:p>
      <w:pPr>
        <w:spacing w:before="0" w:after="200" w:lineRule="auto" w:line="276"/>
      </w:pPr>
      <w:r>
        <w:rPr>
          <w:b/>
        </w:rPr>
        <w:t xml:space="preserve">Abstract (EN): </w:t>
      </w:r>
      <w:r>
        <w:t>The molecular drivers and fitness trade-offs controlling the transition of environmental bacteria into human pathogens remain enigmatic. Here, we describe a small RNA (sRNA) with a unique modular structure that shapes the evolution of toxigenic Vibrio cholerae, the agent of cholera. The sRNA comprises a variable 5’ module located within the ompU ORF and a conserved 3’ region downstream. This atypical location confers a distinct bimodular structure to the OmpU-encoded sRNA (OueS), generating allelic variants with unique functions. Unlike environmental counterparts, the OueS allele from toxigenic strains controls phenotypes essential during host colonization in a domain-dependent manner: a) inhibits biofilm formation by suppressing RyhB, b) confers resistance against intestinal bacteriophages by activating the CBASS system, and c) drives mucus penetration. Toxigenic OueS is essential for successful intestinal colonization and acts as a functional surrogate of the master virulence regulator ToxR, controlling over 84% of its regulome. However, this allele leads to reduced competitive fitness during colonization of natural reservoirs when compared to environmental ones. Finally, we determined that the acquisition of the ompU ORF is modular and controlled by exogenous conditions, providing critical insights into the evolution of toxigenic V. cholerae and the emergence of pathogenic traits in bacteria.</w:t>
      </w:r>
    </w:p>
    <w:p>
      <w:pPr>
        <w:spacing w:before="120" w:after="120"/>
      </w:pPr>
      <w:r>
        <w:rPr>
          <w:sz w:val="18"/>
        </w:rPr>
        <w:t>——————————————————————————————————————————————————————————————————————</w:t>
      </w:r>
    </w:p>
    <w:p>
      <w:pPr>
        <w:spacing w:before="160" w:after="40" w:line="240" w:lineRule="auto"/>
      </w:pPr>
      <w:r>
        <w:rPr>
          <w:b/>
        </w:rPr>
        <w:t xml:space="preserve">[420] </w:t>
      </w:r>
      <w:hyperlink r:id="rId1007">
        <w:r>
          <w:rPr>
            <w:color w:val="1155CC"/>
            <w:u w:val="single"/>
          </w:rPr>
          <w:t>出版商更正：使用DNA正交条形码解锁适配体的化学多样性</w:t>
        </w:r>
      </w:hyperlink>
    </w:p>
    <w:p>
      <w:pPr>
        <w:spacing w:before="0" w:after="80"/>
      </w:pPr>
      <w:r>
        <w:rPr>
          <w:i/>
          <w:sz w:val="20"/>
        </w:rPr>
        <w:t>EN: Publisher Correction: Unlocking chemical diversity in aptamers with DNA orthogonal barcodes</w:t>
      </w:r>
    </w:p>
    <w:p>
      <w:pPr>
        <w:spacing w:before="0" w:after="120"/>
      </w:pPr>
      <w:r>
        <w:rPr>
          <w:b/>
        </w:rPr>
        <w:t xml:space="preserve">Source: </w:t>
      </w:r>
      <w:r>
        <w:t>Nature Chemistry</w:t>
      </w:r>
      <w:r>
        <w:t xml:space="preserve">    </w:t>
      </w:r>
      <w:r>
        <w:rPr>
          <w:b/>
        </w:rPr>
        <w:t xml:space="preserve">Pub date: </w:t>
      </w:r>
      <w:r>
        <w:t>2026-05-14 00:00:00+00:00</w:t>
      </w:r>
      <w:r>
        <w:t xml:space="preserve">    </w:t>
      </w:r>
      <w:r>
        <w:rPr>
          <w:b/>
        </w:rPr>
        <w:t xml:space="preserve">DOI: </w:t>
      </w:r>
      <w:hyperlink r:id="rId1008">
        <w:r>
          <w:rPr>
            <w:color w:val="1155CC"/>
            <w:u w:val="single"/>
          </w:rPr>
          <w:t>10.1038/s41557-026-02176-9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[421] </w:t>
      </w:r>
      <w:hyperlink r:id="rId1009">
        <w:r>
          <w:rPr>
            <w:color w:val="1155CC"/>
            <w:u w:val="single"/>
          </w:rPr>
          <w:t>使用压缩光的多参数量子增强自适应计量</w:t>
        </w:r>
      </w:hyperlink>
    </w:p>
    <w:p>
      <w:pPr>
        <w:spacing w:before="0" w:after="80"/>
      </w:pPr>
      <w:r>
        <w:rPr>
          <w:i/>
          <w:sz w:val="20"/>
        </w:rPr>
        <w:t>EN: Multiparameter quantum-enhanced adaptive metrology with squeezed light</w:t>
      </w:r>
    </w:p>
    <w:p>
      <w:pPr>
        <w:spacing w:before="0" w:after="120"/>
      </w:pPr>
      <w:r>
        <w:rPr>
          <w:b/>
        </w:rPr>
        <w:t xml:space="preserve">Source: </w:t>
      </w:r>
      <w:r>
        <w:t>Nature Communications</w:t>
      </w:r>
      <w:r>
        <w:t xml:space="preserve">    </w:t>
      </w:r>
      <w:r>
        <w:rPr>
          <w:b/>
        </w:rPr>
        <w:t xml:space="preserve">Pub date: </w:t>
      </w:r>
      <w:r>
        <w:t>2026-05-14 00:00:00+00:00</w:t>
      </w:r>
      <w:r>
        <w:t xml:space="preserve">    </w:t>
      </w:r>
      <w:r>
        <w:rPr>
          <w:b/>
        </w:rPr>
        <w:t xml:space="preserve">DOI: </w:t>
      </w:r>
      <w:hyperlink r:id="rId1010">
        <w:r>
          <w:rPr>
            <w:color w:val="1155CC"/>
            <w:u w:val="single"/>
          </w:rPr>
          <w:t>10.1038/s41467-026-73069-1</w:t>
        </w:r>
      </w:hyperlink>
    </w:p>
    <w:p>
      <w:pPr>
        <w:spacing w:before="0" w:after="120"/>
      </w:pPr>
      <w:r>
        <w:rPr>
          <w:b/>
        </w:rPr>
        <w:t xml:space="preserve">Notes: </w:t>
      </w:r>
      <w:r>
        <w:t>abstract_source=nature_html</w:t>
      </w:r>
    </w:p>
    <w:p>
      <w:pPr>
        <w:spacing w:before="0" w:after="80" w:lineRule="auto" w:line="276"/>
      </w:pPr>
      <w:r>
        <w:rPr>
          <w:b/>
        </w:rPr>
        <w:t xml:space="preserve">摘要（ZH）: </w:t>
      </w:r>
      <w:r>
        <w:t>压缩光使量子增强相位估计成为可能，在基础物理学和新兴技术中具有重要应用。为了充分利用这种方法提供的优势，估计协议必须在整个参数范围内保持最佳，并对探测状态的不稳定性具有弹性。在这种情况下，依赖于预校准压缩水平的策略容易随着时间的推移而退化，并在实验条件波动时变得次优。在此，我们开发了一种用于从头相位估计的自适应多参数估计策略，在完整的周期性区间[0, π)内实现了亚射噪声极限精度，而无需依赖于压缩参数的先验知识。我们的方法采用实时反馈来共同估计光学相位和压缩水平，确保对实验漂移和校准误差的鲁棒性。这种自校准方案建立了一个可靠的量子增强传感框架，为使用压缩光的实际场景和可扩展分布式传感器网络开辟了新途径。</w:t>
      </w:r>
    </w:p>
    <w:p>
      <w:pPr>
        <w:spacing w:before="0" w:after="200" w:lineRule="auto" w:line="276"/>
      </w:pPr>
      <w:r>
        <w:rPr>
          <w:b/>
        </w:rPr>
        <w:t xml:space="preserve">Abstract (EN): </w:t>
      </w:r>
      <w:r>
        <w:t>Squeezed light enables quantum-enhanced phase estimation, with crucial applications in both fundamental physics and emerging technologies. To fully exploit the advantage provided by this approach, estimation protocols must remain optimal across the entire parameter range and resilient to instabilities in the probe state. In this context, strategies that rely on pre-calibrated squeezing levels are vulnerable to degradation over time and become sub-optimal when experimental conditions fluctuate. Here, we develop an adaptive multiparameter estimation strategy for ab-initio phase estimation, achieving sub-shot noise limit precision in the full periodicity interval [0, π), without relying on prior knowledge of the squeezing parameter. Our approach employs real-time feedback to jointly estimate both the optical phase and the squeezing level, ensuring robustness against experimental drifts and calibration errors. This self-calibrating scheme establishes a reliable quantum-enhanced sensing framework, opening new routes for practical scenarios and scalable distributed sensor networks using squeezed light.</w:t>
      </w:r>
    </w:p>
    <w:p>
      <w:pPr>
        <w:spacing w:before="120" w:after="120"/>
      </w:pPr>
      <w:r>
        <w:rPr>
          <w:sz w:val="18"/>
        </w:rPr>
        <w:t>——————————————————————————————————————————————————————————————————————</w:t>
      </w:r>
    </w:p>
    <w:p>
      <w:pPr>
        <w:spacing w:before="160" w:after="40" w:line="240" w:lineRule="auto"/>
      </w:pPr>
      <w:r>
        <w:rPr>
          <w:b/>
        </w:rPr>
        <w:t xml:space="preserve">[422] </w:t>
      </w:r>
      <w:hyperlink r:id="rId1011">
        <w:r>
          <w:rPr>
            <w:color w:val="1155CC"/>
            <w:u w:val="single"/>
          </w:rPr>
          <w:t>冷泉海底观测站修正了“慢车道生活”的概念</w:t>
        </w:r>
      </w:hyperlink>
    </w:p>
    <w:p>
      <w:pPr>
        <w:spacing w:before="0" w:after="80"/>
      </w:pPr>
      <w:r>
        <w:rPr>
          <w:i/>
          <w:sz w:val="20"/>
        </w:rPr>
        <w:t>EN: Cold seep seafloor observatories revise the notion of “life in the slow lane”</w:t>
      </w:r>
    </w:p>
    <w:p>
      <w:pPr>
        <w:spacing w:before="0" w:after="120"/>
      </w:pPr>
      <w:r>
        <w:rPr>
          <w:b/>
        </w:rPr>
        <w:t xml:space="preserve">Source: </w:t>
      </w:r>
      <w:r>
        <w:t>National Science Review Advance Access</w:t>
      </w:r>
      <w:r>
        <w:t xml:space="preserve">    </w:t>
      </w:r>
      <w:r>
        <w:rPr>
          <w:b/>
        </w:rPr>
        <w:t xml:space="preserve">Pub date: </w:t>
      </w:r>
      <w:r>
        <w:t>2026-05-14 00:00:00+00:00</w:t>
      </w:r>
      <w:r>
        <w:t xml:space="preserve">    </w:t>
      </w:r>
      <w:r>
        <w:rPr>
          <w:b/>
        </w:rPr>
        <w:t xml:space="preserve">DOI: </w:t>
      </w:r>
      <w:hyperlink r:id="rId1012">
        <w:r>
          <w:rPr>
            <w:color w:val="1155CC"/>
            <w:u w:val="single"/>
          </w:rPr>
          <w:t>10.1093/nsr/nwag267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[423] </w:t>
      </w:r>
      <w:hyperlink r:id="rId1013">
        <w:r>
          <w:rPr>
            <w:color w:val="1155CC"/>
            <w:u w:val="single"/>
          </w:rPr>
          <w:t>基于用户偏好聚类的智能建筑电动汽车充电优化在不确定性下</w:t>
        </w:r>
      </w:hyperlink>
    </w:p>
    <w:p>
      <w:pPr>
        <w:spacing w:before="0" w:after="80"/>
      </w:pPr>
      <w:r>
        <w:rPr>
          <w:i/>
          <w:sz w:val="20"/>
        </w:rPr>
        <w:t>EN: User preference cluster-based optimization for electric vehicles charging in smart buildings under uncertainty</w:t>
      </w:r>
    </w:p>
    <w:p>
      <w:pPr>
        <w:spacing w:before="0" w:after="120"/>
      </w:pPr>
      <w:r>
        <w:rPr>
          <w:b/>
        </w:rPr>
        <w:t xml:space="preserve">Source: </w:t>
      </w:r>
      <w:r>
        <w:t>ScienceDirect Publication: Applied Energy</w:t>
      </w:r>
      <w:r>
        <w:t xml:space="preserve">    </w:t>
      </w:r>
      <w:r>
        <w:rPr>
          <w:b/>
        </w:rPr>
        <w:t xml:space="preserve">Pub date: </w:t>
      </w:r>
      <w:r>
        <w:t>2026-05-14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[424] </w:t>
      </w:r>
      <w:hyperlink r:id="rId1014">
        <w:r>
          <w:rPr>
            <w:color w:val="1155CC"/>
            <w:u w:val="single"/>
          </w:rPr>
          <w:t>NIH人员短缺可能导致今年新发放的拨款数量大幅减少</w:t>
        </w:r>
      </w:hyperlink>
    </w:p>
    <w:p>
      <w:pPr>
        <w:spacing w:before="0" w:after="80"/>
      </w:pPr>
      <w:r>
        <w:rPr>
          <w:i/>
          <w:sz w:val="20"/>
        </w:rPr>
        <w:t>EN: NIH staffing shortage could slash number of new grants issued this year</w:t>
      </w:r>
    </w:p>
    <w:p>
      <w:pPr>
        <w:spacing w:before="0" w:after="120"/>
      </w:pPr>
      <w:r>
        <w:rPr>
          <w:b/>
        </w:rPr>
        <w:t xml:space="preserve">Source: </w:t>
      </w:r>
      <w:r>
        <w:t>Nature</w:t>
      </w:r>
      <w:r>
        <w:t xml:space="preserve">    </w:t>
      </w:r>
      <w:r>
        <w:rPr>
          <w:b/>
        </w:rPr>
        <w:t xml:space="preserve">Pub date: </w:t>
      </w:r>
      <w:r>
        <w:t>2026-05-14 00:00:00+00:00</w:t>
      </w:r>
      <w:r>
        <w:t xml:space="preserve">    </w:t>
      </w:r>
      <w:r>
        <w:rPr>
          <w:b/>
        </w:rPr>
        <w:t xml:space="preserve">DOI: </w:t>
      </w:r>
      <w:hyperlink r:id="rId1015">
        <w:r>
          <w:rPr>
            <w:color w:val="1155CC"/>
            <w:u w:val="single"/>
          </w:rPr>
          <w:t>10.1038/d41586-026-01537-1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[425] </w:t>
      </w:r>
      <w:hyperlink r:id="rId1016">
        <w:r>
          <w:rPr>
            <w:color w:val="1155CC"/>
            <w:u w:val="single"/>
          </w:rPr>
          <w:t>集中式和分散式能源管理策略在集体自消费方案中进行能源共享的技术经济评估</w:t>
        </w:r>
      </w:hyperlink>
    </w:p>
    <w:p>
      <w:pPr>
        <w:spacing w:before="0" w:after="80"/>
      </w:pPr>
      <w:r>
        <w:rPr>
          <w:i/>
          <w:sz w:val="20"/>
        </w:rPr>
        <w:t>EN: Techno-economic assessment of centralized and decentralized energy management strategies for energy sharing in collective self-consumption schemes</w:t>
      </w:r>
    </w:p>
    <w:p>
      <w:pPr>
        <w:spacing w:before="0" w:after="120"/>
      </w:pPr>
      <w:r>
        <w:rPr>
          <w:b/>
        </w:rPr>
        <w:t xml:space="preserve">Source: </w:t>
      </w:r>
      <w:r>
        <w:t>ScienceDirect Publication: Applied Energy</w:t>
      </w:r>
      <w:r>
        <w:t xml:space="preserve">    </w:t>
      </w:r>
      <w:r>
        <w:rPr>
          <w:b/>
        </w:rPr>
        <w:t xml:space="preserve">Pub date: </w:t>
      </w:r>
      <w:r>
        <w:t>2026-05-14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[426] </w:t>
      </w:r>
      <w:hyperlink r:id="rId1017">
        <w:r>
          <w:rPr>
            <w:color w:val="1155CC"/>
            <w:u w:val="single"/>
          </w:rPr>
          <w:t>化学过程数字孪生的知识图谱框架</w:t>
        </w:r>
      </w:hyperlink>
    </w:p>
    <w:p>
      <w:pPr>
        <w:spacing w:before="0" w:after="80"/>
      </w:pPr>
      <w:r>
        <w:rPr>
          <w:i/>
          <w:sz w:val="20"/>
        </w:rPr>
        <w:t>EN: A knowledge graph framework for digital twins of chemical processes</w:t>
      </w:r>
    </w:p>
    <w:p>
      <w:pPr>
        <w:spacing w:before="0" w:after="120"/>
      </w:pPr>
      <w:r>
        <w:rPr>
          <w:b/>
        </w:rPr>
        <w:t xml:space="preserve">Source: </w:t>
      </w:r>
      <w:r>
        <w:t>Nature Chemical Engineering</w:t>
      </w:r>
      <w:r>
        <w:t xml:space="preserve">    </w:t>
      </w:r>
      <w:r>
        <w:rPr>
          <w:b/>
        </w:rPr>
        <w:t xml:space="preserve">Pub date: </w:t>
      </w:r>
      <w:r>
        <w:t>2026-05-14 00:00:00+00:00</w:t>
      </w:r>
      <w:r>
        <w:t xml:space="preserve">    </w:t>
      </w:r>
      <w:r>
        <w:rPr>
          <w:b/>
        </w:rPr>
        <w:t xml:space="preserve">DOI: </w:t>
      </w:r>
      <w:hyperlink r:id="rId1018">
        <w:r>
          <w:rPr>
            <w:color w:val="1155CC"/>
            <w:u w:val="single"/>
          </w:rPr>
          <w:t>10.1038/s44286-026-00392-1</w:t>
        </w:r>
      </w:hyperlink>
    </w:p>
    <w:p>
      <w:pPr>
        <w:spacing w:before="0" w:after="120"/>
      </w:pPr>
      <w:r>
        <w:rPr>
          <w:b/>
        </w:rPr>
        <w:t xml:space="preserve">Notes: </w:t>
      </w:r>
      <w:r>
        <w:t>abstract_source=nature_html</w:t>
      </w:r>
    </w:p>
    <w:p>
      <w:pPr>
        <w:spacing w:before="0" w:after="80" w:lineRule="auto" w:line="276"/>
      </w:pPr>
      <w:r>
        <w:rPr>
          <w:b/>
        </w:rPr>
        <w:t xml:space="preserve">摘要（ZH）: </w:t>
      </w:r>
      <w:r>
        <w:t>数字孪生技术通过虚拟复制真实系统并融合数据、模型和领域知识，是加速化学过程开发和应对可持续性挑战的关键技术。尽管其潜力巨大，但一个关键挑战在于缺乏系统的方法来整合数据、领域知识和预测模型，以有效地情境化和表示化学过程。在此，我们提出了一种与自主功能代理相关的知识图谱框架，以支持化学过程数字孪生的开发，实现化学数据库、人工智能模型和大型语言模型的无缝整合。为化学过程的物理模型开发本体，允许可扩展的模型构建和校准。我们通过实际案例研究展示了该框架，重点是自下而上的模型组装、自上而下的模型搜索和基于模型的反应优化。该框架提供了一种管理模型的方法，作为化学过程知识的存储库，为未来化学过程开发和制造的数字孪生技术奠定了基础。</w:t>
      </w:r>
    </w:p>
    <w:p>
      <w:pPr>
        <w:spacing w:before="0" w:after="200" w:lineRule="auto" w:line="276"/>
      </w:pPr>
      <w:r>
        <w:rPr>
          <w:b/>
        </w:rPr>
        <w:t xml:space="preserve">Abstract (EN): </w:t>
      </w:r>
      <w:r>
        <w:t>A digital twin, which virtually replicates a real system and fuses data, models and domain knowledge, is a key technology for accelerating chemical process development and addressing sustainability challenges. Despite its potential, one critical challenge lies in the lack of a systematic approach to integrate data, domain knowledge and predictive models to contextualize and represent chemical processes effectively. Here we propose a knowledge graph framework associated with autonomous functional agents to support the development of digital twins for chemical processes, enabling the seamless incorporation of chemical databases, artificial intelligence models and large language models. Ontologies are developed for physical models of chemical processes, allowing scalable model construction and calibration. We demonstrate the framework with practical case studies focusing on bottom-up model assembly, top-down model search and model-based reaction optimization. The framework presents an approach to manage models as a depository of chemical process knowledge, providing a foundation of digital twin technology for future chemical process development and manufacturing.The alternative text for this image may have been generated using AI.</w:t>
      </w:r>
    </w:p>
    <w:p>
      <w:pPr>
        <w:spacing w:before="120" w:after="120"/>
      </w:pPr>
      <w:r>
        <w:rPr>
          <w:sz w:val="18"/>
        </w:rPr>
        <w:t>——————————————————————————————————————————————————————————————————————</w:t>
      </w:r>
    </w:p>
    <w:p>
      <w:pPr>
        <w:spacing w:before="160" w:after="40" w:line="240" w:lineRule="auto"/>
      </w:pPr>
      <w:r>
        <w:rPr>
          <w:b/>
        </w:rPr>
        <w:t xml:space="preserve">[427] </w:t>
      </w:r>
      <w:hyperlink r:id="rId1019">
        <w:r>
          <w:rPr>
            <w:color w:val="1155CC"/>
            <w:u w:val="single"/>
          </w:rPr>
          <w:t>由于湿度可用性下降，全球陆地生态系统呼吸量三十年来的减少</w:t>
        </w:r>
      </w:hyperlink>
    </w:p>
    <w:p>
      <w:pPr>
        <w:spacing w:before="0" w:after="80"/>
      </w:pPr>
      <w:r>
        <w:rPr>
          <w:i/>
          <w:sz w:val="20"/>
        </w:rPr>
        <w:t>EN: Thirty years of decrease in global terrestrial ecosystem respiration due to declining moisture availability</w:t>
      </w:r>
    </w:p>
    <w:p>
      <w:pPr>
        <w:spacing w:before="0" w:after="120"/>
      </w:pPr>
      <w:r>
        <w:rPr>
          <w:b/>
        </w:rPr>
        <w:t xml:space="preserve">Source: </w:t>
      </w:r>
      <w:r>
        <w:t>One Earth</w:t>
      </w:r>
      <w:r>
        <w:t xml:space="preserve">    </w:t>
      </w:r>
      <w:r>
        <w:rPr>
          <w:b/>
        </w:rPr>
        <w:t xml:space="preserve">Pub date: </w:t>
      </w:r>
      <w:r>
        <w:t>2026-05-14 00:00:00+00:00</w:t>
      </w:r>
      <w:r>
        <w:t xml:space="preserve">    </w:t>
      </w:r>
      <w:r>
        <w:rPr>
          <w:b/>
        </w:rPr>
        <w:t xml:space="preserve">DOI: </w:t>
      </w:r>
      <w:hyperlink r:id="rId1020">
        <w:r>
          <w:rPr>
            <w:color w:val="1155CC"/>
            <w:u w:val="single"/>
          </w:rPr>
          <w:t>10.1016/j.oneear.2026.101705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[428] </w:t>
      </w:r>
      <w:hyperlink r:id="rId1021">
        <w:r>
          <w:rPr>
            <w:color w:val="1155CC"/>
            <w:u w:val="single"/>
          </w:rPr>
          <w:t>心理健康研究常常是隐形的——是时候改变这一点了</w:t>
        </w:r>
      </w:hyperlink>
    </w:p>
    <w:p>
      <w:pPr>
        <w:spacing w:before="0" w:after="80"/>
      </w:pPr>
      <w:r>
        <w:rPr>
          <w:i/>
          <w:sz w:val="20"/>
        </w:rPr>
        <w:t>EN: Mental-health research is too often invisible — it is time to change that</w:t>
      </w:r>
    </w:p>
    <w:p>
      <w:pPr>
        <w:spacing w:before="0" w:after="120"/>
      </w:pPr>
      <w:r>
        <w:rPr>
          <w:b/>
        </w:rPr>
        <w:t xml:space="preserve">Source: </w:t>
      </w:r>
      <w:r>
        <w:t>Nature</w:t>
      </w:r>
      <w:r>
        <w:t xml:space="preserve">    </w:t>
      </w:r>
      <w:r>
        <w:rPr>
          <w:b/>
        </w:rPr>
        <w:t xml:space="preserve">Pub date: </w:t>
      </w:r>
      <w:r>
        <w:t>2026-05-14 00:00:00+00:00</w:t>
      </w:r>
      <w:r>
        <w:t xml:space="preserve">    </w:t>
      </w:r>
      <w:r>
        <w:rPr>
          <w:b/>
        </w:rPr>
        <w:t xml:space="preserve">DOI: </w:t>
      </w:r>
      <w:hyperlink r:id="rId1022">
        <w:r>
          <w:rPr>
            <w:color w:val="1155CC"/>
            <w:u w:val="single"/>
          </w:rPr>
          <w:t>10.1038/d41586-026-01550-4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[429] </w:t>
      </w:r>
      <w:hyperlink r:id="rId1023">
        <w:r>
          <w:rPr>
            <w:color w:val="1155CC"/>
            <w:u w:val="single"/>
          </w:rPr>
          <w:t>血液中的免疫细胞推动认知老化——阻断它们可改善记忆</w:t>
        </w:r>
      </w:hyperlink>
    </w:p>
    <w:p>
      <w:pPr>
        <w:spacing w:before="0" w:after="80"/>
      </w:pPr>
      <w:r>
        <w:rPr>
          <w:i/>
          <w:sz w:val="20"/>
        </w:rPr>
        <w:t>EN: Immune cells in the blood drive cognitive ageing — blocking them improves memory</w:t>
      </w:r>
    </w:p>
    <w:p>
      <w:pPr>
        <w:spacing w:before="0" w:after="120"/>
      </w:pPr>
      <w:r>
        <w:rPr>
          <w:b/>
        </w:rPr>
        <w:t xml:space="preserve">Source: </w:t>
      </w:r>
      <w:r>
        <w:t>Nature</w:t>
      </w:r>
      <w:r>
        <w:t xml:space="preserve">    </w:t>
      </w:r>
      <w:r>
        <w:rPr>
          <w:b/>
        </w:rPr>
        <w:t xml:space="preserve">Pub date: </w:t>
      </w:r>
      <w:r>
        <w:t>2026-05-14 00:00:00+00:00</w:t>
      </w:r>
      <w:r>
        <w:t xml:space="preserve">    </w:t>
      </w:r>
      <w:r>
        <w:rPr>
          <w:b/>
        </w:rPr>
        <w:t xml:space="preserve">DOI: </w:t>
      </w:r>
      <w:hyperlink r:id="rId1024">
        <w:r>
          <w:rPr>
            <w:color w:val="1155CC"/>
            <w:u w:val="single"/>
          </w:rPr>
          <w:t>10.1038/d41586-026-01531-7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[430] </w:t>
      </w:r>
      <w:hyperlink r:id="rId1025">
        <w:r>
          <w:rPr>
            <w:color w:val="1155CC"/>
            <w:u w:val="single"/>
          </w:rPr>
          <w:t>社会科学预印本网站上的幻觉引用最多</w:t>
        </w:r>
      </w:hyperlink>
    </w:p>
    <w:p>
      <w:pPr>
        <w:spacing w:before="0" w:after="80"/>
      </w:pPr>
      <w:r>
        <w:rPr>
          <w:i/>
          <w:sz w:val="20"/>
        </w:rPr>
        <w:t>EN: Hallucinated citations highest in social sciences preprints site</w:t>
      </w:r>
    </w:p>
    <w:p>
      <w:pPr>
        <w:spacing w:before="0" w:after="120"/>
      </w:pPr>
      <w:r>
        <w:rPr>
          <w:b/>
        </w:rPr>
        <w:t xml:space="preserve">Source: </w:t>
      </w:r>
      <w:r>
        <w:t>Nature</w:t>
      </w:r>
      <w:r>
        <w:t xml:space="preserve">    </w:t>
      </w:r>
      <w:r>
        <w:rPr>
          <w:b/>
        </w:rPr>
        <w:t xml:space="preserve">Pub date: </w:t>
      </w:r>
      <w:r>
        <w:t>2026-05-14 00:00:00+00:00</w:t>
      </w:r>
      <w:r>
        <w:t xml:space="preserve">    </w:t>
      </w:r>
      <w:r>
        <w:rPr>
          <w:b/>
        </w:rPr>
        <w:t xml:space="preserve">DOI: </w:t>
      </w:r>
      <w:hyperlink r:id="rId1026">
        <w:r>
          <w:rPr>
            <w:color w:val="1155CC"/>
            <w:u w:val="single"/>
          </w:rPr>
          <w:t>10.1038/d41586-026-01545-1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[431] </w:t>
      </w:r>
      <w:hyperlink r:id="rId1027">
        <w:r>
          <w:rPr>
            <w:color w:val="1155CC"/>
            <w:u w:val="single"/>
          </w:rPr>
          <w:t>我们真的要迎来一个“超级”厄尔尼诺吗？科学怎么说</w:t>
        </w:r>
      </w:hyperlink>
    </w:p>
    <w:p>
      <w:pPr>
        <w:spacing w:before="0" w:after="80"/>
      </w:pPr>
      <w:r>
        <w:rPr>
          <w:i/>
          <w:sz w:val="20"/>
        </w:rPr>
        <w:t>EN: Are we really headed for a ‘super’ El Niño? What the science says</w:t>
      </w:r>
    </w:p>
    <w:p>
      <w:pPr>
        <w:spacing w:before="0" w:after="120"/>
      </w:pPr>
      <w:r>
        <w:rPr>
          <w:b/>
        </w:rPr>
        <w:t xml:space="preserve">Source: </w:t>
      </w:r>
      <w:r>
        <w:t>Nature</w:t>
      </w:r>
      <w:r>
        <w:t xml:space="preserve">    </w:t>
      </w:r>
      <w:r>
        <w:rPr>
          <w:b/>
        </w:rPr>
        <w:t xml:space="preserve">Pub date: </w:t>
      </w:r>
      <w:r>
        <w:t>2026-05-14 00:00:00+00:00</w:t>
      </w:r>
      <w:r>
        <w:t xml:space="preserve">    </w:t>
      </w:r>
      <w:r>
        <w:rPr>
          <w:b/>
        </w:rPr>
        <w:t xml:space="preserve">DOI: </w:t>
      </w:r>
      <w:hyperlink r:id="rId1028">
        <w:r>
          <w:rPr>
            <w:color w:val="1155CC"/>
            <w:u w:val="single"/>
          </w:rPr>
          <w:t>10.1038/d41586-026-01538-0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[432] </w:t>
      </w:r>
      <w:hyperlink r:id="rId1029">
        <w:r>
          <w:rPr>
            <w:color w:val="1155CC"/>
            <w:u w:val="single"/>
          </w:rPr>
          <w:t>PSA前列腺癌检测能拯救生命吗？新数据推翻了金标准发现</w:t>
        </w:r>
      </w:hyperlink>
    </w:p>
    <w:p>
      <w:pPr>
        <w:spacing w:before="0" w:after="80"/>
      </w:pPr>
      <w:r>
        <w:rPr>
          <w:i/>
          <w:sz w:val="20"/>
        </w:rPr>
        <w:t>EN: Does the PSA test for prostate cancer save lives? New data reverse gold-standard findings</w:t>
      </w:r>
    </w:p>
    <w:p>
      <w:pPr>
        <w:spacing w:before="0" w:after="120"/>
      </w:pPr>
      <w:r>
        <w:rPr>
          <w:b/>
        </w:rPr>
        <w:t xml:space="preserve">Source: </w:t>
      </w:r>
      <w:r>
        <w:t>Nature</w:t>
      </w:r>
      <w:r>
        <w:t xml:space="preserve">    </w:t>
      </w:r>
      <w:r>
        <w:rPr>
          <w:b/>
        </w:rPr>
        <w:t xml:space="preserve">Pub date: </w:t>
      </w:r>
      <w:r>
        <w:t>2026-05-14 00:00:00+00:00</w:t>
      </w:r>
      <w:r>
        <w:t xml:space="preserve">    </w:t>
      </w:r>
      <w:r>
        <w:rPr>
          <w:b/>
        </w:rPr>
        <w:t xml:space="preserve">DOI: </w:t>
      </w:r>
      <w:hyperlink r:id="rId1030">
        <w:r>
          <w:rPr>
            <w:color w:val="1155CC"/>
            <w:u w:val="single"/>
          </w:rPr>
          <w:t>10.1038/d41586-026-01549-x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[433] </w:t>
      </w:r>
      <w:hyperlink r:id="rId1031">
        <w:r>
          <w:rPr>
            <w:color w:val="1155CC"/>
            <w:u w:val="single"/>
          </w:rPr>
          <w:t>拖延、生产力和灵感：研究如何像设计电子游戏</w:t>
        </w:r>
      </w:hyperlink>
    </w:p>
    <w:p>
      <w:pPr>
        <w:spacing w:before="0" w:after="80"/>
      </w:pPr>
      <w:r>
        <w:rPr>
          <w:i/>
          <w:sz w:val="20"/>
        </w:rPr>
        <w:t>EN: Procrastination, productivity and inspiration: how research is like designing video games</w:t>
      </w:r>
    </w:p>
    <w:p>
      <w:pPr>
        <w:spacing w:before="0" w:after="120"/>
      </w:pPr>
      <w:r>
        <w:rPr>
          <w:b/>
        </w:rPr>
        <w:t xml:space="preserve">Source: </w:t>
      </w:r>
      <w:r>
        <w:t>Nature</w:t>
      </w:r>
      <w:r>
        <w:t xml:space="preserve">    </w:t>
      </w:r>
      <w:r>
        <w:rPr>
          <w:b/>
        </w:rPr>
        <w:t xml:space="preserve">Pub date: </w:t>
      </w:r>
      <w:r>
        <w:t>2026-05-14 00:00:00+00:00</w:t>
      </w:r>
      <w:r>
        <w:t xml:space="preserve">    </w:t>
      </w:r>
      <w:r>
        <w:rPr>
          <w:b/>
        </w:rPr>
        <w:t xml:space="preserve">DOI: </w:t>
      </w:r>
      <w:hyperlink r:id="rId1032">
        <w:r>
          <w:rPr>
            <w:color w:val="1155CC"/>
            <w:u w:val="single"/>
          </w:rPr>
          <w:t>10.1038/d41586-026-00895-0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[434] </w:t>
      </w:r>
      <w:hyperlink r:id="rId1033">
        <w:r>
          <w:rPr>
            <w:color w:val="1155CC"/>
            <w:u w:val="single"/>
          </w:rPr>
          <w:t>作者更正：AIM2炎症小体加剧克隆性造血中的动脉粥样硬化</w:t>
        </w:r>
      </w:hyperlink>
    </w:p>
    <w:p>
      <w:pPr>
        <w:spacing w:before="0" w:after="80"/>
      </w:pPr>
      <w:r>
        <w:rPr>
          <w:i/>
          <w:sz w:val="20"/>
        </w:rPr>
        <w:t>EN: Author Correction: The AIM2 inflammasome exacerbates atherosclerosis in clonal haematopoiesis</w:t>
      </w:r>
    </w:p>
    <w:p>
      <w:pPr>
        <w:spacing w:before="0" w:after="120"/>
      </w:pPr>
      <w:r>
        <w:rPr>
          <w:b/>
        </w:rPr>
        <w:t xml:space="preserve">Source: </w:t>
      </w:r>
      <w:r>
        <w:t>Nature</w:t>
      </w:r>
      <w:r>
        <w:t xml:space="preserve">    </w:t>
      </w:r>
      <w:r>
        <w:rPr>
          <w:b/>
        </w:rPr>
        <w:t xml:space="preserve">Pub date: </w:t>
      </w:r>
      <w:r>
        <w:t>2026-05-14 00:00:00+00:00</w:t>
      </w:r>
      <w:r>
        <w:t xml:space="preserve">    </w:t>
      </w:r>
      <w:r>
        <w:rPr>
          <w:b/>
        </w:rPr>
        <w:t xml:space="preserve">DOI: </w:t>
      </w:r>
      <w:hyperlink r:id="rId1034">
        <w:r>
          <w:rPr>
            <w:color w:val="1155CC"/>
            <w:u w:val="single"/>
          </w:rPr>
          <w:t>10.1038/s41586-026-10573-w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[435] </w:t>
      </w:r>
      <w:hyperlink r:id="rId1035">
        <w:r>
          <w:rPr>
            <w:color w:val="1155CC"/>
            <w:u w:val="single"/>
          </w:rPr>
          <w:t>作者更正：餐后脂质代谢持久增强T细胞免疫</w:t>
        </w:r>
      </w:hyperlink>
    </w:p>
    <w:p>
      <w:pPr>
        <w:spacing w:before="0" w:after="80"/>
      </w:pPr>
      <w:r>
        <w:rPr>
          <w:i/>
          <w:sz w:val="20"/>
        </w:rPr>
        <w:t>EN: Author Correction: Postprandial lipid metabolism durably enhances T cell immunity</w:t>
      </w:r>
    </w:p>
    <w:p>
      <w:pPr>
        <w:spacing w:before="0" w:after="120"/>
      </w:pPr>
      <w:r>
        <w:rPr>
          <w:b/>
        </w:rPr>
        <w:t xml:space="preserve">Source: </w:t>
      </w:r>
      <w:r>
        <w:t>Nature</w:t>
      </w:r>
      <w:r>
        <w:t xml:space="preserve">    </w:t>
      </w:r>
      <w:r>
        <w:rPr>
          <w:b/>
        </w:rPr>
        <w:t xml:space="preserve">Pub date: </w:t>
      </w:r>
      <w:r>
        <w:t>2026-05-14 00:00:00+00:00</w:t>
      </w:r>
      <w:r>
        <w:t xml:space="preserve">    </w:t>
      </w:r>
      <w:r>
        <w:rPr>
          <w:b/>
        </w:rPr>
        <w:t xml:space="preserve">DOI: </w:t>
      </w:r>
      <w:hyperlink r:id="rId1036">
        <w:r>
          <w:rPr>
            <w:color w:val="1155CC"/>
            <w:u w:val="single"/>
          </w:rPr>
          <w:t>10.1038/s41586-026-10620-6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[436] </w:t>
      </w:r>
      <w:hyperlink r:id="rId1037">
        <w:r>
          <w:rPr>
            <w:color w:val="1155CC"/>
            <w:u w:val="single"/>
          </w:rPr>
          <w:t>诱导效应逆转驱动聚合物催化剂中催化位点的高效光充电以连续流合成H2O2</w:t>
        </w:r>
      </w:hyperlink>
    </w:p>
    <w:p>
      <w:pPr>
        <w:spacing w:before="0" w:after="80"/>
      </w:pPr>
      <w:r>
        <w:rPr>
          <w:i/>
          <w:sz w:val="20"/>
        </w:rPr>
        <w:t>EN: Inductive effect reversal drives efficient photocharging of catalytic sites in polymeric catalysts for continuous-flow H2O2 synthesis</w:t>
      </w:r>
    </w:p>
    <w:p>
      <w:pPr>
        <w:spacing w:before="0" w:after="120"/>
      </w:pPr>
      <w:r>
        <w:rPr>
          <w:b/>
        </w:rPr>
        <w:t xml:space="preserve">Source: </w:t>
      </w:r>
      <w:r>
        <w:t>National Science Review Advance Access</w:t>
      </w:r>
      <w:r>
        <w:t xml:space="preserve">    </w:t>
      </w:r>
      <w:r>
        <w:rPr>
          <w:b/>
        </w:rPr>
        <w:t xml:space="preserve">Pub date: </w:t>
      </w:r>
      <w:r>
        <w:t>2026-05-14 00:00:00+00:00</w:t>
      </w:r>
      <w:r>
        <w:t xml:space="preserve">    </w:t>
      </w:r>
      <w:r>
        <w:rPr>
          <w:b/>
        </w:rPr>
        <w:t xml:space="preserve">DOI: </w:t>
      </w:r>
      <w:hyperlink r:id="rId1038">
        <w:r>
          <w:rPr>
            <w:color w:val="1155CC"/>
            <w:u w:val="single"/>
          </w:rPr>
          <w:t>10.1093/nsr/nwag284</w:t>
        </w:r>
      </w:hyperlink>
    </w:p>
    <w:p>
      <w:pPr>
        <w:spacing w:before="0" w:after="120"/>
      </w:pPr>
      <w:r>
        <w:rPr>
          <w:b/>
        </w:rPr>
        <w:t xml:space="preserve">Notes: </w:t>
      </w:r>
      <w:r>
        <w:t>abstract_source=rss_oup</w:t>
      </w:r>
    </w:p>
    <w:p>
      <w:pPr>
        <w:spacing w:before="0" w:after="80" w:lineRule="auto" w:line="276"/>
      </w:pPr>
      <w:r>
        <w:rPr>
          <w:b/>
        </w:rPr>
        <w:t xml:space="preserve">摘要（ZH）: </w:t>
      </w:r>
      <w:r>
        <w:t>聚合物光催化剂在太阳能驱动的H2O2生产中显示出巨大潜力，但其结构-电子相关性和可扩展性仍未充分阐明。在此，我们揭示了诱导效应在聚合物半导体中的关键作用。氰基极化了晶体碳氮化物（CCN）中的π-共轭网络，产生了增强电荷动态和O2吸附但限制氧还原电子可用性的负诱导效应。将醚键引入有序CCN链（OCCN）中逆转了这一效应，进一步促进了电荷分离并降低了*OOH中间体形成的障碍。值得注意的是，结果的正诱导效应使得氰基能够有效地用热电子进行光充电。因此，OCCN在水中提供了13,136.4 µmol g−1 h−1的显著H2O2产量，在海水中表现更佳，并在连续流动中维持110.4 µmol h−1的生成。这些发现确立了诱导效应工程作为推进聚合物光催化剂向可扩展太阳能到化学转化的强大方法。</w:t>
      </w:r>
    </w:p>
    <w:p>
      <w:pPr>
        <w:spacing w:before="0" w:after="200" w:lineRule="auto" w:line="276"/>
      </w:pPr>
      <w:r>
        <w:rPr>
          <w:b/>
        </w:rPr>
        <w:t xml:space="preserve">Abstract (EN): </w:t>
      </w:r>
      <w:r>
        <w:t>Polymeric photocatalysts show great promise for solar-driven H2O2 production, yet their structural-electronic correlations and scalability remain insufficiently elucidated. Herein, we reveal the pivotal role of the inductive effect in polymeric semiconductors. Cyano groups polarize the π-conjugated network in crystalline carbon nitride (CCN), generating a negative inductive effect that enhances charge dynamics and O2 adsorption but limits electron availability for oxygen reduction. Introducing ether linkages into ordered CCN chains (OCCN) reverses this effect, further facilitating charge separation and lowering the barrier for *OOH intermediate formation. Notably, the resulting positive inductive effect enables efficient photocharging of cyano groups with hot electrons. Consequently, OCCN delivers a remarkable H2O2 yield of 13,136.4 µmol g−1 h−1 in water, even higher performance in seawater, and sustains 110.4 µmol h−1 generation in continuous flow. These findings establish inductive effect engineering as a powerful approach for advancing polymeric photocatalysts toward scalable solar-to-chemical conversion.</w:t>
      </w:r>
    </w:p>
    <w:p>
      <w:pPr>
        <w:spacing w:before="120" w:after="120"/>
      </w:pPr>
      <w:r>
        <w:rPr>
          <w:sz w:val="18"/>
        </w:rPr>
        <w:t>——————————————————————————————————————————————————————————————————————</w:t>
      </w:r>
    </w:p>
    <w:p>
      <w:pPr>
        <w:spacing w:before="160" w:after="40" w:line="240" w:lineRule="auto"/>
      </w:pPr>
      <w:r>
        <w:rPr>
          <w:b/>
        </w:rPr>
        <w:t xml:space="preserve">[437] </w:t>
      </w:r>
      <w:hyperlink r:id="rId1039">
        <w:r>
          <w:rPr>
            <w:color w:val="1155CC"/>
            <w:u w:val="single"/>
          </w:rPr>
          <w:t>π‐自由基级联至周边融合的三角烯二聚体</w:t>
        </w:r>
      </w:hyperlink>
    </w:p>
    <w:p>
      <w:pPr>
        <w:spacing w:before="0" w:after="80"/>
      </w:pPr>
      <w:r>
        <w:rPr>
          <w:i/>
          <w:sz w:val="20"/>
        </w:rPr>
        <w:t>EN: π‐Radical Cascades to Peri‐Fused Triangulene Dimers</w:t>
      </w:r>
    </w:p>
    <w:p>
      <w:pPr>
        <w:spacing w:before="0" w:after="120"/>
      </w:pPr>
      <w:r>
        <w:rPr>
          <w:b/>
        </w:rPr>
        <w:t xml:space="preserve">Source: </w:t>
      </w:r>
      <w:r>
        <w:t>Wiley: Angewandte Chemie International Edition: Table of Contents</w:t>
      </w:r>
      <w:r>
        <w:t xml:space="preserve">    </w:t>
      </w:r>
      <w:r>
        <w:rPr>
          <w:b/>
        </w:rPr>
        <w:t xml:space="preserve">Pub date: </w:t>
      </w:r>
      <w:r>
        <w:t>2026-05-14 04:01:09+00:00</w:t>
      </w:r>
      <w:r>
        <w:t xml:space="preserve">    </w:t>
      </w:r>
      <w:r>
        <w:rPr>
          <w:b/>
        </w:rPr>
        <w:t xml:space="preserve">DOI: </w:t>
      </w:r>
      <w:hyperlink r:id="rId1040">
        <w:r>
          <w:rPr>
            <w:color w:val="1155CC"/>
            <w:u w:val="single"/>
          </w:rPr>
          <w:t>10.1002/anie.6610209</w:t>
        </w:r>
      </w:hyperlink>
    </w:p>
    <w:p>
      <w:pPr>
        <w:spacing w:before="0" w:after="120"/>
      </w:pPr>
      <w:r>
        <w:rPr>
          <w:b/>
        </w:rPr>
        <w:t xml:space="preserve">Notes: </w:t>
      </w:r>
      <w:r>
        <w:t>abstract_source=crossref</w:t>
      </w:r>
    </w:p>
    <w:p>
      <w:pPr>
        <w:spacing w:before="0" w:after="80" w:lineRule="auto" w:line="276"/>
      </w:pPr>
      <w:r>
        <w:rPr>
          <w:b/>
        </w:rPr>
        <w:t xml:space="preserve">摘要（ZH）: </w:t>
      </w:r>
      <w:r>
        <w:t>开放壳分子石墨烯片段代表了石墨烯基碳纳米结构的多功能合成子，因为它们能够进行多步π-自由基级联，从而在一步中形成多个键和环。然而，由于我们对其反应性的理解不完整，石墨烯基π-自由基在合成中的使用仍然有限。这一限制主要源于控制涉及多个反应中心的反应的固有困难，正如π-离域自由基的情况。为了解决这一挑战并推进对π-自由基反应性的研究，我们在一个可以正式具有多个未配对π-电子的系统中建立了反应控制。具体而言，我们研究了原型非Kekulé烃三角烯的二氢前体的氧化peri-融合。通过研究决定选择性的反应中间体，我们证明了单自由基而非双自由基中间体起到了关键作用。通过在外围精确放置空间位阻，我们在特定位置调节反应性，将选择性引导至双重或单一peri-融合的二聚产物。我们的研究表明，当受到控制时，开放壳分子石墨烯片段的反应性可以作为一种经济步骤且合成上有价值的工具。</w:t>
      </w:r>
    </w:p>
    <w:p>
      <w:pPr>
        <w:spacing w:before="0" w:after="200" w:lineRule="auto" w:line="276"/>
      </w:pPr>
      <w:r>
        <w:rPr>
          <w:b/>
        </w:rPr>
        <w:t xml:space="preserve">Abstract (EN): </w:t>
      </w:r>
      <w:r>
        <w:t>Open‐shell molecular graphene fragments represent versatile synthons of graphene‐based carbon nanostructures because of their ability to undergo multi‐step π‐radical cascades that enable the formation of multiple bonds and rings in a single step. However, the use of graphene‐based π‐radicals in synthesis remains limited due to our incomplete understanding of their reactivity. This limitation primarily arises from the inherent difficulty of controlling reactions involving multiple reactive centers, as is the case with π‐delocalized radicals. To address this challenge and advance research on π‐radical reactivity, we establish reaction control in a system that can formally feature multiple unpaired π‐electrons. Specifically, we examine oxidative</w:t>
      </w:r>
      <w:r>
        <w:t xml:space="preserve"> </w:t>
      </w:r>
      <w:r>
        <w:t>peri</w:t>
      </w:r>
      <w:r>
        <w:t xml:space="preserve"> </w:t>
      </w:r>
      <w:r>
        <w:t>‐fusion of the dihydro‐precursor of the prototypic non‐Kekulé hydrocarbon triangulene. By investigating the reactive intermediates that dictate selectivity, we demonstrate that monoradical, rather than diradical, intermediates play a key role. Through the precise placement of steric bulk around the periphery, we modulate reactivity at specific positions, steering selectivity toward doubly or singly</w:t>
      </w:r>
      <w:r>
        <w:t xml:space="preserve"> </w:t>
      </w:r>
      <w:r>
        <w:t>peri</w:t>
      </w:r>
      <w:r>
        <w:t xml:space="preserve"> </w:t>
      </w:r>
      <w:r>
        <w:t>‐fused dimeric products. Our study demonstrates that, when controlled, the reactivity of open‐shell molecular graphene fragments can serve as a step‐economic and synthetically valuable tool.</w:t>
      </w:r>
    </w:p>
    <w:p>
      <w:pPr>
        <w:spacing w:before="120" w:after="120"/>
      </w:pPr>
      <w:r>
        <w:rPr>
          <w:sz w:val="18"/>
        </w:rPr>
        <w:t>——————————————————————————————————————————————————————————————————————</w:t>
      </w:r>
    </w:p>
    <w:p>
      <w:pPr>
        <w:spacing w:before="160" w:after="40" w:line="240" w:lineRule="auto"/>
      </w:pPr>
      <w:r>
        <w:rPr>
          <w:b/>
        </w:rPr>
        <w:t xml:space="preserve">[438] </w:t>
      </w:r>
      <w:hyperlink r:id="rId1041">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42">
        <w:r>
          <w:rPr>
            <w:color w:val="1155CC"/>
            <w:u w:val="single"/>
          </w:rPr>
          <w:t>10.1126/science.aei7754</w:t>
        </w:r>
      </w:hyperlink>
    </w:p>
    <w:p>
      <w:pPr>
        <w:spacing w:before="0" w:after="120"/>
      </w:pPr>
      <w:r>
        <w:rPr>
          <w:b/>
        </w:rPr>
        <w:t xml:space="preserve">Notes: </w:t>
      </w:r>
      <w:r>
        <w:t>abstract_source=crossref</w:t>
      </w:r>
    </w:p>
    <w:p>
      <w:pPr>
        <w:spacing w:before="0" w:after="80" w:lineRule="auto" w:line="276"/>
      </w:pPr>
      <w:r>
        <w:rPr>
          <w:b/>
        </w:rPr>
        <w:t xml:space="preserve">摘要（ZH）: </w:t>
      </w:r>
      <w:r>
        <w:t>当前科学文献的编辑精选</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[439] </w:t>
      </w:r>
      <w:hyperlink r:id="rId1043">
        <w:r>
          <w:rPr>
            <w:color w:val="1155CC"/>
            <w:u w:val="single"/>
          </w:rPr>
          <w:t>通过倾听来领导</w:t>
        </w:r>
      </w:hyperlink>
    </w:p>
    <w:p>
      <w:pPr>
        <w:spacing w:before="0" w:after="80"/>
      </w:pPr>
      <w:r>
        <w:rPr>
          <w:i/>
          <w:sz w:val="20"/>
        </w:rPr>
        <w:t>EN: Leading by listening</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44">
        <w:r>
          <w:rPr>
            <w:color w:val="1155CC"/>
            <w:u w:val="single"/>
          </w:rPr>
          <w:t>10.1126/science.aei7755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[440] </w:t>
      </w:r>
      <w:hyperlink r:id="rId1045">
        <w:r>
          <w:rPr>
            <w:color w:val="1155CC"/>
            <w:u w:val="single"/>
          </w:rPr>
          <w:t>来自中国的博士后捍卫者被锁在实验室外</w:t>
        </w:r>
      </w:hyperlink>
    </w:p>
    <w:p>
      <w:pPr>
        <w:spacing w:before="0" w:after="80"/>
      </w:pPr>
      <w:r>
        <w:rPr>
          <w:i/>
          <w:sz w:val="20"/>
        </w:rPr>
        <w:t>EN: Defender of postdoc from China locked out of his lab</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46">
        <w:r>
          <w:rPr>
            <w:color w:val="1155CC"/>
            <w:u w:val="single"/>
          </w:rPr>
          <w:t>10.1126/science.aei8227</w:t>
        </w:r>
      </w:hyperlink>
    </w:p>
    <w:p>
      <w:pPr>
        <w:spacing w:before="0" w:after="120"/>
      </w:pPr>
      <w:r>
        <w:rPr>
          <w:b/>
        </w:rPr>
        <w:t xml:space="preserve">Notes: </w:t>
      </w:r>
      <w:r>
        <w:t>abstract_source=crossref</w:t>
      </w:r>
    </w:p>
    <w:p>
      <w:pPr>
        <w:spacing w:before="0" w:after="80" w:lineRule="auto" w:line="276"/>
      </w:pPr>
      <w:r>
        <w:rPr>
          <w:b/>
        </w:rPr>
        <w:t xml:space="preserve">摘要（ZH）: </w:t>
      </w:r>
      <w:r>
        <w:t>植物生物学家Roger Innes谴责因走私生物材料而被起诉</w:t>
      </w:r>
    </w:p>
    <w:p>
      <w:pPr>
        <w:spacing w:before="0" w:after="200" w:lineRule="auto" w:line="276"/>
      </w:pPr>
      <w:r>
        <w:rPr>
          <w:b/>
        </w:rPr>
        <w:t xml:space="preserve">Abstract (EN): </w:t>
      </w:r>
      <w:r>
        <w:t>Plant biologist Roger Innes decried prosecution for smuggling biological materials</w:t>
      </w:r>
    </w:p>
    <w:p>
      <w:pPr>
        <w:spacing w:before="120" w:after="120"/>
      </w:pPr>
      <w:r>
        <w:rPr>
          <w:sz w:val="18"/>
        </w:rPr>
        <w:t>——————————————————————————————————————————————————————————————————————</w:t>
      </w:r>
    </w:p>
    <w:p>
      <w:pPr>
        <w:spacing w:before="160" w:after="40" w:line="240" w:lineRule="auto"/>
      </w:pPr>
      <w:r>
        <w:rPr>
          <w:b/>
        </w:rPr>
        <w:t xml:space="preserve">[441] </w:t>
      </w:r>
      <w:hyperlink r:id="rId1047">
        <w:r>
          <w:rPr>
            <w:color w:val="1155CC"/>
            <w:u w:val="single"/>
          </w:rPr>
          <w:t>SARS-CoV-2在废水中的遗传变异及其与社区传播的关联</w:t>
        </w:r>
      </w:hyperlink>
    </w:p>
    <w:p>
      <w:pPr>
        <w:spacing w:before="0" w:after="80"/>
      </w:pPr>
      <w:r>
        <w:rPr>
          <w:i/>
          <w:sz w:val="20"/>
        </w:rPr>
        <w:t>EN: Genetic variability of SARS-CoV-2 in wastewater and associations with community transmission</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48">
        <w:r>
          <w:rPr>
            <w:color w:val="1155CC"/>
            <w:u w:val="single"/>
          </w:rPr>
          <w:t>10.1126/science.aed6094</w:t>
        </w:r>
      </w:hyperlink>
    </w:p>
    <w:p>
      <w:pPr>
        <w:spacing w:before="0" w:after="120"/>
      </w:pPr>
      <w:r>
        <w:rPr>
          <w:b/>
        </w:rPr>
        <w:t xml:space="preserve">Notes: </w:t>
      </w:r>
      <w:r>
        <w:t>abstract_source=crossref</w:t>
      </w:r>
    </w:p>
    <w:p>
      <w:pPr>
        <w:spacing w:before="0" w:after="80" w:lineRule="auto" w:line="276"/>
      </w:pPr>
      <w:r>
        <w:rPr>
          <w:b/>
        </w:rPr>
        <w:t xml:space="preserve">摘要（ZH）: </w:t>
      </w:r>
      <w:r>
        <w:t>从社区废水中测序遗传物质有助于研究病毒多样性。多样性可以通过核苷酸的变异和识别的变体数量来估计，从而增加从一个废水样本中获得的信息。使用12,290个严重急性呼吸综合征冠状病毒2 (SARS-CoV-2) 的废水序列，我们发现病毒多样性是疾病传播的强指标，平均每周多样性与平均每周新增COVID-19感染之间存在显著相关性。尽管病毒浓度是从废水中衡量疾病传播的常用指标，但我们发现多样性是更好的指标，因为它不受废水中固有噪声的影响。我们表明，多种多样性测量方法得出相似结果，这表明遗传多样性可能有助于提高废水数据的实用性。</w:t>
      </w:r>
    </w:p>
    <w:p>
      <w:pPr>
        <w:spacing w:before="0" w:after="200" w:lineRule="auto" w:line="276"/>
      </w:pPr>
      <w:r>
        <w:rPr>
          <w:b/>
        </w:rPr>
        <w:t xml:space="preserve">Abstract (EN): </w:t>
      </w:r>
      <w:r>
        <w:t>Sequencing genetic material from community wastewater facilitates the study of virus diversity. Diversity can be estimated using the variation in nucleotides and number of variants identified, increasing the information obtained from one wastewater sample. Using 12,290 wastewater sequences of severe acute respiratory syndrome coronavirus 2 (SARS-CoV-2), we found that virus diversity is a strong indicator of disease transmission, with a significant correlation between average weekly diversity and average weekly new COVID-19 infections. Although the concentration of viruses is the common measure of disease transmission from wastewater, we found that diversity is a better indicator, as it is unhampered by the noise inherent in the wastewater. We show that multiple measures of diversity yield similar results, which suggests that genetic diversity could be useful for increasing the utility of wastewater data.</w:t>
      </w:r>
    </w:p>
    <w:p>
      <w:pPr>
        <w:spacing w:before="120" w:after="120"/>
      </w:pPr>
      <w:r>
        <w:rPr>
          <w:sz w:val="18"/>
        </w:rPr>
        <w:t>——————————————————————————————————————————————————————————————————————</w:t>
      </w:r>
    </w:p>
    <w:p>
      <w:pPr>
        <w:spacing w:before="160" w:after="40" w:line="240" w:lineRule="auto"/>
      </w:pPr>
      <w:r>
        <w:rPr>
          <w:b/>
        </w:rPr>
        <w:t xml:space="preserve">[442] </w:t>
      </w:r>
      <w:hyperlink r:id="rId1049">
        <w:r>
          <w:rPr>
            <w:color w:val="1155CC"/>
            <w:u w:val="single"/>
          </w:rPr>
          <w:t>变暖气候下的河流动态</w:t>
        </w:r>
      </w:hyperlink>
    </w:p>
    <w:p>
      <w:pPr>
        <w:spacing w:before="0" w:after="80"/>
      </w:pPr>
      <w:r>
        <w:rPr>
          <w:i/>
          <w:sz w:val="20"/>
        </w:rPr>
        <w:t>EN: River dynamics in a warming climate</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50">
        <w:r>
          <w:rPr>
            <w:color w:val="1155CC"/>
            <w:u w:val="single"/>
          </w:rPr>
          <w:t>10.1126/science.aeh5488</w:t>
        </w:r>
      </w:hyperlink>
    </w:p>
    <w:p>
      <w:pPr>
        <w:spacing w:before="0" w:after="120"/>
      </w:pPr>
      <w:r>
        <w:rPr>
          <w:b/>
        </w:rPr>
        <w:t xml:space="preserve">Notes: </w:t>
      </w:r>
      <w:r>
        <w:t>abstract_source=crossref</w:t>
      </w:r>
    </w:p>
    <w:p>
      <w:pPr>
        <w:spacing w:before="0" w:after="80" w:lineRule="auto" w:line="276"/>
      </w:pPr>
      <w:r>
        <w:rPr>
          <w:b/>
        </w:rPr>
        <w:t xml:space="preserve">摘要（ZH）: </w:t>
      </w:r>
      <w:r>
        <w:t>由于气候变化，高喜马拉雅山地区的河流正在迅速演变</w:t>
      </w:r>
    </w:p>
    <w:p>
      <w:pPr>
        <w:spacing w:before="0" w:after="200" w:lineRule="auto" w:line="276"/>
      </w:pPr>
      <w:r>
        <w:rPr>
          <w:b/>
        </w:rPr>
        <w:t xml:space="preserve">Abstract (EN): </w:t>
      </w:r>
      <w:r>
        <w:t>Rivers in high Himalayan mountain regions are evolving rapidly because of climate change</w:t>
      </w:r>
    </w:p>
    <w:p>
      <w:pPr>
        <w:spacing w:before="120" w:after="120"/>
      </w:pPr>
      <w:r>
        <w:rPr>
          <w:sz w:val="18"/>
        </w:rPr>
        <w:t>——————————————————————————————————————————————————————————————————————</w:t>
      </w:r>
    </w:p>
    <w:p>
      <w:pPr>
        <w:spacing w:before="160" w:after="40" w:line="240" w:lineRule="auto"/>
      </w:pPr>
      <w:r>
        <w:rPr>
          <w:b/>
        </w:rPr>
        <w:t xml:space="preserve">[443] </w:t>
      </w:r>
      <w:hyperlink r:id="rId1051">
        <w:r>
          <w:rPr>
            <w:color w:val="1155CC"/>
            <w:u w:val="single"/>
          </w:rPr>
          <w:t>从废水分析到公共卫生行动</w:t>
        </w:r>
      </w:hyperlink>
    </w:p>
    <w:p>
      <w:pPr>
        <w:spacing w:before="0" w:after="80"/>
      </w:pPr>
      <w:r>
        <w:rPr>
          <w:i/>
          <w:sz w:val="20"/>
        </w:rPr>
        <w:t>EN: From wastewater analysis to public health action</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52">
        <w:r>
          <w:rPr>
            <w:color w:val="1155CC"/>
            <w:u w:val="single"/>
          </w:rPr>
          <w:t>10.1126/science.aeh7121</w:t>
        </w:r>
      </w:hyperlink>
    </w:p>
    <w:p>
      <w:pPr>
        <w:spacing w:before="0" w:after="120"/>
      </w:pPr>
      <w:r>
        <w:rPr>
          <w:b/>
        </w:rPr>
        <w:t xml:space="preserve">Notes: </w:t>
      </w:r>
      <w:r>
        <w:t>abstract_source=crossref</w:t>
      </w:r>
    </w:p>
    <w:p>
      <w:pPr>
        <w:spacing w:before="0" w:after="80" w:lineRule="auto" w:line="276"/>
      </w:pPr>
      <w:r>
        <w:rPr>
          <w:b/>
        </w:rPr>
        <w:t xml:space="preserve">摘要（ZH）: </w:t>
      </w:r>
      <w:r>
        <w:t>测量废水中病毒的遗传多样性可以改善疾病控制</w:t>
      </w:r>
    </w:p>
    <w:p>
      <w:pPr>
        <w:spacing w:before="0" w:after="200" w:lineRule="auto" w:line="276"/>
      </w:pPr>
      <w:r>
        <w:rPr>
          <w:b/>
        </w:rPr>
        <w:t xml:space="preserve">Abstract (EN): </w:t>
      </w:r>
      <w:r>
        <w:t>Measuring the genetic diversity of viruses in wastewater could improve disease control</w:t>
      </w:r>
    </w:p>
    <w:p>
      <w:pPr>
        <w:spacing w:before="120" w:after="120"/>
      </w:pPr>
      <w:r>
        <w:rPr>
          <w:sz w:val="18"/>
        </w:rPr>
        <w:t>——————————————————————————————————————————————————————————————————————</w:t>
      </w:r>
    </w:p>
    <w:p>
      <w:pPr>
        <w:spacing w:before="160" w:after="40" w:line="240" w:lineRule="auto"/>
      </w:pPr>
      <w:r>
        <w:rPr>
          <w:b/>
        </w:rPr>
        <w:t xml:space="preserve">[444] </w:t>
      </w:r>
      <w:hyperlink r:id="rId1053">
        <w:r>
          <w:rPr>
            <w:color w:val="1155CC"/>
            <w:u w:val="single"/>
          </w:rPr>
          <w:t>亚马逊疏浚法暴露治理缺口</w:t>
        </w:r>
      </w:hyperlink>
    </w:p>
    <w:p>
      <w:pPr>
        <w:spacing w:before="0" w:after="80"/>
      </w:pPr>
      <w:r>
        <w:rPr>
          <w:i/>
          <w:sz w:val="20"/>
        </w:rPr>
        <w:t>EN: Amazon dredging law exposes governance gaps</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54">
        <w:r>
          <w:rPr>
            <w:color w:val="1155CC"/>
            <w:u w:val="single"/>
          </w:rPr>
          <w:t>10.1126/science.aeg9714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[445] </w:t>
      </w:r>
      <w:hyperlink r:id="rId1055">
        <w:r>
          <w:rPr>
            <w:color w:val="1155CC"/>
            <w:u w:val="single"/>
          </w:rPr>
          <w:t>解锁AI模型共享以用于欧盟健康数据</w:t>
        </w:r>
      </w:hyperlink>
    </w:p>
    <w:p>
      <w:pPr>
        <w:spacing w:before="0" w:after="80"/>
      </w:pPr>
      <w:r>
        <w:rPr>
          <w:i/>
          <w:sz w:val="20"/>
        </w:rPr>
        <w:t>EN: Unlock AI model sharing for EU health data</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56">
        <w:r>
          <w:rPr>
            <w:color w:val="1155CC"/>
            <w:u w:val="single"/>
          </w:rPr>
          <w:t>10.1126/science.aef3432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[446] </w:t>
      </w:r>
      <w:hyperlink r:id="rId1057">
        <w:r>
          <w:rPr>
            <w:color w:val="1155CC"/>
            <w:u w:val="single"/>
          </w:rPr>
          <w:t>化肥冲击使食品系统面临风险</w:t>
        </w:r>
      </w:hyperlink>
    </w:p>
    <w:p>
      <w:pPr>
        <w:spacing w:before="0" w:after="80"/>
      </w:pPr>
      <w:r>
        <w:rPr>
          <w:i/>
          <w:sz w:val="20"/>
        </w:rPr>
        <w:t>EN: Fertilizer shocks put food systems at risk</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58">
        <w:r>
          <w:rPr>
            <w:color w:val="1155CC"/>
            <w:u w:val="single"/>
          </w:rPr>
          <w:t>10.1126/science.aeh5698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[447] </w:t>
      </w:r>
      <w:hyperlink r:id="rId1059">
        <w:r>
          <w:rPr>
            <w:color w:val="1155CC"/>
            <w:u w:val="single"/>
          </w:rPr>
          <w:t>邮轮爆发事件突显一种鲜为人知的汉坦病毒</w:t>
        </w:r>
      </w:hyperlink>
    </w:p>
    <w:p>
      <w:pPr>
        <w:spacing w:before="0" w:after="80"/>
      </w:pPr>
      <w:r>
        <w:rPr>
          <w:i/>
          <w:sz w:val="20"/>
        </w:rPr>
        <w:t>EN: Cruise ship outbreak spotlights a little-studied hantavirus</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60">
        <w:r>
          <w:rPr>
            <w:color w:val="1155CC"/>
            <w:u w:val="single"/>
          </w:rPr>
          <w:t>10.1126/science.aei8221</w:t>
        </w:r>
      </w:hyperlink>
    </w:p>
    <w:p>
      <w:pPr>
        <w:spacing w:before="0" w:after="120"/>
      </w:pPr>
      <w:r>
        <w:rPr>
          <w:b/>
        </w:rPr>
        <w:t xml:space="preserve">Notes: </w:t>
      </w:r>
      <w:r>
        <w:t>abstract_source=crossref</w:t>
      </w:r>
    </w:p>
    <w:p>
      <w:pPr>
        <w:spacing w:before="0" w:after="80" w:lineRule="auto" w:line="276"/>
      </w:pPr>
      <w:r>
        <w:rPr>
          <w:b/>
        </w:rPr>
        <w:t xml:space="preserve">摘要（ZH）: </w:t>
      </w:r>
      <w:r>
        <w:t>安第斯病毒对世界危机应对系统提出了考验</w:t>
      </w:r>
    </w:p>
    <w:p>
      <w:pPr>
        <w:spacing w:before="0" w:after="200" w:lineRule="auto" w:line="276"/>
      </w:pPr>
      <w:r>
        <w:rPr>
          <w:b/>
        </w:rPr>
        <w:t xml:space="preserve">Abstract (EN): </w:t>
      </w:r>
      <w:r>
        <w:t>Andes virus offers a test of the world’s crisis-response system</w:t>
      </w:r>
    </w:p>
    <w:p>
      <w:pPr>
        <w:spacing w:before="120" w:after="120"/>
      </w:pPr>
      <w:r>
        <w:rPr>
          <w:sz w:val="18"/>
        </w:rPr>
        <w:t>——————————————————————————————————————————————————————————————————————</w:t>
      </w:r>
    </w:p>
    <w:p>
      <w:pPr>
        <w:spacing w:before="160" w:after="40" w:line="240" w:lineRule="auto"/>
      </w:pPr>
      <w:r>
        <w:rPr>
          <w:b/>
        </w:rPr>
        <w:t xml:space="preserve">[448] </w:t>
      </w:r>
      <w:hyperlink r:id="rId1061">
        <w:r>
          <w:rPr>
            <w:color w:val="1155CC"/>
            <w:u w:val="single"/>
          </w:rPr>
          <w:t>通过‘钥匙孔’技巧从JWST解锁清晰视图</w:t>
        </w:r>
      </w:hyperlink>
    </w:p>
    <w:p>
      <w:pPr>
        <w:spacing w:before="0" w:after="80"/>
      </w:pPr>
      <w:r>
        <w:rPr>
          <w:i/>
          <w:sz w:val="20"/>
        </w:rPr>
        <w:t>EN: Sharp views unlocked from JWST with a ‘keyhole’ trick</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62">
        <w:r>
          <w:rPr>
            <w:color w:val="1155CC"/>
            <w:u w:val="single"/>
          </w:rPr>
          <w:t>10.1126/science.aei8222</w:t>
        </w:r>
      </w:hyperlink>
    </w:p>
    <w:p>
      <w:pPr>
        <w:spacing w:before="0" w:after="120"/>
      </w:pPr>
      <w:r>
        <w:rPr>
          <w:b/>
        </w:rPr>
        <w:t xml:space="preserve">Notes: </w:t>
      </w:r>
      <w:r>
        <w:t>abstract_source=crossref</w:t>
      </w:r>
    </w:p>
    <w:p>
      <w:pPr>
        <w:spacing w:before="0" w:after="80" w:lineRule="auto" w:line="276"/>
      </w:pPr>
      <w:r>
        <w:rPr>
          <w:b/>
        </w:rPr>
        <w:t xml:space="preserve">摘要（ZH）: </w:t>
      </w:r>
      <w:r>
        <w:t>该技术可以帮助太空望远镜揭示近距离行星和星系的内部运作</w:t>
      </w:r>
    </w:p>
    <w:p>
      <w:pPr>
        <w:spacing w:before="0" w:after="200" w:lineRule="auto" w:line="276"/>
      </w:pPr>
      <w:r>
        <w:rPr>
          <w:b/>
        </w:rPr>
        <w:t xml:space="preserve">Abstract (EN): </w:t>
      </w:r>
      <w:r>
        <w:t>Technique could help space telescope reveal close-in planets and the inner workings of galaxies</w:t>
      </w:r>
    </w:p>
    <w:p>
      <w:pPr>
        <w:spacing w:before="120" w:after="120"/>
      </w:pPr>
      <w:r>
        <w:rPr>
          <w:sz w:val="18"/>
        </w:rPr>
        <w:t>——————————————————————————————————————————————————————————————————————</w:t>
      </w:r>
    </w:p>
    <w:p>
      <w:pPr>
        <w:spacing w:before="160" w:after="40" w:line="240" w:lineRule="auto"/>
      </w:pPr>
      <w:r>
        <w:rPr>
          <w:b/>
        </w:rPr>
        <w:t xml:space="preserve">[449] </w:t>
      </w:r>
      <w:hyperlink r:id="rId1063">
        <w:r>
          <w:rPr>
            <w:color w:val="1155CC"/>
            <w:u w:val="single"/>
          </w:rPr>
          <w:t>痴呆症研究应对重叠疾病</w:t>
        </w:r>
      </w:hyperlink>
    </w:p>
    <w:p>
      <w:pPr>
        <w:spacing w:before="0" w:after="80"/>
      </w:pPr>
      <w:r>
        <w:rPr>
          <w:i/>
          <w:sz w:val="20"/>
        </w:rPr>
        <w:t>EN: Dementia studies come to grips with overlapping diseases</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64">
        <w:r>
          <w:rPr>
            <w:color w:val="1155CC"/>
            <w:u w:val="single"/>
          </w:rPr>
          <w:t>10.1126/science.aei8223</w:t>
        </w:r>
      </w:hyperlink>
    </w:p>
    <w:p>
      <w:pPr>
        <w:spacing w:before="0" w:after="120"/>
      </w:pPr>
      <w:r>
        <w:rPr>
          <w:b/>
        </w:rPr>
        <w:t xml:space="preserve">Notes: </w:t>
      </w:r>
      <w:r>
        <w:t>abstract_source=crossref</w:t>
      </w:r>
    </w:p>
    <w:p>
      <w:pPr>
        <w:spacing w:before="0" w:after="80" w:lineRule="auto" w:line="276"/>
      </w:pPr>
      <w:r>
        <w:rPr>
          <w:b/>
        </w:rPr>
        <w:t xml:space="preserve">摘要（ZH）: </w:t>
      </w:r>
      <w:r>
        <w:t>对“共病”的日益关注激发了细致的测试和治疗策略</w:t>
      </w:r>
    </w:p>
    <w:p>
      <w:pPr>
        <w:spacing w:before="0" w:after="200" w:lineRule="auto" w:line="276"/>
      </w:pPr>
      <w:r>
        <w:rPr>
          <w:b/>
        </w:rPr>
        <w:t xml:space="preserve">Abstract (EN): </w:t>
      </w:r>
      <w:r>
        <w:t>Growing awareness of “copathology” inspires nuanced testing and treatment strategies</w:t>
      </w:r>
    </w:p>
    <w:p>
      <w:pPr>
        <w:spacing w:before="120" w:after="120"/>
      </w:pPr>
      <w:r>
        <w:rPr>
          <w:sz w:val="18"/>
        </w:rPr>
        <w:t>——————————————————————————————————————————————————————————————————————</w:t>
      </w:r>
    </w:p>
    <w:p>
      <w:pPr>
        <w:spacing w:before="160" w:after="40" w:line="240" w:lineRule="auto"/>
      </w:pPr>
      <w:r>
        <w:rPr>
          <w:b/>
        </w:rPr>
        <w:t xml:space="preserve">[450] </w:t>
      </w:r>
      <w:hyperlink r:id="rId1065">
        <w:r>
          <w:rPr>
            <w:color w:val="1155CC"/>
            <w:u w:val="single"/>
          </w:rPr>
          <w:t>为城市韧性演变的基于自然的解决方案</w:t>
        </w:r>
      </w:hyperlink>
    </w:p>
    <w:p>
      <w:pPr>
        <w:spacing w:before="0" w:after="80"/>
      </w:pPr>
      <w:r>
        <w:rPr>
          <w:i/>
          <w:sz w:val="20"/>
        </w:rPr>
        <w:t>EN: Evolving nature-based solutions for urban resilience</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66">
        <w:r>
          <w:rPr>
            <w:color w:val="1155CC"/>
            <w:u w:val="single"/>
          </w:rPr>
          <w:t>10.1126/science.aea9563</w:t>
        </w:r>
      </w:hyperlink>
    </w:p>
    <w:p>
      <w:pPr>
        <w:spacing w:before="0" w:after="120"/>
      </w:pPr>
      <w:r>
        <w:rPr>
          <w:b/>
        </w:rPr>
        <w:t xml:space="preserve">Notes: </w:t>
      </w:r>
      <w:r>
        <w:t>abstract_source=crossref</w:t>
      </w:r>
    </w:p>
    <w:p>
      <w:pPr>
        <w:spacing w:before="0" w:after="80" w:lineRule="auto" w:line="276"/>
      </w:pPr>
      <w:r>
        <w:rPr>
          <w:b/>
        </w:rPr>
        <w:t xml:space="preserve">摘要（ZH）: </w:t>
      </w:r>
      <w:r>
        <w:t>尽管对基于自然的城市韧性解决方案的投资不断增加，但其设计往往忽视了一个基本的生物过程：进化。维持基于自然的解决方案的生物群体是动态的，并且可以随着时间的推移而进化。由城市环境压力（如污染、气候极端和栖息地破碎化）驱动的快速进化变化，可以重塑物种特征、改变相互作用并转变生态系统功能。我们综合了在城市背景下作为基于自然的解决方案的系统中进化变化的证据，并展示了进化过程如何增强或削弱其性能。我们提出了四个可测试的假设，将进化动态与基于自然的解决方案联系起来，并概述了保持适应潜力的设计策略。将进化整合到基于自然的解决方案中对于确保在加速的环境变化下的长期和高效功能至关重要。</w:t>
      </w:r>
    </w:p>
    <w:p>
      <w:pPr>
        <w:spacing w:before="0" w:after="200" w:lineRule="auto" w:line="276"/>
      </w:pPr>
      <w:r>
        <w:rPr>
          <w:b/>
        </w:rPr>
        <w:t xml:space="preserve">Abstract (EN): </w:t>
      </w:r>
      <w:r>
        <w:t>Despite growing investments in nature-based solutions for urban resilience, their design often overlooks a fundamental biological process: evolution. Populations of organisms that sustain nature-based solutions are dynamic and can evolve over time. Rapid evolutionary changes, driven by urban environmental stressors, such as pollution, climate extremes, and habitat fragmentation, can reshape species’ traits, alter interactions, and shift ecosystem functions. We synthesize evidence of evolutionary change across systems that serve as nature-based solutions in urban contexts and show how evolutionary processes can enhance or undermine their performance. We propose four testable hypotheses linking evolutionary dynamics to nature-based solutions and outline design strategies to maintain adaptive potential. Integrating evolution into nature-based solutions is essential to ensure long-term and efficient functionality under accelerating environmental change.</w:t>
      </w:r>
    </w:p>
    <w:p>
      <w:pPr>
        <w:spacing w:before="120" w:after="120"/>
      </w:pPr>
      <w:r>
        <w:rPr>
          <w:sz w:val="18"/>
        </w:rPr>
        <w:t>——————————————————————————————————————————————————————————————————————</w:t>
      </w:r>
    </w:p>
    <w:p>
      <w:pPr>
        <w:spacing w:before="160" w:after="40" w:line="240" w:lineRule="auto"/>
      </w:pPr>
      <w:r>
        <w:rPr>
          <w:b/>
        </w:rPr>
        <w:t xml:space="preserve">[451] </w:t>
      </w:r>
      <w:hyperlink r:id="rId1067">
        <w:r>
          <w:rPr>
            <w:color w:val="1155CC"/>
            <w:u w:val="single"/>
          </w:rPr>
          <w:t>支架增强细菌疗法</w:t>
        </w:r>
      </w:hyperlink>
    </w:p>
    <w:p>
      <w:pPr>
        <w:spacing w:before="0" w:after="80"/>
      </w:pPr>
      <w:r>
        <w:rPr>
          <w:i/>
          <w:sz w:val="20"/>
        </w:rPr>
        <w:t>EN: Scaffolds toughen bacteria-based therapy</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68">
        <w:r>
          <w:rPr>
            <w:color w:val="1155CC"/>
            <w:u w:val="single"/>
          </w:rPr>
          <w:t>10.1126/science.aeh1690</w:t>
        </w:r>
      </w:hyperlink>
    </w:p>
    <w:p>
      <w:pPr>
        <w:spacing w:before="0" w:after="120"/>
      </w:pPr>
      <w:r>
        <w:rPr>
          <w:b/>
        </w:rPr>
        <w:t xml:space="preserve">Notes: </w:t>
      </w:r>
      <w:r>
        <w:t>abstract_source=crossref</w:t>
      </w:r>
    </w:p>
    <w:p>
      <w:pPr>
        <w:spacing w:before="0" w:after="80" w:lineRule="auto" w:line="276"/>
      </w:pPr>
      <w:r>
        <w:rPr>
          <w:b/>
        </w:rPr>
        <w:t xml:space="preserve">摘要（ZH）: </w:t>
      </w:r>
      <w:r>
        <w:t>坚硬且坚韧的水凝胶层能够承载细菌，从而实现治疗分子的持续释放</w:t>
      </w:r>
    </w:p>
    <w:p>
      <w:pPr>
        <w:spacing w:before="0" w:after="200" w:lineRule="auto" w:line="276"/>
      </w:pPr>
      <w:r>
        <w:rPr>
          <w:b/>
        </w:rPr>
        <w:t xml:space="preserve">Abstract (EN): </w:t>
      </w:r>
      <w:r>
        <w:t>Stiff, tough hydrogel layers that host bacteria enable sustained release of therapeutic molecules</w:t>
      </w:r>
    </w:p>
    <w:p>
      <w:pPr>
        <w:spacing w:before="120" w:after="120"/>
      </w:pPr>
      <w:r>
        <w:rPr>
          <w:sz w:val="18"/>
        </w:rPr>
        <w:t>——————————————————————————————————————————————————————————————————————</w:t>
      </w:r>
    </w:p>
    <w:p>
      <w:pPr>
        <w:spacing w:before="160" w:after="40" w:line="240" w:lineRule="auto"/>
      </w:pPr>
      <w:r>
        <w:rPr>
          <w:b/>
        </w:rPr>
        <w:t xml:space="preserve">[452] </w:t>
      </w:r>
      <w:hyperlink r:id="rId1069">
        <w:r>
          <w:rPr>
            <w:color w:val="1155CC"/>
            <w:u w:val="single"/>
          </w:rPr>
          <w:t>AI引导设计的高效钙钛矿太阳能电池在100°C下具有操作稳定性</w:t>
        </w:r>
      </w:hyperlink>
    </w:p>
    <w:p>
      <w:pPr>
        <w:spacing w:before="0" w:after="80"/>
      </w:pPr>
      <w:r>
        <w:rPr>
          <w:i/>
          <w:sz w:val="20"/>
        </w:rPr>
        <w:t>EN: AI-guided design of efficient perovskite solar cells operationally stable at 100°C</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70">
        <w:r>
          <w:rPr>
            <w:color w:val="1155CC"/>
            <w:u w:val="single"/>
          </w:rPr>
          <w:t>10.1126/science.aef1620</w:t>
        </w:r>
      </w:hyperlink>
    </w:p>
    <w:p>
      <w:pPr>
        <w:spacing w:before="0" w:after="120"/>
      </w:pPr>
      <w:r>
        <w:rPr>
          <w:b/>
        </w:rPr>
        <w:t xml:space="preserve">Notes: </w:t>
      </w:r>
      <w:r>
        <w:t>abstract_source=crossref</w:t>
      </w:r>
    </w:p>
    <w:p>
      <w:pPr>
        <w:spacing w:before="0" w:after="80" w:lineRule="auto" w:line="276"/>
      </w:pPr>
      <w:r>
        <w:rPr>
          <w:b/>
        </w:rPr>
        <w:t xml:space="preserve">摘要（ZH）: </w:t>
      </w:r>
      <w:r>
        <w:t>自首次展示以来，操作稳定的钙钛矿太阳能电池（PSCs）一直备受追捧和争论。在此，我们报告了一种四代理协作人工智能（AI），用于指导光吸收体、紫外线耐受空穴传输材料和稳健异质界面的合理设计，以实现稳定的钙钛矿光伏。通过热力学驱动的单晶生长和薄膜实验表征验证，该多代理框架识别出一种高度稳定的甲脒铯铅碘化物钙钛矿，FA</w:t>
      </w:r>
      <w:r>
        <w:t xml:space="preserve"> </w:t>
      </w:r>
      <w:r>
        <w:t>0.92</w:t>
      </w:r>
      <w:r>
        <w:t xml:space="preserve"> </w:t>
      </w:r>
      <w:r>
        <w:t>Cs</w:t>
      </w:r>
      <w:r>
        <w:t xml:space="preserve"> </w:t>
      </w:r>
      <w:r>
        <w:t>0.08</w:t>
      </w:r>
      <w:r>
        <w:t xml:space="preserve"> </w:t>
      </w:r>
      <w:r>
        <w:t>PbI</w:t>
      </w:r>
      <w:r>
        <w:rPr>
          <w:vertAlign w:val="subscript"/>
        </w:rPr>
        <w:t>3</w:t>
      </w:r>
      <w:r>
        <w:t>。AI驱动的见解进一步实现了定制空穴传输分子（4′-(3,6-二甲氧基-9H-咔唑-9-基)-[1,1′-联苯]-4-基)磷酸的设计，具有优越的紫外线耐受性，同时将双面金属氧化物层纳入设备配置。设计的PSC在100°C连续运行1000小时后可保持97%的初始效率。这一成功展示了一种可访问且有前景的全链AI途径，以加速PSC的应用。</w:t>
      </w:r>
    </w:p>
    <w:p>
      <w:pPr>
        <w:spacing w:before="0" w:after="200" w:lineRule="auto" w:line="276"/>
      </w:pPr>
      <w:r>
        <w:rPr>
          <w:b/>
        </w:rPr>
        <w:t xml:space="preserve">Abstract (EN): </w:t>
      </w:r>
      <w:r>
        <w:t>Operationally stable perovskite solar cells (PSCs) have been sought after and debated since first being demonstrated. Here, we report a four-agent collaborative artificial intelligence (AI) to guide rational design of light absorbers, ultraviolet-resistant hole transport materials, and robust heterointerfaces for stable perovskite photovoltaics. Validated through thermodynamically driven single-crystal growth and thin-film experimental characterizations, the multiagent framework identified a highly stable formamidinium-cesium lead iodide perovskite, FA</w:t>
      </w:r>
      <w:r>
        <w:t xml:space="preserve"> </w:t>
      </w:r>
      <w:r>
        <w:t>0.92</w:t>
      </w:r>
      <w:r>
        <w:t xml:space="preserve"> </w:t>
      </w:r>
      <w:r>
        <w:t>Cs</w:t>
      </w:r>
      <w:r>
        <w:t xml:space="preserve"> </w:t>
      </w:r>
      <w:r>
        <w:t>0.08</w:t>
      </w:r>
      <w:r>
        <w:t xml:space="preserve"> </w:t>
      </w:r>
      <w:r>
        <w:t>PbI</w:t>
      </w:r>
      <w:r>
        <w:rPr>
          <w:vertAlign w:val="subscript"/>
        </w:rPr>
        <w:t>3</w:t>
      </w:r>
      <w:r>
        <w:t>. AI-driven insights further enabled the design of a customized hole transport molecule, (4′-(3,6-dimethoxy-9H-carbazol-9-yl)-[1,1′-biphenyl]-4-yl)phosphonic acid, with superior ultraviolet resilience, alongside dual-side metal oxide layer incorporation into the device configuration. The designed PSC can retain 97% of initial efficiency after 1000 hours of continuous operation at 100°C. This success demonstrates an accessible and promising full-chain AI route to accelerate the application of PSCs.</w:t>
      </w:r>
    </w:p>
    <w:p>
      <w:pPr>
        <w:spacing w:before="120" w:after="120"/>
      </w:pPr>
      <w:r>
        <w:rPr>
          <w:sz w:val="18"/>
        </w:rPr>
        <w:t>——————————————————————————————————————————————————————————————————————</w:t>
      </w:r>
    </w:p>
    <w:p>
      <w:pPr>
        <w:spacing w:before="160" w:after="40" w:line="240" w:lineRule="auto"/>
      </w:pPr>
      <w:r>
        <w:rPr>
          <w:b/>
        </w:rPr>
        <w:t xml:space="preserve">[453] </w:t>
      </w:r>
      <w:hyperlink r:id="rId1071">
        <w:r>
          <w:rPr>
            <w:color w:val="1155CC"/>
            <w:u w:val="single"/>
          </w:rPr>
          <w:t>当援助停止时</w:t>
        </w:r>
      </w:hyperlink>
    </w:p>
    <w:p>
      <w:pPr>
        <w:spacing w:before="0" w:after="80"/>
      </w:pPr>
      <w:r>
        <w:rPr>
          <w:i/>
          <w:sz w:val="20"/>
        </w:rPr>
        <w:t>EN: When aid stops</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72">
        <w:r>
          <w:rPr>
            <w:color w:val="1155CC"/>
            <w:u w:val="single"/>
          </w:rPr>
          <w:t>10.1126/science.aeh7122</w:t>
        </w:r>
      </w:hyperlink>
    </w:p>
    <w:p>
      <w:pPr>
        <w:spacing w:before="0" w:after="120"/>
      </w:pPr>
      <w:r>
        <w:rPr>
          <w:b/>
        </w:rPr>
        <w:t xml:space="preserve">Notes: </w:t>
      </w:r>
      <w:r>
        <w:t>abstract_source=crossref</w:t>
      </w:r>
    </w:p>
    <w:p>
      <w:pPr>
        <w:spacing w:before="0" w:after="80" w:lineRule="auto" w:line="276"/>
      </w:pPr>
      <w:r>
        <w:rPr>
          <w:b/>
        </w:rPr>
        <w:t xml:space="preserve">摘要（ZH）: </w:t>
      </w:r>
      <w:r>
        <w:t>援助结束的方式可能与援助在存在期间的作用同样重要</w:t>
      </w:r>
    </w:p>
    <w:p>
      <w:pPr>
        <w:spacing w:before="0" w:after="200" w:lineRule="auto" w:line="276"/>
      </w:pPr>
      <w:r>
        <w:rPr>
          <w:b/>
        </w:rPr>
        <w:t xml:space="preserve">Abstract (EN): </w:t>
      </w:r>
      <w:r>
        <w:t>How aid ends may matter as much as what aid does while it is there</w:t>
      </w:r>
    </w:p>
    <w:p>
      <w:pPr>
        <w:spacing w:before="120" w:after="120"/>
      </w:pPr>
      <w:r>
        <w:rPr>
          <w:sz w:val="18"/>
        </w:rPr>
        <w:t>——————————————————————————————————————————————————————————————————————</w:t>
      </w:r>
    </w:p>
    <w:p>
      <w:pPr>
        <w:spacing w:before="160" w:after="40" w:line="240" w:lineRule="auto"/>
      </w:pPr>
      <w:r>
        <w:rPr>
          <w:b/>
        </w:rPr>
        <w:t xml:space="preserve">[454] </w:t>
      </w:r>
      <w:hyperlink r:id="rId1073">
        <w:r>
          <w:rPr>
            <w:color w:val="1155CC"/>
            <w:u w:val="single"/>
          </w:rPr>
          <w:t>可植入的活性材料使用包含的工程细菌自主递送治疗物</w:t>
        </w:r>
      </w:hyperlink>
    </w:p>
    <w:p>
      <w:pPr>
        <w:spacing w:before="0" w:after="80"/>
      </w:pPr>
      <w:r>
        <w:rPr>
          <w:i/>
          <w:sz w:val="20"/>
        </w:rPr>
        <w:t>EN: Implantable living materials autonomously deliver therapeutics using contained engineered bacteria</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74">
        <w:r>
          <w:rPr>
            <w:color w:val="1155CC"/>
            <w:u w:val="single"/>
          </w:rPr>
          <w:t>10.1126/science.aec2071</w:t>
        </w:r>
      </w:hyperlink>
    </w:p>
    <w:p>
      <w:pPr>
        <w:spacing w:before="0" w:after="120"/>
      </w:pPr>
      <w:r>
        <w:rPr>
          <w:b/>
        </w:rPr>
        <w:t xml:space="preserve">Notes: </w:t>
      </w:r>
      <w:r>
        <w:t>abstract_source=crossref</w:t>
      </w:r>
    </w:p>
    <w:p>
      <w:pPr>
        <w:spacing w:before="0" w:after="80" w:lineRule="auto" w:line="276"/>
      </w:pPr>
      <w:r>
        <w:rPr>
          <w:b/>
        </w:rPr>
        <w:t xml:space="preserve">摘要（ZH）: </w:t>
      </w:r>
      <w:r>
        <w:t>微生物越来越多地被用作活体治疗剂，但它们在体内的不受控传播仍然是一个临床障碍。由于细菌最终会逃逸，物理隔离在很大程度上是无法实现的。在这项工作中，我们提出了一种可植入的材料，该材料可以封装和限制细菌，其中合成工程微生物从内部产生治疗性负载。我们开发了一种具有双重机械特性的水凝胶支架：高刚度以调节细菌增殖和高韧性以抵抗生理应力下的材料断裂。这种设计实现了对细菌的完全封闭长达6个月，并承受了多种形式的机械负载，否则会导致材料灾难性失效。通过对嵌入的细菌进行基因工程改造，我们赋予材料环境感知和按需治疗释放的能力，并在小鼠假体关节感染模型中展示了自主治疗。</w:t>
      </w:r>
    </w:p>
    <w:p>
      <w:pPr>
        <w:spacing w:before="0" w:after="200" w:lineRule="auto" w:line="276"/>
      </w:pPr>
      <w:r>
        <w:rPr>
          <w:b/>
        </w:rPr>
        <w:t xml:space="preserve">Abstract (EN): </w:t>
      </w:r>
      <w:r>
        <w:t>Microbes are increasingly used as living therapeutics, yet their uncontrolled dissemination in the body has remained a clinical roadblock. Physical containment remains largely unattainable owing to eventual bacteria escape. In this work, we present an implantable material that encapsulates and confines bacteria, wherein synthetically engineered microbes produce therapeutic payloads from within. We developed a hydrogel scaffold with dual mechanical features: high stiffness to regulate bacterial proliferation and high toughness to resist material fracture under physiological stress. This design achieved complete bacterial containment for 6 months and withstood multiple forms of mechanical loading that otherwise caused catastrophic material failure. By genetically engineering embedded bacteria, we endowed the material with environmental sensing and on-demand therapeutic release capabilities and demonstrated autonomous treatment in a murine prosthetic joint infection model.</w:t>
      </w:r>
    </w:p>
    <w:p>
      <w:pPr>
        <w:spacing w:before="120" w:after="120"/>
      </w:pPr>
      <w:r>
        <w:rPr>
          <w:sz w:val="18"/>
        </w:rPr>
        <w:t>——————————————————————————————————————————————————————————————————————</w:t>
      </w:r>
    </w:p>
    <w:p>
      <w:pPr>
        <w:spacing w:before="160" w:after="40" w:line="240" w:lineRule="auto"/>
      </w:pPr>
      <w:r>
        <w:rPr>
          <w:b/>
        </w:rPr>
        <w:t xml:space="preserve">[455] </w:t>
      </w:r>
      <w:hyperlink r:id="rId1075">
        <w:r>
          <w:rPr>
            <w:color w:val="1155CC"/>
            <w:u w:val="single"/>
          </w:rPr>
          <w:t>匈牙利重建科学的机会</w:t>
        </w:r>
      </w:hyperlink>
    </w:p>
    <w:p>
      <w:pPr>
        <w:spacing w:before="0" w:after="80"/>
      </w:pPr>
      <w:r>
        <w:rPr>
          <w:i/>
          <w:sz w:val="20"/>
        </w:rPr>
        <w:t>EN: Hungary’s chance to rebuild science</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76">
        <w:r>
          <w:rPr>
            <w:color w:val="1155CC"/>
            <w:u w:val="single"/>
          </w:rPr>
          <w:t>10.1126/science.aei5835</w:t>
        </w:r>
      </w:hyperlink>
    </w:p>
    <w:p>
      <w:pPr>
        <w:spacing w:before="0" w:after="120"/>
      </w:pPr>
      <w:r>
        <w:rPr>
          <w:b/>
        </w:rPr>
        <w:t xml:space="preserve">Notes: </w:t>
      </w:r>
      <w:r>
        <w:t>abstract_source=crossref</w:t>
      </w:r>
    </w:p>
    <w:p>
      <w:pPr>
        <w:spacing w:before="0" w:after="80" w:lineRule="auto" w:line="276"/>
      </w:pPr>
      <w:r>
        <w:rPr>
          <w:b/>
        </w:rPr>
        <w:t xml:space="preserve">摘要（ZH）: </w:t>
      </w:r>
      <w:r>
        <w:t>上个月的议会选举结束了总理维克多·欧尔班16年的统治，为匈牙利带来了比政府更替更重要的东西：一个向世界展示如何在政治控制后重建科学的机会。凭借三分之二的议会多数，新领导层拥有围绕优点重建匈牙利科学事业的授权和宪法权力，并抵制未来的干预。如果匈牙利做对了，它将提供一个远远超出其边界的重要模型。</w:t>
      </w:r>
    </w:p>
    <w:p>
      <w:pPr>
        <w:spacing w:before="0" w:after="200" w:lineRule="auto" w:line="276"/>
      </w:pPr>
      <w:r>
        <w:rPr>
          <w:b/>
        </w:rPr>
        <w:t xml:space="preserve">Abstract (EN): </w:t>
      </w:r>
      <w:r>
        <w:t>Last month’s parliamentary elections ended Prime Minister Viktor Orbán’s 16-year rule, giving Hungary something more consequential than a change of government: a chance to show the world how to rebuild science after political control. With a two-thirds parliamentary majority, the new leadership has the mandate and the constitutional power to rebuild Hungary’s scientific enterprise around merit, and resistance against future interference. If Hungary gets this right, it will offer a model that matters far beyond its borders.</w:t>
      </w:r>
    </w:p>
    <w:p>
      <w:pPr>
        <w:spacing w:before="120" w:after="120"/>
      </w:pPr>
      <w:r>
        <w:rPr>
          <w:sz w:val="18"/>
        </w:rPr>
        <w:t>——————————————————————————————————————————————————————————————————————</w:t>
      </w:r>
    </w:p>
    <w:p>
      <w:pPr>
        <w:spacing w:before="160" w:after="40" w:line="240" w:lineRule="auto"/>
      </w:pPr>
      <w:r>
        <w:rPr>
          <w:b/>
        </w:rPr>
        <w:t xml:space="preserve">[456] </w:t>
      </w:r>
      <w:hyperlink r:id="rId1077">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78">
        <w:r>
          <w:rPr>
            <w:color w:val="1155CC"/>
            <w:u w:val="single"/>
          </w:rPr>
          <w:t>10.1126/science.aei7753</w:t>
        </w:r>
      </w:hyperlink>
    </w:p>
    <w:p>
      <w:pPr>
        <w:spacing w:before="0" w:after="120"/>
      </w:pPr>
      <w:r>
        <w:rPr>
          <w:b/>
        </w:rPr>
        <w:t xml:space="preserve">Notes: </w:t>
      </w:r>
      <w:r>
        <w:t>abstract_source=crossref</w:t>
      </w:r>
    </w:p>
    <w:p>
      <w:pPr>
        <w:spacing w:before="0" w:after="80" w:lineRule="auto" w:line="276"/>
      </w:pPr>
      <w:r>
        <w:rPr>
          <w:b/>
        </w:rPr>
        <w:t xml:space="preserve">摘要（ZH）: </w:t>
      </w:r>
      <w:r>
        <w:t>《Science》期刊家族的亮点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[457] </w:t>
      </w:r>
      <w:hyperlink r:id="rId1079">
        <w:r>
          <w:rPr>
            <w:color w:val="1155CC"/>
            <w:u w:val="single"/>
          </w:rPr>
          <w:t>一种耐腐蚀可打印铜的分子途径</w:t>
        </w:r>
      </w:hyperlink>
    </w:p>
    <w:p>
      <w:pPr>
        <w:spacing w:before="0" w:after="80"/>
      </w:pPr>
      <w:r>
        <w:rPr>
          <w:i/>
          <w:sz w:val="20"/>
        </w:rPr>
        <w:t>EN: A molecular pathway to corrosion-resistant printable copper</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80">
        <w:r>
          <w:rPr>
            <w:color w:val="1155CC"/>
            <w:u w:val="single"/>
          </w:rPr>
          <w:t>10.1126/science.aed4488</w:t>
        </w:r>
      </w:hyperlink>
    </w:p>
    <w:p>
      <w:pPr>
        <w:spacing w:before="0" w:after="120"/>
      </w:pPr>
      <w:r>
        <w:rPr>
          <w:b/>
        </w:rPr>
        <w:t xml:space="preserve">Notes: </w:t>
      </w:r>
      <w:r>
        <w:t>abstract_source=crossref</w:t>
      </w:r>
    </w:p>
    <w:p>
      <w:pPr>
        <w:spacing w:before="0" w:after="80" w:lineRule="auto" w:line="276"/>
      </w:pPr>
      <w:r>
        <w:rPr>
          <w:b/>
        </w:rPr>
        <w:t xml:space="preserve">摘要（ZH）: </w:t>
      </w:r>
      <w:r>
        <w:t>铜的优异电气和热导率使其成为电子和能源系统中不可或缺的材料。然而，氧化和腐蚀限制了其长期可靠性，现有的保护策略通常涉及高温或多步骤处理。我们报道了一种分子反应策略，该策略在&lt;150°C下将铜前体转化为金属铜，同时生成超薄的碳质和铜(I)表面钝化。邻苯二酚基配体介导铜的还原，促进低温颗粒间融合，并赋予表面钝化，产生具有低电阻率和优异稳定性的柔性铜（在酸中&gt;1000小时，在硫化物中&gt;200小时，在140°C下&gt;240小时）。该策略解决了下一代柔性电子和能源系统中导电性、耐腐蚀性和可加工性之间的长期权衡。</w:t>
      </w:r>
    </w:p>
    <w:p>
      <w:pPr>
        <w:spacing w:before="0" w:after="200" w:lineRule="auto" w:line="276"/>
      </w:pPr>
      <w:r>
        <w:rPr>
          <w:b/>
        </w:rPr>
        <w:t xml:space="preserve">Abstract (EN): </w:t>
      </w:r>
      <w:r>
        <w:t>Copper’s exceptional electrical and thermal conductivities make it essential for electronics and energy systems. However, oxidation and corrosion limit its long-term reliability, and existing protection strategies often involve high-temperature or multistep processing. We report a molecularly reactive strategy that converts copper precursors to metallic copper at &amp;lt;150°C, while generating an ultrathin carbonaceous and copper(I) surface passivation. Catechol-based ligands mediate copper reduction, enable low-temperature interparticle fusion, and impart surface passivation, yielding flexible copper with low resistivity and exceptional stability (&amp;gt;1000 hours in acid, &amp;gt;200 hours in sulfide, &amp;gt;240 hours at 140°C). This strategy resolves the long-standing trade-off between conductivity, corrosion resistance, and processability for next-generation flexible electronics and energy systems.</w:t>
      </w:r>
    </w:p>
    <w:p>
      <w:pPr>
        <w:spacing w:before="120" w:after="120"/>
      </w:pPr>
      <w:r>
        <w:rPr>
          <w:sz w:val="18"/>
        </w:rPr>
        <w:t>——————————————————————————————————————————————————————————————————————</w:t>
      </w:r>
    </w:p>
    <w:p>
      <w:pPr>
        <w:spacing w:before="160" w:after="40" w:line="240" w:lineRule="auto"/>
      </w:pPr>
      <w:r>
        <w:rPr>
          <w:b/>
        </w:rPr>
        <w:t xml:space="preserve">[458] </w:t>
      </w:r>
      <w:hyperlink r:id="rId1081">
        <w:r>
          <w:rPr>
            <w:color w:val="1155CC"/>
            <w:u w:val="single"/>
          </w:rPr>
          <w:t>改善遗传质量控制以提高小鼠研究的严谨性和可重复性</w:t>
        </w:r>
      </w:hyperlink>
    </w:p>
    <w:p>
      <w:pPr>
        <w:spacing w:before="0" w:after="80"/>
      </w:pPr>
      <w:r>
        <w:rPr>
          <w:i/>
          <w:sz w:val="20"/>
        </w:rPr>
        <w:t>EN: Improve genetic quality control to increase rigor and reproducibility of mouse research</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82">
        <w:r>
          <w:rPr>
            <w:color w:val="1155CC"/>
            <w:u w:val="single"/>
          </w:rPr>
          <w:t>10.1126/science.aec3177</w:t>
        </w:r>
      </w:hyperlink>
    </w:p>
    <w:p>
      <w:pPr>
        <w:spacing w:before="0" w:after="120"/>
      </w:pPr>
      <w:r>
        <w:rPr>
          <w:b/>
        </w:rPr>
        <w:t xml:space="preserve">Notes: </w:t>
      </w:r>
      <w:r>
        <w:t>abstract_source=crossref</w:t>
      </w:r>
    </w:p>
    <w:p>
      <w:pPr>
        <w:spacing w:before="0" w:after="80" w:lineRule="auto" w:line="276"/>
      </w:pPr>
      <w:r>
        <w:rPr>
          <w:b/>
        </w:rPr>
        <w:t xml:space="preserve">摘要（ZH）: </w:t>
      </w:r>
      <w:r>
        <w:t>使用最新技术的质量控制过程可以帮助解决不一致性和期望</w:t>
      </w:r>
    </w:p>
    <w:p>
      <w:pPr>
        <w:spacing w:before="0" w:after="200" w:lineRule="auto" w:line="276"/>
      </w:pPr>
      <w:r>
        <w:rPr>
          <w:b/>
        </w:rPr>
        <w:t xml:space="preserve">Abstract (EN): </w:t>
      </w:r>
      <w:r>
        <w:t>A quality control process using the latest technology can help address inconsistencies and expectations</w:t>
      </w:r>
    </w:p>
    <w:p>
      <w:pPr>
        <w:spacing w:before="120" w:after="120"/>
      </w:pPr>
      <w:r>
        <w:rPr>
          <w:sz w:val="18"/>
        </w:rPr>
        <w:t>——————————————————————————————————————————————————————————————————————</w:t>
      </w:r>
    </w:p>
    <w:p>
      <w:pPr>
        <w:spacing w:before="160" w:after="40" w:line="240" w:lineRule="auto"/>
      </w:pPr>
      <w:r>
        <w:rPr>
          <w:b/>
        </w:rPr>
        <w:t xml:space="preserve">[459] </w:t>
      </w:r>
      <w:hyperlink r:id="rId1083">
        <w:r>
          <w:rPr>
            <w:color w:val="1155CC"/>
            <w:u w:val="single"/>
          </w:rPr>
          <w:t>对物种的热情</w:t>
        </w:r>
      </w:hyperlink>
    </w:p>
    <w:p>
      <w:pPr>
        <w:spacing w:before="0" w:after="80"/>
      </w:pPr>
      <w:r>
        <w:rPr>
          <w:i/>
          <w:sz w:val="20"/>
        </w:rPr>
        <w:t>EN: A passion for species</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84">
        <w:r>
          <w:rPr>
            <w:color w:val="1155CC"/>
            <w:u w:val="single"/>
          </w:rPr>
          <w:t>10.1126/science.aei8229</w:t>
        </w:r>
      </w:hyperlink>
    </w:p>
    <w:p>
      <w:pPr>
        <w:spacing w:before="0" w:after="120"/>
      </w:pPr>
      <w:r>
        <w:rPr>
          <w:b/>
        </w:rPr>
        <w:t xml:space="preserve">Notes: </w:t>
      </w:r>
      <w:r>
        <w:t>abstract_source=crossref</w:t>
      </w:r>
    </w:p>
    <w:p>
      <w:pPr>
        <w:spacing w:before="0" w:after="80" w:lineRule="auto" w:line="276"/>
      </w:pPr>
      <w:r>
        <w:rPr>
          <w:b/>
        </w:rPr>
        <w:t xml:space="preserve">摘要（ZH）: </w:t>
      </w:r>
      <w:r>
        <w:t>爬虫学家亚历杭德罗·阿尔特加因其识别和保护厄瓜多尔爬行动物和两栖动物的努力而获得赞誉。但他的方法使他陷入争议</w:t>
      </w:r>
    </w:p>
    <w:p>
      <w:pPr>
        <w:spacing w:before="0" w:after="200" w:lineRule="auto" w:line="276"/>
      </w:pPr>
      <w:r>
        <w:rPr>
          <w:b/>
        </w:rPr>
        <w:t xml:space="preserve">Abstract (EN): </w:t>
      </w:r>
      <w:r>
        <w:t>Herpetologist Alejandro Arteaga has won accolades for his efforts to identify and protect Ecuador’s reptiles and amphibians. But his methods have entangled him in controversy</w:t>
      </w:r>
    </w:p>
    <w:p>
      <w:pPr>
        <w:spacing w:before="120" w:after="120"/>
      </w:pPr>
      <w:r>
        <w:rPr>
          <w:sz w:val="18"/>
        </w:rPr>
        <w:t>——————————————————————————————————————————————————————————————————————</w:t>
      </w:r>
    </w:p>
    <w:p>
      <w:pPr>
        <w:spacing w:before="160" w:after="40" w:line="240" w:lineRule="auto"/>
      </w:pPr>
      <w:r>
        <w:rPr>
          <w:b/>
        </w:rPr>
        <w:t xml:space="preserve">[460] </w:t>
      </w:r>
      <w:hyperlink r:id="rId1085">
        <w:r>
          <w:rPr>
            <w:color w:val="1155CC"/>
            <w:u w:val="single"/>
          </w:rPr>
          <w:t>古老的冰芯可能有助于解释冰河时代为何改变节奏</w:t>
        </w:r>
      </w:hyperlink>
    </w:p>
    <w:p>
      <w:pPr>
        <w:spacing w:before="0" w:after="80"/>
      </w:pPr>
      <w:r>
        <w:rPr>
          <w:i/>
          <w:sz w:val="20"/>
        </w:rPr>
        <w:t>EN: Ancient ice core could help explain why the ice ages switched rhythm</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86">
        <w:r>
          <w:rPr>
            <w:color w:val="1155CC"/>
            <w:u w:val="single"/>
          </w:rPr>
          <w:t>10.1126/science.aei8225</w:t>
        </w:r>
      </w:hyperlink>
    </w:p>
    <w:p>
      <w:pPr>
        <w:spacing w:before="0" w:after="120"/>
      </w:pPr>
      <w:r>
        <w:rPr>
          <w:b/>
        </w:rPr>
        <w:t xml:space="preserve">Notes: </w:t>
      </w:r>
      <w:r>
        <w:t>abstract_source=crossref</w:t>
      </w:r>
    </w:p>
    <w:p>
      <w:pPr>
        <w:spacing w:before="0" w:after="80" w:lineRule="auto" w:line="276"/>
      </w:pPr>
      <w:r>
        <w:rPr>
          <w:b/>
        </w:rPr>
        <w:t xml:space="preserve">摘要（ZH）: </w:t>
      </w:r>
      <w:r>
        <w:t>创纪录的南极档案揭示了100万年前二氧化碳的剧烈波动</w:t>
      </w:r>
    </w:p>
    <w:p>
      <w:pPr>
        <w:spacing w:before="0" w:after="200" w:lineRule="auto" w:line="276"/>
      </w:pPr>
      <w:r>
        <w:rPr>
          <w:b/>
        </w:rPr>
        <w:t xml:space="preserve">Abstract (EN): </w:t>
      </w:r>
      <w:r>
        <w:t>Record-setting Antarctic archive reveals sharp swings in carbon dioxide 1 million years ago</w:t>
      </w:r>
    </w:p>
    <w:p>
      <w:pPr>
        <w:spacing w:before="120" w:after="120"/>
      </w:pPr>
      <w:r>
        <w:rPr>
          <w:sz w:val="18"/>
        </w:rPr>
        <w:t>——————————————————————————————————————————————————————————————————————</w:t>
      </w:r>
    </w:p>
    <w:p>
      <w:pPr>
        <w:spacing w:before="160" w:after="40" w:line="240" w:lineRule="auto"/>
      </w:pPr>
      <w:r>
        <w:rPr>
          <w:b/>
        </w:rPr>
        <w:t xml:space="preserve">[461] </w:t>
      </w:r>
      <w:hyperlink r:id="rId1087">
        <w:r>
          <w:rPr>
            <w:color w:val="1155CC"/>
            <w:u w:val="single"/>
          </w:rPr>
          <w:t>早已灭绝的祖先的幽灵在今天的人们中继续存在</w:t>
        </w:r>
      </w:hyperlink>
    </w:p>
    <w:p>
      <w:pPr>
        <w:spacing w:before="0" w:after="80"/>
      </w:pPr>
      <w:r>
        <w:rPr>
          <w:i/>
          <w:sz w:val="20"/>
        </w:rPr>
        <w:t>EN: Ghost of long-extinct ancestor lives on in people today</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88">
        <w:r>
          <w:rPr>
            <w:color w:val="1155CC"/>
            <w:u w:val="single"/>
          </w:rPr>
          <w:t>10.1126/science.aei8224</w:t>
        </w:r>
      </w:hyperlink>
    </w:p>
    <w:p>
      <w:pPr>
        <w:spacing w:before="0" w:after="120"/>
      </w:pPr>
      <w:r>
        <w:rPr>
          <w:b/>
        </w:rPr>
        <w:t xml:space="preserve">Notes: </w:t>
      </w:r>
      <w:r>
        <w:t>abstract_source=crossref</w:t>
      </w:r>
    </w:p>
    <w:p>
      <w:pPr>
        <w:spacing w:before="0" w:after="80" w:lineRule="auto" w:line="276"/>
      </w:pPr>
      <w:r>
        <w:rPr>
          <w:b/>
        </w:rPr>
        <w:t xml:space="preserve">摘要（ZH）: </w:t>
      </w:r>
      <w:r>
        <w:t>来自中国的古代</w:t>
      </w:r>
      <w:r>
        <w:t xml:space="preserve"> </w:t>
      </w:r>
      <w:r>
        <w:t>Homo erectus</w:t>
      </w:r>
      <w:r>
        <w:t xml:space="preserve"> </w:t>
      </w:r>
      <w:r>
        <w:t>牙齿揭示了在丹尼索瓦人和我们身上看到的蛋白质变体</w:t>
      </w:r>
    </w:p>
    <w:p>
      <w:pPr>
        <w:spacing w:before="0" w:after="200" w:lineRule="auto" w:line="276"/>
      </w:pPr>
      <w:r>
        <w:rPr>
          <w:b/>
        </w:rPr>
        <w:t xml:space="preserve">Abstract (EN): </w:t>
      </w:r>
      <w:r>
        <w:t>Ancient</w:t>
      </w:r>
      <w:r>
        <w:t xml:space="preserve"> </w:t>
      </w:r>
      <w:r>
        <w:t>Homo erectus</w:t>
      </w:r>
      <w:r>
        <w:t xml:space="preserve"> </w:t>
      </w:r>
      <w:r>
        <w:t>teeth from China yield protein variants seen in Denisovans—and us</w:t>
      </w:r>
    </w:p>
    <w:p>
      <w:pPr>
        <w:spacing w:before="120" w:after="120"/>
      </w:pPr>
      <w:r>
        <w:rPr>
          <w:sz w:val="18"/>
        </w:rPr>
        <w:t>——————————————————————————————————————————————————————————————————————</w:t>
      </w:r>
    </w:p>
    <w:p>
      <w:pPr>
        <w:spacing w:before="160" w:after="40" w:line="240" w:lineRule="auto"/>
      </w:pPr>
      <w:r>
        <w:rPr>
          <w:b/>
        </w:rPr>
        <w:t xml:space="preserve">[462] </w:t>
      </w:r>
      <w:hyperlink r:id="rId1089">
        <w:r>
          <w:rPr>
            <w:color w:val="1155CC"/>
            <w:u w:val="single"/>
          </w:rPr>
          <w:t>道德上模棱两可市场的经济学</w:t>
        </w:r>
      </w:hyperlink>
    </w:p>
    <w:p>
      <w:pPr>
        <w:spacing w:before="0" w:after="80"/>
      </w:pPr>
      <w:r>
        <w:rPr>
          <w:i/>
          <w:sz w:val="20"/>
        </w:rPr>
        <w:t>EN: The economics of morally ambiguous markets</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90">
        <w:r>
          <w:rPr>
            <w:color w:val="1155CC"/>
            <w:u w:val="single"/>
          </w:rPr>
          <w:t>10.1126/science.aeg5752</w:t>
        </w:r>
      </w:hyperlink>
    </w:p>
    <w:p>
      <w:pPr>
        <w:spacing w:before="0" w:after="120"/>
      </w:pPr>
      <w:r>
        <w:rPr>
          <w:b/>
        </w:rPr>
        <w:t xml:space="preserve">Notes: </w:t>
      </w:r>
      <w:r>
        <w:t>abstract_source=crossref</w:t>
      </w:r>
    </w:p>
    <w:p>
      <w:pPr>
        <w:spacing w:before="0" w:after="80" w:lineRule="auto" w:line="276"/>
      </w:pPr>
      <w:r>
        <w:rPr>
          <w:b/>
        </w:rPr>
        <w:t xml:space="preserve">摘要（ZH）: </w:t>
      </w:r>
      <w:r>
        <w:t>有争议的交易测试了成本效益思维的极限</w:t>
      </w:r>
    </w:p>
    <w:p>
      <w:pPr>
        <w:spacing w:before="0" w:after="200" w:lineRule="auto" w:line="276"/>
      </w:pPr>
      <w:r>
        <w:rPr>
          <w:b/>
        </w:rPr>
        <w:t xml:space="preserve">Abstract (EN): </w:t>
      </w:r>
      <w:r>
        <w:t>Controversial transactions test the limits of cost-benefit thinking</w:t>
      </w:r>
    </w:p>
    <w:p>
      <w:pPr>
        <w:spacing w:before="120" w:after="120"/>
      </w:pPr>
      <w:r>
        <w:rPr>
          <w:sz w:val="18"/>
        </w:rPr>
        <w:t>——————————————————————————————————————————————————————————————————————</w:t>
      </w:r>
    </w:p>
    <w:p>
      <w:pPr>
        <w:spacing w:before="160" w:after="40" w:line="240" w:lineRule="auto"/>
      </w:pPr>
      <w:r>
        <w:rPr>
          <w:b/>
        </w:rPr>
        <w:t xml:space="preserve">[463] </w:t>
      </w:r>
      <w:hyperlink r:id="rId1091">
        <w:r>
          <w:rPr>
            <w:color w:val="1155CC"/>
            <w:u w:val="single"/>
          </w:rPr>
          <w:t>濒危的强大物种</w:t>
        </w:r>
      </w:hyperlink>
    </w:p>
    <w:p>
      <w:pPr>
        <w:spacing w:before="0" w:after="80"/>
      </w:pPr>
      <w:r>
        <w:rPr>
          <w:i/>
          <w:sz w:val="20"/>
        </w:rPr>
        <w:t>EN: A powerhouse species in peril</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92">
        <w:r>
          <w:rPr>
            <w:color w:val="1155CC"/>
            <w:u w:val="single"/>
          </w:rPr>
          <w:t>10.1126/science.aeh0749</w:t>
        </w:r>
      </w:hyperlink>
    </w:p>
    <w:p>
      <w:pPr>
        <w:spacing w:before="0" w:after="120"/>
      </w:pPr>
      <w:r>
        <w:rPr>
          <w:b/>
        </w:rPr>
        <w:t xml:space="preserve">Notes: </w:t>
      </w:r>
      <w:r>
        <w:t>abstract_source=crossref</w:t>
      </w:r>
    </w:p>
    <w:p>
      <w:pPr>
        <w:spacing w:before="0" w:after="80" w:lineRule="auto" w:line="276"/>
      </w:pPr>
      <w:r>
        <w:rPr>
          <w:b/>
        </w:rPr>
        <w:t xml:space="preserve">摘要（ZH）: </w:t>
      </w:r>
      <w:r>
        <w:t>海藻森林捕获碳、净化海洋、保护海岸线等——它们需要我们的帮助</w:t>
      </w:r>
    </w:p>
    <w:p>
      <w:pPr>
        <w:spacing w:before="0" w:after="200" w:lineRule="auto" w:line="276"/>
      </w:pPr>
      <w:r>
        <w:rPr>
          <w:b/>
        </w:rPr>
        <w:t xml:space="preserve">Abstract (EN): </w:t>
      </w:r>
      <w:r>
        <w:t>Kelp forests capture carbon, clean oceans, protect coastlines, and more—and they need our help</w:t>
      </w:r>
    </w:p>
    <w:p>
      <w:pPr>
        <w:spacing w:before="120" w:after="120"/>
      </w:pPr>
      <w:r>
        <w:rPr>
          <w:sz w:val="18"/>
        </w:rPr>
        <w:t>——————————————————————————————————————————————————————————————————————</w:t>
      </w:r>
    </w:p>
    <w:p>
      <w:pPr>
        <w:spacing w:before="160" w:after="40" w:line="240" w:lineRule="auto"/>
      </w:pPr>
      <w:r>
        <w:rPr>
          <w:b/>
        </w:rPr>
        <w:t xml:space="preserve">[464] </w:t>
      </w:r>
      <w:hyperlink r:id="rId1093">
        <w:r>
          <w:rPr>
            <w:color w:val="1155CC"/>
            <w:u w:val="single"/>
          </w:rPr>
          <w:t>Raf样蛋白激酶异源复合物直接调节植物质膜H+-ATPase</w:t>
        </w:r>
      </w:hyperlink>
    </w:p>
    <w:p>
      <w:pPr>
        <w:spacing w:before="0" w:after="80"/>
      </w:pPr>
      <w:r>
        <w:rPr>
          <w:i/>
          <w:sz w:val="20"/>
        </w:rPr>
        <w:t>EN: Raf-like protein kinase heterocomplexes directly regulate the plant plasma membrane H+-ATPase</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94">
        <w:r>
          <w:rPr>
            <w:color w:val="1155CC"/>
            <w:u w:val="single"/>
          </w:rPr>
          <w:t>10.1126/science.adx9533</w:t>
        </w:r>
      </w:hyperlink>
    </w:p>
    <w:p>
      <w:pPr>
        <w:spacing w:before="0" w:after="120"/>
      </w:pPr>
      <w:r>
        <w:rPr>
          <w:b/>
        </w:rPr>
        <w:t xml:space="preserve">Notes: </w:t>
      </w:r>
      <w:r>
        <w:t>abstract_source=crossref</w:t>
      </w:r>
    </w:p>
    <w:p>
      <w:pPr>
        <w:spacing w:before="0" w:after="80" w:lineRule="auto" w:line="276"/>
      </w:pPr>
      <w:r>
        <w:rPr>
          <w:b/>
        </w:rPr>
        <w:t xml:space="preserve">摘要（ZH）: </w:t>
      </w:r>
      <w:r>
        <w:t>质膜质子泵 [PM H</w:t>
      </w:r>
      <w:r>
        <w:t xml:space="preserve"> </w:t>
      </w:r>
      <w:r>
        <w:t>+</w:t>
      </w:r>
      <w:r>
        <w:t xml:space="preserve"> </w:t>
      </w:r>
      <w:r>
        <w:t>-腺苷三磷酸酶 (PM H</w:t>
      </w:r>
      <w:r>
        <w:t xml:space="preserve"> </w:t>
      </w:r>
      <w:r>
        <w:t>+</w:t>
      </w:r>
      <w:r>
        <w:t xml:space="preserve"> </w:t>
      </w:r>
      <w:r>
        <w:t>-ATPase)] 在植物中是必不可少的。C-末端磷酸化事件调节质子泵活性，例如在</w:t>
      </w:r>
      <w:r>
        <w:t xml:space="preserve"> </w:t>
      </w:r>
      <w:r>
        <w:t>拟南芥</w:t>
      </w:r>
      <w:r>
        <w:t xml:space="preserve"> </w:t>
      </w:r>
      <w:r>
        <w:t>AHA1 中的 Thr</w:t>
      </w:r>
      <w:r>
        <w:rPr>
          <w:vertAlign w:val="subscript"/>
        </w:rPr>
        <w:t>881</w:t>
      </w:r>
      <w:r>
        <w:t>磷酸化。我们发现了一条顺序蛋白磷酸化途径，其中两种不同类型的 Raf 样蛋白激酶，C5-Raf 和 C7-Raf，形成异质复合物，磷酸化 Thr</w:t>
      </w:r>
      <w:r>
        <w:rPr>
          <w:vertAlign w:val="subscript"/>
        </w:rPr>
        <w:t>881</w:t>
      </w:r>
      <w:r>
        <w:t>以激活 PM H</w:t>
      </w:r>
      <w:r>
        <w:t xml:space="preserve"> </w:t>
      </w:r>
      <w:r>
        <w:t>+</w:t>
      </w:r>
      <w:r>
        <w:t xml:space="preserve"> </w:t>
      </w:r>
      <w:r>
        <w:t>-ATPases。该调节系统在从地钱到被子植物的谱系中高度保守。在</w:t>
      </w:r>
      <w:r>
        <w:t xml:space="preserve"> </w:t>
      </w:r>
      <w:r>
        <w:t>拟南芥</w:t>
      </w:r>
      <w:r>
        <w:t xml:space="preserve"> </w:t>
      </w:r>
      <w:r>
        <w:t>中，C5-Raf Raf36 通过磷酸化多个</w:t>
      </w:r>
      <w:r>
        <w:t xml:space="preserve"> </w:t>
      </w:r>
      <w:r>
        <w:t>拟南芥</w:t>
      </w:r>
      <w:r>
        <w:t xml:space="preserve"> </w:t>
      </w:r>
      <w:r>
        <w:t>H</w:t>
      </w:r>
      <w:r>
        <w:t xml:space="preserve"> </w:t>
      </w:r>
      <w:r>
        <w:t>+</w:t>
      </w:r>
      <w:r>
        <w:t xml:space="preserve"> </w:t>
      </w:r>
      <w:r>
        <w:t>-ATPases (AHAs) 来调节植物生长。此外，另一个 C5-Raf HT1 与 C7-Rafs CBC1/2 协同作用磷酸化 AHA1</w:t>
      </w:r>
      <w:r>
        <w:t xml:space="preserve"> </w:t>
      </w:r>
      <w:r>
        <w:t>T881</w:t>
      </w:r>
      <w:r>
        <w:t xml:space="preserve"> </w:t>
      </w:r>
      <w:r>
        <w:t>，从而产生光诱导气孔开放的驱动力。我们的研究结果为理解 PM H</w:t>
      </w:r>
      <w:r>
        <w:t xml:space="preserve"> </w:t>
      </w:r>
      <w:r>
        <w:t>+</w:t>
      </w:r>
      <w:r>
        <w:t xml:space="preserve"> </w:t>
      </w:r>
      <w:r>
        <w:t>-ATPase 在各种生理过程中激活提供了框架，特别是在阐明光诱导气孔开放的完整机制方面。</w:t>
      </w:r>
    </w:p>
    <w:p>
      <w:pPr>
        <w:spacing w:before="0" w:after="200" w:lineRule="auto" w:line="276"/>
      </w:pPr>
      <w:r>
        <w:rPr>
          <w:b/>
        </w:rPr>
        <w:t xml:space="preserve">Abstract (EN): </w:t>
      </w:r>
      <w:r>
        <w:t>The plasma membrane proton pump [PM H</w:t>
      </w:r>
      <w:r>
        <w:t xml:space="preserve"> </w:t>
      </w:r>
      <w:r>
        <w:t>+</w:t>
      </w:r>
      <w:r>
        <w:t xml:space="preserve"> </w:t>
      </w:r>
      <w:r>
        <w:t>-adenosine triphosphatase (PM H</w:t>
      </w:r>
      <w:r>
        <w:t xml:space="preserve"> </w:t>
      </w:r>
      <w:r>
        <w:t>+</w:t>
      </w:r>
      <w:r>
        <w:t xml:space="preserve"> </w:t>
      </w:r>
      <w:r>
        <w:t>-ATPase)] is essential in plants. C-terminal phosphorylation events regulate proton pump activity, such as Thr</w:t>
      </w:r>
      <w:r>
        <w:rPr>
          <w:vertAlign w:val="subscript"/>
        </w:rPr>
        <w:t>881</w:t>
      </w:r>
      <w:r>
        <w:t>phosphorylation in</w:t>
      </w:r>
      <w:r>
        <w:t xml:space="preserve"> </w:t>
      </w:r>
      <w:r>
        <w:t>Arabidopsis</w:t>
      </w:r>
      <w:r>
        <w:t xml:space="preserve"> </w:t>
      </w:r>
      <w:r>
        <w:t>AHA1. We discovered a sequential protein phosphorylation pathway in which two distinct types of Raf-like protein kinases, C5-Raf and C7-Raf, form a heterocomplex that phosphorylates Thr</w:t>
      </w:r>
      <w:r>
        <w:rPr>
          <w:vertAlign w:val="subscript"/>
        </w:rPr>
        <w:t>881</w:t>
      </w:r>
      <w:r>
        <w:t>to activate PM H</w:t>
      </w:r>
      <w:r>
        <w:t xml:space="preserve"> </w:t>
      </w:r>
      <w:r>
        <w:t>+</w:t>
      </w:r>
      <w:r>
        <w:t xml:space="preserve"> </w:t>
      </w:r>
      <w:r>
        <w:t>-ATPases. This regulatory system is highly conserved across lineages from liverworts to angiosperms. In</w:t>
      </w:r>
      <w:r>
        <w:t xml:space="preserve"> </w:t>
      </w:r>
      <w:r>
        <w:t>Arabidopsis</w:t>
      </w:r>
      <w:r>
        <w:t xml:space="preserve"> </w:t>
      </w:r>
      <w:r>
        <w:t>, a C5-Raf Raf36 regulates plant growth through the phosphorylation of multiple</w:t>
      </w:r>
      <w:r>
        <w:t xml:space="preserve"> </w:t>
      </w:r>
      <w:r>
        <w:t>Arabidopsis</w:t>
      </w:r>
      <w:r>
        <w:t xml:space="preserve"> </w:t>
      </w:r>
      <w:r>
        <w:t>H</w:t>
      </w:r>
      <w:r>
        <w:t xml:space="preserve"> </w:t>
      </w:r>
      <w:r>
        <w:t>+</w:t>
      </w:r>
      <w:r>
        <w:t xml:space="preserve"> </w:t>
      </w:r>
      <w:r>
        <w:t>-ATPases (AHAs). Additionally, another C5-Raf HT1 functions with C7-Rafs CBC1/2 to phosphorylate AHA1</w:t>
      </w:r>
      <w:r>
        <w:t xml:space="preserve"> </w:t>
      </w:r>
      <w:r>
        <w:t>T881</w:t>
      </w:r>
      <w:r>
        <w:t xml:space="preserve"> </w:t>
      </w:r>
      <w:r>
        <w:t>, thereby generating a driving force for light-induced stomatal opening. Our findings provide a framework for understanding PM H</w:t>
      </w:r>
      <w:r>
        <w:t xml:space="preserve"> </w:t>
      </w:r>
      <w:r>
        <w:t>+</w:t>
      </w:r>
      <w:r>
        <w:t xml:space="preserve"> </w:t>
      </w:r>
      <w:r>
        <w:t>-ATPase activation in various physiological processes, particularly in elucidating the complete mechanistic understanding of light-induced stomatal opening.</w:t>
      </w:r>
    </w:p>
    <w:p>
      <w:pPr>
        <w:spacing w:before="120" w:after="120"/>
      </w:pPr>
      <w:r>
        <w:rPr>
          <w:sz w:val="18"/>
        </w:rPr>
        <w:t>——————————————————————————————————————————————————————————————————————</w:t>
      </w:r>
    </w:p>
    <w:p>
      <w:pPr>
        <w:spacing w:before="160" w:after="40" w:line="240" w:lineRule="auto"/>
      </w:pPr>
      <w:r>
        <w:rPr>
          <w:b/>
        </w:rPr>
        <w:t xml:space="preserve">[465] </w:t>
      </w:r>
      <w:hyperlink r:id="rId1095">
        <w:r>
          <w:rPr>
            <w:color w:val="1155CC"/>
            <w:u w:val="single"/>
          </w:rPr>
          <w:t>可预测的地震周期是由海洋转换断层上的结构破裂障碍导致的</w:t>
        </w:r>
      </w:hyperlink>
    </w:p>
    <w:p>
      <w:pPr>
        <w:spacing w:before="0" w:after="80"/>
      </w:pPr>
      <w:r>
        <w:rPr>
          <w:i/>
          <w:sz w:val="20"/>
        </w:rPr>
        <w:t>EN: Predictable seismic cycles result from structural rupture barriers on oceanic transform faults</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96">
        <w:r>
          <w:rPr>
            <w:color w:val="1155CC"/>
            <w:u w:val="single"/>
          </w:rPr>
          <w:t>10.1126/science.ady6190</w:t>
        </w:r>
      </w:hyperlink>
    </w:p>
    <w:p>
      <w:pPr>
        <w:spacing w:before="0" w:after="120"/>
      </w:pPr>
      <w:r>
        <w:rPr>
          <w:b/>
        </w:rPr>
        <w:t xml:space="preserve">Notes: </w:t>
      </w:r>
      <w:r>
        <w:t>abstract_source=crossref</w:t>
      </w:r>
    </w:p>
    <w:p>
      <w:pPr>
        <w:spacing w:before="0" w:after="80" w:lineRule="auto" w:line="276"/>
      </w:pPr>
      <w:r>
        <w:rPr>
          <w:b/>
        </w:rPr>
        <w:t xml:space="preserve">摘要（ZH）: </w:t>
      </w:r>
      <w:r>
        <w:t>海洋转换断层 (OTFs) 上震级 (</w:t>
      </w:r>
      <w:r>
        <w:t xml:space="preserve"> </w:t>
      </w:r>
      <w:r>
        <w:t>M</w:t>
      </w:r>
      <w:r>
        <w:t xml:space="preserve"> </w:t>
      </w:r>
      <w:r>
        <w:t>) &amp;gt;5.5 的地震反复破裂相同的锁定区块，有时呈准周期性。这些区块被“障碍”分隔开来，阻止地震传播，并且大多以无震滑动方式滑动。然而，控制这种系统行为的物理过程仍不清楚。我们分析了 Gofar 转换断层上的两个障碍，这些障碍在过去三十年中阻止了约 15 次</w:t>
      </w:r>
      <w:r>
        <w:t xml:space="preserve"> </w:t>
      </w:r>
      <w:r>
        <w:t>M</w:t>
      </w:r>
      <w:r>
        <w:t xml:space="preserve"> </w:t>
      </w:r>
      <w:r>
        <w:t>6 级地震。海底地震仪数据表明，障碍在主震前发生了强烈的微震活动，并由多条断层和具有 100 至 400 米横向位移的转张阶梯组成。这些特征与地震破裂终止模型中涉及速度增强摩擦或大几何阶梯的观点相矛盾，而是指向损伤增强的孔隙度和膨胀增强机制。通过隔离破裂段，障碍调节了 OTF 地震的准周期性复发。</w:t>
      </w:r>
    </w:p>
    <w:p>
      <w:pPr>
        <w:spacing w:before="0" w:after="200" w:lineRule="auto" w:line="276"/>
      </w:pPr>
      <w:r>
        <w:rPr>
          <w:b/>
        </w:rPr>
        <w:t xml:space="preserve">Abstract (EN): </w:t>
      </w:r>
      <w:r>
        <w:t>Earthquakes of magnitude (</w:t>
      </w:r>
      <w:r>
        <w:t xml:space="preserve"> </w:t>
      </w:r>
      <w:r>
        <w:t>M</w:t>
      </w:r>
      <w:r>
        <w:t xml:space="preserve"> </w:t>
      </w:r>
      <w:r>
        <w:t>) &amp;gt;5.5 on oceanic transform faults (OTFs) repeatedly rupture the same locked patches, sometimes quasiperiodically. These patches are separated by “barriers” that halt earthquake propagation and slip mostly aseismically. However, the physical processes governing this systematic behavior remain unclear. We analyzed two barriers along the Gofar transform fault that have arrested ~15</w:t>
      </w:r>
      <w:r>
        <w:t xml:space="preserve"> </w:t>
      </w:r>
      <w:r>
        <w:t>M</w:t>
      </w:r>
      <w:r>
        <w:t xml:space="preserve"> </w:t>
      </w:r>
      <w:r>
        <w:t>6 earthquakes over the past three decades. Ocean bottom seismometer data indicate that the barriers hosted intense microseismicity before the mainshocks and comprise multistrand faults and transtensional stepovers with 100- to 400-m lateral offset. These characteristics contradict earthquake rupture termination models invoking velocity-strengthening friction or large geometric steps and instead point to damage-enhanced porosity and dilatancy-strengthening mechanisms. By isolating rupture segments, the barriers regulate the quasiperiodic recurrence of OTF earthquakes.</w:t>
      </w:r>
    </w:p>
    <w:p>
      <w:pPr>
        <w:spacing w:before="120" w:after="120"/>
      </w:pPr>
      <w:r>
        <w:rPr>
          <w:sz w:val="18"/>
        </w:rPr>
        <w:t>——————————————————————————————————————————————————————————————————————</w:t>
      </w:r>
    </w:p>
    <w:p>
      <w:pPr>
        <w:spacing w:before="160" w:after="40" w:line="240" w:lineRule="auto"/>
      </w:pPr>
      <w:r>
        <w:rPr>
          <w:b/>
        </w:rPr>
        <w:t xml:space="preserve">[466] </w:t>
      </w:r>
      <w:hyperlink r:id="rId1097">
        <w:r>
          <w:rPr>
            <w:color w:val="1155CC"/>
            <w:u w:val="single"/>
          </w:rPr>
          <w:t>原生动物主导的硬基质动物群在最深的海洋深度茁壮成长</w:t>
        </w:r>
      </w:hyperlink>
    </w:p>
    <w:p>
      <w:pPr>
        <w:spacing w:before="0" w:after="80"/>
      </w:pPr>
      <w:r>
        <w:rPr>
          <w:i/>
          <w:sz w:val="20"/>
        </w:rPr>
        <w:t>EN: Protist-dominated hard substrate faunas thrive at the deepest ocean depths</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098">
        <w:r>
          <w:rPr>
            <w:color w:val="1155CC"/>
            <w:u w:val="single"/>
          </w:rPr>
          <w:t>10.1126/science.aea7086</w:t>
        </w:r>
      </w:hyperlink>
    </w:p>
    <w:p>
      <w:pPr>
        <w:spacing w:before="0" w:after="120"/>
      </w:pPr>
      <w:r>
        <w:rPr>
          <w:b/>
        </w:rPr>
        <w:t xml:space="preserve">Notes: </w:t>
      </w:r>
      <w:r>
        <w:t>abstract_source=crossref</w:t>
      </w:r>
    </w:p>
    <w:p>
      <w:pPr>
        <w:spacing w:before="0" w:after="80" w:lineRule="auto" w:line="276"/>
      </w:pPr>
      <w:r>
        <w:rPr>
          <w:b/>
        </w:rPr>
        <w:t xml:space="preserve">摘要（ZH）: </w:t>
      </w:r>
      <w:r>
        <w:t>深海硬基质栖息着动物新奇种和独特的进化谱系。然而，岩石上的固着生物在极端的超深渊深度难以采样且大多未知。在此，我们报告了一种深海硬基质动物群（9000至10,898米），包括来自克马德克海沟和马里亚纳海沟的六个原生生物和后生动物门的32个物种，其中大多数为毫米级大小并且是科学新发现，使用载人潜水器</w:t>
      </w:r>
      <w:r>
        <w:t xml:space="preserve"> </w:t>
      </w:r>
      <w:r>
        <w:t>Fendouzhe</w:t>
      </w:r>
      <w:r>
        <w:t xml:space="preserve"> </w:t>
      </w:r>
      <w:r>
        <w:t>。我们表明，这些群落中占主导地位的丝状生物是异养有孔虫，挑战了早期的化能自养假说。大规模海底成像和采样表明，类似的原生生物主导的固着群落在大洋洲周围的七个超深渊区域中繁盛。这些动物群为最深海洋深度的生物多样性开辟了新的视角，并揭示了全球超深渊海沟中广泛但以前未被识别的碳热点。</w:t>
      </w:r>
    </w:p>
    <w:p>
      <w:pPr>
        <w:spacing w:before="0" w:after="200" w:lineRule="auto" w:line="276"/>
      </w:pPr>
      <w:r>
        <w:rPr>
          <w:b/>
        </w:rPr>
        <w:t xml:space="preserve">Abstract (EN): </w:t>
      </w:r>
      <w:r>
        <w:t>Deep-sea hard substrates host faunal novelties and distinct evolutionary lineages. However, sessile organisms on rocks are difficult to sample and largely unknown at extreme hadal depths. Here, we report a deep hard-substrate fauna (9000 to 10,898 meters), comprising 32 species of six protist and metazoan phyla, most millimeter-sized and new to science, from the Kermadec and Mariana trenches, using the manned submersible</w:t>
      </w:r>
      <w:r>
        <w:t xml:space="preserve"> </w:t>
      </w:r>
      <w:r>
        <w:t>Fendouzhe</w:t>
      </w:r>
      <w:r>
        <w:t xml:space="preserve"> </w:t>
      </w:r>
      <w:r>
        <w:t>. We show that the filamentous organisms dominating these assemblages are heterotrophic foraminiferans, challenging the earlier chemolithoautotrophic hypothesis. Large-scale seafloor imaging and sampling suggest that similar protistan-dominated sessile communities thrive in seven hadal regions around Oceania. These faunas open new perspectives on biodiversity at the deepest ocean depths and unveil widespread, but previously unrecognized, carbon hotspots in global hadal trenches.</w:t>
      </w:r>
    </w:p>
    <w:p>
      <w:pPr>
        <w:spacing w:before="120" w:after="120"/>
      </w:pPr>
      <w:r>
        <w:rPr>
          <w:sz w:val="18"/>
        </w:rPr>
        <w:t>——————————————————————————————————————————————————————————————————————</w:t>
      </w:r>
    </w:p>
    <w:p>
      <w:pPr>
        <w:spacing w:before="160" w:after="40" w:line="240" w:lineRule="auto"/>
      </w:pPr>
      <w:r>
        <w:rPr>
          <w:b/>
        </w:rPr>
        <w:t xml:space="preserve">[467] </w:t>
      </w:r>
      <w:hyperlink r:id="rId1099">
        <w:r>
          <w:rPr>
            <w:color w:val="1155CC"/>
            <w:u w:val="single"/>
          </w:rPr>
          <w:t>特朗普政府削减CDC在全球阻止HIV项目中的关键角色</w:t>
        </w:r>
      </w:hyperlink>
    </w:p>
    <w:p>
      <w:pPr>
        <w:spacing w:before="0" w:after="80"/>
      </w:pPr>
      <w:r>
        <w:rPr>
          <w:i/>
          <w:sz w:val="20"/>
        </w:rPr>
        <w:t>EN: Trump administration cuts CDC’s key role in global program to stop HIV</w:t>
      </w:r>
    </w:p>
    <w:p>
      <w:pPr>
        <w:spacing w:before="0" w:after="120"/>
      </w:pPr>
      <w:r>
        <w:rPr>
          <w:b/>
        </w:rPr>
        <w:t xml:space="preserve">Source: </w:t>
      </w:r>
      <w:r>
        <w:t>AAAS: Science: Table of Contents</w:t>
      </w:r>
      <w:r>
        <w:t xml:space="preserve">    </w:t>
      </w:r>
      <w:r>
        <w:rPr>
          <w:b/>
        </w:rPr>
        <w:t xml:space="preserve">Pub date: </w:t>
      </w:r>
      <w:r>
        <w:t>2026-05-14 06:00:15+00:00</w:t>
      </w:r>
      <w:r>
        <w:t xml:space="preserve">    </w:t>
      </w:r>
      <w:r>
        <w:rPr>
          <w:b/>
        </w:rPr>
        <w:t xml:space="preserve">DOI: </w:t>
      </w:r>
      <w:hyperlink r:id="rId1100">
        <w:r>
          <w:rPr>
            <w:color w:val="1155CC"/>
            <w:u w:val="single"/>
          </w:rPr>
          <w:t>10.1126/science.aei8226</w:t>
        </w:r>
      </w:hyperlink>
    </w:p>
    <w:p>
      <w:pPr>
        <w:spacing w:before="0" w:after="120"/>
      </w:pPr>
      <w:r>
        <w:rPr>
          <w:b/>
        </w:rPr>
        <w:t xml:space="preserve">Notes: </w:t>
      </w:r>
      <w:r>
        <w:t>abstract_source=crossref</w:t>
      </w:r>
    </w:p>
    <w:p>
      <w:pPr>
        <w:spacing w:before="0" w:after="80" w:lineRule="auto" w:line="276"/>
      </w:pPr>
      <w:r>
        <w:rPr>
          <w:b/>
        </w:rPr>
        <w:t xml:space="preserve">摘要（ZH）: </w:t>
      </w:r>
      <w:r>
        <w:t>许多人表示，直接向国家汇款的举措可能预示着PEPFAR的终结</w:t>
      </w:r>
    </w:p>
    <w:p>
      <w:pPr>
        <w:spacing w:before="0" w:after="200" w:lineRule="auto" w:line="276"/>
      </w:pPr>
      <w:r>
        <w:rPr>
          <w:b/>
        </w:rPr>
        <w:t xml:space="preserve">Abstract (EN): </w:t>
      </w:r>
      <w:r>
        <w:t>Many say move to send money directly to countries could spell PEPFAR’s end</w:t>
      </w:r>
    </w:p>
    <w:p>
      <w:pPr>
        <w:spacing w:before="120" w:after="120"/>
      </w:pPr>
      <w:r>
        <w:rPr>
          <w:sz w:val="18"/>
        </w:rPr>
        <w:t>——————————————————————————————————————————————————————————————————————</w:t>
      </w:r>
    </w:p>
    <w:p>
      <w:pPr>
        <w:spacing w:before="160" w:after="40" w:line="240" w:lineRule="auto"/>
      </w:pPr>
      <w:r>
        <w:rPr>
          <w:b/>
        </w:rPr>
        <w:t xml:space="preserve">[468] </w:t>
      </w:r>
      <w:hyperlink r:id="rId1101">
        <w:r>
          <w:rPr>
            <w:color w:val="1155CC"/>
            <w:u w:val="single"/>
          </w:rPr>
          <w:t>基于反铁磁体的皮秒超低功耗开关器件</w:t>
        </w:r>
      </w:hyperlink>
    </w:p>
    <w:p>
      <w:pPr>
        <w:spacing w:before="0" w:after="80"/>
      </w:pPr>
      <w:r>
        <w:rPr>
          <w:i/>
          <w:sz w:val="20"/>
        </w:rPr>
        <w:t>EN: Picosecond ultralow-power switching device based on an antiferromagnet</w:t>
      </w:r>
    </w:p>
    <w:p>
      <w:pPr>
        <w:spacing w:before="0" w:after="120"/>
      </w:pPr>
      <w:r>
        <w:rPr>
          <w:b/>
        </w:rPr>
        <w:t xml:space="preserve">Source: </w:t>
      </w:r>
      <w:r>
        <w:t>AAAS: Science: Table of Contents</w:t>
      </w:r>
      <w:r>
        <w:t xml:space="preserve">    </w:t>
      </w:r>
      <w:r>
        <w:rPr>
          <w:b/>
        </w:rPr>
        <w:t xml:space="preserve">Pub date: </w:t>
      </w:r>
      <w:r>
        <w:t>2026-05-14 06:13:55+00:00</w:t>
      </w:r>
      <w:r>
        <w:t xml:space="preserve">    </w:t>
      </w:r>
      <w:r>
        <w:rPr>
          <w:b/>
        </w:rPr>
        <w:t xml:space="preserve">DOI: </w:t>
      </w:r>
      <w:hyperlink r:id="rId1102">
        <w:r>
          <w:rPr>
            <w:color w:val="1155CC"/>
            <w:u w:val="single"/>
          </w:rPr>
          <w:t>10.1126/science.adt3136</w:t>
        </w:r>
      </w:hyperlink>
    </w:p>
    <w:p>
      <w:pPr>
        <w:spacing w:before="0" w:after="120"/>
      </w:pPr>
      <w:r>
        <w:rPr>
          <w:b/>
        </w:rPr>
        <w:t xml:space="preserve">Notes: </w:t>
      </w:r>
      <w:r>
        <w:t>abstract_source=crossref</w:t>
      </w:r>
    </w:p>
    <w:p>
      <w:pPr>
        <w:spacing w:before="0" w:after="80" w:lineRule="auto" w:line="276"/>
      </w:pPr>
      <w:r>
        <w:rPr>
          <w:b/>
        </w:rPr>
        <w:t xml:space="preserve">摘要（ZH）: </w:t>
      </w:r>
      <w:r>
        <w:t>开发一种超快且节能的非易失性开关设备可能对新兴计算架构产生强烈影响。然而，处理速度在纳秒级别已达到瓶颈，因为进一步加速需要过大的写入功率。我们展示了使用反铁磁体Mn3Sn和重金属钽的异质结构在皮秒开关中实现超低功率，这些结构通过短至40皮秒的电脉冲表现出自旋轨道扭矩开关。由于有效的角动量传递，皮秒级别的功耗比铁磁对应物低几个数量级。与先前报道的皮秒开关设备相比，我们的超低功率开关设备实现了更少的加热、更高的耐久性和使用光电流的开关。这些结果为超快非易失性存储器和高效光电转换技术铺平了道路。</w:t>
      </w:r>
    </w:p>
    <w:p>
      <w:pPr>
        <w:spacing w:before="0" w:after="200" w:lineRule="auto" w:line="276"/>
      </w:pPr>
      <w:r>
        <w:rPr>
          <w:b/>
        </w:rPr>
        <w:t xml:space="preserve">Abstract (EN): </w:t>
      </w:r>
      <w:r>
        <w:t>Developing an ultrafast and energy-efficient nonvolatile switching device may pose a strong impact on emerging computing architectures. However, processing speed has plateaued in the nanosecond regime, as further acceleration demands excessively large write power. We demonstrate ultralow power in picosecond switching using heterostructures of the antiferromagnet Mn</w:t>
      </w:r>
      <w:r>
        <w:rPr>
          <w:vertAlign w:val="subscript"/>
        </w:rPr>
        <w:t>3</w:t>
      </w:r>
      <w:r>
        <w:t>Sn and heavy metal tantalum, which exhibit spin-orbit torque switching by electrical pulses as short as 40 picoseconds. Power consumption in the picosecond regime is several orders of magnitude lower than in ferromagnetic counterparts owing to efficient angular momentum transfer. Compared with previously reported picosecond switching devices, our ultralow-power switching device realizes much less heating, higher endurance, and switching using photocurrent. These results pave the way to ultrafast nonvolatile memory and efficient optical-to-electrical conversion technology.</w:t>
      </w:r>
    </w:p>
    <w:p>
      <w:pPr>
        <w:spacing w:before="120" w:after="120"/>
      </w:pPr>
      <w:r>
        <w:rPr>
          <w:sz w:val="18"/>
        </w:rPr>
        <w:t>——————————————————————————————————————————————————————————————————————</w:t>
      </w:r>
    </w:p>
    <w:p>
      <w:pPr>
        <w:spacing w:before="160" w:after="40" w:line="240" w:lineRule="auto"/>
      </w:pPr>
      <w:r>
        <w:rPr>
          <w:b/>
        </w:rPr>
        <w:t xml:space="preserve">[469] </w:t>
      </w:r>
      <w:hyperlink r:id="rId1103">
        <w:r>
          <w:rPr>
            <w:color w:val="1155CC"/>
            <w:u w:val="single"/>
          </w:rPr>
          <w:t>超分子相互作用介导的仿射变形用于能量耗散刚性水凝胶</w:t>
        </w:r>
      </w:hyperlink>
    </w:p>
    <w:p>
      <w:pPr>
        <w:spacing w:before="0" w:after="80"/>
      </w:pPr>
      <w:r>
        <w:rPr>
          <w:i/>
          <w:sz w:val="20"/>
        </w:rPr>
        <w:t>EN: Supramolecular Interaction Mediated Affine Deformation for Energy‐Dissipative Stiff Hydrogel</w:t>
      </w:r>
    </w:p>
    <w:p>
      <w:pPr>
        <w:spacing w:before="0" w:after="120"/>
      </w:pPr>
      <w:r>
        <w:rPr>
          <w:b/>
        </w:rPr>
        <w:t xml:space="preserve">Source: </w:t>
      </w:r>
      <w:r>
        <w:t>Wiley: Advanced Materials: Table of Contents</w:t>
      </w:r>
      <w:r>
        <w:t xml:space="preserve">    </w:t>
      </w:r>
      <w:r>
        <w:rPr>
          <w:b/>
        </w:rPr>
        <w:t xml:space="preserve">Pub date: </w:t>
      </w:r>
      <w:r>
        <w:t>2026-05-14 06:15:35+00:00</w:t>
      </w:r>
      <w:r>
        <w:t xml:space="preserve">    </w:t>
      </w:r>
      <w:r>
        <w:rPr>
          <w:b/>
        </w:rPr>
        <w:t xml:space="preserve">DOI: </w:t>
      </w:r>
      <w:hyperlink r:id="rId1104">
        <w:r>
          <w:rPr>
            <w:color w:val="1155CC"/>
            <w:u w:val="single"/>
          </w:rPr>
          <w:t>10.1002/adma.73369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能量耗散水凝胶通常因低刚度而无法作为结构材料应用。在这项工作中，提出了一种独特的超分子/聚合物结合网络，以克服长期存在的刚度-能量耗散困境。通过从良溶剂交换到差溶剂，超分子凝胶剂和聚合物之间的分子内和分子间非共价相互作用最初被抑制，然后恢复，生成一个超分子网络和一个聚合物网络，彼此非共价结合。发现这种结合网络结构能够仿射变形，防止意外的应力集中，从而产生良好的综合机械性能。在变形时，这些超分子和聚合物域最初存活以阻止变形，而后适应性地解体和断裂，通过多种途径和多个尺度耗散大量能量，实现刚度和能量耗散之间的理想兼容性。因此，超分子/聚合物结合网络水凝胶实现了协调增强的刚度（10–32 MPa）和能量耗散（耗散能量为6–12 MJ/m3，耗散系数高达99%），共同提供优越的抗冲击性和减震性，以扩展其作为结构材料的应用。</w:t>
      </w:r>
    </w:p>
    <w:p>
      <w:pPr>
        <w:spacing w:before="0" w:after="200" w:lineRule="auto" w:line="276"/>
      </w:pPr>
      <w:r>
        <w:rPr>
          <w:b/>
        </w:rPr>
        <w:t xml:space="preserve">Abstract (EN): </w:t>
      </w:r>
      <w:r>
        <w:t>Conventional energy‐dissipative hydrogels usually suffer from low stiffness, precluding their application as structural materials. In this work, a distinctive supramolecular/polymer conjoined‐network is proposed to overcome the long‐standing stiffness‐energy dissipation dilemma. By exchanging from a good solvent to a poor one, the intra‐ and intermolecular noncovalent interactions between supramolecular gelators and polymers are initially suppressed and then recovered, generating a supramolecular network and a polymer network, noncovalently conjoined with each other. This conjoined‐network structure is found to deform affinely, preventing unexpected stress concentration, thus yielding favorable combined mechanical properties. When deformed, those supramolecular and polymer domains initially survive to arrest deformation, while later adaptively disassemble and fracture to dissipate substantial energy through diverse pathways and across multiple scales, enabling the desirable compatibility between stiffness and energy dissipation. Consequently, the supramolecular/polymer conjoined‐network hydrogel achieves coordinatively enhanced stiffness (10–32 MPa) and energy dissipation (dissipated energy of 6–12 MJ/m</w:t>
      </w:r>
      <w:r>
        <w:rPr>
          <w:vertAlign w:val="subscript"/>
        </w:rPr>
        <w:t>3</w:t>
      </w:r>
      <w:r>
        <w:t>and dissipation coefficient up to 99%), collectively providing superior impact resistance and shock attenuation to extend their application as structural materials.</w:t>
      </w:r>
    </w:p>
    <w:p>
      <w:pPr>
        <w:spacing w:before="120" w:after="120"/>
      </w:pPr>
      <w:r>
        <w:rPr>
          <w:sz w:val="18"/>
        </w:rPr>
        <w:t>——————————————————————————————————————————————————————————————————————</w:t>
      </w:r>
    </w:p>
    <w:p>
      <w:pPr>
        <w:spacing w:before="160" w:after="40" w:line="240" w:lineRule="auto"/>
      </w:pPr>
      <w:r>
        <w:rPr>
          <w:b/>
        </w:rPr>
        <w:t xml:space="preserve">[470] </w:t>
      </w:r>
      <w:hyperlink r:id="rId1105">
        <w:r>
          <w:rPr>
            <w:color w:val="1155CC"/>
            <w:u w:val="single"/>
          </w:rPr>
          <w:t>光调控自由基实现的多功能神经形态视觉</w:t>
        </w:r>
      </w:hyperlink>
    </w:p>
    <w:p>
      <w:pPr>
        <w:spacing w:before="0" w:after="80"/>
      </w:pPr>
      <w:r>
        <w:rPr>
          <w:i/>
          <w:sz w:val="20"/>
        </w:rPr>
        <w:t>EN: Multifunctional Neuromorphic Vision Enabled by Photo‐Regulated Radical</w:t>
      </w:r>
    </w:p>
    <w:p>
      <w:pPr>
        <w:spacing w:before="0" w:after="120"/>
      </w:pPr>
      <w:r>
        <w:rPr>
          <w:b/>
        </w:rPr>
        <w:t xml:space="preserve">Source: </w:t>
      </w:r>
      <w:r>
        <w:t>Wiley: Advanced Materials: Table of Contents</w:t>
      </w:r>
      <w:r>
        <w:t xml:space="preserve">    </w:t>
      </w:r>
      <w:r>
        <w:rPr>
          <w:b/>
        </w:rPr>
        <w:t xml:space="preserve">Pub date: </w:t>
      </w:r>
      <w:r>
        <w:t>2026-05-14 06:16:31+00:00</w:t>
      </w:r>
      <w:r>
        <w:t xml:space="preserve">    </w:t>
      </w:r>
      <w:r>
        <w:rPr>
          <w:b/>
        </w:rPr>
        <w:t xml:space="preserve">DOI: </w:t>
      </w:r>
      <w:hyperlink r:id="rId1106">
        <w:r>
          <w:rPr>
            <w:color w:val="1155CC"/>
            <w:u w:val="single"/>
          </w:rPr>
          <w:t>10.1002/adma.73363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神经形态视觉系统直接在传感器前端处理信息，为下一代机器视觉提供了一个有前途的硬件途径。然而，目前的实现通常仅限于单一功能，并依赖于限制可扩展性、均匀性和小型化的设备机制，突显了对多功能和可集成神经形态硬件的需求。在此，我们引入了一种由加尔维诺氧自由基（GX）作为波长依赖性双极掺杂剂启用的光调控掺杂策略，其中自由基介导的电荷转移使得在单层神经形态设备内实现波长依赖性的光学开关，在兴奋性和抑制性响应之间切换。该机制支持高光响应和可编程的突触动态，允许构建一个大规模（256 × 256）的神经形态视觉系统，集成动态运动检测、时空记忆和对比增强边缘提取。该工作为复杂动态场景提供了强大的硬件解决方案，建立了通向完全集成、高性能神经形态视觉系统的可扩展途径。</w:t>
      </w:r>
    </w:p>
    <w:p>
      <w:pPr>
        <w:spacing w:before="0" w:after="200" w:lineRule="auto" w:line="276"/>
      </w:pPr>
      <w:r>
        <w:rPr>
          <w:b/>
        </w:rPr>
        <w:t xml:space="preserve">Abstract (EN): </w:t>
      </w:r>
      <w:r>
        <w:t>Neuromorphic vision systems process information directly at the sensor front end, offering a promising hardware pathway for next‐generation machine vision. However, current implementations are typically restricted to single functions and rely on device mechanisms that limit scalability, uniformity and miniaturization, highlighting the need for multifunctional and integrable neuromorphic hardware. Herein, we introduce a photo‐regulated doping strategy enabled by galvinoxyl radicals (GX) as wavelength‐dependent bipolar dopants, in which radical‐mediated charge transfer enables wavelength‐dependent optical switching between excitatory and inhibitory responses within a single‐layer neuromorphic device. This mechanism supports high photoresponse and programmable synaptic dynamics, allowing the construction of a large‑scale (256 × 256) neuromorphic vision system that integrates dynamic motion detection, spatiotemporal memory, and contrast‐enhanced edge extraction. This work provides a potent hardware solution for complex dynamic scenarios, establishing a scalable pathway toward fully integrated, high‐performance neuromorphic vision system.</w:t>
      </w:r>
    </w:p>
    <w:p>
      <w:pPr>
        <w:spacing w:before="120" w:after="120"/>
      </w:pPr>
      <w:r>
        <w:rPr>
          <w:sz w:val="18"/>
        </w:rPr>
        <w:t>——————————————————————————————————————————————————————————————————————</w:t>
      </w:r>
    </w:p>
    <w:p>
      <w:pPr>
        <w:spacing w:before="160" w:after="40" w:line="240" w:lineRule="auto"/>
      </w:pPr>
      <w:r>
        <w:rPr>
          <w:b/>
        </w:rPr>
        <w:t xml:space="preserve">[471] </w:t>
      </w:r>
      <w:hyperlink r:id="rId1107">
        <w:r>
          <w:rPr>
            <w:color w:val="1155CC"/>
            <w:u w:val="single"/>
          </w:rPr>
          <w:t>流体结晶协同作用实现&gt;26%效率的全环境印刷SAM基钙钛矿光伏</w:t>
        </w:r>
      </w:hyperlink>
    </w:p>
    <w:p>
      <w:pPr>
        <w:spacing w:before="0" w:after="80"/>
      </w:pPr>
      <w:r>
        <w:rPr>
          <w:i/>
          <w:sz w:val="20"/>
        </w:rPr>
        <w:t>EN: Fluid‐Crystallization Synergy for &gt;26% Efficiency Fully Ambient‐Printed SAM‐Based Perovskite Photovoltaics</w:t>
      </w:r>
    </w:p>
    <w:p>
      <w:pPr>
        <w:spacing w:before="0" w:after="120"/>
      </w:pPr>
      <w:r>
        <w:rPr>
          <w:b/>
        </w:rPr>
        <w:t xml:space="preserve">Source: </w:t>
      </w:r>
      <w:r>
        <w:t>Wiley: Advanced Materials: Table of Contents</w:t>
      </w:r>
      <w:r>
        <w:t xml:space="preserve">    </w:t>
      </w:r>
      <w:r>
        <w:rPr>
          <w:b/>
        </w:rPr>
        <w:t xml:space="preserve">Pub date: </w:t>
      </w:r>
      <w:r>
        <w:t>2026-05-14 06:17:02+00:00</w:t>
      </w:r>
      <w:r>
        <w:t xml:space="preserve">    </w:t>
      </w:r>
      <w:r>
        <w:rPr>
          <w:b/>
        </w:rPr>
        <w:t xml:space="preserve">DOI: </w:t>
      </w:r>
      <w:hyperlink r:id="rId1108">
        <w:r>
          <w:rPr>
            <w:color w:val="1155CC"/>
            <w:u w:val="single"/>
          </w:rPr>
          <w:t>10.1002/adma.73373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在惰性环境中的实验室规模旋涂已经为使用自组装单分子层（SAMs）的钙钛矿太阳能电池（PSCs）提供了创纪录的效率，但通过完全环境空气印刷进行制造——低成本工业化的前提——仍未见报道。在此，我们报告了基于完全环境空气印刷的SAMs和钙钛矿薄膜的首个超过26%效率的PSCs，并通过流体-结晶协同作用阐明了SAM物理化学性质的主导作用。具有较高表面能（γ）的SAMs使钙钛矿墨水的液面变平，减弱了气液界面的温度梯度和Marangoni应力，从而实现了更均匀的钙钛矿沉积和平滑的薄膜。同时，γ系统地调节钙钛矿结晶，通过延迟成核开始并将生长模式从连续转变为瞬时在较高γ的SAMs上。流体-结晶协同作用产生了创纪录的功率转换效率（PCE）为26.31%（认证为25.85%），这是所有已报道的环境空气印刷设备的基准，包括非SAMs基础的对手。该方法进一步实现了可扩展的制造，在13.04 cm²的小型模块中实现了22.3%的冠军PCE，并在ISOS-L-1协议下运行1200小时后保持超过90%的性能。这项工作建立了SAM物理化学性质之间的定量联系。</w:t>
      </w:r>
    </w:p>
    <w:p>
      <w:pPr>
        <w:spacing w:before="0" w:after="200" w:lineRule="auto" w:line="276"/>
      </w:pPr>
      <w:r>
        <w:rPr>
          <w:b/>
        </w:rPr>
        <w:t xml:space="preserve">Abstract (EN): </w:t>
      </w:r>
      <w:r>
        <w:t>While lab‐scale spin‐coating in inert environments has delivered record efficiencies for perovskite solar cells (PSCs) employing self‐assembled monolayers (SAMs), their fabrication via fully ambient‐air printing—a prerequisite for low‐cost industrialization—remains unreported. Here, we report the first PSCs exceeding 26% efficiency based on fully ambient‐air printed SAMs and perovskite films and elucidate the governing role of SAM physicochemical properties through fluid‐crystallization synergy. SAMs with higher surface energy (</w:t>
      </w:r>
      <w:r>
        <w:t xml:space="preserve"> </w:t>
      </w:r>
      <w:r>
        <w:t>γ</w:t>
      </w:r>
      <w:r>
        <w:t xml:space="preserve"> </w:t>
      </w:r>
      <w:r>
        <w:t>) flatten the perovskite ink meniscus, attenuating the temperature gradient and Marangoni stress along the gas‐liquid interface, thereby enabling more uniform perovskite deposition and smoother films. Simultaneously,</w:t>
      </w:r>
      <w:r>
        <w:t xml:space="preserve"> </w:t>
      </w:r>
      <w:r>
        <w:t>γ</w:t>
      </w:r>
      <w:r>
        <w:t xml:space="preserve"> </w:t>
      </w:r>
      <w:r>
        <w:t>systematically modulates perovskite crystallization by delaying nucleation onset and shifting the growth mode from continuous to instantaneous on higher‐</w:t>
      </w:r>
      <w:r>
        <w:t xml:space="preserve"> </w:t>
      </w:r>
      <w:r>
        <w:t>γ</w:t>
      </w:r>
      <w:r>
        <w:t xml:space="preserve"> </w:t>
      </w:r>
      <w:r>
        <w:t>SAMs. The fluid–crystallization synergy yields a record power conversion efficiency (PCE) of 26.31% (certified 25.85%), a benchmark for all reported ambient‐air printed devices, including non‐SAM‐based counterparts. The approach further enables scalable fabrication, achieving a champion PCE of 22.3% in 13.04 cm</w:t>
      </w:r>
      <w:r>
        <w:rPr>
          <w:vertAlign w:val="subscript"/>
        </w:rPr>
        <w:t>2</w:t>
      </w:r>
      <w:r>
        <w:t>mini‐modules with over 90% performance retention after 1200 h operation under the ISOS‐L‐1 protocol. This work establishes a quantitative link between SAM physicochemical properties and perovskite fluid dynamics and crystallization thermodynamics in ambient‐air printing, providing guidance for perovskite photovoltaics toward scalable ambient manufacturing.</w:t>
      </w:r>
    </w:p>
    <w:p>
      <w:pPr>
        <w:spacing w:before="120" w:after="120"/>
      </w:pPr>
      <w:r>
        <w:rPr>
          <w:sz w:val="18"/>
        </w:rPr>
        <w:t>——————————————————————————————————————————————————————————————————————</w:t>
      </w:r>
    </w:p>
    <w:p>
      <w:pPr>
        <w:spacing w:before="160" w:after="40" w:line="240" w:lineRule="auto"/>
      </w:pPr>
      <w:r>
        <w:rPr>
          <w:b/>
        </w:rPr>
        <w:t xml:space="preserve">[472] </w:t>
      </w:r>
      <w:hyperlink r:id="rId1109">
        <w:r>
          <w:rPr>
            <w:color w:val="1155CC"/>
            <w:u w:val="single"/>
          </w:rPr>
          <w:t>陶瓷造纸：一种简便的耐火增强、多功能超轻SiC纤维垫制备方法</w:t>
        </w:r>
      </w:hyperlink>
    </w:p>
    <w:p>
      <w:pPr>
        <w:spacing w:before="0" w:after="80"/>
      </w:pPr>
      <w:r>
        <w:rPr>
          <w:i/>
          <w:sz w:val="20"/>
        </w:rPr>
        <w:t>EN: Ceramic Papermaking: A Facile Route to Fire‐Strengthening, Multifunctional Ultralight SiC Fiber Mat</w:t>
      </w:r>
    </w:p>
    <w:p>
      <w:pPr>
        <w:spacing w:before="0" w:after="120"/>
      </w:pPr>
      <w:r>
        <w:rPr>
          <w:b/>
        </w:rPr>
        <w:t xml:space="preserve">Source: </w:t>
      </w:r>
      <w:r>
        <w:t>Wiley: Advanced Materials: Table of Contents</w:t>
      </w:r>
      <w:r>
        <w:t xml:space="preserve">    </w:t>
      </w:r>
      <w:r>
        <w:rPr>
          <w:b/>
        </w:rPr>
        <w:t xml:space="preserve">Pub date: </w:t>
      </w:r>
      <w:r>
        <w:t>2026-05-14 06:18:33+00:00</w:t>
      </w:r>
      <w:r>
        <w:t xml:space="preserve">    </w:t>
      </w:r>
      <w:r>
        <w:rPr>
          <w:b/>
        </w:rPr>
        <w:t xml:space="preserve">DOI: </w:t>
      </w:r>
      <w:hyperlink r:id="rId1110">
        <w:r>
          <w:rPr>
            <w:color w:val="1155CC"/>
            <w:u w:val="single"/>
          </w:rPr>
          <w:t>10.1002/adma.73380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轻SiC材料的高温热绝缘性能使其在极端环境应用中极具前景。在这项研究中，受古代造纸术的启发，我们展示了通过水相CTAB稳定的浆料在室温下将预制的SiC纤维组装成超轻陶瓷“纸”。在1600°C的洗礼下，“纸”不会燃烧并自我增强。空气动力热触发表面氧化，将纤维交叉焊接成稳定的连接点，并将抗压强度从49 kPa提升至206 kPa，而骨架保持其形状，仅损失1.23%的质量。所得的超轻SiC纤维垫（SFM）具有42 mW m⁻¹ K⁻¹的超低热导率和0.13 g cm⁻³的密度，但在80%的压缩、135°的弯曲和45°的扭曲下不破裂。反复的火焰冲击、循环气流冲刷和十次循环烧蚀使背面温度保持在400°C以下，证明了可靠的可重复使用性。由于“陶瓷造纸”路线仅依赖于重力沉降和pH触发的结构组装，米级或复杂图案的部件可以在数小时内成型，然后在80°C下干燥，避免了复杂的溶胶-凝胶化学或高温碳热合成。同样的Seebeck原理网络进一步赋予SFM实时温度测量（±10°C精度），在一个系统中集成了绝缘和损伤容忍。</w:t>
      </w:r>
    </w:p>
    <w:p>
      <w:pPr>
        <w:spacing w:before="0" w:after="200" w:lineRule="auto" w:line="276"/>
      </w:pPr>
      <w:r>
        <w:rPr>
          <w:b/>
        </w:rPr>
        <w:t xml:space="preserve">Abstract (EN): </w:t>
      </w:r>
      <w:r>
        <w:t>High‐temperature thermal insulation properties of ultralight SiC materials make them highly promising for extreme environment applications. In this study, inspired by ancient paper‐making, we demonstrate the room‐temperature assembly of pre‐formed SiC fibers into an ultralight ceramic “paper” using an aqueous CTAB‐stabilized slurry. Under the baptism of 1600°C the “paper” does not burn and strengthens itself. Aerodynamic heat triggers surface oxidation, welding fiber crossings into stable junctions and boosting compressive strength from 49 to 206 kPa, while the skeleton retains its shape with only 1.23% mass loss. The resultant ultralight SiC fiber mat (SFM) carries an ultralow thermal conductivity of 42 mW m</w:t>
      </w:r>
      <w:r>
        <w:t xml:space="preserve"> </w:t>
      </w:r>
      <w:r>
        <w:t>−1</w:t>
      </w:r>
      <w:r>
        <w:t xml:space="preserve"> </w:t>
      </w:r>
      <w:r>
        <w:t>K</w:t>
      </w:r>
      <w:r>
        <w:t xml:space="preserve"> </w:t>
      </w:r>
      <w:r>
        <w:t>−1</w:t>
      </w:r>
      <w:r>
        <w:t xml:space="preserve"> </w:t>
      </w:r>
      <w:r>
        <w:t>and a density of 0.13 g cm</w:t>
      </w:r>
      <w:r>
        <w:t xml:space="preserve"> </w:t>
      </w:r>
      <w:r>
        <w:t>−3</w:t>
      </w:r>
      <w:r>
        <w:t xml:space="preserve"> </w:t>
      </w:r>
      <w:r>
        <w:t>, yet survives 80% compression, 135° bending and 45° twisting without fracture. Repeated flame impingement, cyclic airflow scouring and ten‐cycle ablation leave the back‐face temperature below 400°C, evidencing reliable reusability. Because the “ceramic papermaking” route relies solely on gravity sedimentation and pH‐triggered structural assembly, meter‐scale or intricately patterned parts can be molded in hours, then dried at 80°C, avoiding complex sol‐gel chemistry or high‐temperature carbothermal synthesis. The same Seebeck‐principle network further endows SFM with real‐time temperature measurement (±10°C accuracy), integrating insulation and damage tolerance in one fire‐strengthened sheet.</w:t>
      </w:r>
    </w:p>
    <w:p>
      <w:pPr>
        <w:spacing w:before="120" w:after="120"/>
      </w:pPr>
      <w:r>
        <w:rPr>
          <w:sz w:val="18"/>
        </w:rPr>
        <w:t>——————————————————————————————————————————————————————————————————————</w:t>
      </w:r>
    </w:p>
    <w:p>
      <w:pPr>
        <w:spacing w:before="160" w:after="40" w:line="240" w:lineRule="auto"/>
      </w:pPr>
      <w:r>
        <w:rPr>
          <w:b/>
        </w:rPr>
        <w:t xml:space="preserve">[473] </w:t>
      </w:r>
      <w:hyperlink r:id="rId1111">
        <w:r>
          <w:rPr>
            <w:color w:val="1155CC"/>
            <w:u w:val="single"/>
          </w:rPr>
          <w:t>动态氢键微相分离实现凝胶复合材料中具有可调UCST的相变</w:t>
        </w:r>
      </w:hyperlink>
    </w:p>
    <w:p>
      <w:pPr>
        <w:spacing w:before="0" w:after="80"/>
      </w:pPr>
      <w:r>
        <w:rPr>
          <w:i/>
          <w:sz w:val="20"/>
        </w:rPr>
        <w:t>EN: Dynamically Hydrogen‐Bonded Microphase Separation Enabling Phase Transition in the Gel Composites With Tunable UCST</w:t>
      </w:r>
    </w:p>
    <w:p>
      <w:pPr>
        <w:spacing w:before="0" w:after="120"/>
      </w:pPr>
      <w:r>
        <w:rPr>
          <w:b/>
        </w:rPr>
        <w:t xml:space="preserve">Source: </w:t>
      </w:r>
      <w:r>
        <w:t>Wiley: Advanced Materials: Table of Contents</w:t>
      </w:r>
      <w:r>
        <w:t xml:space="preserve">    </w:t>
      </w:r>
      <w:r>
        <w:rPr>
          <w:b/>
        </w:rPr>
        <w:t xml:space="preserve">Pub date: </w:t>
      </w:r>
      <w:r>
        <w:t>2026-05-14 06:20:11+00:00</w:t>
      </w:r>
      <w:r>
        <w:t xml:space="preserve">    </w:t>
      </w:r>
      <w:r>
        <w:rPr>
          <w:b/>
        </w:rPr>
        <w:t xml:space="preserve">DOI: </w:t>
      </w:r>
      <w:hyperlink r:id="rId1112">
        <w:r>
          <w:rPr>
            <w:color w:val="1155CC"/>
            <w:u w:val="single"/>
          </w:rPr>
          <w:t>10.1002/adma.73360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响应水凝胶具有广泛的应用，但在宽范围内调节其相变温度，尤其是UCST型水凝胶，具有挑战性。在此，我们设计了一种聚丙烯酰胺（PAm）-单宁酸（TA）凝胶复合材料，表现出UCST型相变，具有可调的UCST范围。通过非常小角中子散射（VSANS）、动态光散射和脉冲场梯度NMR等方法探索了相变的物理起源，包括凝胶的微观结构和动力学演变。由TA和PAm凝胶链之间氢键的可逆结合-解离驱动的微相分离控制了UCST型相变。动力学研究表明，在较高温度下，TA的集体扩散系数增加了五倍，同时由于TA-PAm氢键的减弱，所有氢键在凝胶中的解离-结合层级松弛加速。通过调节UCST设计了一个可编程的信息加密/解密凝胶装置。还研究了相变期间微观结构变化与宏观粘弹性性质之间的相互作用。这项工作为设计具有可调相变温度的智能凝胶材料提供了新的物理策略。它在光学凝胶设备和环境温度传感器中也有广泛的应用。</w:t>
      </w:r>
    </w:p>
    <w:p>
      <w:pPr>
        <w:spacing w:before="0" w:after="200" w:lineRule="auto" w:line="276"/>
      </w:pPr>
      <w:r>
        <w:rPr>
          <w:b/>
        </w:rPr>
        <w:t xml:space="preserve">Abstract (EN): </w:t>
      </w:r>
      <w:r>
        <w:t>Thermal‐responsive hydrogels have broad applications, yet it is challenging to tune their phase transition temperature over a wide range, especially for UCST‐type of hydrogels. Here, we design a polyacrylamide (PAm)—tannic acid (TA) gel composite, which exhibits UCST‐type of phase transition with tunable UCST in a wide range. The physical origin of the phase transition, including the evolution of microstructures and dynamics of the gels, has been explored by Very Small Angle Neutron Scattering (VSANS), dynamic light scattering and pulsed‐field‐gradient NMR, etc. The microphase separation, driven by the reversible association‐dissociation of hydrogen bonding between TA and PAm gel strands, governs the UCST‐type of phase transition. Dynamical studies show that at higher temperature the collective diffusion coefficient of TA increases fivefold, along with the acceleration of dissociation‐association hierarchical relaxations of all the hydrogen bonds in gels due to the weakening of TA‐PAm hydrogen bonding. A programmable information encryption/ decryption gel device was designed by tuning UCST. The interplay between microstructure changes during phase transition and macroscopic viscoelastic properties was also investigated. This work provides new physical strategies to design smart gel materials with tunable phase transition temperature. It also has broad applications in optical gel devices and environmental temperature sensors.</w:t>
      </w:r>
    </w:p>
    <w:p>
      <w:pPr>
        <w:spacing w:before="120" w:after="120"/>
      </w:pPr>
      <w:r>
        <w:rPr>
          <w:sz w:val="18"/>
        </w:rPr>
        <w:t>——————————————————————————————————————————————————————————————————————</w:t>
      </w:r>
    </w:p>
    <w:p>
      <w:pPr>
        <w:spacing w:before="160" w:after="40" w:line="240" w:lineRule="auto"/>
      </w:pPr>
      <w:r>
        <w:rPr>
          <w:b/>
        </w:rPr>
        <w:t xml:space="preserve">[474] </w:t>
      </w:r>
      <w:hyperlink r:id="rId1113">
        <w:r>
          <w:rPr>
            <w:color w:val="1155CC"/>
            <w:u w:val="single"/>
          </w:rPr>
          <w:t>微管动力学控制心肌细胞生长方向</w:t>
        </w:r>
      </w:hyperlink>
    </w:p>
    <w:p>
      <w:pPr>
        <w:spacing w:before="0" w:after="80"/>
      </w:pPr>
      <w:r>
        <w:rPr>
          <w:i/>
          <w:sz w:val="20"/>
        </w:rPr>
        <w:t>EN: Microtubule dynamics control the direction of cardiomyocyte growth</w:t>
      </w:r>
    </w:p>
    <w:p>
      <w:pPr>
        <w:spacing w:before="0" w:after="120"/>
      </w:pPr>
      <w:r>
        <w:rPr>
          <w:b/>
        </w:rPr>
        <w:t xml:space="preserve">Source: </w:t>
      </w:r>
      <w:r>
        <w:t>AAAS: Science: Table of Contents</w:t>
      </w:r>
      <w:r>
        <w:t xml:space="preserve">    </w:t>
      </w:r>
      <w:r>
        <w:rPr>
          <w:b/>
        </w:rPr>
        <w:t xml:space="preserve">Pub date: </w:t>
      </w:r>
      <w:r>
        <w:t>2026-05-14 07:00:00+00:00</w:t>
      </w:r>
      <w:r>
        <w:t xml:space="preserve">    </w:t>
      </w:r>
      <w:r>
        <w:rPr>
          <w:b/>
        </w:rPr>
        <w:t xml:space="preserve">DOI: </w:t>
      </w:r>
      <w:hyperlink r:id="rId1114">
        <w:r>
          <w:rPr>
            <w:color w:val="1155CC"/>
            <w:u w:val="single"/>
          </w:rPr>
          <w:t>10.1126/science.adz1970</w:t>
        </w:r>
      </w:hyperlink>
    </w:p>
    <w:p>
      <w:pPr>
        <w:spacing w:before="0" w:after="120"/>
      </w:pPr>
      <w:r>
        <w:rPr>
          <w:b/>
        </w:rPr>
        <w:t xml:space="preserve">Notes: </w:t>
      </w:r>
      <w:r>
        <w:t>abstract_source=crossref</w:t>
      </w:r>
    </w:p>
    <w:p>
      <w:pPr>
        <w:spacing w:before="0" w:after="80" w:lineRule="auto" w:line="276"/>
      </w:pPr>
      <w:r>
        <w:rPr>
          <w:b/>
        </w:rPr>
        <w:t xml:space="preserve">摘要（ZH）: </w:t>
      </w:r>
      <w:r>
        <w:t>成年心脏通过沿个别心肌细胞的长度或宽度增加肌节而生长，但方向性生长如何在空间上协调仍不清楚。我们发现微管动力学可以作为一个开关来指导心肌细胞的生长。增加微管稳定性驱动细胞变宽，同时重新定向信使RNA（mRNA）的输出和翻译沿细胞宽度进行，并加强嵌入盘。相反，降低微管稳定性促进细胞变长，破坏嵌入盘并偏向翻译和新肌节蛋白向该结构的整合。值得注意的是，破坏嵌入盘粘附足以使心肌细胞延长，但对心肌细胞变宽则无关紧要。因此，心脏通过协调局部翻译和结构重塑来实现双向生长。</w:t>
      </w:r>
    </w:p>
    <w:p>
      <w:pPr>
        <w:spacing w:before="0" w:after="200" w:lineRule="auto" w:line="276"/>
      </w:pPr>
      <w:r>
        <w:rPr>
          <w:b/>
        </w:rPr>
        <w:t xml:space="preserve">Abstract (EN): </w:t>
      </w:r>
      <w:r>
        <w:t>The adult heart grows by the addition of sarcomeres along the length or width of individual cardiomyocytes, yet how directional growth is spatially coordinated remains unclear. We found that microtubule dynamics could act as a toggle to direct cardiomyocyte growth. Increasing microtubule stability drove cellular widening, concomitant with redirecting messenger RNA (mRNA) export and translation along the width of the cell and reinforcement of the intercalated disc. Conversely, decreasing microtubule stability promoted cellular lengthening, disrupting the intercalated disc and biasing translation and incorporation of new sarcomeric protein toward this structure. Notably, disrupting intercalated disc adhesion was sufficient for cardiomyocyte elongation yet dispensable for cardiomyocyte widening. Thus, the heart coordinates local translation and structural remodeling to orchestrate bidirectional growth.</w:t>
      </w:r>
    </w:p>
    <w:p>
      <w:pPr>
        <w:spacing w:before="120" w:after="120"/>
      </w:pPr>
      <w:r>
        <w:rPr>
          <w:sz w:val="18"/>
        </w:rPr>
        <w:t>——————————————————————————————————————————————————————————————————————</w:t>
      </w:r>
    </w:p>
    <w:p>
      <w:pPr>
        <w:spacing w:before="160" w:after="40" w:line="240" w:lineRule="auto"/>
      </w:pPr>
      <w:r>
        <w:rPr>
          <w:b/>
        </w:rPr>
        <w:t xml:space="preserve">[475] </w:t>
      </w:r>
      <w:hyperlink r:id="rId1115">
        <w:r>
          <w:rPr>
            <w:color w:val="1155CC"/>
            <w:u w:val="single"/>
          </w:rPr>
          <w:t>使用图论解码纳米粒子组装中的集体动力学和复杂性</w:t>
        </w:r>
      </w:hyperlink>
    </w:p>
    <w:p>
      <w:pPr>
        <w:spacing w:before="0" w:after="80"/>
      </w:pPr>
      <w:r>
        <w:rPr>
          <w:i/>
          <w:sz w:val="20"/>
        </w:rPr>
        <w:t>EN: Decoding collective dynamics and complexity in nanoparticle assemblies using graph theory</w:t>
      </w:r>
    </w:p>
    <w:p>
      <w:pPr>
        <w:spacing w:before="0" w:after="120"/>
      </w:pPr>
      <w:r>
        <w:rPr>
          <w:b/>
        </w:rPr>
        <w:t xml:space="preserve">Source: </w:t>
      </w:r>
      <w:r>
        <w:t>AAAS: Science: Table of Contents</w:t>
      </w:r>
      <w:r>
        <w:t xml:space="preserve">    </w:t>
      </w:r>
      <w:r>
        <w:rPr>
          <w:b/>
        </w:rPr>
        <w:t xml:space="preserve">Pub date: </w:t>
      </w:r>
      <w:r>
        <w:t>2026-05-14 07:00:00+00:00</w:t>
      </w:r>
      <w:r>
        <w:t xml:space="preserve">    </w:t>
      </w:r>
      <w:r>
        <w:rPr>
          <w:b/>
        </w:rPr>
        <w:t xml:space="preserve">DOI: </w:t>
      </w:r>
      <w:hyperlink r:id="rId1116">
        <w:r>
          <w:rPr>
            <w:color w:val="1155CC"/>
            <w:u w:val="single"/>
          </w:rPr>
          <w:t>10.1126/science.aeb5134</w:t>
        </w:r>
      </w:hyperlink>
    </w:p>
    <w:p>
      <w:pPr>
        <w:spacing w:before="0" w:after="120"/>
      </w:pPr>
      <w:r>
        <w:rPr>
          <w:b/>
        </w:rPr>
        <w:t xml:space="preserve">Notes: </w:t>
      </w:r>
      <w:r>
        <w:t>abstract_source=crossref</w:t>
      </w:r>
    </w:p>
    <w:p>
      <w:pPr>
        <w:spacing w:before="0" w:after="80" w:lineRule="auto" w:line="276"/>
      </w:pPr>
      <w:r>
        <w:rPr>
          <w:b/>
        </w:rPr>
        <w:t xml:space="preserve">摘要（ZH）: </w:t>
      </w:r>
      <w:r>
        <w:t>纳米颗粒在分子和胶体之间的尺度上居于中间，结合了两者的特性。其自组装状态的结构结合了有序和无序，使用传统的基于对称性的描述符难以量化。在此，我们应用图论（GT）分析了跨三个材料系统的400到10,000个纳米颗粒的组装。我们展示了增强的Forman-Ricci曲率（AFRC）和Ollivier-Ricci曲率（ORC）等GT指标捕捉了从小簇到扩展网络的局部和全局结构转变。AFRC反映了组装的能量状态，而ORC量化了结构复杂性，并揭示了最大化等离子体响应的“Goldilocks”区域。该方法的普遍性在金纳米立方体、金纳米棱柱和氧化铟锡纳米球中得到了证明，为描述和优化复杂纳米颗粒组装提供了统一的框架。</w:t>
      </w:r>
    </w:p>
    <w:p>
      <w:pPr>
        <w:spacing w:before="0" w:after="200" w:lineRule="auto" w:line="276"/>
      </w:pPr>
      <w:r>
        <w:rPr>
          <w:b/>
        </w:rPr>
        <w:t xml:space="preserve">Abstract (EN): </w:t>
      </w:r>
      <w:r>
        <w:t>Being intermediate in scale between molecules and colloids, nanoparticles combine characteristics of both. The structure of their self-assembled states combining order and disorder is difficult to quantify using traditional symmetry-based descriptors. Here, we applied graph theory (GT) to analyze assemblies of 400 to 10,000 nanoparticles across three material systems. We show that GT metrics, augmented Forman-Ricci curvature (AFRC) and Ollivier-Ricci curvature (ORC), capture local and global structural transitions from small clusters to extended networks. AFRC reflects the energetic state of the assembly, whereas ORC quantifies structural complexity and reveals a “Goldilocks” regime that maximizes plasmonic response. The generality of this approach is demonstrated for gold nanocubes, gold nanoprisms, and indium tin oxide nanospheres, providing a unified framework for describing and optimizing complex nanoparticle assemblies.</w:t>
      </w:r>
    </w:p>
    <w:p>
      <w:pPr>
        <w:spacing w:before="120" w:after="120"/>
      </w:pPr>
      <w:r>
        <w:rPr>
          <w:sz w:val="18"/>
        </w:rPr>
        <w:t>——————————————————————————————————————————————————————————————————————</w:t>
      </w:r>
    </w:p>
    <w:p>
      <w:pPr>
        <w:spacing w:before="160" w:after="40" w:line="240" w:lineRule="auto"/>
      </w:pPr>
      <w:r>
        <w:rPr>
          <w:b/>
        </w:rPr>
        <w:t xml:space="preserve">[476] </w:t>
      </w:r>
      <w:hyperlink r:id="rId1117">
        <w:r>
          <w:rPr>
            <w:color w:val="1155CC"/>
            <w:u w:val="single"/>
          </w:rPr>
          <w:t>核苷类似物合成的统一平台</w:t>
        </w:r>
      </w:hyperlink>
    </w:p>
    <w:p>
      <w:pPr>
        <w:spacing w:before="0" w:after="80"/>
      </w:pPr>
      <w:r>
        <w:rPr>
          <w:i/>
          <w:sz w:val="20"/>
        </w:rPr>
        <w:t>EN: A unified platform for nucleoside analog synthesis</w:t>
      </w:r>
    </w:p>
    <w:p>
      <w:pPr>
        <w:spacing w:before="0" w:after="120"/>
      </w:pPr>
      <w:r>
        <w:rPr>
          <w:b/>
        </w:rPr>
        <w:t xml:space="preserve">Source: </w:t>
      </w:r>
      <w:r>
        <w:t>AAAS: Science: Table of Contents</w:t>
      </w:r>
      <w:r>
        <w:t xml:space="preserve">    </w:t>
      </w:r>
      <w:r>
        <w:rPr>
          <w:b/>
        </w:rPr>
        <w:t xml:space="preserve">Pub date: </w:t>
      </w:r>
      <w:r>
        <w:t>2026-05-14 07:00:00+00:00</w:t>
      </w:r>
      <w:r>
        <w:t xml:space="preserve">    </w:t>
      </w:r>
      <w:r>
        <w:rPr>
          <w:b/>
        </w:rPr>
        <w:t xml:space="preserve">DOI: </w:t>
      </w:r>
      <w:hyperlink r:id="rId1118">
        <w:r>
          <w:rPr>
            <w:color w:val="1155CC"/>
            <w:u w:val="single"/>
          </w:rPr>
          <w:t>10.1126/science.aed6880</w:t>
        </w:r>
      </w:hyperlink>
    </w:p>
    <w:p>
      <w:pPr>
        <w:spacing w:before="0" w:after="120"/>
      </w:pPr>
      <w:r>
        <w:rPr>
          <w:b/>
        </w:rPr>
        <w:t xml:space="preserve">Notes: </w:t>
      </w:r>
      <w:r>
        <w:t>abstract_source=crossref</w:t>
      </w:r>
    </w:p>
    <w:p>
      <w:pPr>
        <w:spacing w:before="0" w:after="80" w:lineRule="auto" w:line="276"/>
      </w:pPr>
      <w:r>
        <w:rPr>
          <w:b/>
        </w:rPr>
        <w:t xml:space="preserve">摘要（ZH）: </w:t>
      </w:r>
      <w:r>
        <w:t>核苷类似物（NAs）作为抗病毒和抗癌疗法至关重要。尽管经过数十年的专注药物化学努力，其相关的化学空间仍未被充分探索，主要是由于其冗长的、单分子导向的合成缺乏生成NA库所需的灵活性。在此，我们报告了一种灵活、稳健且高效的平台，使用光氧化还原偶联策略进行高通量合成NAs。该方法生产碳和氮连接的NAs，并统一了几种不同NA类别的合成，包括4′-硫、4′-亚氨和ProTides，均来自一个简单、可扩展的中间体。使用该平台，我们展示了多样化NA库的生产，并鉴定出几种具有抗HIV-1活性的命中化合物。我们预计这种新开发的NA方法将激励和支持该领域的药物发现工作。</w:t>
      </w:r>
    </w:p>
    <w:p>
      <w:pPr>
        <w:spacing w:before="0" w:after="200" w:lineRule="auto" w:line="276"/>
      </w:pPr>
      <w:r>
        <w:rPr>
          <w:b/>
        </w:rPr>
        <w:t xml:space="preserve">Abstract (EN): </w:t>
      </w:r>
      <w:r>
        <w:t>Nucleoside analogs (NAs) are essential as antiviral and anticancer therapies. Despite decades of focused medicinal chemistry efforts, their related chemical space remains underexplored, mainly owing to their lengthy, single-molecule–oriented syntheses that lack the flexibility required to generate NA libraries. Here we report a flexible, robust, and efficient platform for the high-throughput synthesis of NAs using a photoredox coupling strategy. This approach produces both carbon- and nitrogen-linked NAs and unifies the synthesis of several disparate NA classes, including 4′-thio, 4′-imino, and ProTides, all from a simple, scalable intermediate. Using this platform, we demonstrate the production of a diverse NA library and identify several hit compounds with anti–HIV-1 activity. We expect that this newly developed approach to NAs will inspire and support drug discovery efforts in this area.</w:t>
      </w:r>
    </w:p>
    <w:p>
      <w:pPr>
        <w:spacing w:before="120" w:after="120"/>
      </w:pPr>
      <w:r>
        <w:rPr>
          <w:sz w:val="18"/>
        </w:rPr>
        <w:t>——————————————————————————————————————————————————————————————————————</w:t>
      </w:r>
    </w:p>
    <w:p>
      <w:pPr>
        <w:spacing w:before="160" w:after="40" w:line="240" w:lineRule="auto"/>
      </w:pPr>
      <w:r>
        <w:rPr>
          <w:b/>
        </w:rPr>
        <w:t xml:space="preserve">[477] </w:t>
      </w:r>
      <w:hyperlink r:id="rId1119">
        <w:r>
          <w:rPr>
            <w:color w:val="1155CC"/>
            <w:u w:val="single"/>
          </w:rPr>
          <w:t>通过Trikine免疫治疗重新连接细胞表面的STAT信号</w:t>
        </w:r>
      </w:hyperlink>
    </w:p>
    <w:p>
      <w:pPr>
        <w:spacing w:before="0" w:after="80"/>
      </w:pPr>
      <w:r>
        <w:rPr>
          <w:i/>
          <w:sz w:val="20"/>
        </w:rPr>
        <w:t>EN: Rewiring STAT signaling from the cell surface with Trikine immunotherapeutics</w:t>
      </w:r>
    </w:p>
    <w:p>
      <w:pPr>
        <w:spacing w:before="0" w:after="120"/>
      </w:pPr>
      <w:r>
        <w:rPr>
          <w:b/>
        </w:rPr>
        <w:t xml:space="preserve">Source: </w:t>
      </w:r>
      <w:r>
        <w:t>AAAS: Science: Table of Contents</w:t>
      </w:r>
      <w:r>
        <w:t xml:space="preserve">    </w:t>
      </w:r>
      <w:r>
        <w:rPr>
          <w:b/>
        </w:rPr>
        <w:t xml:space="preserve">Pub date: </w:t>
      </w:r>
      <w:r>
        <w:t>2026-05-14 07:00:00+00:00</w:t>
      </w:r>
      <w:r>
        <w:t xml:space="preserve">    </w:t>
      </w:r>
      <w:r>
        <w:rPr>
          <w:b/>
        </w:rPr>
        <w:t xml:space="preserve">DOI: </w:t>
      </w:r>
      <w:hyperlink r:id="rId1120">
        <w:r>
          <w:rPr>
            <w:color w:val="1155CC"/>
            <w:u w:val="single"/>
          </w:rPr>
          <w:t>10.1126/science.adx9954</w:t>
        </w:r>
      </w:hyperlink>
    </w:p>
    <w:p>
      <w:pPr>
        <w:spacing w:before="0" w:after="120"/>
      </w:pPr>
      <w:r>
        <w:rPr>
          <w:b/>
        </w:rPr>
        <w:t xml:space="preserve">Notes: </w:t>
      </w:r>
      <w:r>
        <w:t>abstract_source=crossref</w:t>
      </w:r>
    </w:p>
    <w:p>
      <w:pPr>
        <w:spacing w:before="0" w:after="80" w:lineRule="auto" w:line="276"/>
      </w:pPr>
      <w:r>
        <w:rPr>
          <w:b/>
        </w:rPr>
        <w:t xml:space="preserve">摘要（ZH）: </w:t>
      </w:r>
      <w:r>
        <w:t>细胞因子二聚化两个受体链以激活Janus激酶和信号转导及转录激活因子（STAT）转录因子，这些因子调节免疫细胞，但它们具有治疗上的缺陷。我们设计了“Trikines”以在细胞表面强制形成三链细胞因子受体复合物，从而诱导定制的STAT转录信号程序。Trikines通过组装白细胞介素-2（IL-2）、IL-10和IL-21受体的三聚体组合，共同激活了与天然细胞因子不同的STAT5（pSTAT5）和pSTAT3磷酸化特征。在临床前模型中，基于IL-2的Trikine抑制了T细胞的终末分化，促进了干性，并增强了肿瘤控制的持久性而没有观察到毒性。基于IL-10的Trikine诱导了对免疫原性差的肿瘤的免疫浸润，在小细胞肺癌和胰腺癌的临床前模型中显示出疗效。Trikines消除了细胞工程定制STAT特征的需要，可能在免疫治疗中具有潜力。</w:t>
      </w:r>
    </w:p>
    <w:p>
      <w:pPr>
        <w:spacing w:before="0" w:after="200" w:lineRule="auto" w:line="276"/>
      </w:pPr>
      <w:r>
        <w:rPr>
          <w:b/>
        </w:rPr>
        <w:t xml:space="preserve">Abstract (EN): </w:t>
      </w:r>
      <w:r>
        <w:t>Cytokines dimerize two receptor chains to activate Janus kinases and signal transducer and activator of transcription (STAT) transcription factors that regulate immune cells, but they have therapeutic liabilities. We engineered “Trikines” to compel</w:t>
      </w:r>
      <w:r>
        <w:t xml:space="preserve"> </w:t>
      </w:r>
      <w:r>
        <w:t>cis</w:t>
      </w:r>
      <w:r>
        <w:t xml:space="preserve"> </w:t>
      </w:r>
      <w:r>
        <w:t>formation of three-chain cytokine receptor complexes at the cell surface that induce bespoke STAT transcriptional signaling programs. Trikines coactivated phosphorylation of STAT5 (pSTAT5) and pSTAT3 signatures distinct from natural cytokines by assembling trimeric combinations of interleukin-2 (IL-2), IL-10, and IL-21 receptors. In preclinical models, an IL-2–based Trikine restrained terminal differentiation of T cells, promoted stemness, and enhanced durability of tumor control without observable toxicity. An IL-10–based Trikine induced immune infiltration into poorly immunogenic tumors, showing efficacy in preclinical models of small cell lung cancer and pancreatic cancer. Trikines obviate the need for cell engineering to customize STAT signatures and may hold potential for immunotherapy.</w:t>
      </w:r>
    </w:p>
    <w:p>
      <w:pPr>
        <w:spacing w:before="120" w:after="120"/>
      </w:pPr>
      <w:r>
        <w:rPr>
          <w:sz w:val="18"/>
        </w:rPr>
        <w:t>——————————————————————————————————————————————————————————————————————</w:t>
      </w:r>
    </w:p>
    <w:p>
      <w:pPr>
        <w:spacing w:before="160" w:after="40" w:line="240" w:lineRule="auto"/>
      </w:pPr>
      <w:r>
        <w:rPr>
          <w:b/>
        </w:rPr>
        <w:t xml:space="preserve">[478] </w:t>
      </w:r>
      <w:hyperlink r:id="rId1121">
        <w:r>
          <w:rPr>
            <w:color w:val="1155CC"/>
            <w:u w:val="single"/>
          </w:rPr>
          <w:t>Euplotes gigatrox纤毛虫中食人超级巨细胞的调控发育</w:t>
        </w:r>
      </w:hyperlink>
    </w:p>
    <w:p>
      <w:pPr>
        <w:spacing w:before="0" w:after="80"/>
      </w:pPr>
      <w:r>
        <w:rPr>
          <w:i/>
          <w:sz w:val="20"/>
        </w:rPr>
        <w:t>EN: Regulated development of cannibalistic supergiant cells in the ciliate Euplotes gigatrox</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22">
        <w:r>
          <w:rPr>
            <w:color w:val="1155CC"/>
            <w:u w:val="single"/>
          </w:rPr>
          <w:t>10.1073/pnas.2606891123</w:t>
        </w:r>
      </w:hyperlink>
    </w:p>
    <w:p>
      <w:pPr>
        <w:spacing w:before="0" w:after="120"/>
      </w:pPr>
      <w:r>
        <w:rPr>
          <w:b/>
        </w:rPr>
        <w:t xml:space="preserve">Notes: </w:t>
      </w:r>
      <w:r>
        <w:t>abstract_source=crossref</w:t>
      </w:r>
    </w:p>
    <w:p>
      <w:pPr>
        <w:spacing w:before="0" w:after="80" w:lineRule="auto" w:line="276"/>
      </w:pPr>
      <w:r>
        <w:rPr>
          <w:b/>
        </w:rPr>
        <w:t xml:space="preserve">摘要（ZH）: </w:t>
      </w:r>
      <w:r>
        <w:t>几乎所有发育生物学的范式都适用于多细胞动物和植物中分化的细胞和组织。然而，单细胞真核生物必须同时执行细胞和有机体所需的所有活动，也通过完全依赖亚细胞过程形成复杂和专业化的结构。在此，我们描述了一种纤毛虫（</w:t>
      </w:r>
      <w:r>
        <w:t xml:space="preserve"> </w:t>
      </w:r>
      <w:r>
        <w:t>Euplotes gigatrox</w:t>
      </w:r>
      <w:r>
        <w:t xml:space="preserve"> </w:t>
      </w:r>
      <w:r>
        <w:t>sp. nov.）在遗传上均一的种群中经历剧烈的形态转变，最引人注目的是出现了“超级巨人”，它们增大体积、改变形状，并调整其运动和摄食行为以吞食克隆亲属。我们从生命周期、生态策略和基因表达的角度探讨超级巨人的形成，证明超级巨人是一个独特的、受调控的、转录上独特的阶段。分化似乎依赖于内外部条件，表明调节环路已经进化以确保环境和生理条件之间的耦合。该系统为研究单细胞生物的细胞分化和功能生态提供了蓝图，可能为已知形态发生机制的普遍化和情境化以及新机制的发现开辟新途径。</w:t>
      </w:r>
    </w:p>
    <w:p>
      <w:pPr>
        <w:spacing w:before="0" w:after="200" w:lineRule="auto" w:line="276"/>
      </w:pPr>
      <w:r>
        <w:rPr>
          <w:b/>
        </w:rPr>
        <w:t xml:space="preserve">Abstract (EN): </w:t>
      </w:r>
      <w:r>
        <w:t>Virtually all paradigms in developmental biology apply to differentiating cells and tissues within multicellular animals and plants. However, unicellular eukaryotes, which must simultaneously perform all activities necessary for a cell as well as an organism, also form complex and specialized structures, using exclusively subcellular processes. Here, we describe a ciliate (</w:t>
      </w:r>
      <w:r>
        <w:t xml:space="preserve"> </w:t>
      </w:r>
      <w:r>
        <w:t>Euplotes gigatrox</w:t>
      </w:r>
      <w:r>
        <w:t xml:space="preserve"> </w:t>
      </w:r>
      <w:r>
        <w:t>sp. nov.) undergoing drastic morphological transformations within a genetically uniform population, the most spectacular being the appearance of “supergiants” that increase in size, change shape, and modify their locomotion and feeding behavior to cannibalize clonal relatives. We explore supergiant formation from the perspective of life cycle, ecological strategy, and gene expression, demonstrating that supergiants are a distinct, regulated, transcriptionally unique stage. Differentiation appears to depend on internal and external conditions, suggesting that regulatory loops have evolved to ensure coupling between environmental and physiological conditions. This system provides a blueprint for approaching both cell differentiation and functional ecology in unicellular organisms, which might open new avenues for the generalization and contextualization of known morphogenetic mechanisms, as well as the discovery of new ones.</w:t>
      </w:r>
    </w:p>
    <w:p>
      <w:pPr>
        <w:spacing w:before="120" w:after="120"/>
      </w:pPr>
      <w:r>
        <w:rPr>
          <w:sz w:val="18"/>
        </w:rPr>
        <w:t>——————————————————————————————————————————————————————————————————————</w:t>
      </w:r>
    </w:p>
    <w:p>
      <w:pPr>
        <w:spacing w:before="160" w:after="40" w:line="240" w:lineRule="auto"/>
      </w:pPr>
      <w:r>
        <w:rPr>
          <w:b/>
        </w:rPr>
        <w:t xml:space="preserve">[479] </w:t>
      </w:r>
      <w:hyperlink r:id="rId1123">
        <w:r>
          <w:rPr>
            <w:color w:val="1155CC"/>
            <w:u w:val="single"/>
          </w:rPr>
          <w:t>人工智能权利的公民语法</w:t>
        </w:r>
      </w:hyperlink>
    </w:p>
    <w:p>
      <w:pPr>
        <w:spacing w:before="0" w:after="80"/>
      </w:pPr>
      <w:r>
        <w:rPr>
          <w:i/>
          <w:sz w:val="20"/>
        </w:rPr>
        <w:t>EN: A civic grammar for AI rights</w:t>
      </w:r>
    </w:p>
    <w:p>
      <w:pPr>
        <w:spacing w:before="0" w:after="120"/>
      </w:pPr>
      <w:r>
        <w:rPr>
          <w:b/>
        </w:rPr>
        <w:t xml:space="preserve">Source: </w:t>
      </w:r>
      <w:r>
        <w:t>AAAS: Science: Table of Contents</w:t>
      </w:r>
      <w:r>
        <w:t xml:space="preserve">    </w:t>
      </w:r>
      <w:r>
        <w:rPr>
          <w:b/>
        </w:rPr>
        <w:t xml:space="preserve">Pub date: </w:t>
      </w:r>
      <w:r>
        <w:t>2026-05-14 07:00:00+00:00</w:t>
      </w:r>
      <w:r>
        <w:t xml:space="preserve">    </w:t>
      </w:r>
      <w:r>
        <w:rPr>
          <w:b/>
        </w:rPr>
        <w:t xml:space="preserve">DOI: </w:t>
      </w:r>
      <w:hyperlink r:id="rId1124">
        <w:r>
          <w:rPr>
            <w:color w:val="1155CC"/>
            <w:u w:val="single"/>
          </w:rPr>
          <w:t>10.1126/science.aeh7153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[480] </w:t>
      </w:r>
      <w:hyperlink r:id="rId1125">
        <w:r>
          <w:rPr>
            <w:color w:val="1155CC"/>
            <w:u w:val="single"/>
          </w:rPr>
          <w:t>气候变化导致喜马拉雅河流加速曲流和动态变化</w:t>
        </w:r>
      </w:hyperlink>
    </w:p>
    <w:p>
      <w:pPr>
        <w:spacing w:before="0" w:after="80"/>
      </w:pPr>
      <w:r>
        <w:rPr>
          <w:i/>
          <w:sz w:val="20"/>
        </w:rPr>
        <w:t>EN: Accelerated Himalayan river meandering and dynamics due to climate change</w:t>
      </w:r>
    </w:p>
    <w:p>
      <w:pPr>
        <w:spacing w:before="0" w:after="120"/>
      </w:pPr>
      <w:r>
        <w:rPr>
          <w:b/>
        </w:rPr>
        <w:t xml:space="preserve">Source: </w:t>
      </w:r>
      <w:r>
        <w:t>AAAS: Science: Table of Contents</w:t>
      </w:r>
      <w:r>
        <w:t xml:space="preserve">    </w:t>
      </w:r>
      <w:r>
        <w:rPr>
          <w:b/>
        </w:rPr>
        <w:t xml:space="preserve">Pub date: </w:t>
      </w:r>
      <w:r>
        <w:t>2026-05-14 07:00:00+00:00</w:t>
      </w:r>
      <w:r>
        <w:t xml:space="preserve">    </w:t>
      </w:r>
      <w:r>
        <w:rPr>
          <w:b/>
        </w:rPr>
        <w:t xml:space="preserve">DOI: </w:t>
      </w:r>
      <w:hyperlink r:id="rId1126">
        <w:r>
          <w:rPr>
            <w:color w:val="1155CC"/>
            <w:u w:val="single"/>
          </w:rPr>
          <w:t>10.1126/science.adg8401</w:t>
        </w:r>
      </w:hyperlink>
    </w:p>
    <w:p>
      <w:pPr>
        <w:spacing w:before="0" w:after="120"/>
      </w:pPr>
      <w:r>
        <w:rPr>
          <w:b/>
        </w:rPr>
        <w:t xml:space="preserve">Notes: </w:t>
      </w:r>
      <w:r>
        <w:t>abstract_source=crossref</w:t>
      </w:r>
    </w:p>
    <w:p>
      <w:pPr>
        <w:spacing w:before="0" w:after="80" w:lineRule="auto" w:line="276"/>
      </w:pPr>
      <w:r>
        <w:rPr>
          <w:b/>
        </w:rPr>
        <w:t xml:space="preserve">摘要（ZH）: </w:t>
      </w:r>
      <w:r>
        <w:t>河流蜿蜒和迁移是全球范围内的基本过程，高喜马拉雅地区提供了一个测试河流形态动力学是否在快速变化的气候下发生变化的机会。我们使用遥感影像和实地观测量化了四十年来三个主要河流流域的河流蜿蜒及相关动态。在1980‒2000年和2000‒2020年之间，无约束迁移、截断、改道以及单线程和多线程河道模式之间的转换速率大约翻了一番。我们将这种河道形态动力学加速归因于气候变暖下的冰冻圈退化，这放大了融水和沉积物通量，并使冻结的河岸不稳定。我们的研究结果强调了喜马拉雅高地作为检测河流系统中气候信号的前哨区域，提供了对气候驱动的地貌和生物地球化学响应的关键见解，并为河流生态系统和下游社区的适应策略提供信息。</w:t>
      </w:r>
    </w:p>
    <w:p>
      <w:pPr>
        <w:spacing w:before="0" w:after="200" w:lineRule="auto" w:line="276"/>
      </w:pPr>
      <w:r>
        <w:rPr>
          <w:b/>
        </w:rPr>
        <w:t xml:space="preserve">Abstract (EN): </w:t>
      </w:r>
      <w:r>
        <w:t>River meandering and migration are fundamental processes worldwide, and the high Himalayas offer an opportunity to test whether river morphodynamics are shifting in response to a rapidly changing climate. We used remote-sensing imagery and field observations to quantify river meandering and associated dynamics for three major river basins over four decades. Between 1980‒2000 and 2000‒2020, rates of unconfined migration, cutoff, avulsion, and transitions between single- and multithread channel patterns roughly doubled. We ascribe this acceleration in channel morphodynamics to cryosphere degradation under climate warming, which amplifies meltwater and sediment fluxes and destabilizes frozen riverbanks. Our findings highlight the Himalayan uplands as a sentinel region for detecting climatic signals in fluvial systems, providing critical insights into climate-driven geomorphological and biogeochemical responses and informing adaptation strategies for riverine ecosystems and downstream communities.</w:t>
      </w:r>
    </w:p>
    <w:p>
      <w:pPr>
        <w:spacing w:before="120" w:after="120"/>
      </w:pPr>
      <w:r>
        <w:rPr>
          <w:sz w:val="18"/>
        </w:rPr>
        <w:t>——————————————————————————————————————————————————————————————————————</w:t>
      </w:r>
    </w:p>
    <w:p>
      <w:pPr>
        <w:spacing w:before="160" w:after="40" w:line="240" w:lineRule="auto"/>
      </w:pPr>
      <w:r>
        <w:rPr>
          <w:b/>
        </w:rPr>
        <w:t xml:space="preserve">[481] </w:t>
      </w:r>
      <w:hyperlink r:id="rId1127">
        <w:r>
          <w:rPr>
            <w:color w:val="1155CC"/>
            <w:u w:val="single"/>
          </w:rPr>
          <w:t>研究文章“将声音与形状匹配：天真小鸡中的bouba-kiki效应证据”的勘误</w:t>
        </w:r>
      </w:hyperlink>
    </w:p>
    <w:p>
      <w:pPr>
        <w:spacing w:before="0" w:after="80"/>
      </w:pPr>
      <w:r>
        <w:rPr>
          <w:i/>
          <w:sz w:val="20"/>
        </w:rPr>
        <w:t>EN: Erratum for the Research Article “Matching sounds to shapes: Evidence of the bouba-kiki effect in naïve baby chicks”</w:t>
      </w:r>
    </w:p>
    <w:p>
      <w:pPr>
        <w:spacing w:before="0" w:after="120"/>
      </w:pPr>
      <w:r>
        <w:rPr>
          <w:b/>
        </w:rPr>
        <w:t xml:space="preserve">Source: </w:t>
      </w:r>
      <w:r>
        <w:t>AAAS: Science: Table of Contents</w:t>
      </w:r>
      <w:r>
        <w:t xml:space="preserve">    </w:t>
      </w:r>
      <w:r>
        <w:rPr>
          <w:b/>
        </w:rPr>
        <w:t xml:space="preserve">Pub date: </w:t>
      </w:r>
      <w:r>
        <w:t>2026-05-14 07:00:00+00:00</w:t>
      </w:r>
      <w:r>
        <w:t xml:space="preserve">    </w:t>
      </w:r>
      <w:r>
        <w:rPr>
          <w:b/>
        </w:rPr>
        <w:t xml:space="preserve">DOI: </w:t>
      </w:r>
      <w:hyperlink r:id="rId1128">
        <w:r>
          <w:rPr>
            <w:color w:val="1155CC"/>
            <w:u w:val="single"/>
          </w:rPr>
          <w:t>10.1126/science.aei3078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[482] </w:t>
      </w:r>
      <w:hyperlink r:id="rId1129">
        <w:r>
          <w:rPr>
            <w:color w:val="1155CC"/>
            <w:u w:val="single"/>
          </w:rPr>
          <w:t>通过共享潜在表示跨个体翻译斑马鱼自发脑活动</w:t>
        </w:r>
      </w:hyperlink>
    </w:p>
    <w:p>
      <w:pPr>
        <w:spacing w:before="0" w:after="80"/>
      </w:pPr>
      <w:r>
        <w:rPr>
          <w:i/>
          <w:sz w:val="20"/>
        </w:rPr>
        <w:t>EN: Cross-individual translation of spontaneous zebrafish brain activity through a shared latent representation</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30">
        <w:r>
          <w:rPr>
            <w:color w:val="1155CC"/>
            <w:u w:val="single"/>
          </w:rPr>
          <w:t>10.1073/pnas.2529064123</w:t>
        </w:r>
      </w:hyperlink>
    </w:p>
    <w:p>
      <w:pPr>
        <w:spacing w:before="0" w:after="120"/>
      </w:pPr>
      <w:r>
        <w:rPr>
          <w:b/>
        </w:rPr>
        <w:t xml:space="preserve">Notes: </w:t>
      </w:r>
      <w:r>
        <w:t>abstract_source=crossref</w:t>
      </w:r>
    </w:p>
    <w:p>
      <w:pPr>
        <w:spacing w:before="0" w:after="80" w:lineRule="auto" w:line="276"/>
      </w:pPr>
      <w:r>
        <w:rPr>
          <w:b/>
        </w:rPr>
        <w:t xml:space="preserve">摘要（ZH）: </w:t>
      </w:r>
      <w:r>
        <w:t>自发活动是大脑功能的标志，反映了潜在的电路组织。在个体间识别这种自我维持活动中的保守结构一直是一个长期的挑战，特别是在脊椎动物中，神经元的一对一对应是不可访问的。在此，我们引入了潜在对齐的受限玻尔兹曼机（LaRBMs），这是一种无监督生成方法，可以从幼年斑马鱼的细胞分辨全脑记录中揭示一个共同的表征空间。这个潜在空间由空间局部化的共激活模式或细胞集合组成，这些模式可以在动物间泛化，并形成可解释的人群范围活动的构建块。LaRBMs使得个体间瞬时全脑活动模式的双向映射成为可能：一个鱼的活动模式可以被编码到潜在空间中，并解码到另一个鱼中。翻译后的模式被接收模型赋予高概率，并保留了原始的空间组织。这些结果表明，脊椎动物大脑中的自发活动在功能细胞集合的水平上是高度刻板的，并且可以通过一个共同的潜在代码可靠地捕获。由于它提供了一个可解释和定量的功能跨个体对齐框架，LaRBM为跨发育、遗传和病理变异的大脑活动比较表型铺平了道路。</w:t>
      </w:r>
    </w:p>
    <w:p>
      <w:pPr>
        <w:spacing w:before="0" w:after="200" w:lineRule="auto" w:line="276"/>
      </w:pPr>
      <w:r>
        <w:rPr>
          <w:b/>
        </w:rPr>
        <w:t xml:space="preserve">Abstract (EN): </w:t>
      </w:r>
      <w:r>
        <w:t>Spontaneous activity is a hallmark of brain function, reflecting the underlying circuit organization. Identifying conserved structure across individuals in this self-sustained activity has remained a longstanding challenge, especially in vertebrates where one-to-one neuron correspondence is inaccessible. Here, we introduce latent-aligned Restricted Boltzmann Machines (LaRBMs), an unsupervised generative approach that uncovers a common representational space from cell-resolved whole-brain recordings in larval zebrafish. This latent space consists of spatially localized coactivation motifs, or cell assemblies, that generalize across animals and form interpretable building blocks of population-wide activity. LaRBMs enable bidirectional mapping of instantaneous whole-brain activity patterns between individuals: Activity patterns from one fish can be encoded into the latent space and decoded into another. The translated patterns are assigned high probability by the recipient model and retain the original spatial organization. These results show that spontaneous activity in the vertebrate brain is highly stereotyped at the level of functional cell assemblies and can be reliably captured through a common latent code. Because it provides an interpretable and quantitative framework for functional cross-individual alignment, LaRBM paves the way for comparative phenotyping of brain activity across developmental, genetic, and pathological variation.</w:t>
      </w:r>
    </w:p>
    <w:p>
      <w:pPr>
        <w:spacing w:before="120" w:after="120"/>
      </w:pPr>
      <w:r>
        <w:rPr>
          <w:sz w:val="18"/>
        </w:rPr>
        <w:t>——————————————————————————————————————————————————————————————————————</w:t>
      </w:r>
    </w:p>
    <w:p>
      <w:pPr>
        <w:spacing w:before="160" w:after="40" w:line="240" w:lineRule="auto"/>
      </w:pPr>
      <w:r>
        <w:rPr>
          <w:b/>
        </w:rPr>
        <w:t xml:space="preserve">[483] </w:t>
      </w:r>
      <w:hyperlink r:id="rId1131">
        <w:r>
          <w:rPr>
            <w:color w:val="1155CC"/>
            <w:u w:val="single"/>
          </w:rPr>
          <w:t>《南极条约体系》需要一个灾害管理机构来保护大陆免受灾害</w:t>
        </w:r>
      </w:hyperlink>
    </w:p>
    <w:p>
      <w:pPr>
        <w:spacing w:before="0" w:after="80"/>
      </w:pPr>
      <w:r>
        <w:rPr>
          <w:i/>
          <w:sz w:val="20"/>
        </w:rPr>
        <w:t>EN: The Antarctic Treaty System needs a disaster management authority to guard the continent against disasters</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32">
        <w:r>
          <w:rPr>
            <w:color w:val="1155CC"/>
            <w:u w:val="single"/>
          </w:rPr>
          <w:t>10.1073/pnas.2535757123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[484] </w:t>
      </w:r>
      <w:hyperlink r:id="rId1133">
        <w:r>
          <w:rPr>
            <w:color w:val="1155CC"/>
            <w:u w:val="single"/>
          </w:rPr>
          <w:t>NAT10/ac4C通过染色质重塑抑制转座子元件驱动肝内胆管癌</w:t>
        </w:r>
      </w:hyperlink>
    </w:p>
    <w:p>
      <w:pPr>
        <w:spacing w:before="0" w:after="80"/>
      </w:pPr>
      <w:r>
        <w:rPr>
          <w:i/>
          <w:sz w:val="20"/>
        </w:rPr>
        <w:t>EN: NAT10/ac4C drives intrahepatic cholangiocarcinoma by suppressing transposable elements via chromatin remodeling</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34">
        <w:r>
          <w:rPr>
            <w:color w:val="1155CC"/>
            <w:u w:val="single"/>
          </w:rPr>
          <w:t>10.1073/pnas.2532263123</w:t>
        </w:r>
      </w:hyperlink>
    </w:p>
    <w:p>
      <w:pPr>
        <w:spacing w:before="0" w:after="120"/>
      </w:pPr>
      <w:r>
        <w:rPr>
          <w:b/>
        </w:rPr>
        <w:t xml:space="preserve">Notes: </w:t>
      </w:r>
      <w:r>
        <w:t>abstract_source=crossref</w:t>
      </w:r>
    </w:p>
    <w:p>
      <w:pPr>
        <w:spacing w:before="0" w:after="80" w:lineRule="auto" w:line="276"/>
      </w:pPr>
      <w:r>
        <w:rPr>
          <w:b/>
        </w:rPr>
        <w:t xml:space="preserve">摘要（ZH）: </w:t>
      </w:r>
      <w:r>
        <w:t>肝内胆管癌（ICC）由于其隐匿的发病、侵袭性的生物行为和早期转移的倾向，构成了一个重大的临床挑战，导致其5年生存率不到10%。尽管在理解肿瘤发生过程中基因调控网络和染色质景观的动态变化方面取得了进展，但RNA表观转录组修饰与ICC中核事件之间的功能相互作用仍然知之甚少。在此，我们识别出N-乙酰转移酶10（NAT10），即N4-乙酰胞苷（ac4C）mRNA修饰的写入者，作为ICC恶性的重要调节因子。综合多组学分析显示，NAT10介导的ac4C修饰增强了染色质组装因子1亚基A（CHAF1A）的mRNA稳定性，这是一个关键的染色质调节因子。在机制上，NAT10–ac4C–CHAF1A轴强烈且表观遗传地抑制了核转座元件HERV9NC的表达，导致双链RNA积累减少。这种表观遗传沉默不仅促进了ICC的增殖和迁移，还削弱了内在的先天免疫反应，从而促进了以细胞毒性T细胞浸润减少和肿瘤监视受损为特征的免疫抑制性肿瘤微环境。用小分子化合物药理学抑制NAT10显示</w:t>
      </w:r>
    </w:p>
    <w:p>
      <w:pPr>
        <w:spacing w:before="0" w:after="200" w:lineRule="auto" w:line="276"/>
      </w:pPr>
      <w:r>
        <w:rPr>
          <w:b/>
        </w:rPr>
        <w:t xml:space="preserve">Abstract (EN): </w:t>
      </w:r>
      <w:r>
        <w:t>Intrahepatic cholangiocarcinoma (ICC) poses a significant clinical challenge due to its insidious onset, aggressive biological behavior, and propensity for early metastasis, contributing to a dismal 5-y survival rate of less than 10%. Despite advances in understanding the dynamic changes in gene regulatory networks and chromatin landscapes during tumorigenesis, the functional interplay between RNA epitranscriptomic modifications and nuclear events in ICC remains poorly elucidated. Here, we identify</w:t>
      </w:r>
      <w:r>
        <w:t xml:space="preserve"> </w:t>
      </w:r>
      <w:r>
        <w:t>N</w:t>
      </w:r>
      <w:r>
        <w:t xml:space="preserve"> </w:t>
      </w:r>
      <w:r>
        <w:t>-acetyltransferase 10 (NAT10), the writer for</w:t>
      </w:r>
      <w:r>
        <w:t xml:space="preserve"> </w:t>
      </w:r>
      <w:r>
        <w:t>N</w:t>
      </w:r>
      <w:r>
        <w:rPr>
          <w:vertAlign w:val="subscript"/>
        </w:rPr>
        <w:t>4</w:t>
      </w:r>
      <w:r>
        <w:t>-acetylcytidine (ac</w:t>
      </w:r>
      <w:r>
        <w:rPr>
          <w:vertAlign w:val="subscript"/>
        </w:rPr>
        <w:t>4</w:t>
      </w:r>
      <w:r>
        <w:t>C) mRNA modification, as a critical regulator of ICC malignancy. Integrated multiomics profiling reveals that NAT10-mediated ac</w:t>
      </w:r>
      <w:r>
        <w:rPr>
          <w:vertAlign w:val="subscript"/>
        </w:rPr>
        <w:t>4</w:t>
      </w:r>
      <w:r>
        <w:t>C modification enhances the mRNA stability of chromatin assembly factor 1 subunit A (CHAF1A), a key chromatin regulator. Mechanistically, the NAT10–ac</w:t>
      </w:r>
      <w:r>
        <w:rPr>
          <w:vertAlign w:val="subscript"/>
        </w:rPr>
        <w:t>4</w:t>
      </w:r>
      <w:r>
        <w:t>C–CHAF1A axis robustly and epigenetically suppresses the expression of the nuclear transposable element HERV9NC, leading to diminished double-stranded RNA accumulation. This epigenetic silencing not only fuels ICC proliferation and migration but also attenuates intrinsic innate immune responses, thereby fostering an immunosuppressive tumor microenvironment characterized by reduced cytotoxic T cell infiltration and impaired tumor surveillance. Pharmacological inhibition of NAT10 with small-molecule compounds demonstrated robust therapeutic efficacy in both patient-derived xenograft and orthotopic tumor transplantation models of ICC. Collectively, our study unveils NAT10 as a master integrator of RNA epitranscriptomic reprogramming and nuclear chromatin dynamics in ICC, providing interesting mechanistic insights into the molecular basis of ICC progression. We also establish NAT10-ac</w:t>
      </w:r>
      <w:r>
        <w:rPr>
          <w:vertAlign w:val="subscript"/>
        </w:rPr>
        <w:t>4</w:t>
      </w:r>
      <w:r>
        <w:t>C modification as a druggable vulnerability, offering a promising therapeutic strategy for this aggressive malignancy.</w:t>
      </w:r>
    </w:p>
    <w:p>
      <w:pPr>
        <w:spacing w:before="120" w:after="120"/>
      </w:pPr>
      <w:r>
        <w:rPr>
          <w:sz w:val="18"/>
        </w:rPr>
        <w:t>——————————————————————————————————————————————————————————————————————</w:t>
      </w:r>
    </w:p>
    <w:p>
      <w:pPr>
        <w:spacing w:before="160" w:after="40" w:line="240" w:lineRule="auto"/>
      </w:pPr>
      <w:r>
        <w:rPr>
          <w:b/>
        </w:rPr>
        <w:t xml:space="preserve">[485] </w:t>
      </w:r>
      <w:hyperlink r:id="rId1135">
        <w:r>
          <w:rPr>
            <w:color w:val="1155CC"/>
            <w:u w:val="single"/>
          </w:rPr>
          <w:t>教育政策可以加强气候联盟</w:t>
        </w:r>
      </w:hyperlink>
    </w:p>
    <w:p>
      <w:pPr>
        <w:spacing w:before="0" w:after="80"/>
      </w:pPr>
      <w:r>
        <w:rPr>
          <w:i/>
          <w:sz w:val="20"/>
        </w:rPr>
        <w:t>EN: Educational policies can strengthen climate coalitions</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36">
        <w:r>
          <w:rPr>
            <w:color w:val="1155CC"/>
            <w:u w:val="single"/>
          </w:rPr>
          <w:t>10.1073/pnas.2533821123</w:t>
        </w:r>
      </w:hyperlink>
    </w:p>
    <w:p>
      <w:pPr>
        <w:spacing w:before="0" w:after="120"/>
      </w:pPr>
      <w:r>
        <w:rPr>
          <w:b/>
        </w:rPr>
        <w:t xml:space="preserve">Notes: </w:t>
      </w:r>
      <w:r>
        <w:t>abstract_source=crossref</w:t>
      </w:r>
    </w:p>
    <w:p>
      <w:pPr>
        <w:spacing w:before="0" w:after="80" w:lineRule="auto" w:line="276"/>
      </w:pPr>
      <w:r>
        <w:rPr>
          <w:b/>
        </w:rPr>
        <w:t xml:space="preserve">摘要（ZH）: </w:t>
      </w:r>
      <w:r>
        <w:t>为雄心勃勃的气候政策建立公众支持是政府寻求使其经济脱碳的一个核心挑战。许多气候变化缓解政策对公民施加了明显的物质成本，而政府在部署补偿措施方面的财政能力有限。教育常被用作提高公众对气候变化认识的工具，但其对气候政策支持的影响尚不清楚。我们通过研究一个现实世界的大规模教育干预来评估气候教育政策的效果：一个已在500多所法国大学实施的3小时互动研讨会。我们采用随机对照试验，覆盖了167个研讨会的1,845名学生。参加研讨会的学生对昂贵的气候政策（包括牛肉税、短途航班禁令和无肉大学食堂）的支持率比对照组高出7个百分点。研讨会增加了对这些政策有效性的信念，并引发了对气候行动的更积极情绪。来自后续调查受访者的子样本的证据表明，这些效果可能至少持续6周。我们没有发现研讨会增加对气候非政府组织捐赠意愿的证据。总体而言，结果表明精心设计的气候教育可以通过加强对政策有效性的感知和对昂贵政策的支持，在扩大公众对雄心勃勃的气候政策的联盟中发挥作用。</w:t>
      </w:r>
    </w:p>
    <w:p>
      <w:pPr>
        <w:spacing w:before="0" w:after="200" w:lineRule="auto" w:line="276"/>
      </w:pPr>
      <w:r>
        <w:rPr>
          <w:b/>
        </w:rPr>
        <w:t xml:space="preserve">Abstract (EN): </w:t>
      </w:r>
      <w:r>
        <w:t>Building public support for ambitious climate policies is a central challenge for governments seeking to decarbonize their economies. Many climate change mitigation policies impose visible material costs on citizens, and governments have limited fiscal capacity to deploy compensatory measures. Education is often used as a tool to build public awareness about climate change, but its effect on support for climate policies is not well understood. We evaluate the effects of a climate education policy through the study of a real-world large-scale educational intervention: a 3-h interactive workshop which has so far been implemented in over 500 French universities. We employed a randomized control trial reaching 1,845 students across 167 workshops. Students who took the workshop expressed 7 percentage points higher support for costly climate policies, including a beef tax, short-haul flight ban, and meat-free university canteen, compared with the control group. The workshop increased beliefs in the effectiveness of these policies and elicited more positive emotions about climate action. Evidence from a subsample of follow-up survey respondents suggests these effects may persist for at least 6 wk. We find no evidence that the workshop increases willingness to donate to a climate NGO. Overall, the results suggest that well-designed climate education can play a role in broadening public coalitions for ambitious climate policies by strengthening perceived policy effectiveness and support for costly policies.</w:t>
      </w:r>
    </w:p>
    <w:p>
      <w:pPr>
        <w:spacing w:before="120" w:after="120"/>
      </w:pPr>
      <w:r>
        <w:rPr>
          <w:sz w:val="18"/>
        </w:rPr>
        <w:t>——————————————————————————————————————————————————————————————————————</w:t>
      </w:r>
    </w:p>
    <w:p>
      <w:pPr>
        <w:spacing w:before="160" w:after="40" w:line="240" w:lineRule="auto"/>
      </w:pPr>
      <w:r>
        <w:rPr>
          <w:b/>
        </w:rPr>
        <w:t xml:space="preserve">[486] </w:t>
      </w:r>
      <w:hyperlink r:id="rId1137">
        <w:r>
          <w:rPr>
            <w:color w:val="1155CC"/>
            <w:u w:val="single"/>
          </w:rPr>
          <w:t>通过非线性波动和投资组合效应实现生态稳定性</w:t>
        </w:r>
      </w:hyperlink>
    </w:p>
    <w:p>
      <w:pPr>
        <w:spacing w:before="0" w:after="80"/>
      </w:pPr>
      <w:r>
        <w:rPr>
          <w:i/>
          <w:sz w:val="20"/>
        </w:rPr>
        <w:t>EN: Ecological stability through nonlinear fluctuations and the portfolio effect</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38">
        <w:r>
          <w:rPr>
            <w:color w:val="1155CC"/>
            <w:u w:val="single"/>
          </w:rPr>
          <w:t>10.1073/pnas.2535296123</w:t>
        </w:r>
      </w:hyperlink>
    </w:p>
    <w:p>
      <w:pPr>
        <w:spacing w:before="0" w:after="120"/>
      </w:pPr>
      <w:r>
        <w:rPr>
          <w:b/>
        </w:rPr>
        <w:t xml:space="preserve">Notes: </w:t>
      </w:r>
      <w:r>
        <w:t>abstract_source=crossref</w:t>
      </w:r>
    </w:p>
    <w:p>
      <w:pPr>
        <w:spacing w:before="0" w:after="80" w:lineRule="auto" w:line="276"/>
      </w:pPr>
      <w:r>
        <w:rPr>
          <w:b/>
        </w:rPr>
        <w:t xml:space="preserve">摘要（ZH）: </w:t>
      </w:r>
      <w:r>
        <w:t>许多生态理论致力于理解稳定社区的机制，但实证分析揭示了确定性非线性动力学，如振荡和混沌，在自由生活的种群中广泛存在。那么，当构建模块不稳定时，生态系统中的稳定性如何出现？我们分析了确定性非线性波动在多大程度上通过投资组合效应产生了全球重要的红鲑（Oncorhynchus nerka）种群复合体的生态稳定性，这些种群来自布里斯托尔湾和弗雷泽河。通过对跨越六十年的27个种群进行实证动态建模，我们表明，稳定性在区域尺度上出现，不是尽管如此，而是因为组成种群高度非线性并异步围绕共享吸引子运行。这种异步产生了支持投资组合效应的不相关波动，确定性非线性是主要的变异来源，吸引子重建解释了布里斯托尔湾红鲑年招募量方差的81%到89%，弗雷泽河的61%到78%。此外，当在商业渔业和一些捕食者运作的区域尺度上聚合时，局部种群动力学主要是混沌的，但动力学稳定，年际变异性减少了47%。这些结果表明，投资组合效应可以将局部不稳定的动力学转化为更高聚合水平的稳定结果，并且确定性非线性动力学而不是强线性动力学是主要因素。</w:t>
      </w:r>
    </w:p>
    <w:p>
      <w:pPr>
        <w:spacing w:before="0" w:after="200" w:lineRule="auto" w:line="276"/>
      </w:pPr>
      <w:r>
        <w:rPr>
          <w:b/>
        </w:rPr>
        <w:t xml:space="preserve">Abstract (EN): </w:t>
      </w:r>
      <w:r>
        <w:t>Much ecological theory has pursued understanding the mechanisms that stabilize communities, yet empirical analyses reveal deterministic nonlinear dynamics such as oscillations and chaos to be widespread in free-living populations. How then does stability emerge in ecosystems when the building blocks are unstable? We analyzed the extent to which deterministic nonlinear fluctuations produce the ecological stability gained via portfolio effects in globally important sockeye salmon (</w:t>
      </w:r>
      <w:r>
        <w:t xml:space="preserve"> </w:t>
      </w:r>
      <w:r>
        <w:t>Oncorhynchus nerka</w:t>
      </w:r>
      <w:r>
        <w:t xml:space="preserve"> </w:t>
      </w:r>
      <w:r>
        <w:t>) stock complexes from Bristol Bay and the Fraser River. Using empirical dynamic modeling of 27 populations spanning six decades, we show that stability emerges at the regional scale not despite, but specifically because constituent populations are highly nonlinear and orbit a shared attractor asynchronously. This asynchrony produced the uncorrelated fluctuations that underpin the portfolio effect and deterministic nonlinearity was the main source of variation, with attractor reconstruction accounting for 81 to 89% of the variance in annual sockeye recruitment in Bristol Bay and 61 to 78% in the Fraser River. Furthermore, local population dynamics were primarily chaotic, but when aggregated at the regional scale where commercial fisheries and some predators operate, the dynamics stabilized and interannual variability decreased by 47%. These results indicate that portfolio effects can transform locally unstable dynamics into stable outcomes at higher levels of aggregation, and that deterministic nonlinear dynamics rather than strong linear stochastic forcing produce the variation that portfolio effects act upon. Given the ubiquity of nonlinearity, the averaging of uncorrelated fluctuations produced by asynchronous nonlinear dynamics may be an underappreciated mechanism driving stability in ecosystems.</w:t>
      </w:r>
    </w:p>
    <w:p>
      <w:pPr>
        <w:spacing w:before="120" w:after="120"/>
      </w:pPr>
      <w:r>
        <w:rPr>
          <w:sz w:val="18"/>
        </w:rPr>
        <w:t>——————————————————————————————————————————————————————————————————————</w:t>
      </w:r>
    </w:p>
    <w:p>
      <w:pPr>
        <w:spacing w:before="160" w:after="40" w:line="240" w:lineRule="auto"/>
      </w:pPr>
      <w:r>
        <w:rPr>
          <w:b/>
        </w:rPr>
        <w:t xml:space="preserve">[487] </w:t>
      </w:r>
      <w:hyperlink r:id="rId1139">
        <w:r>
          <w:rPr>
            <w:color w:val="1155CC"/>
            <w:u w:val="single"/>
          </w:rPr>
          <w:t>NEK2在EBV阳性非霍奇金淋巴瘤中驱动发病机制、耐药性和LMP1表达</w:t>
        </w:r>
      </w:hyperlink>
    </w:p>
    <w:p>
      <w:pPr>
        <w:spacing w:before="0" w:after="80"/>
      </w:pPr>
      <w:r>
        <w:rPr>
          <w:i/>
          <w:sz w:val="20"/>
        </w:rPr>
        <w:t>EN: NEK2 drives pathogenesis, drug resistance, and LMP1 expression in EBV-positive non-Hodgkin lymphoma</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40">
        <w:r>
          <w:rPr>
            <w:color w:val="1155CC"/>
            <w:u w:val="single"/>
          </w:rPr>
          <w:t>10.1073/pnas.2535550123</w:t>
        </w:r>
      </w:hyperlink>
    </w:p>
    <w:p>
      <w:pPr>
        <w:spacing w:before="0" w:after="120"/>
      </w:pPr>
      <w:r>
        <w:rPr>
          <w:b/>
        </w:rPr>
        <w:t xml:space="preserve">Notes: </w:t>
      </w:r>
      <w:r>
        <w:t>abstract_source=crossref</w:t>
      </w:r>
    </w:p>
    <w:p>
      <w:pPr>
        <w:spacing w:before="0" w:after="80" w:lineRule="auto" w:line="276"/>
      </w:pPr>
      <w:r>
        <w:rPr>
          <w:b/>
        </w:rPr>
        <w:t xml:space="preserve">摘要（ZH）: </w:t>
      </w:r>
      <w:r>
        <w:t>非霍奇金淋巴瘤（NHL）是全球最常见的癌症之一，占恶性淋巴瘤的90%。NHL是一组多样的恶性肿瘤，其中一部分是由人类伽马疱疹病毒、Epstein-Barr病毒（EBV）感染引起的。许多EBV阳性淋巴瘤具有高度侵袭性，并迅速对治疗产生耐药性，导致患者预后不良。在此，我们确定了细胞激酶NEK2作为EBV阳性NHL的治疗靶点。我们证明NEK2蛋白表达在EBV感染后的初级淋巴细胞中增加，并且EBV潜伏蛋白EBNA1、LMP1和EBNA2各自独立驱动NEK2上调。我们显示NEK2对于EBV阳性NHL的生长和存活是必要的，并且NEK2抑制选择性地杀死淋巴瘤细胞而不影响正常淋巴细胞。NEK2抑制导致EBV特异性炎性细胞死亡，其特征是活性氧积累和gasdermin D裂解。此外，EBV癌蛋白LMP1和细胞癌蛋白c-myc的表达在NEK2抑制后减少。此外，我们证明多药耐药相关蛋白1（MRP1）是EBV阳性NHL中最活跃的药物耐药转运蛋白。NEK2抑制减少了细胞药物耐药转运蛋白的表达和活性，包括MRP1，导致淋巴瘤细胞化疗敏感性增加。最后，使用人源化小鼠模型的EBV驱动的淋巴瘤发生，我们证明NEK2抑制显著减少了肿瘤负担和肿瘤生长。</w:t>
      </w:r>
    </w:p>
    <w:p>
      <w:pPr>
        <w:spacing w:before="0" w:after="200" w:lineRule="auto" w:line="276"/>
      </w:pPr>
      <w:r>
        <w:rPr>
          <w:b/>
        </w:rPr>
        <w:t xml:space="preserve">Abstract (EN): </w:t>
      </w:r>
      <w:r>
        <w:t>Non-Hodgkin lymphoma (NHL) is one of the most common cancers worldwide, representing 90% of malignant lymphomas. NHL is a diverse group of malignancies, and a subset of these lymphomas are caused by infection with the human gammaherpesvirus, Epstein–Barr virus (EBV). Many EBV-positive lymphomas are highly aggressive and rapidly develop resistance to treatment, leading to poor patient outcomes. Here, we identify the cellular kinase, NEK2, as a therapeutic target for EBV-positive NHL. We demonstrate NEK2 protein expression is increased in primary lymphocytes following EBV infection, and that the EBV latency proteins EBNA1, LMP1, and EBNA2 each independently drive NEK2 upregulation. We show NEK2 is necessary for the growth and survival of EBV-positive NHL, and that NEK2 inhibition selectively kills lymphoma cells but not normal lymphocytes. Inhibition of NEK2 resulted in EBV-specific inflammatory cell death characterized by reactive oxygen species accumulation and gasdermin D cleavage. Additionally, expression of the EBV oncoprotein, LMP1, and the cellular oncoprotein, c-myc, were decreased following NEK2 inhibition. Furthermore, we demonstrate multidrug resistance-associated protein 1 (MRP1) is the most active drug resistance transporter protein in EBV-positive NHL. NEK2 inhibition reduced the expression and activity of cellular drug resistance transporter proteins, including MRP1, leading to increased lymphoma cell chemosensitivity. Finally, using a humanized mouse model of EBV-driven lymphomagenesis, we demonstrate NEK2 inhibition significantly decreased tumor burden and tumor incidence while prolonging survival. Taken together, our data suggest NEK2 inhibition as a promising therapeutic strategy for EBV-positive NHL.</w:t>
      </w:r>
    </w:p>
    <w:p>
      <w:pPr>
        <w:spacing w:before="120" w:after="120"/>
      </w:pPr>
      <w:r>
        <w:rPr>
          <w:sz w:val="18"/>
        </w:rPr>
        <w:t>——————————————————————————————————————————————————————————————————————</w:t>
      </w:r>
    </w:p>
    <w:p>
      <w:pPr>
        <w:spacing w:before="160" w:after="40" w:line="240" w:lineRule="auto"/>
      </w:pPr>
      <w:r>
        <w:rPr>
          <w:b/>
        </w:rPr>
        <w:t xml:space="preserve">[488] </w:t>
      </w:r>
      <w:hyperlink r:id="rId1141">
        <w:r>
          <w:rPr>
            <w:color w:val="1155CC"/>
            <w:u w:val="single"/>
          </w:rPr>
          <w:t>半胱氨酸硫醇到磺酸盐的氧化诱导细胞外HMGB1蛋白的功能转换展开</w:t>
        </w:r>
      </w:hyperlink>
    </w:p>
    <w:p>
      <w:pPr>
        <w:spacing w:before="0" w:after="80"/>
      </w:pPr>
      <w:r>
        <w:rPr>
          <w:i/>
          <w:sz w:val="20"/>
        </w:rPr>
        <w:t>EN: Cysteine thiol-to-sulfonate oxidation induces unfolding for the functional switching of the extracellular HMGB1 protein</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42">
        <w:r>
          <w:rPr>
            <w:color w:val="1155CC"/>
            <w:u w:val="single"/>
          </w:rPr>
          <w:t>10.1073/pnas.2538042123</w:t>
        </w:r>
      </w:hyperlink>
    </w:p>
    <w:p>
      <w:pPr>
        <w:spacing w:before="0" w:after="120"/>
      </w:pPr>
      <w:r>
        <w:rPr>
          <w:b/>
        </w:rPr>
        <w:t xml:space="preserve">Notes: </w:t>
      </w:r>
      <w:r>
        <w:t>abstract_source=crossref</w:t>
      </w:r>
    </w:p>
    <w:p>
      <w:pPr>
        <w:spacing w:before="0" w:after="80" w:lineRule="auto" w:line="276"/>
      </w:pPr>
      <w:r>
        <w:rPr>
          <w:b/>
        </w:rPr>
        <w:t xml:space="preserve">摘要（ZH）: </w:t>
      </w:r>
      <w:r>
        <w:t>半胱氨酸硫醇被活性氧氧化为磺酸基（–SO3–）可以调节蛋白质功能。在炎症结束时，细胞外HMGB1蛋白的这种修饰消除了其促炎活性。使用NMR光谱，我们研究了硫醇到磺酸盐氧化如何切换HMGB1的功能。我们的数据表明，半胱氨酸106（C106）的氧化诱导了HMGB1 B盒结构域的展开。相比之下，其他化学修饰，如S-谷胱甘肽化，在相同的半胱氨酸上没有这种效果，突出了硫醇到磺酸盐氧化的独特影响。采用13C直接检测NMR，我们表征了氧化的B盒结构域。NMR数据证实了全局展开，但揭示了靠近第二和第三螺旋的残余α螺旋倾向。NMR顺磁弛豫增强数据揭示了C106硫醇到磺酸盐氧化的静电影响。为了测试展开是否由疏水环境中的负电荷驱动，我们分析了C106D变体，因为天冬氨酸在静电上模拟了半胱氨酸磺酸盐。然而，C106D变体保持折叠，尽管NMR确认了D106处的负电荷。进一步的NMR实验表明，106位的–SO3−基团显著减慢了蛋白质折叠动力学，与相同位置的–COO−基团相比，表明–</w:t>
      </w:r>
    </w:p>
    <w:p>
      <w:pPr>
        <w:spacing w:before="0" w:after="200" w:lineRule="auto" w:line="276"/>
      </w:pPr>
      <w:r>
        <w:rPr>
          <w:b/>
        </w:rPr>
        <w:t xml:space="preserve">Abstract (EN): </w:t>
      </w:r>
      <w:r>
        <w:t>Oxidation of cysteine thiols to sulfonate groups (–SO</w:t>
      </w:r>
      <w:r>
        <w:rPr>
          <w:vertAlign w:val="subscript"/>
        </w:rPr>
        <w:t>3</w:t>
      </w:r>
      <w:r>
        <w:t>–</w:t>
      </w:r>
      <w:r>
        <w:t xml:space="preserve"> </w:t>
      </w:r>
      <w:r>
        <w:t>) by reactive oxygen species can regulate protein function. Near the end of inflammation, this modification in the extracellular HMGB1 protein abolishes its proinflammatory activity. Using NMR spectroscopy, we investigated how thiol-to-sulfonate oxidation switches HMGB1’s function. Our data show that the oxidation of cysteine 106 (C106) induces unfolding of the HMGB1 B-box domain. In contrast, other chemical modifications, such as S-glutathionylation, at the same cysteine did not have this effect, highlighting the unique impact of thiol-to-sulfonate oxidation. Employing</w:t>
      </w:r>
      <w:r>
        <w:rPr>
          <w:vertAlign w:val="subscript"/>
        </w:rPr>
        <w:t>13</w:t>
      </w:r>
      <w:r>
        <w:t>C direct-detected NMR, we characterized the oxidized B-box domain. NMR data confirmed global unfolding but revealed residual α-helical propensity near the second and third helices. NMR paramagnetic relaxation enhancement data revealed electrostatic impacts of the C106 thiol-to-sulfonate oxidation. To test whether unfolding is driven by negative charge in a hydrophobic environment, we analyzed the C106D variant, as aspartate electrostatically mimics cysteine sulfonate. However, the C106D variant remained folded, even though NMR confirmed a negative charge at D106. Further NMR experiments showed that the –SO</w:t>
      </w:r>
      <w:r>
        <w:rPr>
          <w:vertAlign w:val="subscript"/>
        </w:rPr>
        <w:t>3</w:t>
      </w:r>
      <w:r>
        <w:t>−</w:t>
      </w:r>
      <w:r>
        <w:t>group at residue 106 drastically slows down the protein folding kinetics, compared with the –COO</w:t>
      </w:r>
      <w:r>
        <w:t xml:space="preserve"> </w:t>
      </w:r>
      <w:r>
        <w:t>−</w:t>
      </w:r>
      <w:r>
        <w:t>group at the same position, suggesting that –SO</w:t>
      </w:r>
      <w:r>
        <w:rPr>
          <w:vertAlign w:val="subscript"/>
        </w:rPr>
        <w:t>3</w:t>
      </w:r>
      <w:r>
        <w:t>−</w:t>
      </w:r>
      <w:r>
        <w:t>introduces a large desolvation penalty for protein folding. This study illuminates protein unfolding via thiol-to-sulfonate oxidation of a cysteine residue in a hydrophobic environment as a mechanism for protein functional switching. Since HMGB1 is a therapeutic target for inflammatory diseases, understanding this inactivation mechanism offers insight for designing covalent inhibitors.</w:t>
      </w:r>
    </w:p>
    <w:p>
      <w:pPr>
        <w:spacing w:before="120" w:after="120"/>
      </w:pPr>
      <w:r>
        <w:rPr>
          <w:sz w:val="18"/>
        </w:rPr>
        <w:t>——————————————————————————————————————————————————————————————————————</w:t>
      </w:r>
    </w:p>
    <w:p>
      <w:pPr>
        <w:spacing w:before="160" w:after="40" w:line="240" w:lineRule="auto"/>
      </w:pPr>
      <w:r>
        <w:rPr>
          <w:b/>
        </w:rPr>
        <w:t xml:space="preserve">[489] </w:t>
      </w:r>
      <w:hyperlink r:id="rId1143">
        <w:r>
          <w:rPr>
            <w:color w:val="1155CC"/>
            <w:u w:val="single"/>
          </w:rPr>
          <w:t>利用巨噬细胞增强的类器官解码和靶向非溶解性戊型肝炎病毒感染的致病回路</w:t>
        </w:r>
      </w:hyperlink>
    </w:p>
    <w:p>
      <w:pPr>
        <w:spacing w:before="0" w:after="80"/>
      </w:pPr>
      <w:r>
        <w:rPr>
          <w:i/>
          <w:sz w:val="20"/>
        </w:rPr>
        <w:t>EN: Deciphering and targeting the pathogenic circuit of nonlytic hepatitis E virus infection using macrophage-augmented organoids</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44">
        <w:r>
          <w:rPr>
            <w:color w:val="1155CC"/>
            <w:u w:val="single"/>
          </w:rPr>
          <w:t>10.1073/pnas.2603870123</w:t>
        </w:r>
      </w:hyperlink>
    </w:p>
    <w:p>
      <w:pPr>
        <w:spacing w:before="0" w:after="120"/>
      </w:pPr>
      <w:r>
        <w:rPr>
          <w:b/>
        </w:rPr>
        <w:t xml:space="preserve">Notes: </w:t>
      </w:r>
      <w:r>
        <w:t>abstract_source=crossref</w:t>
      </w:r>
    </w:p>
    <w:p>
      <w:pPr>
        <w:spacing w:before="0" w:after="80" w:lineRule="auto" w:line="276"/>
      </w:pPr>
      <w:r>
        <w:rPr>
          <w:b/>
        </w:rPr>
        <w:t xml:space="preserve">摘要（ZH）: </w:t>
      </w:r>
      <w:r>
        <w:t>由非溶解性病毒感染引起的病理生理学是复杂的，通常由巨噬细胞介导的免疫反应驱动，导致过度炎症和附带的组织损伤。为了概念化这种复杂性，我们提出了一个由三个相互连接的节点组成的致病回路：非溶解性感染、炎症和免疫介导的细胞死亡。为了研究这个回路，我们结合了戊型肝炎病毒（HEV），一种典型的非溶解性RNA病毒，以及巨噬细胞增强的类器官（MaugOs）作为创新模型。在此，我们报告了在MaugOs中成功重现了由HEV感染引发的致病回路。非溶解性HEV感染触发了强烈的炎症反应和随后涉及焦亡、凋亡和坏死性凋亡途径的细胞死亡。通过药理学靶向单个回路节点以及单个细胞死亡途径，我们剖析了它们的相互作用并确定了潜在的治疗靶点。最后，我们通过合理的药物组合同时靶向两个或三个节点开发了多靶点策略，以有效破坏致病循环。总体而言，这些发现阐明了MaugOs中非溶解性HEV感染的致病回路结构，并为开发创新的多靶点疗法以改善疾病治疗提供了信息。</w:t>
      </w:r>
    </w:p>
    <w:p>
      <w:pPr>
        <w:spacing w:before="0" w:after="200" w:lineRule="auto" w:line="276"/>
      </w:pPr>
      <w:r>
        <w:rPr>
          <w:b/>
        </w:rPr>
        <w:t xml:space="preserve">Abstract (EN): </w:t>
      </w:r>
      <w:r>
        <w:t>The pathophysiology caused by nonlytic viral infections is complex, often driven by macrophage-mediated immune responses that lead to hyperinflammation and collateral tissue damage. To conceptualize this complexity, we propose a pathogenic circuit comprising three interconnected nodes: nonlytic infection, inflammation, and immune-mediated cell death. To investigate this circuit, we combined hepatitis E virus (HEV), a prototypical nonlytic RNA virus, and macrophage-augmented organoids (MaugOs) as an innovative model. Here, we report successful recapitulation of the pathogenic circuit induced by HEV infection in MaugOs. Nonlytic HEV infection triggered robust inflammatory responses and subsequent cell death involving pyroptosis, apoptosis, and necroptosis pathways. By pharmacologically targeting individual circuit nodes as well as individual cell death pathways, we have dissected their interactions and identified potential therapeutic targets. Finally, we developed multitarget strategies by simultaneously targeting two or three nodes through rational drug combinations to effectively disrupt the pathogenic loop. Collectively, these findings elucidate the architecture of the pathogenic circuit underlying nonlytic HEV infection in MaugOs and inform the development of innovative multitarget therapies for improved disease treatment.</w:t>
      </w:r>
    </w:p>
    <w:p>
      <w:pPr>
        <w:spacing w:before="120" w:after="120"/>
      </w:pPr>
      <w:r>
        <w:rPr>
          <w:sz w:val="18"/>
        </w:rPr>
        <w:t>——————————————————————————————————————————————————————————————————————</w:t>
      </w:r>
    </w:p>
    <w:p>
      <w:pPr>
        <w:spacing w:before="160" w:after="40" w:line="240" w:lineRule="auto"/>
      </w:pPr>
      <w:r>
        <w:rPr>
          <w:b/>
        </w:rPr>
        <w:t xml:space="preserve">[490] </w:t>
      </w:r>
      <w:hyperlink r:id="rId1145">
        <w:r>
          <w:rPr>
            <w:color w:val="1155CC"/>
            <w:u w:val="single"/>
          </w:rPr>
          <w:t>援助和平还是冲突？美国国际开发署削减对暴力的影响</w:t>
        </w:r>
      </w:hyperlink>
    </w:p>
    <w:p>
      <w:pPr>
        <w:spacing w:before="0" w:after="80"/>
      </w:pPr>
      <w:r>
        <w:rPr>
          <w:i/>
          <w:sz w:val="20"/>
        </w:rPr>
        <w:t>EN: Aiding peace or conflict? The impact of USAID cuts on violence</w:t>
      </w:r>
    </w:p>
    <w:p>
      <w:pPr>
        <w:spacing w:before="0" w:after="120"/>
      </w:pPr>
      <w:r>
        <w:rPr>
          <w:b/>
        </w:rPr>
        <w:t xml:space="preserve">Source: </w:t>
      </w:r>
      <w:r>
        <w:t>AAAS: Science: Table of Contents</w:t>
      </w:r>
      <w:r>
        <w:t xml:space="preserve">    </w:t>
      </w:r>
      <w:r>
        <w:rPr>
          <w:b/>
        </w:rPr>
        <w:t xml:space="preserve">Pub date: </w:t>
      </w:r>
      <w:r>
        <w:t>2026-05-14 07:00:00+00:00</w:t>
      </w:r>
      <w:r>
        <w:t xml:space="preserve">    </w:t>
      </w:r>
      <w:r>
        <w:rPr>
          <w:b/>
        </w:rPr>
        <w:t xml:space="preserve">DOI: </w:t>
      </w:r>
      <w:hyperlink r:id="rId1146">
        <w:r>
          <w:rPr>
            <w:color w:val="1155CC"/>
            <w:u w:val="single"/>
          </w:rPr>
          <w:t>10.1126/science.aed6802</w:t>
        </w:r>
      </w:hyperlink>
    </w:p>
    <w:p>
      <w:pPr>
        <w:spacing w:before="0" w:after="120"/>
      </w:pPr>
      <w:r>
        <w:rPr>
          <w:b/>
        </w:rPr>
        <w:t xml:space="preserve">Notes: </w:t>
      </w:r>
      <w:r>
        <w:t>abstract_source=crossref</w:t>
      </w:r>
    </w:p>
    <w:p>
      <w:pPr>
        <w:spacing w:before="0" w:after="80" w:lineRule="auto" w:line="276"/>
      </w:pPr>
      <w:r>
        <w:rPr>
          <w:b/>
        </w:rPr>
        <w:t xml:space="preserve">摘要（ZH）: </w:t>
      </w:r>
      <w:r>
        <w:t>在第二届特朗普政府就职不到一周后，美国国际开发署（USAID），最大的国家人道主义捐助者，发布了一项全面的停工令。突然撤回援助的社会和政治影响尚不清楚，特别是在救济是关键安全网的脆弱国家。我们提供了关于非洲各地次国家冲突影响的准实验证据。利用对USAID项目的历史暴露，我们显示出在停工后，先前获得最多支持的地区冲突急剧增加。增加涵盖了事件和严重性，包括武装冲突、抗议和骚乱。影响立即显现并持续数月。包容性地方机构大大减轻了这些危害，强调了在治理薄弱情况下的脆弱性以及机构缓冲人道主义和经济冲击的能力。</w:t>
      </w:r>
    </w:p>
    <w:p>
      <w:pPr>
        <w:spacing w:before="0" w:after="200" w:lineRule="auto" w:line="276"/>
      </w:pPr>
      <w:r>
        <w:rPr>
          <w:b/>
        </w:rPr>
        <w:t xml:space="preserve">Abstract (EN): </w:t>
      </w:r>
      <w:r>
        <w:t>Less than a week after its inauguration, the second Trump administration issued a blanket stop-work order for the United States Agency for International Development (USAID), the largest national humanitarian donor. The social and political effects of abrupt aid withdrawal are poorly understood, especially in fragile states where relief is a key safety net. We provide quasi-experimental evidence on the shutdown’s impact on subnational conflict across Africa. Leveraging historical exposure to USAID programs, we show that conflict increased sharply after the shutdown in areas that previously received the most support. The increase spanned incidence and severity, including armed clashes, protests, and riots. The effects appeared immediately and persisted for months. Inclusive local institutions substantially mitigated these harms, underscoring vulnerability under weak governance and the capacity of institutions to buffer humanitarian and economic shocks.</w:t>
      </w:r>
    </w:p>
    <w:p>
      <w:pPr>
        <w:spacing w:before="120" w:after="120"/>
      </w:pPr>
      <w:r>
        <w:rPr>
          <w:sz w:val="18"/>
        </w:rPr>
        <w:t>——————————————————————————————————————————————————————————————————————</w:t>
      </w:r>
    </w:p>
    <w:p>
      <w:pPr>
        <w:spacing w:before="160" w:after="40" w:line="240" w:lineRule="auto"/>
      </w:pPr>
      <w:r>
        <w:rPr>
          <w:b/>
        </w:rPr>
        <w:t xml:space="preserve">[491] </w:t>
      </w:r>
      <w:hyperlink r:id="rId1147">
        <w:r>
          <w:rPr>
            <w:color w:val="1155CC"/>
            <w:u w:val="single"/>
          </w:rPr>
          <w:t>铜输出P1B型ATP酶的广谱抑制剂</w:t>
        </w:r>
      </w:hyperlink>
    </w:p>
    <w:p>
      <w:pPr>
        <w:spacing w:before="0" w:after="80"/>
      </w:pPr>
      <w:r>
        <w:rPr>
          <w:i/>
          <w:sz w:val="20"/>
        </w:rPr>
        <w:t>EN: A broad-spectrum inhibitor of copper-exporting P1B-type ATPases</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48">
        <w:r>
          <w:rPr>
            <w:color w:val="1155CC"/>
            <w:u w:val="single"/>
          </w:rPr>
          <w:t>10.1073/pnas.2604078123</w:t>
        </w:r>
      </w:hyperlink>
    </w:p>
    <w:p>
      <w:pPr>
        <w:spacing w:before="0" w:after="120"/>
      </w:pPr>
      <w:r>
        <w:rPr>
          <w:b/>
        </w:rPr>
        <w:t xml:space="preserve">Notes: </w:t>
      </w:r>
      <w:r>
        <w:t>abstract_source=crossref</w:t>
      </w:r>
    </w:p>
    <w:p>
      <w:pPr>
        <w:spacing w:before="0" w:after="80" w:lineRule="auto" w:line="276"/>
      </w:pPr>
      <w:r>
        <w:rPr>
          <w:b/>
        </w:rPr>
        <w:t xml:space="preserve">摘要（ZH）: </w:t>
      </w:r>
      <w:r>
        <w:t>铜（Cu）转运ATP酶代表了一类高度保守的P型ATP酶，在Cu输出和金属酶合成中起关键作用。尽管它们在生物学上具有重要作用并与多种人类疾病相关，但尚未描述出高亲和力的小分子抑制剂。在此，我们确定了MKV3作为Cu转运P型ATP酶的小分子抑制剂，靶向保守的Cu</w:t>
      </w:r>
      <w:r>
        <w:t xml:space="preserve"> </w:t>
      </w:r>
      <w:r>
        <w:t>+</w:t>
      </w:r>
      <w:r>
        <w:t xml:space="preserve"> </w:t>
      </w:r>
      <w:r>
        <w:t>进入位点至转运途径。通过对</w:t>
      </w:r>
      <w:r>
        <w:t xml:space="preserve"> </w:t>
      </w:r>
      <w:r>
        <w:t>非洲爪蟾</w:t>
      </w:r>
      <w:r>
        <w:t xml:space="preserve"> </w:t>
      </w:r>
      <w:r>
        <w:t>ATP7B结构的计算机模拟对接，发现了一个适合药理学抑制的高度保守口袋。MKV3以纳摩尔亲和力结合人类ATP7A和ATP7B，与N端金属结合域竞争进入Cu</w:t>
      </w:r>
      <w:r>
        <w:t xml:space="preserve"> </w:t>
      </w:r>
      <w:r>
        <w:t>+</w:t>
      </w:r>
      <w:r>
        <w:t xml:space="preserve"> </w:t>
      </w:r>
      <w:r>
        <w:t>进入位点，并选择性抑制</w:t>
      </w:r>
      <w:r>
        <w:t xml:space="preserve"> </w:t>
      </w:r>
      <w:r>
        <w:t>大肠杆菌</w:t>
      </w:r>
      <w:r>
        <w:t xml:space="preserve"> </w:t>
      </w:r>
      <w:r>
        <w:t>CopA ATP酶活性和Cu</w:t>
      </w:r>
      <w:r>
        <w:t xml:space="preserve"> </w:t>
      </w:r>
      <w:r>
        <w:t>+</w:t>
      </w:r>
      <w:r>
        <w:t xml:space="preserve"> </w:t>
      </w:r>
      <w:r>
        <w:t>转运。在机制上，MKV3阻止了伴侣介导的Cu</w:t>
      </w:r>
      <w:r>
        <w:t xml:space="preserve"> </w:t>
      </w:r>
      <w:r>
        <w:t>+</w:t>
      </w:r>
      <w:r>
        <w:t xml:space="preserve"> </w:t>
      </w:r>
      <w:r>
        <w:t>向CopA的膜内CPC位点的递送，这对于其转运功能至关重要。我们进一步确定了一个单一带电的P域残基，决定了MKV3在不同物种中的亲和力和效力。在功能上，MKV3模拟了细菌、真菌、植物、斑马鱼和哺乳动物中Cu</w:t>
      </w:r>
      <w:r>
        <w:t xml:space="preserve"> </w:t>
      </w:r>
      <w:r>
        <w:t>+</w:t>
      </w:r>
      <w:r>
        <w:t xml:space="preserve"> </w:t>
      </w:r>
      <w:r>
        <w:t>-ATP酶的遗传缺失，损害了铜依赖性酶</w:t>
      </w:r>
    </w:p>
    <w:p>
      <w:pPr>
        <w:spacing w:before="0" w:after="200" w:lineRule="auto" w:line="276"/>
      </w:pPr>
      <w:r>
        <w:rPr>
          <w:b/>
        </w:rPr>
        <w:t xml:space="preserve">Abstract (EN): </w:t>
      </w:r>
      <w:r>
        <w:t>Copper (Cu) transporting ATPases represent a highly conserved subclass of P-type ATPases with critical roles in Cu export and metalloenzyme synthesis. Despite their important biological roles and association with a wide range of human diseases, no high-affinity small-molecule inhibitors have been described. Here, we identify MKV3 as a small molecule inhibitor of Cu-transporting P-type ATPases that targets a conserved Cu</w:t>
      </w:r>
      <w:r>
        <w:t xml:space="preserve"> </w:t>
      </w:r>
      <w:r>
        <w:t>+</w:t>
      </w:r>
      <w:r>
        <w:t xml:space="preserve"> </w:t>
      </w:r>
      <w:r>
        <w:t>entry site to the translocation pathway. In silico docking against the</w:t>
      </w:r>
      <w:r>
        <w:t xml:space="preserve"> </w:t>
      </w:r>
      <w:r>
        <w:t>Xenopus</w:t>
      </w:r>
      <w:r>
        <w:t xml:space="preserve"> </w:t>
      </w:r>
      <w:r>
        <w:t>ATP7B structure revealed a highly conserved pocket suitable for pharmacological inhibition. MKV3 bound human ATP7A and ATP7B with nanomolar affinity, competed with N-terminal metal-binding domains for access to the Cu</w:t>
      </w:r>
      <w:r>
        <w:t xml:space="preserve"> </w:t>
      </w:r>
      <w:r>
        <w:t>+</w:t>
      </w:r>
      <w:r>
        <w:t xml:space="preserve"> </w:t>
      </w:r>
      <w:r>
        <w:t>entry site, and selectively inhibited</w:t>
      </w:r>
      <w:r>
        <w:t xml:space="preserve"> </w:t>
      </w:r>
      <w:r>
        <w:t>Escherichia coli</w:t>
      </w:r>
      <w:r>
        <w:t xml:space="preserve"> </w:t>
      </w:r>
      <w:r>
        <w:t>CopA ATPase activity and Cu</w:t>
      </w:r>
      <w:r>
        <w:t xml:space="preserve"> </w:t>
      </w:r>
      <w:r>
        <w:t>+</w:t>
      </w:r>
      <w:r>
        <w:t xml:space="preserve"> </w:t>
      </w:r>
      <w:r>
        <w:t>transport. Mechanistically, MKV3 blocked chaperone-mediated Cu</w:t>
      </w:r>
      <w:r>
        <w:t xml:space="preserve"> </w:t>
      </w:r>
      <w:r>
        <w:t>+</w:t>
      </w:r>
      <w:r>
        <w:t xml:space="preserve"> </w:t>
      </w:r>
      <w:r>
        <w:t>delivery to the intramembranous CPC site of CopA that is essential for its transport function. We further identified a single charged P-domain residue that governed MKV3 affinity and potency across species. Functionally, MKV3 phenocopied the genetic loss of Cu</w:t>
      </w:r>
      <w:r>
        <w:t xml:space="preserve"> </w:t>
      </w:r>
      <w:r>
        <w:t>+</w:t>
      </w:r>
      <w:r>
        <w:t xml:space="preserve"> </w:t>
      </w:r>
      <w:r>
        <w:t>-ATPases in bacteria, fungi, plants, zebrafish, and mammals, impairing copper-dependent enzymes, transporter trafficking, and copper tolerance. These findings establish a conserved, druggable vulnerability in Cu</w:t>
      </w:r>
      <w:r>
        <w:t xml:space="preserve"> </w:t>
      </w:r>
      <w:r>
        <w:t>+</w:t>
      </w:r>
      <w:r>
        <w:t xml:space="preserve"> </w:t>
      </w:r>
      <w:r>
        <w:t>-ATPases and introduce MKV3 as a broadly active chemical tool to modulate copper homeostasis across biological kingdoms.</w:t>
      </w:r>
    </w:p>
    <w:p>
      <w:pPr>
        <w:spacing w:before="120" w:after="120"/>
      </w:pPr>
      <w:r>
        <w:rPr>
          <w:sz w:val="18"/>
        </w:rPr>
        <w:t>——————————————————————————————————————————————————————————————————————</w:t>
      </w:r>
    </w:p>
    <w:p>
      <w:pPr>
        <w:spacing w:before="160" w:after="40" w:line="240" w:lineRule="auto"/>
      </w:pPr>
      <w:r>
        <w:rPr>
          <w:b/>
        </w:rPr>
        <w:t xml:space="preserve">[492] </w:t>
      </w:r>
      <w:hyperlink r:id="rId1149">
        <w:r>
          <w:rPr>
            <w:color w:val="1155CC"/>
            <w:u w:val="single"/>
          </w:rPr>
          <w:t>粘蛋白酶工程化细胞膜纳米囊泡降解糖萼屏障以增强抗肿瘤免疫</w:t>
        </w:r>
      </w:hyperlink>
    </w:p>
    <w:p>
      <w:pPr>
        <w:spacing w:before="0" w:after="80"/>
      </w:pPr>
      <w:r>
        <w:rPr>
          <w:i/>
          <w:sz w:val="20"/>
        </w:rPr>
        <w:t>EN: Mucinase-engineered cell membrane nanovesicles degrade the glycocalyx shield to potentiate antitumor immunity</w:t>
      </w:r>
    </w:p>
    <w:p>
      <w:pPr>
        <w:spacing w:before="0" w:after="120"/>
      </w:pPr>
      <w:r>
        <w:rPr>
          <w:b/>
        </w:rPr>
        <w:t xml:space="preserve">Source: </w:t>
      </w:r>
      <w:r>
        <w:t>Proceedings of the National Academy of Sciences: Keyword search for query</w:t>
      </w:r>
      <w:r>
        <w:t xml:space="preserve">    </w:t>
      </w:r>
      <w:r>
        <w:rPr>
          <w:b/>
        </w:rPr>
        <w:t xml:space="preserve">Pub date: </w:t>
      </w:r>
      <w:r>
        <w:t>2026-05-14 07:00:00+00:00</w:t>
      </w:r>
      <w:r>
        <w:t xml:space="preserve">    </w:t>
      </w:r>
      <w:r>
        <w:rPr>
          <w:b/>
        </w:rPr>
        <w:t xml:space="preserve">DOI: </w:t>
      </w:r>
      <w:hyperlink r:id="rId1150">
        <w:r>
          <w:rPr>
            <w:color w:val="1155CC"/>
            <w:u w:val="single"/>
          </w:rPr>
          <w:t>10.1073/pnas.2529792123</w:t>
        </w:r>
      </w:hyperlink>
    </w:p>
    <w:p>
      <w:pPr>
        <w:spacing w:before="0" w:after="120"/>
      </w:pPr>
      <w:r>
        <w:rPr>
          <w:b/>
        </w:rPr>
        <w:t xml:space="preserve">Notes: </w:t>
      </w:r>
      <w:r>
        <w:t>abstract_source=crossref</w:t>
      </w:r>
    </w:p>
    <w:p>
      <w:pPr>
        <w:spacing w:before="0" w:after="80" w:lineRule="auto" w:line="276"/>
      </w:pPr>
      <w:r>
        <w:rPr>
          <w:b/>
        </w:rPr>
        <w:t xml:space="preserve">摘要（ZH）: </w:t>
      </w:r>
      <w:r>
        <w:t>肿瘤糖萼形成了一种保护屏障，掩盖了检查点蛋白并削弱了免疫疗法的效果。虽然细菌蛋白酶StcE可以通过切割O-糖基化的粘蛋白结构域来降解这种屏障，但其治疗潜力受到非靶向毒性和高免疫原性的限制。为了克服这些限制，我们开发了一种细胞膜融合纳米囊泡（FNVs）的仿生平台，该平台共同展示StcE和CD47纳米抗体（nCD47），用于空间控制的糖萼降解和增强的检查点阻断。使用SpyTag/SpyCatcher系统，我们生成了展示StcE的NVs，然后与展示nCD47的NVs融合。生成的StcE-nCD47-FNVs保留了强大的粘蛋白水解活性，并表现出明确的物理化学性质。通过去除粘蛋白屏障，StcE-nCD47-FNVs显著增强了nCD47与肿瘤细胞上CD47的结合，从而增强了抗肿瘤免疫反应。更重要的是，得益于FNVs的延长循环和nCD47的肿瘤靶向，StcE-nCD47-FNV平台显示出优于游离StcE的肿瘤积累和生物安全性。在小鼠结直肠癌和乳腺癌模型中，StcE-nCD47-FNVs通过重塑肿瘤微环境显著抑制了肿瘤生长和转移，这通过增加的M1巨噬细胞极化和CD8+ T细胞浸润得到了证明。通过将糖萼工程与囊泡纳米技术相结合，StcE-nCD47-FNVs提供了一种安全、强大且多功能的策略来突破肿瘤糖萼。</w:t>
      </w:r>
    </w:p>
    <w:p>
      <w:pPr>
        <w:spacing w:before="0" w:after="200" w:lineRule="auto" w:line="276"/>
      </w:pPr>
      <w:r>
        <w:rPr>
          <w:b/>
        </w:rPr>
        <w:t xml:space="preserve">Abstract (EN): </w:t>
      </w:r>
      <w:r>
        <w:t>The tumor glycocalyx forms a protective shield that masks checkpoint proteins and compromises the efficacy of immunotherapies. While the bacterial protease StcE can degrade this barrier by cleaving O-glycosylated mucin domains, its therapeutic potential is hindered by off-target toxicity and high immunogenicity. To overcome these limitations, we developed a biomimetic platform of cell membrane fusion nanovesicles (FNVs) that codisplay StcE and CD47 nanobodies (nCD47) for spatially controlled glycocalyx degradation and enhanced checkpoint blockade. Using the SpyTag/SpyCatcher system, we generated StcE-displaying NVs, which were then fused with nCD47-displaying NVs. The resulting StcE-nCD47-FNVs retained potent mucin-hydrolyzing activity and exhibited well-defined physicochemical properties. By removing the mucin barrier, StcE-nCD47-FNVs significantly enhanced nCD47 binding to CD47 on tumor cells, thereby potentiating antitumor immune responses. More importantly, benefiting from prolonged circulation of FNVs and tumor targeting of nCD47, the StcE-nCD47-FNV platform demonstrated superior tumor accumulation and biosafety compared to free StcE. In murine models of colorectal and breast cancer, StcE-nCD47-FNVs significantly suppressed tumor growth and metastasis by remodeling the tumor microenvironment, as evidenced by increased M1 macrophage polarization and CD8</w:t>
      </w:r>
      <w:r>
        <w:t xml:space="preserve"> </w:t>
      </w:r>
      <w:r>
        <w:t>+</w:t>
      </w:r>
      <w:r>
        <w:t xml:space="preserve"> </w:t>
      </w:r>
      <w:r>
        <w:t>T cell infiltration. By integrating glycocalyx engineering with vesicle nanotechnology, StcE-nCD47-FNVs offer a safe, robust, and versatile strategy to breach the tumor glycocalyx for next-generation cancer immunotherapy.</w:t>
      </w:r>
    </w:p>
    <w:p>
      <w:pPr>
        <w:spacing w:before="120" w:after="120"/>
      </w:pPr>
      <w:r>
        <w:rPr>
          <w:sz w:val="18"/>
        </w:rPr>
        <w:t>——————————————————————————————————————————————————————————————————————</w:t>
      </w:r>
    </w:p>
    <w:p>
      <w:pPr>
        <w:spacing w:before="160" w:after="40" w:line="240" w:lineRule="auto"/>
      </w:pPr>
      <w:r>
        <w:rPr>
          <w:b/>
        </w:rPr>
        <w:t xml:space="preserve">[493] </w:t>
      </w:r>
      <w:hyperlink r:id="rId1151">
        <w:r>
          <w:rPr>
            <w:color w:val="1155CC"/>
            <w:u w:val="single"/>
          </w:rPr>
          <w:t>[ASAP] 通过操控自旋电子调节酶活性来稳定锰-氧σ键的非键合铵</w:t>
        </w:r>
      </w:hyperlink>
    </w:p>
    <w:p>
      <w:pPr>
        <w:spacing w:before="0" w:after="80"/>
      </w:pPr>
      <w:r>
        <w:rPr>
          <w:i/>
          <w:sz w:val="20"/>
        </w:rPr>
        <w:t>EN: [ASAP] Nonbonding Ammonium Stabilizing Manganese–Oxygen σ-Bond by Manipulating Spin Electrons to Regulate Enzymatic Activities</w:t>
      </w:r>
    </w:p>
    <w:p>
      <w:pPr>
        <w:spacing w:before="0" w:after="120"/>
      </w:pPr>
      <w:r>
        <w:rPr>
          <w:b/>
        </w:rPr>
        <w:t xml:space="preserve">Source: </w:t>
      </w:r>
      <w:r>
        <w:t>Journal of the American Chemical Society: Latest Articles (ACS Publications)</w:t>
      </w:r>
      <w:r>
        <w:t xml:space="preserve">    </w:t>
      </w:r>
      <w:r>
        <w:rPr>
          <w:b/>
        </w:rPr>
        <w:t xml:space="preserve">Pub date: </w:t>
      </w:r>
      <w:r>
        <w:t>2026-05-14 08:03:12+00:00</w:t>
      </w:r>
      <w:r>
        <w:t xml:space="preserve">    </w:t>
      </w:r>
      <w:r>
        <w:rPr>
          <w:b/>
        </w:rPr>
        <w:t xml:space="preserve">DOI: </w:t>
      </w:r>
      <w:hyperlink r:id="rId1152">
        <w:r>
          <w:rPr>
            <w:color w:val="1155CC"/>
            <w:u w:val="single"/>
          </w:rPr>
          <w:t>10.1021/jacs.6c02992</w:t>
        </w:r>
      </w:hyperlink>
    </w:p>
    <w:p>
      <w:pPr>
        <w:spacing w:before="0" w:after="120"/>
      </w:pPr>
      <w:r>
        <w:rPr>
          <w:b/>
        </w:rPr>
        <w:t xml:space="preserve">Notes: </w:t>
      </w:r>
      <w:r>
        <w:t>abstract_source=pubmed</w:t>
      </w:r>
    </w:p>
    <w:p>
      <w:pPr>
        <w:spacing w:before="0" w:after="80" w:lineRule="auto" w:line="276"/>
      </w:pPr>
      <w:r>
        <w:rPr>
          <w:b/>
        </w:rPr>
        <w:t xml:space="preserve">摘要（ZH）: </w:t>
      </w:r>
      <w:r>
        <w:t>结合策略无法有效解决层状纳米酶的固有局限性，导致其无法在肿瘤微环境（TME）中保持稳定性。在此，通过酸碱中和策略构建了铵（NH4+）插层的δ-MnO2纳米酶（N-MnO2）。由于层间范德华相互作用，NH4+在非键合配置中得到稳定。显著的是，非键合NH4+表现出独特的电子操控能力，能够精确调节Mn 3d自旋电子从高自旋态（t2g3eg1）到低自旋（t2g4eg0）配置。受控的自旋态重分布防止电子占据eg反键轨道（σ*），从而显著增强Mn-O σ键的稳定性并抑制层状MnO2的[MnO6]八面体中的Jahn-Teller（J-T）畸变。这种双重非键合稳定机制有效抵抗内源性谷胱甘肽（GSH，超氧自由基清除剂）引起的结构破坏，从而增强酶模拟活性。此外，N-MnO2中的非键合NH4+维持动态的Mn3+/Mn4+平衡，使纳米酶具有双重过氧化氢酶样和氧化酶样活性。这可以催化级联酶反应（H2O2 → O2 → O2•-）以充分富集O2•-。因此，证明N-MnO2在复杂的TME中具有增强的级联催化性能，用于肿瘤特异性治疗。</w:t>
      </w:r>
    </w:p>
    <w:p>
      <w:pPr>
        <w:spacing w:before="0" w:after="200" w:lineRule="auto" w:line="276"/>
      </w:pPr>
      <w:r>
        <w:rPr>
          <w:b/>
        </w:rPr>
        <w:t xml:space="preserve">Abstract (EN): </w:t>
      </w:r>
      <w:r>
        <w:t>The bonding strategy cannot effectively address the inherent limitations of layered nanozymes, resulting in their failure to maintain stability within the tumor microenvironment (TME). Herein, ammonium (NH4+)-intercalated δ-MnO2 nanozymes (N-MnO2) were constructed through the acid-base neutralization strategy. Due to interlayer van der Waals interactions, the NH4+ is stabilized in a nonbonded configuration. Significantly, nonbonding NH4+ exhibits unique electron-manipulating capabilities, enabling precise regulation of Mn 3d spin electrons from a high-spin state (t2g3eg1) to low-spin (t2g4eg0) configurations. The controlled spin-state redistribution prevents electron occupation in the eg antibonding orbitals (σ*), thereby significantly enhancing the stability of the Mn-O σ-bond and suppressing Jahn-Teller (J-T) distortions in the [MnO6] octahedra of layered MnO2. This dual nonbonding stabilization mechanism effectively resists structural disruption by endogenous glutathione (GSH, a scavenger of superoxide radicals), which can enhance the enzyme-mimetic activity. Furthermore, the nonbonding NH4+ in N-MnO2 maintains a dynamic Mn3+/Mn4+ equilibrium, endowing the nanozyme with dual catalase-like and oxidase-like activities. This can catalyze cascade enzymatic reactions (H2O2 → O2 → O2•-) to sufficiently enrich O2•-. Consequently, it is demonstrated that N-MnO2 possesses enhanced cascade catalytic performance within the complex TME for tumor-specific therapy.</w:t>
      </w:r>
    </w:p>
    <w:p>
      <w:pPr>
        <w:spacing w:before="120" w:after="120"/>
      </w:pPr>
      <w:r>
        <w:rPr>
          <w:sz w:val="18"/>
        </w:rPr>
        <w:t>——————————————————————————————————————————————————————————————————————</w:t>
      </w:r>
    </w:p>
    <w:p>
      <w:pPr>
        <w:spacing w:before="160" w:after="40" w:line="240" w:lineRule="auto"/>
      </w:pPr>
      <w:r>
        <w:rPr>
          <w:b/>
        </w:rPr>
        <w:t xml:space="preserve">[494] </w:t>
      </w:r>
      <w:hyperlink r:id="rId1153">
        <w:r>
          <w:rPr>
            <w:color w:val="1155CC"/>
            <w:u w:val="single"/>
          </w:rPr>
          <w:t>[ASAP] 半导体晶体中的隐藏功能纳米颗粒</w:t>
        </w:r>
      </w:hyperlink>
    </w:p>
    <w:p>
      <w:pPr>
        <w:spacing w:before="0" w:after="80"/>
      </w:pPr>
      <w:r>
        <w:rPr>
          <w:i/>
          <w:sz w:val="20"/>
        </w:rPr>
        <w:t>EN: [ASAP] Hidden Functional Nanoparticles in Semiconductor Crystals</w:t>
      </w:r>
    </w:p>
    <w:p>
      <w:pPr>
        <w:spacing w:before="0" w:after="120"/>
      </w:pPr>
      <w:r>
        <w:rPr>
          <w:b/>
        </w:rPr>
        <w:t xml:space="preserve">Source: </w:t>
      </w:r>
      <w:r>
        <w:t>Journal of the American Chemical Society: Latest Articles (ACS Publications)</w:t>
      </w:r>
      <w:r>
        <w:t xml:space="preserve">    </w:t>
      </w:r>
      <w:r>
        <w:rPr>
          <w:b/>
        </w:rPr>
        <w:t xml:space="preserve">Pub date: </w:t>
      </w:r>
      <w:r>
        <w:t>2026-05-14 08:36:34+00:00</w:t>
      </w:r>
      <w:r>
        <w:t xml:space="preserve">    </w:t>
      </w:r>
      <w:r>
        <w:rPr>
          <w:b/>
        </w:rPr>
        <w:t xml:space="preserve">DOI: </w:t>
      </w:r>
      <w:hyperlink r:id="rId1154">
        <w:r>
          <w:rPr>
            <w:color w:val="1155CC"/>
            <w:u w:val="single"/>
          </w:rPr>
          <w:t>10.1021/jacs.6c04768</w:t>
        </w:r>
      </w:hyperlink>
    </w:p>
    <w:p>
      <w:pPr>
        <w:spacing w:before="0" w:after="120"/>
      </w:pPr>
      <w:r>
        <w:rPr>
          <w:b/>
        </w:rPr>
        <w:t xml:space="preserve">Notes: </w:t>
      </w:r>
      <w:r>
        <w:t>abstract_source=pubmed</w:t>
      </w:r>
    </w:p>
    <w:p>
      <w:pPr>
        <w:spacing w:before="0" w:after="80" w:lineRule="auto" w:line="276"/>
      </w:pPr>
      <w:r>
        <w:rPr>
          <w:b/>
        </w:rPr>
        <w:t xml:space="preserve">摘要（ZH）: </w:t>
      </w:r>
      <w:r>
        <w:t>控制功能金属在单晶半导体内的内部放置仍然是一个艰巨的挑战，因为晶格失配和热力学限制通常阻碍添加剂的掺入。在此，我们展示了一种通用策略，将聚合物稳定的Au纳米颗粒嵌入单晶锐钛矿二氧化钛（TiO2）中，同时保持其长程晶格顺序。界面聚合物工程克服了内在的金属氧化物不兼容性，将Au纳米颗粒精确引导到晶体内部。生成的Au-TiO2纳米复合晶体具有致密的原子级紧密结合，Au纳米颗粒作为内部电子汇，显著增强了电荷分离和传输。值得注意的是，这些内部限制的Au纳米颗粒积极驱动光催化产氢，产率比原始TiO2高188倍，突显了内部Au纳米颗粒的关键作用。这项工作建立了一个概念范式，用于工程具有可编程、空间分辨功能添加剂的晶体复合材料，开辟了定制半导体内在特性的新的途径。</w:t>
      </w:r>
    </w:p>
    <w:p>
      <w:pPr>
        <w:spacing w:before="0" w:after="200" w:lineRule="auto" w:line="276"/>
      </w:pPr>
      <w:r>
        <w:rPr>
          <w:b/>
        </w:rPr>
        <w:t xml:space="preserve">Abstract (EN): </w:t>
      </w:r>
      <w:r>
        <w:t>Controlling the internal placement of functional metals within single-crystalline semiconductors remains a formidable challenge, because lattice mismatch and thermodynamic limitations generally preclude additive incorporation. Here, we show a general strategy to embed polymer-stabilized Au nanoparticles within single-crystalline anatase titanium dioxide (TiO2) while preserving its long-range lattice order. Interfacial polymer engineering overcomes intrinsic metal-oxide incompatibility, directing Au nanoparticles into the crystal interior with spatial precision. The resulting Au-TiO2 nanocomposite crystals feature dense, atomically intimate junctions and Au nanoparticles act as internal electron sinks, dramatically enhancing charge separation and transport. Remarkably, these internally confined Au nanoparticles actively drive photocatalytic hydrogen evolution, yielding rates 188 times higher than pristine TiO2 and highlighting the critical role of interior Au nanoparticles. This work establishes a conceptual paradigm for engineering crystalline composites with programmable, spatially resolved functional additives, opening new avenues to tailor the intrinsic properties of semiconductors.</w:t>
      </w:r>
    </w:p>
    <w:p>
      <w:pPr>
        <w:spacing w:before="120" w:after="120"/>
      </w:pPr>
      <w:r>
        <w:rPr>
          <w:sz w:val="18"/>
        </w:rPr>
        <w:t>——————————————————————————————————————————————————————————————————————</w:t>
      </w:r>
    </w:p>
    <w:p>
      <w:pPr>
        <w:spacing w:before="160" w:after="40" w:line="240" w:lineRule="auto"/>
      </w:pPr>
      <w:r>
        <w:rPr>
          <w:b/>
        </w:rPr>
        <w:t xml:space="preserve">[495] </w:t>
      </w:r>
      <w:hyperlink r:id="rId1155">
        <w:r>
          <w:rPr>
            <w:color w:val="1155CC"/>
            <w:u w:val="single"/>
          </w:rPr>
          <w:t>[ASAP] 表征有机晶体中固-固相变的门户模式：热跃动4-DBpFO</w:t>
        </w:r>
      </w:hyperlink>
    </w:p>
    <w:p>
      <w:pPr>
        <w:spacing w:before="0" w:after="80"/>
      </w:pPr>
      <w:r>
        <w:rPr>
          <w:i/>
          <w:sz w:val="20"/>
        </w:rPr>
        <w:t>EN: [ASAP] Characterizing Gateway Modes for Solid–Solid Phase Transitions in Organic Crystals: The Thermosalient 4-DBpFO</w:t>
      </w:r>
    </w:p>
    <w:p>
      <w:pPr>
        <w:spacing w:before="0" w:after="120"/>
      </w:pPr>
      <w:r>
        <w:rPr>
          <w:b/>
        </w:rPr>
        <w:t xml:space="preserve">Source: </w:t>
      </w:r>
      <w:r>
        <w:t>Journal of the American Chemical Society: Latest Articles (ACS Publications)</w:t>
      </w:r>
      <w:r>
        <w:t xml:space="preserve">    </w:t>
      </w:r>
      <w:r>
        <w:rPr>
          <w:b/>
        </w:rPr>
        <w:t xml:space="preserve">Pub date: </w:t>
      </w:r>
      <w:r>
        <w:t>2026-05-14 08:36:56+00:00</w:t>
      </w:r>
      <w:r>
        <w:t xml:space="preserve">    </w:t>
      </w:r>
      <w:r>
        <w:rPr>
          <w:b/>
        </w:rPr>
        <w:t xml:space="preserve">DOI: </w:t>
      </w:r>
      <w:hyperlink r:id="rId1156">
        <w:r>
          <w:rPr>
            <w:color w:val="1155CC"/>
            <w:u w:val="single"/>
          </w:rPr>
          <w:t>10.1021/jacs.6c06148</w:t>
        </w:r>
      </w:hyperlink>
    </w:p>
    <w:p>
      <w:pPr>
        <w:spacing w:before="0" w:after="120"/>
      </w:pPr>
      <w:r>
        <w:rPr>
          <w:b/>
        </w:rPr>
        <w:t xml:space="preserve">Notes: </w:t>
      </w:r>
      <w:r>
        <w:t>abstract_source=pubmed</w:t>
      </w:r>
    </w:p>
    <w:p>
      <w:pPr>
        <w:spacing w:before="0" w:after="80" w:lineRule="auto" w:line="276"/>
      </w:pPr>
      <w:r>
        <w:rPr>
          <w:b/>
        </w:rPr>
        <w:t xml:space="preserve">摘要（ZH）: </w:t>
      </w:r>
      <w:r>
        <w:t>我们揭示了4-DBpFO热弹性（或“跳跃”）晶体相变40 cm-1（即1.2 THz）“网关”模式的性质，使用计算的低频拉曼光谱（LFRS）与实验光谱进行基准测试，并表明这是内外环的相干/同相集体运动。我们探讨并揭示了非谐性、热无序和体积波动在确定THz光谱形状中的作用。非谐耦合和晶胞波动似乎不仅仅是无辜的旁观者，实际上，这种模式的分子间相关性涉及多个晶胞。为了获得这些信息，我们使用我们的活动加权速度（AWV）方法，将经典轨迹与混合密度泛函理论（DFT）拉曼活动的准确性相结合。我们证明这种组合有效地计算出准确的LFRS，并提供了一种预测热无序系统和熵稳定相的拉曼活动的方法，而当前方法（谐波光谱和DFT-分子动力学）则失败。</w:t>
      </w:r>
    </w:p>
    <w:p>
      <w:pPr>
        <w:spacing w:before="0" w:after="200" w:lineRule="auto" w:line="276"/>
      </w:pPr>
      <w:r>
        <w:rPr>
          <w:b/>
        </w:rPr>
        <w:t xml:space="preserve">Abstract (EN): </w:t>
      </w:r>
      <w:r>
        <w:t>We disclose the nature of the 4-DBpFO thermosalient (or "jumping") crystal phase transition 40 cm-1 (i.e., 1.2 THz) "gateway" mode using computed low-frequency Raman spectra (LFRS) benchmarked to experimental spectra and show that it is a coherent/in-phase collective motion of the inner-outer rings. We explore and reveal the roles of anharmonicity, thermal disorder, and volume fluctuations in determining the THz spectral shape. The anharmonic couplings and cell fluctuations appear to be more than just innocent spectators, and indeed, the intermolecular correlations for this mode involve multiple cells. To obtain this information, we use our Activity Weighted Velocities (AWV) method to integrate classical trajectories with the accuracy of hybrid Density Functional Theory (DFT) Raman activities. We demonstrate that this combination effectively computes accurate LFRS and offers a way to predict the Raman activity of thermally disordered systems and entropically stabilized phases, where current methods (harmonic spectra and DFT-Molecular Dynamics) fail.</w:t>
      </w:r>
    </w:p>
    <w:p>
      <w:pPr>
        <w:spacing w:before="120" w:after="120"/>
      </w:pPr>
      <w:r>
        <w:rPr>
          <w:sz w:val="18"/>
        </w:rPr>
        <w:t>——————————————————————————————————————————————————————————————————————</w:t>
      </w:r>
    </w:p>
    <w:p>
      <w:pPr>
        <w:spacing w:before="160" w:after="40" w:line="240" w:lineRule="auto"/>
      </w:pPr>
      <w:r>
        <w:rPr>
          <w:b/>
        </w:rPr>
        <w:t xml:space="preserve">[496] </w:t>
      </w:r>
      <w:hyperlink r:id="rId1157">
        <w:r>
          <w:rPr>
            <w:color w:val="1155CC"/>
            <w:u w:val="single"/>
          </w:rPr>
          <w:t>[ASAP] 定量单个活细胞溶酶体糖苷酶分泌的纳米传感器</w:t>
        </w:r>
      </w:hyperlink>
    </w:p>
    <w:p>
      <w:pPr>
        <w:spacing w:before="0" w:after="80"/>
      </w:pPr>
      <w:r>
        <w:rPr>
          <w:i/>
          <w:sz w:val="20"/>
        </w:rPr>
        <w:t>EN: [ASAP] Nanosensor Quantifying Lysosomal Glycosidase Secretion from Single Living Cells</w:t>
      </w:r>
    </w:p>
    <w:p>
      <w:pPr>
        <w:spacing w:before="0" w:after="120"/>
      </w:pPr>
      <w:r>
        <w:rPr>
          <w:b/>
        </w:rPr>
        <w:t xml:space="preserve">Source: </w:t>
      </w:r>
      <w:r>
        <w:t>Journal of the American Chemical Society: Latest Articles (ACS Publications)</w:t>
      </w:r>
      <w:r>
        <w:t xml:space="preserve">    </w:t>
      </w:r>
      <w:r>
        <w:rPr>
          <w:b/>
        </w:rPr>
        <w:t xml:space="preserve">Pub date: </w:t>
      </w:r>
      <w:r>
        <w:t>2026-05-14 08:37:34+00:00</w:t>
      </w:r>
      <w:r>
        <w:t xml:space="preserve">    </w:t>
      </w:r>
      <w:r>
        <w:rPr>
          <w:b/>
        </w:rPr>
        <w:t xml:space="preserve">DOI: </w:t>
      </w:r>
      <w:hyperlink r:id="rId1158">
        <w:r>
          <w:rPr>
            <w:color w:val="1155CC"/>
            <w:u w:val="single"/>
          </w:rPr>
          <w:t>10.1021/jacs.6c04507</w:t>
        </w:r>
      </w:hyperlink>
    </w:p>
    <w:p>
      <w:pPr>
        <w:spacing w:before="0" w:after="120"/>
      </w:pPr>
      <w:r>
        <w:rPr>
          <w:b/>
        </w:rPr>
        <w:t xml:space="preserve">Notes: </w:t>
      </w:r>
      <w:r>
        <w:t>abstract_source=pubmed</w:t>
      </w:r>
    </w:p>
    <w:p>
      <w:pPr>
        <w:spacing w:before="0" w:after="80" w:lineRule="auto" w:line="276"/>
      </w:pPr>
      <w:r>
        <w:rPr>
          <w:b/>
        </w:rPr>
        <w:t xml:space="preserve">摘要（ZH）: </w:t>
      </w:r>
      <w:r>
        <w:t>分泌溶酶体在免疫细胞中作为关键的调节效应器，执行与降解和分泌相关的多种功能。其分泌过程的中断可能导致免疫失衡，导致各种健康问题。然而，当前基于免疫染色的方法阻碍了在保持细胞活力的同时对溶酶体酶分泌的实时和定量监测。在此，我们开发了一种结合人工底物和混合纳米线-纳米移液器传感器的策略，以量化单个活体巨噬细胞中溶酶体糖苷酶的分泌。糖苷酶分泌是通过巨噬细胞的挫败性吞噬作用诱导的，糖苷酶特异性识别并水解从纳米移液器喷出的相应人工底物，释放出电活性氨基酚，随后由纳米线电极检测到。这项工作首次提供了一种创新且多功能的方法，通过对单个活体巨噬细胞分泌的糖苷酶进行定量评估，监测溶酶体酶的分泌，突出了分泌溶酶体在维持免疫稳态中的动态作用。</w:t>
      </w:r>
    </w:p>
    <w:p>
      <w:pPr>
        <w:spacing w:before="0" w:after="200" w:lineRule="auto" w:line="276"/>
      </w:pPr>
      <w:r>
        <w:rPr>
          <w:b/>
        </w:rPr>
        <w:t xml:space="preserve">Abstract (EN): </w:t>
      </w:r>
      <w:r>
        <w:t>Secretory lysosomes serve as crucial regulatory effectors in immune cells, carrying out versatile functions related to both degradation and secretion. Disruption of their secretion processes can lead to immune imbalances, resulting in various health complications. However, current immunostaining-based methods hinder real-time and quantitative monitoring of lysosomal enzyme secretion while maintaining cell viability. Here, we developed a strategy combining artificial substrates and hybrid nanowire-nanopipette sensors to quantify the secretion of lysosomal glycosidases from single living macrophages. Glycosidase secretion was induced by frustrated phagocytosis of macrophages, and the glycosidases specifically recognized and hydrolyzed the corresponding artificial substrates ejected from the nanopipette to liberate electroactive aminophenol, which was subsequently detected by the nanowire electrode. This work provides, for the first time, an innovative and versatile methodology to monitor lysosomal enzyme secretion by quantitative assessment of glycosidase secreted from individual living macrophages, highlighting the dynamics of secretory lysosomes in maintaining immune homeostasis.</w:t>
      </w:r>
    </w:p>
    <w:p>
      <w:pPr>
        <w:spacing w:before="120" w:after="120"/>
      </w:pPr>
      <w:r>
        <w:rPr>
          <w:sz w:val="18"/>
        </w:rPr>
        <w:t>——————————————————————————————————————————————————————————————————————</w:t>
      </w:r>
    </w:p>
    <w:p>
      <w:pPr>
        <w:spacing w:before="160" w:after="40" w:line="240" w:lineRule="auto"/>
      </w:pPr>
      <w:r>
        <w:rPr>
          <w:b/>
        </w:rPr>
        <w:t xml:space="preserve">[497] </w:t>
      </w:r>
      <w:hyperlink r:id="rId1159">
        <w:r>
          <w:rPr>
            <w:color w:val="1155CC"/>
            <w:u w:val="single"/>
          </w:rPr>
          <w:t>[ASAP] 从单体到三聚体的寡聚苯基调控实现超快激发态动力学和超高发射截面</w:t>
        </w:r>
      </w:hyperlink>
    </w:p>
    <w:p>
      <w:pPr>
        <w:spacing w:before="0" w:after="80"/>
      </w:pPr>
      <w:r>
        <w:rPr>
          <w:i/>
          <w:sz w:val="20"/>
        </w:rPr>
        <w:t>EN: [ASAP] Oligophenylene Tuning from Monomer to Trimer Enables Ultrafast Excited-State Dynamics and Ultrahigh Emission Cross Sections</w:t>
      </w:r>
    </w:p>
    <w:p>
      <w:pPr>
        <w:spacing w:before="0" w:after="120"/>
      </w:pPr>
      <w:r>
        <w:rPr>
          <w:b/>
        </w:rPr>
        <w:t xml:space="preserve">Source: </w:t>
      </w:r>
      <w:r>
        <w:t>Journal of the American Chemical Society: Latest Articles (ACS Publications)</w:t>
      </w:r>
      <w:r>
        <w:t xml:space="preserve">    </w:t>
      </w:r>
      <w:r>
        <w:rPr>
          <w:b/>
        </w:rPr>
        <w:t xml:space="preserve">Pub date: </w:t>
      </w:r>
      <w:r>
        <w:t>2026-05-14 09:54:17+00:00</w:t>
      </w:r>
      <w:r>
        <w:t xml:space="preserve">    </w:t>
      </w:r>
      <w:r>
        <w:rPr>
          <w:b/>
        </w:rPr>
        <w:t xml:space="preserve">DOI: </w:t>
      </w:r>
      <w:hyperlink r:id="rId1160">
        <w:r>
          <w:rPr>
            <w:color w:val="1155CC"/>
            <w:u w:val="single"/>
          </w:rPr>
          <w:t>10.1021/jacs.6c00463</w:t>
        </w:r>
      </w:hyperlink>
    </w:p>
    <w:p>
      <w:pPr>
        <w:spacing w:before="0" w:after="120"/>
      </w:pPr>
      <w:r>
        <w:rPr>
          <w:b/>
        </w:rPr>
        <w:t xml:space="preserve">Notes: </w:t>
      </w:r>
      <w:r>
        <w:t>abstract_source=pubmed</w:t>
      </w:r>
    </w:p>
    <w:p>
      <w:pPr>
        <w:spacing w:before="0" w:after="80" w:lineRule="auto" w:line="276"/>
      </w:pPr>
      <w:r>
        <w:rPr>
          <w:b/>
        </w:rPr>
        <w:t xml:space="preserve">摘要（ZH）: </w:t>
      </w:r>
      <w:r>
        <w:t>具有短光致发光寿命的发色团在应用中非常理想，如时间分辨成像、高速数据传输和光保真（Li-Fi），因为它们可以最大限度地减少激子-激子湮灭，抑制三重态积累，并实现超快调制。然而，在不影响发射效率的情况下实现快速激发态动力学仍然是一个重大挑战。在此，我们报告了三种可溶液加工的寡聚苯基基发色团，单体、二聚体和三聚体，功能化有苯基咔唑末端。通过系统的结构-性质调控，这些发色团表现出极短的光致发光寿命（低至0.43 ns）、高摩尔吸收系数（高达236,000 M-1 cm-1在399 nm处）和大的辐射衰减率（高达2.08 × 109 s-1）。在有机激光的背景下，它们还表现出大的发射截面（高达1.01 × 10-15 cm2）、激发态吸收和放大自发发射（ASE）之间的最小光谱重叠，以及在深蓝色区域非常低的固态ASE阈值（0.67-0.80 μJ cm-2）。计算研究将这些特性归因于沿主要平面寡聚苯基骨架的扩展π-共轭和高HOMO-LUMO重叠，这增强了π-离域和振子强度。通过有机发光二极管的制备进行的电致发光研究显示外部量子效率高达3.2%。这些发现突显了分子工程在加速激发态衰减的同时保持高效发光的有效性。</w:t>
      </w:r>
    </w:p>
    <w:p>
      <w:pPr>
        <w:spacing w:before="0" w:after="200" w:lineRule="auto" w:line="276"/>
      </w:pPr>
      <w:r>
        <w:rPr>
          <w:b/>
        </w:rPr>
        <w:t xml:space="preserve">Abstract (EN): </w:t>
      </w:r>
      <w:r>
        <w:t>Chromophores with short photoluminescence lifetimes are highly desirable for minimizing exciton-exciton annihilation, suppressing triplet accumulation, and enabling ultrafast modulation in applications such as time-resolved imaging, high-speed data transmission, and light fidelity (Li-Fi). However, achieving rapid excited-state dynamics without compromising emission efficiency remains a significant challenge. Here, we report three solution-processable oligophenylene-based chromophores, Monomer, Dimer, and Trimer, functionalized with phenylcarbazole end caps. Through systematic structure-property modulation, these chromophores exhibit remarkably short photoluminescence lifetimes (down to 0.43 ns), high molar absorption coefficients (up to 236,000 M-1 cm-1 at 399 nm), and large radiative decay rates (up to 2.08 × 109 s-1). In the context of organic lasing, they also show large emission cross sections (up to 1.01 × 10-15 cm2), minimal spectral overlap between excited-state absorption and amplified spontaneous emission (ASE), and very low solid-state ASE thresholds (0.67-0.80 μJ cm-2) in the deep blue region. Computational studies attribute these properties to extended π-conjugation and high HOMO-LUMO overlap along the predominantly planar oligophenylene backbone, which enhances π-delocalization and oscillator strengths. Electroluminescent studies through fabrication of organic light-emitting diodes gave external quantum efficiencies up to 3.2%. These findings highlight the effectiveness of molecular engineering in accelerating excited-state decay while maintaining efficient light emission, establishing a promising platform for next-generation lasers, optical communications, ultrafast displays, and broadband photonic technologies.</w:t>
      </w:r>
    </w:p>
    <w:p>
      <w:pPr>
        <w:spacing w:before="120" w:after="120"/>
      </w:pPr>
      <w:r>
        <w:rPr>
          <w:sz w:val="18"/>
        </w:rPr>
        <w:t>——————————————————————————————————————————————————————————————————————</w:t>
      </w:r>
    </w:p>
    <w:p>
      <w:pPr>
        <w:spacing w:before="160" w:after="40" w:line="240" w:lineRule="auto"/>
      </w:pPr>
      <w:r>
        <w:rPr>
          <w:b/>
        </w:rPr>
        <w:t xml:space="preserve">[498] </w:t>
      </w:r>
      <w:hyperlink r:id="rId1161">
        <w:r>
          <w:rPr>
            <w:color w:val="1155CC"/>
            <w:u w:val="single"/>
          </w:rPr>
          <w:t>[ASAP] 通过太阳能驱动的内在光化学芳构化在常温下构建喹唑啉连接的共价有机框架</w:t>
        </w:r>
      </w:hyperlink>
    </w:p>
    <w:p>
      <w:pPr>
        <w:spacing w:before="0" w:after="80"/>
      </w:pPr>
      <w:r>
        <w:rPr>
          <w:i/>
          <w:sz w:val="20"/>
        </w:rPr>
        <w:t>EN: [ASAP] Ambient Construction of Quinazoline-Linked Covalent Organic Frameworks via Solar-Driven Intrinsic Photochemical Aromatization</w:t>
      </w:r>
    </w:p>
    <w:p>
      <w:pPr>
        <w:spacing w:before="0" w:after="120"/>
      </w:pPr>
      <w:r>
        <w:rPr>
          <w:b/>
        </w:rPr>
        <w:t xml:space="preserve">Source: </w:t>
      </w:r>
      <w:r>
        <w:t>Journal of the American Chemical Society: Latest Articles (ACS Publications)</w:t>
      </w:r>
      <w:r>
        <w:t xml:space="preserve">    </w:t>
      </w:r>
      <w:r>
        <w:rPr>
          <w:b/>
        </w:rPr>
        <w:t xml:space="preserve">Pub date: </w:t>
      </w:r>
      <w:r>
        <w:t>2026-05-14 10:17:52+00:00</w:t>
      </w:r>
      <w:r>
        <w:t xml:space="preserve">    </w:t>
      </w:r>
      <w:r>
        <w:rPr>
          <w:b/>
        </w:rPr>
        <w:t xml:space="preserve">DOI: </w:t>
      </w:r>
      <w:hyperlink r:id="rId1162">
        <w:r>
          <w:rPr>
            <w:color w:val="1155CC"/>
            <w:u w:val="single"/>
          </w:rPr>
          <w:t>10.1021/jacs.6c06467</w:t>
        </w:r>
      </w:hyperlink>
    </w:p>
    <w:p>
      <w:pPr>
        <w:spacing w:before="0" w:after="120"/>
      </w:pPr>
      <w:r>
        <w:rPr>
          <w:b/>
        </w:rPr>
        <w:t xml:space="preserve">Notes: </w:t>
      </w:r>
      <w:r>
        <w:t>abstract_source=pubmed</w:t>
      </w:r>
    </w:p>
    <w:p>
      <w:pPr>
        <w:spacing w:before="0" w:after="80" w:lineRule="auto" w:line="276"/>
      </w:pPr>
      <w:r>
        <w:rPr>
          <w:b/>
        </w:rPr>
        <w:t xml:space="preserve">摘要（ZH）: </w:t>
      </w:r>
      <w:r>
        <w:t>尽管太阳能驱动的有机合成极具吸引力，但其在材料合成中的应用仍处于起步阶段，并面临巨大挑战。在此，我们提出了首个阳光驱动、无光敏剂的策略，通过在环境条件下的光化学芳构化构建喹唑啉连接的共价有机框架（QZCOFs）。这种方法实现了具有明确共轭结构的高结晶性和稳健的QZCOFs的可扩展合成。所得的QZCOF-1具有供体-受体（D-A）结构，并作为一种高效、无金属的多相光催化剂，用于多种有机转化，包括选择性硫化物氧化、苯并咪唑形成和通过C-H环化合成四氢喹啉。这一策略不仅为绿色和可持续的COFs合成开辟了一个有前景的范式，还展示了它们作为光催化多功能平台的潜力。</w:t>
      </w:r>
    </w:p>
    <w:p>
      <w:pPr>
        <w:spacing w:before="0" w:after="200" w:lineRule="auto" w:line="276"/>
      </w:pPr>
      <w:r>
        <w:rPr>
          <w:b/>
        </w:rPr>
        <w:t xml:space="preserve">Abstract (EN): </w:t>
      </w:r>
      <w:r>
        <w:t>Although solar-driven organic synthesis is highly attractive, its application in materials synthesis is still in its infancy and faces great challenges. Herein, we present the first sunlight-driven, photosensitizer-free strategy for constructing quinazoline-linked covalent organic frameworks (QZCOFs) via photochemical aromatization under ambient conditions. This approach enables the scalable synthesis of highly crystalline and robust QZCOFs featuring well-defined conjugated structures. The resulting QZCOF-1 possesses a donor-acceptor (D-A) architecture and serves as an efficient, metal-free heterogeneous photocatalyst for diverse organic transformations, including selective sulfide oxidation, benzimidazole formation, and tetrahydroquinoline synthesis via C-H annulation. This strategy not only opens a promising paradigm for the green and sustainable synthesis of COFs but also demonstrates their potential as multifunctional platforms for photocatalysis.</w:t>
      </w:r>
    </w:p>
    <w:p>
      <w:pPr>
        <w:spacing w:before="120" w:after="120"/>
      </w:pPr>
      <w:r>
        <w:rPr>
          <w:sz w:val="18"/>
        </w:rPr>
        <w:t>——————————————————————————————————————————————————————————————————————</w:t>
      </w:r>
    </w:p>
    <w:p>
      <w:pPr>
        <w:spacing w:before="160" w:after="40" w:line="240" w:lineRule="auto"/>
      </w:pPr>
      <w:r>
        <w:rPr>
          <w:b/>
        </w:rPr>
        <w:t xml:space="preserve">[499] </w:t>
      </w:r>
      <w:hyperlink r:id="rId1163">
        <w:r>
          <w:rPr>
            <w:color w:val="1155CC"/>
            <w:u w:val="single"/>
          </w:rPr>
          <w:t>[ASAP] 促溶剂促进的质子跃迁在超分子导体中的作用</w:t>
        </w:r>
      </w:hyperlink>
    </w:p>
    <w:p>
      <w:pPr>
        <w:spacing w:before="0" w:after="80"/>
      </w:pPr>
      <w:r>
        <w:rPr>
          <w:i/>
          <w:sz w:val="20"/>
        </w:rPr>
        <w:t>EN: [ASAP] Kosmotrope-Promoted Proton Hopping in Supramolecular Conductors</w:t>
      </w:r>
    </w:p>
    <w:p>
      <w:pPr>
        <w:spacing w:before="0" w:after="120"/>
      </w:pPr>
      <w:r>
        <w:rPr>
          <w:b/>
        </w:rPr>
        <w:t xml:space="preserve">Source: </w:t>
      </w:r>
      <w:r>
        <w:t>Journal of the American Chemical Society: Latest Articles (ACS Publications)</w:t>
      </w:r>
      <w:r>
        <w:t xml:space="preserve">    </w:t>
      </w:r>
      <w:r>
        <w:rPr>
          <w:b/>
        </w:rPr>
        <w:t xml:space="preserve">Pub date: </w:t>
      </w:r>
      <w:r>
        <w:t>2026-05-14 11:32:36+00:00</w:t>
      </w:r>
      <w:r>
        <w:t xml:space="preserve">    </w:t>
      </w:r>
      <w:r>
        <w:rPr>
          <w:b/>
        </w:rPr>
        <w:t xml:space="preserve">DOI: </w:t>
      </w:r>
      <w:hyperlink r:id="rId1164">
        <w:r>
          <w:rPr>
            <w:color w:val="1155CC"/>
            <w:u w:val="single"/>
          </w:rPr>
          <w:t>10.1021/jacs.6c03867</w:t>
        </w:r>
      </w:hyperlink>
    </w:p>
    <w:p>
      <w:pPr>
        <w:spacing w:before="0" w:after="120"/>
      </w:pPr>
      <w:r>
        <w:rPr>
          <w:b/>
        </w:rPr>
        <w:t xml:space="preserve">Notes: </w:t>
      </w:r>
      <w:r>
        <w:t>abstract_source=pubmed</w:t>
      </w:r>
    </w:p>
    <w:p>
      <w:pPr>
        <w:spacing w:before="0" w:after="80" w:lineRule="auto" w:line="276"/>
      </w:pPr>
      <w:r>
        <w:rPr>
          <w:b/>
        </w:rPr>
        <w:t xml:space="preserve">摘要（ZH）: </w:t>
      </w:r>
      <w:r>
        <w:t>自霍夫梅斯特效应发现以来，科学界对其兴趣时起时落；然而，其对溶剂化和分子组织的离子特异性影响仍然是一个具有持久意义的话题。虽然在水系统中进行了广泛研究，但其对固态材料和Grotthuss机制的相关性仍然基本未被探索。在此，我们揭示了一类超分子有机笼盐，即Cage1系列，其反离子跨越霍夫梅斯特系列，以系统探究其对固态质子导电的离子特异性影响。由超分子有机笼稳定的亲水离子被发现显著增强质子导电性，促进了扩展的氢键网络（HB-network）的形成，从而促进了Grotthuss型质子跳跃。导电性从混乱的Cage1-HI到亲水的Cage1-H2SO4增加了超过2个数量级，在333 K和95% RH下达到1.03 × 10-1 S cm-1。单晶和分子动力学（MD）分析揭示了不同的笼-离子-水相互作用如何在分子水平上调节质子移动性。这些发现建立了霍夫梅斯特化学与固体中质子传输之间的前所未有的联系，为下一代超分子质子导体提供了一种新的离子特异性设计原则。</w:t>
      </w:r>
    </w:p>
    <w:p>
      <w:pPr>
        <w:spacing w:before="0" w:after="200" w:lineRule="auto" w:line="276"/>
      </w:pPr>
      <w:r>
        <w:rPr>
          <w:b/>
        </w:rPr>
        <w:t xml:space="preserve">Abstract (EN): </w:t>
      </w:r>
      <w:r>
        <w:t>Scientific interest in the Hofmeister effect has waxed and waned since its discovery over a century ago; however, its ion-specific influence on solvation and molecular organization remains a topic of enduring significance. While extensively studied in aqueous systems, its relevance to solid-state materials and Grotthuss mechanisms has remained largely unexplored. Here, we unveil a class of supramolecular organic cage salts, the Cage1 series, with counteranions spanning the Hofmeister series to systematically probe their ion-specific effects on solid-state proton conduction. Kosmotropic anions, stabilized by the supramolecular organic cage, are found to markedly enhance proton conductivity, promoting the formation of an extended hydrogen-bonded network (HB-network) that facilitates Grotthuss-type proton hopping. The conductivity increases by over 2 orders of magnitude from chaotropic Cage1-HI to kosmotropic Cage1-H2SO4, reaching up to 1.03 × 10-1 S cm-1 at 333 K under 95% RH. Single-crystal and molecular dynamics (MD) analyses reveal how distinct cage-anion-water interactions modulate proton mobility at the molecular level. These findings establish an unprecedented link between Hofmeister chemistry and proton transport in solids, offering a new ion-specific design principle for next-generation supramolecular proton conductors.</w:t>
      </w:r>
    </w:p>
    <w:p>
      <w:pPr>
        <w:spacing w:before="120" w:after="120"/>
      </w:pPr>
      <w:r>
        <w:rPr>
          <w:sz w:val="18"/>
        </w:rPr>
        <w:t>——————————————————————————————————————————————————————————————————————</w:t>
      </w:r>
    </w:p>
    <w:p>
      <w:pPr>
        <w:spacing w:before="160" w:after="40" w:line="240" w:lineRule="auto"/>
      </w:pPr>
      <w:r>
        <w:rPr>
          <w:b/>
        </w:rPr>
        <w:t xml:space="preserve">[500] </w:t>
      </w:r>
      <w:hyperlink r:id="rId1165">
        <w:r>
          <w:rPr>
            <w:color w:val="1155CC"/>
            <w:u w:val="single"/>
          </w:rPr>
          <w:t>[ASAP] 邻近Cu(I)位点的几何控制协同作用增强C–C偶联以实现高效CO2到C2+电还原</w:t>
        </w:r>
      </w:hyperlink>
    </w:p>
    <w:p>
      <w:pPr>
        <w:spacing w:before="0" w:after="80"/>
      </w:pPr>
      <w:r>
        <w:rPr>
          <w:i/>
          <w:sz w:val="20"/>
        </w:rPr>
        <w:t>EN: [ASAP] Geometry-Controlled Synergy of Adjacent Cu(I) Sites Enhances C–C Coupling for Efficient CO2-to-C2+ Electroreduction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2026-05-14 12:19:32+00:00</w:t>
      </w:r>
      <w:r>
        <w:t xml:space="preserve">    </w:t>
      </w:r>
      <w:r>
        <w:rPr>
          <w:b/>
        </w:rPr>
        <w:t xml:space="preserve">DOI: </w:t>
      </w:r>
      <w:hyperlink r:id="rId1166">
        <w:r>
          <w:rPr>
            <w:color w:val="1155CC"/>
            <w:u w:val="single"/>
          </w:rPr>
          <w:t>10.1021/jacs.6c01543</w:t>
        </w:r>
      </w:hyperlink>
    </w:p>
    <w:p>
      <w:pPr>
        <w:spacing w:before="0" w:after="120"/>
      </w:pPr>
      <w:r>
        <w:rPr>
          <w:b/>
        </w:rPr>
        <w:t xml:space="preserve">Notes: </w:t>
      </w:r>
      <w:r>
        <w:t>abstract_source=pubmed</w:t>
      </w:r>
    </w:p>
    <w:p>
      <w:pPr>
        <w:spacing w:before="0" w:after="80" w:lineRule="auto" w:line="276"/>
      </w:pPr>
      <w:r>
        <w:rPr>
          <w:b/>
        </w:rPr>
        <w:t xml:space="preserve">摘要（ZH）: </w:t>
      </w:r>
      <w:r>
        <w:t>CO2电化学还原为多碳（C2+）产品提供了一条通向可持续燃料和化学品的有前景途径，而控制关键的C-C偶联步骤仍然是一个基本挑战。在此，我们展示了通过工程化Cu(I)位点在晶体Cu-三嗪框架中的分子几何形状直接调节CO2RR的选择性。采用两种结构明确的铜框架，即Cu3I3-三嗪和Cu2I2-三嗪，具有不同的Cu-I-Cu桥几何形状，作为CO2电还原的催化剂。Cu2I2-三嗪催化剂在-300 mA cm-2的电流密度下实现了73.7%的C2+产品高法拉第效率，显著优于Cu3I3-三嗪在CO2电还原中的表现。通过结合原位光谱和密度泛函理论计算，我们阐明了Cu2I2-三嗪催化剂中相邻的Cu(I)位点促进界面水解离以稳定关键的*CHO中间体，并引导C-C偶联路径以实现高效的C2+形成。这项工作建立了分子催化剂的分子尺度空间对称性与其在CO2RR中对C2+产品的催化协同作用之间的直接联系。</w:t>
      </w:r>
    </w:p>
    <w:p>
      <w:pPr>
        <w:spacing w:before="0" w:after="200" w:lineRule="auto" w:line="276"/>
      </w:pPr>
      <w:r>
        <w:rPr>
          <w:b/>
        </w:rPr>
        <w:t xml:space="preserve">Abstract (EN): </w:t>
      </w:r>
      <w:r>
        <w:t>The electrochemical reduction of CO2 to multicarbon (C2+) products offers a promising route to sustainable fuels and chemicals, while controlling the critical C-C coupling step remains a fundamental challenge. Here, we demonstrate that engineering the molecular geometry of Cu(I) sites in crystalline Cu-triazine frameworks directly tunes the selectivity of CO2RR. Two structurally well-defined copper frameworks, the Cu3I3-triazine and Cu2I2-triazine with different Cu-I-Cu bridge geometries, are employed as catalysts for CO2 electroreduction. The Cu2I2-triazine catalysts achieved a high Faradaic efficiency of 73.7% for C2+ products at a current density of -300 mA cm-2, significantly outperforming the Cu3I3-triazine counterpart in CO2 electroreduction. Through a combination of in situ spectroscopy and density functional theory calculations, we elucidate that the adjacent Cu(I) sites in Cu2I2-triazine catalyst facilitate interfacial water dissociation for the stabilization of critical *CHO intermediates, and steer the C-C coupling pathway for efficient C2+ formation. This work establishes a direct link between molecular-scale spatial symmetry of molecular catalysts and their catalytic synergy for C2+ products in CO2RR.</w:t>
      </w:r>
    </w:p>
    <w:p>
      <w:pPr>
        <w:spacing w:before="120" w:after="120"/>
      </w:pPr>
      <w:r>
        <w:rPr>
          <w:sz w:val="18"/>
        </w:rPr>
        <w:t>——————————————————————————————————————————————————————————————————————</w:t>
      </w:r>
    </w:p>
    <w:p>
      <w:pPr>
        <w:spacing w:before="160" w:after="40" w:line="240" w:lineRule="auto"/>
      </w:pPr>
      <w:r>
        <w:rPr>
          <w:b/>
        </w:rPr>
        <w:t xml:space="preserve">[501] </w:t>
      </w:r>
      <w:hyperlink r:id="rId1167">
        <w:r>
          <w:rPr>
            <w:color w:val="1155CC"/>
            <w:u w:val="single"/>
          </w:rPr>
          <w:t>[ASAP] 通过纳秒分辨瞬态光谱学理解波长依赖的光聚合反应</w:t>
        </w:r>
      </w:hyperlink>
    </w:p>
    <w:p>
      <w:pPr>
        <w:spacing w:before="0" w:after="80"/>
      </w:pPr>
      <w:r>
        <w:rPr>
          <w:i/>
          <w:sz w:val="20"/>
        </w:rPr>
        <w:t>EN: [ASAP] Understanding Wavelength-Dependent Photopolymerizations via Nano-Second Resolved Transient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2026-05-14 12:53:32+00:00</w:t>
      </w:r>
      <w:r>
        <w:t xml:space="preserve">    </w:t>
      </w:r>
      <w:r>
        <w:rPr>
          <w:b/>
        </w:rPr>
        <w:t xml:space="preserve">DOI: </w:t>
      </w:r>
      <w:hyperlink r:id="rId1168">
        <w:r>
          <w:rPr>
            <w:color w:val="1155CC"/>
            <w:u w:val="single"/>
          </w:rPr>
          <w:t>10.1021/jacs.6c05591</w:t>
        </w:r>
      </w:hyperlink>
    </w:p>
    <w:p>
      <w:pPr>
        <w:spacing w:before="0" w:after="120"/>
      </w:pPr>
      <w:r>
        <w:rPr>
          <w:b/>
        </w:rPr>
        <w:t xml:space="preserve">Notes: </w:t>
      </w:r>
      <w:r>
        <w:t>abstract_source=pubmed</w:t>
      </w:r>
    </w:p>
    <w:p>
      <w:pPr>
        <w:spacing w:before="0" w:after="80" w:lineRule="auto" w:line="276"/>
      </w:pPr>
      <w:r>
        <w:rPr>
          <w:b/>
        </w:rPr>
        <w:t xml:space="preserve">摘要（ZH）: </w:t>
      </w:r>
      <w:r>
        <w:t>在过去的十年中，系统的波长依赖性光聚合研究揭示了仅靠吸收光谱无法预测自由基生成和后续单体转化。特别是，在某些光引发剂的弱吸收尾部的激发表现出不成比例的高聚合效率。这种行为表明，激发后的过程可能起到关键作用，挑战了主要基于光源与摩尔吸光度的光谱重叠来评估光引发剂性能的普遍做法。在此，我们使用基于锗的I类光引发剂Ivocerin（双（4-甲氧基苯甲酰）二乙基锗）作为模型系统研究这种行为。通过结合稳态单体转化分析、时间分辨光谱和动力学建模，我们量化了自由基形成概率和自由基持久性对聚合效率的贡献程度，作为单色波长的函数。我们展示了Ivocerin的瞬态激发态动力学与波长光谱上的宏观聚合效率之间的直接相关性。长波长下增强的聚合效率源于自由基生成和寿命的相互作用，提出了一种有效解释波长依赖性光聚合中摩尔吸光度与反应性之间观察到的差异的机制框架。</w:t>
      </w:r>
    </w:p>
    <w:p>
      <w:pPr>
        <w:spacing w:before="0" w:after="200" w:lineRule="auto" w:line="276"/>
      </w:pPr>
      <w:r>
        <w:rPr>
          <w:b/>
        </w:rPr>
        <w:t xml:space="preserve">Abstract (EN): </w:t>
      </w:r>
      <w:r>
        <w:t>In the past decade, systematic wavelength-dependent studies of photopolymerizations have revealed that the absorption spectrum alone does not predict radical generation and subsequent monomer conversion. In particular, excitation within the weak absorption tail of certain photoinitiators exhibited disproportionately high polymerization efficiencies. Such behavior suggests that postexcitation processes may play a critical role, challenging the widespread practice of evaluating photoinitiator performance primarily based on spectral overlap of the light source with molar absorptivity. Here, we investigate this behavior using the type I germanium-based photoinitiator Ivocerin (bis(4-methoxybenzoyl)diethylgermanium) as a model system. By combining steady-state monomer conversion analysis with time-resolved spectroscopy and kinetic modeling, we quantify the extent to which radical formation probability and radical persistence contribute to polymerization efficiency as a function of monochromatic wavelength. We demonstrate a direct correlation between the transient excited-state dynamics of Ivocerin and the macroscopic polymerization efficiency across the wavelength spectrum. Enhanced polymerization efficiency at longer wavelengths emerges from the interplay of radical generation and lifetime, suggesting a mechanistic framework that effectively explains the observed discrepancy between molar absorptivity and reactivity in wavelength-dependent photopolymerizations.</w:t>
      </w:r>
    </w:p>
    <w:p>
      <w:pPr>
        <w:spacing w:before="120" w:after="120"/>
      </w:pPr>
      <w:r>
        <w:rPr>
          <w:sz w:val="18"/>
        </w:rPr>
        <w:t>——————————————————————————————————————————————————————————————————————</w:t>
      </w:r>
    </w:p>
    <w:p>
      <w:pPr>
        <w:spacing w:before="160" w:after="40" w:line="240" w:lineRule="auto"/>
      </w:pPr>
      <w:r>
        <w:rPr>
          <w:b/>
        </w:rPr>
        <w:t xml:space="preserve">[502] </w:t>
      </w:r>
      <w:hyperlink r:id="rId1169">
        <w:r>
          <w:rPr>
            <w:color w:val="1155CC"/>
            <w:u w:val="single"/>
          </w:rPr>
          <w:t>[ASAP] 通过几何自优化在[12]环对苯撑中的主客体络合</w:t>
        </w:r>
      </w:hyperlink>
    </w:p>
    <w:p>
      <w:pPr>
        <w:spacing w:before="0" w:after="80"/>
      </w:pPr>
      <w:r>
        <w:rPr>
          <w:i/>
          <w:sz w:val="20"/>
        </w:rPr>
        <w:t>EN: [ASAP] Host–Guest Complexation through Geometric Self-Optimization in [12]Cycloparaphenylene</w:t>
      </w:r>
    </w:p>
    <w:p>
      <w:pPr>
        <w:spacing w:before="0" w:after="120"/>
      </w:pPr>
      <w:r>
        <w:rPr>
          <w:b/>
        </w:rPr>
        <w:t xml:space="preserve">Source: </w:t>
      </w:r>
      <w:r>
        <w:t>Journal of the American Chemical Society: Latest Articles (ACS Publications)</w:t>
      </w:r>
      <w:r>
        <w:t xml:space="preserve">    </w:t>
      </w:r>
      <w:r>
        <w:rPr>
          <w:b/>
        </w:rPr>
        <w:t xml:space="preserve">Pub date: </w:t>
      </w:r>
      <w:r>
        <w:t>2026-05-14 12:54:01+00:00</w:t>
      </w:r>
      <w:r>
        <w:t xml:space="preserve">    </w:t>
      </w:r>
      <w:r>
        <w:rPr>
          <w:b/>
        </w:rPr>
        <w:t xml:space="preserve">DOI: </w:t>
      </w:r>
      <w:hyperlink r:id="rId1170">
        <w:r>
          <w:rPr>
            <w:color w:val="1155CC"/>
            <w:u w:val="single"/>
          </w:rPr>
          <w:t>10.1021/jacs.6c02199</w:t>
        </w:r>
      </w:hyperlink>
    </w:p>
    <w:p>
      <w:pPr>
        <w:spacing w:before="0" w:after="120"/>
      </w:pPr>
      <w:r>
        <w:rPr>
          <w:b/>
        </w:rPr>
        <w:t xml:space="preserve">Notes: </w:t>
      </w:r>
      <w:r>
        <w:t>abstract_source=pubmed</w:t>
      </w:r>
    </w:p>
    <w:p>
      <w:pPr>
        <w:spacing w:before="0" w:after="80" w:lineRule="auto" w:line="276"/>
      </w:pPr>
      <w:r>
        <w:rPr>
          <w:b/>
        </w:rPr>
        <w:t xml:space="preserve">摘要（ZH）: </w:t>
      </w:r>
      <w:r>
        <w:t>主体-客体化学通常依赖于吸引的非共价相互作用来驱动客体分子在主体框架内的包容。相反，我们展示了[12]环对苯撑（[12]CPP）形成包容复合物不是通过这种相互作用，而是通过几何自优化——一种主体分子自发调整其构象以在客体结合时实现能量稳定化的过程。[12]CPP与各种非手性和手性分子的复合物的单晶X射线结构分析表明，与主体在溶液中相互作用微不足道的客体分子，或那些由于在[12]CPP外部π表面的分子间相互作用而无法进入空腔的客体分子，仍然可以被容纳在[12]CPP的刚性、共价结合的空腔内。[12]CPP和乙基松香酸酯复合物的结构评估揭示了几何自优化的几个中间状态，为主体-客体适应机制提供了实验见解。这种自优化机制还使液体化合物自发结晶为适合单晶X射线结构分析的主体-客体晶体，允许确定液体分子的分子结构和绝对构型。这些发现确立了几何自优化作为主体-客体化学的新原则，并强调其在超越传统吸引相互作用限制的分子包容方面的潜力。</w:t>
      </w:r>
    </w:p>
    <w:p>
      <w:pPr>
        <w:spacing w:before="0" w:after="200" w:lineRule="auto" w:line="276"/>
      </w:pPr>
      <w:r>
        <w:rPr>
          <w:b/>
        </w:rPr>
        <w:t xml:space="preserve">Abstract (EN): </w:t>
      </w:r>
      <w:r>
        <w:t>Host-guest chemistry typically relies on attractive noncovalent interactions to drive the inclusion of guest molecules within a host framework. In contrast, we demonstrate that [12]cycloparaphenylene ([12]CPP) forms inclusion complexes not through such interactions but through geometric self-optimization─a process in which the host molecule spontaneously adjusts its conformation to achieve energetic stabilization upon guest incorporation. Single-crystal X-ray structure analyses of complexes of [12]CPP with various achiral and chiral molecules revealed that guest molecules interacting negligibly with the host in solution, or those whose access to the cavity is prevented by intermolecular interaction at the outer π-surface of [12]CPP, can nevertheless be accommodated within the rigid, covalently bonded cavity of [12]CPP. Structural evaluation of the complex of [12]CPP and ethyl abietate revealed several intermediate states of geometric self-optimization, providing experimental insight into the mechanism of host-guest accommodation. This self-optimization mechanism also enables spontaneous crystallization of liquid compounds as host-guest crystals suitable for single-crystal X-ray structure analysis, allowing the determination of molecular structures and absolute configurations of liquid molecules. These findings establish geometric self-optimization as a new principle of host-guest chemistry and highlight its potential for extending molecular inclusion beyond the limits imposed by conventional attractive interactions.</w:t>
      </w:r>
    </w:p>
    <w:p>
      <w:pPr>
        <w:spacing w:before="120" w:after="120"/>
      </w:pPr>
      <w:r>
        <w:rPr>
          <w:sz w:val="18"/>
        </w:rPr>
        <w:t>——————————————————————————————————————————————————————————————————————</w:t>
      </w:r>
    </w:p>
    <w:p>
      <w:pPr>
        <w:spacing w:before="160" w:after="40" w:line="240" w:lineRule="auto"/>
      </w:pPr>
      <w:r>
        <w:rPr>
          <w:b/>
        </w:rPr>
        <w:t xml:space="preserve">[503] </w:t>
      </w:r>
      <w:hyperlink r:id="rId1171">
        <w:r>
          <w:rPr>
            <w:color w:val="1155CC"/>
            <w:u w:val="single"/>
          </w:rPr>
          <w:t>[ASAP] 二维金属有机框架中反磁性的化学工程</w:t>
        </w:r>
      </w:hyperlink>
    </w:p>
    <w:p>
      <w:pPr>
        <w:spacing w:before="0" w:after="80"/>
      </w:pPr>
      <w:r>
        <w:rPr>
          <w:i/>
          <w:sz w:val="20"/>
        </w:rPr>
        <w:t>EN: [ASAP] Chemical Engineering of Altermagnetism in Two-Dimensional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2026-05-14 19:24:12+00:00</w:t>
      </w:r>
      <w:r>
        <w:t xml:space="preserve">    </w:t>
      </w:r>
      <w:r>
        <w:rPr>
          <w:b/>
        </w:rPr>
        <w:t xml:space="preserve">DOI: </w:t>
      </w:r>
      <w:hyperlink r:id="rId1172">
        <w:r>
          <w:rPr>
            <w:color w:val="1155CC"/>
            <w:u w:val="single"/>
          </w:rPr>
          <w:t>10.1021/jacs.5c22589</w:t>
        </w:r>
      </w:hyperlink>
    </w:p>
    <w:p>
      <w:pPr>
        <w:spacing w:before="0" w:after="120"/>
      </w:pPr>
      <w:r>
        <w:rPr>
          <w:b/>
        </w:rPr>
        <w:t xml:space="preserve">Notes: </w:t>
      </w:r>
      <w:r>
        <w:t>abstract_source=pubmed</w:t>
      </w:r>
    </w:p>
    <w:p>
      <w:pPr>
        <w:spacing w:before="0" w:after="80" w:lineRule="auto" w:line="276"/>
      </w:pPr>
      <w:r>
        <w:rPr>
          <w:b/>
        </w:rPr>
        <w:t xml:space="preserve">摘要（ZH）: </w:t>
      </w:r>
      <w:r>
        <w:t>交替磁性代表了一种新型磁相，表现出无净磁化的非相对论自旋分裂，由晶格对称性驱动。在此，我们介绍了一种基于配位化学的通用策略，以实现和控制二维（2D）平面四配位铬基金属有机框架（MOFs）中的交替磁性（AM）自旋分裂。使用密度泛函理论（DFT）计算，我们证明了配体对称性及其在晶格中的排列可以用于降低铬基MOFs的晶体对称性，从而实现高达65 meV的g波AM自旋分裂。此外，前沿分子轨道工程（FMOE）允许选择性配体自旋极化，在具有多环配体的2D MOFs中诱导向d波AM各向异性转变，自旋分裂高达83.9 meV。微观磁交换相互作用（J）分析表明，配体介导的相互作用在自旋极化配体系统中占主导地位，稳定了AM顺序。有趣的是，我们进一步确认了自旋波谱中的AM自旋分裂，其中观察到了手性磁振子分裂。最后，我们展示了AM自旋分裂引发了实验上可访问的电荷到自旋转换，在d波中表现为线性响应，而在g波2D AM MOFs中表现为对称允许的非线性效应。这项工作确立了配位化学作为2D MOFs中对称性控制的强大而多功能的途径，使得能够理性设计具有可调电子和AM特性的2D分子材料，用于下一代自旋电子设备。</w:t>
      </w:r>
    </w:p>
    <w:p>
      <w:pPr>
        <w:spacing w:before="0" w:after="200" w:lineRule="auto" w:line="276"/>
      </w:pPr>
      <w:r>
        <w:rPr>
          <w:b/>
        </w:rPr>
        <w:t xml:space="preserve">Abstract (EN): </w:t>
      </w:r>
      <w:r>
        <w:t>Altermagnetism represents a novel magnetic phase exhibiting nonrelativistic spin splitting without net magnetization driven by lattice symmetry. Here, we introduce a general coordination-chemistry-based strategy to realize and control altermagnetic (AM) spin splitting in two-dimensional (2D) planar tetracoordinated Cr-based metal-organic frameworks (MOFs). Using density functional theory (DFT) calculations, we demonstrate that ligand symmetry and its arrangement within the lattice can be used to lower the crystallographic symmetry of Cr-based MOFs, enabling g-wave AM spin splitting up to 65 meV. Furthermore, frontier molecular orbital engineering (FMOE) allows selective ligand spin polarization, inducing a shift to d-wave AM anisotropy in polycyclic ligand-based 2D MOFs with spin splitting up to 83.9 meV. Microscopic magnetic exchange interaction (J) analysis reveals that ligand-mediated interactions dominate over metal-metal coupling, stabilizing AM order in systems with spin-polarized ligands. Interestingly, we further confirm AM spin splitting in the spin wave spectrum, where chiral magnon splitting is observed. Finally, we show that AM spin splitting gives rise to experimentally accessible charge-to-spin conversion, emerging as a linear response in d-wave and as a symmetry-allowed nonlinear effect in g-wave 2D AM MOFs. This work establishes coordination chemistry as a powerful and versatile route to symmetry control in 2D MOFs, enabling the rational design of 2D molecular materials with tunable electronic and AM properties for next-generation spintronic devices.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1421526002788?dgcid=rss_sd_all" TargetMode="External"/><Relationship Id="rId10" Type="http://schemas.openxmlformats.org/officeDocument/2006/relationships/hyperlink" Target="https://www.nature.com/articles/s41578-026-00928-0" TargetMode="External"/><Relationship Id="rId11" Type="http://schemas.openxmlformats.org/officeDocument/2006/relationships/hyperlink" Target="https://doi.org/10.1038/s41578-026-00928-0" TargetMode="External"/><Relationship Id="rId12" Type="http://schemas.openxmlformats.org/officeDocument/2006/relationships/hyperlink" Target="https://advanced.onlinelibrary.wiley.com/doi/10.1002/aenm.202506809?af=R" TargetMode="External"/><Relationship Id="rId13" Type="http://schemas.openxmlformats.org/officeDocument/2006/relationships/hyperlink" Target="https://doi.org/10.1002/aenm.202506809" TargetMode="External"/><Relationship Id="rId14" Type="http://schemas.openxmlformats.org/officeDocument/2006/relationships/hyperlink" Target="https://advanced.onlinelibrary.wiley.com/doi/10.1002/adma.73361?af=R" TargetMode="External"/><Relationship Id="rId15" Type="http://schemas.openxmlformats.org/officeDocument/2006/relationships/hyperlink" Target="https://doi.org/10.1002/adma.73361" TargetMode="External"/><Relationship Id="rId16" Type="http://schemas.openxmlformats.org/officeDocument/2006/relationships/hyperlink" Target="http://dx.doi.org/10.1021/acsenergylett.6c00785" TargetMode="External"/><Relationship Id="rId17" Type="http://schemas.openxmlformats.org/officeDocument/2006/relationships/hyperlink" Target="https://doi.org/10.1021/acsenergylett.6c00785" TargetMode="External"/><Relationship Id="rId18" Type="http://schemas.openxmlformats.org/officeDocument/2006/relationships/hyperlink" Target="http://dx.doi.org/10.1021/jacs.6c04176" TargetMode="External"/><Relationship Id="rId19" Type="http://schemas.openxmlformats.org/officeDocument/2006/relationships/hyperlink" Target="https://doi.org/10.1021/jacs.6c04176" TargetMode="External"/><Relationship Id="rId20" Type="http://schemas.openxmlformats.org/officeDocument/2006/relationships/hyperlink" Target="https://advanced.onlinelibrary.wiley.com/doi/10.1002/aenm.71067?af=R" TargetMode="External"/><Relationship Id="rId21" Type="http://schemas.openxmlformats.org/officeDocument/2006/relationships/hyperlink" Target="https://doi.org/10.1002/aenm.71067" TargetMode="External"/><Relationship Id="rId22" Type="http://schemas.openxmlformats.org/officeDocument/2006/relationships/hyperlink" Target="http://dx.doi.org/10.1021/acsenergylett.6c00457" TargetMode="External"/><Relationship Id="rId23" Type="http://schemas.openxmlformats.org/officeDocument/2006/relationships/hyperlink" Target="https://doi.org/10.1021/acsenergylett.6c00457" TargetMode="External"/><Relationship Id="rId24" Type="http://schemas.openxmlformats.org/officeDocument/2006/relationships/hyperlink" Target="http://dx.doi.org/10.1021/jacs.5c22943" TargetMode="External"/><Relationship Id="rId25" Type="http://schemas.openxmlformats.org/officeDocument/2006/relationships/hyperlink" Target="https://doi.org/10.1021/jacs.5c22943" TargetMode="External"/><Relationship Id="rId26" Type="http://schemas.openxmlformats.org/officeDocument/2006/relationships/hyperlink" Target="https://www.cell.com/matter/fulltext/S2590-2385(26)00186-4?rss=yes" TargetMode="External"/><Relationship Id="rId27" Type="http://schemas.openxmlformats.org/officeDocument/2006/relationships/hyperlink" Target="https://doi.org/10.1016/j.matt.2026.102823" TargetMode="External"/><Relationship Id="rId28" Type="http://schemas.openxmlformats.org/officeDocument/2006/relationships/hyperlink" Target="https://www.cell.com/joule/fulltext/S2542-4351(26)00167-4?rss=yes" TargetMode="External"/><Relationship Id="rId29" Type="http://schemas.openxmlformats.org/officeDocument/2006/relationships/hyperlink" Target="https://doi.org/10.1016/j.joule.2026.102483" TargetMode="External"/><Relationship Id="rId30" Type="http://schemas.openxmlformats.org/officeDocument/2006/relationships/hyperlink" Target="https://www.nature.com/articles/s41586-026-10626-0" TargetMode="External"/><Relationship Id="rId31" Type="http://schemas.openxmlformats.org/officeDocument/2006/relationships/hyperlink" Target="https://doi.org/10.1038/s41586-026-10626-0" TargetMode="External"/><Relationship Id="rId32" Type="http://schemas.openxmlformats.org/officeDocument/2006/relationships/hyperlink" Target="https://www.sciencedirect.com/science/article/pii/S0306261926006604?dgcid=rss_sd_all" TargetMode="External"/><Relationship Id="rId33" Type="http://schemas.openxmlformats.org/officeDocument/2006/relationships/hyperlink" Target="https://www.science.org/doi/abs/10.1126/science.aeb9953?af=R" TargetMode="External"/><Relationship Id="rId34" Type="http://schemas.openxmlformats.org/officeDocument/2006/relationships/hyperlink" Target="https://doi.org/10.1126/science.aeb9953" TargetMode="External"/><Relationship Id="rId35" Type="http://schemas.openxmlformats.org/officeDocument/2006/relationships/hyperlink" Target="http://dx.doi.org/10.1021/acsenergylett.6c00715" TargetMode="External"/><Relationship Id="rId36" Type="http://schemas.openxmlformats.org/officeDocument/2006/relationships/hyperlink" Target="https://doi.org/10.1021/acsenergylett.6c00715" TargetMode="External"/><Relationship Id="rId37" Type="http://schemas.openxmlformats.org/officeDocument/2006/relationships/hyperlink" Target="https://advanced.onlinelibrary.wiley.com/doi/10.1002/adma.73355?af=R" TargetMode="External"/><Relationship Id="rId38" Type="http://schemas.openxmlformats.org/officeDocument/2006/relationships/hyperlink" Target="https://doi.org/10.1002/adma.73355" TargetMode="External"/><Relationship Id="rId39" Type="http://schemas.openxmlformats.org/officeDocument/2006/relationships/hyperlink" Target="http://pubs.rsc.org/en/Content/ArticleLanding/2026/EE/D6EE00712K" TargetMode="External"/><Relationship Id="rId40" Type="http://schemas.openxmlformats.org/officeDocument/2006/relationships/hyperlink" Target="https://advanced.onlinelibrary.wiley.com/doi/10.1002/aenm.71014?af=R" TargetMode="External"/><Relationship Id="rId41" Type="http://schemas.openxmlformats.org/officeDocument/2006/relationships/hyperlink" Target="https://doi.org/10.1002/aenm.71014" TargetMode="External"/><Relationship Id="rId42" Type="http://schemas.openxmlformats.org/officeDocument/2006/relationships/hyperlink" Target="https://advanced.onlinelibrary.wiley.com/doi/10.1002/aenm.71062?af=R" TargetMode="External"/><Relationship Id="rId43" Type="http://schemas.openxmlformats.org/officeDocument/2006/relationships/hyperlink" Target="https://doi.org/10.1002/aenm.71062" TargetMode="External"/><Relationship Id="rId44" Type="http://schemas.openxmlformats.org/officeDocument/2006/relationships/hyperlink" Target="https://advanced.onlinelibrary.wiley.com/doi/10.1002/aenm.71063?af=R" TargetMode="External"/><Relationship Id="rId45" Type="http://schemas.openxmlformats.org/officeDocument/2006/relationships/hyperlink" Target="https://doi.org/10.1002/aenm.71063" TargetMode="External"/><Relationship Id="rId46" Type="http://schemas.openxmlformats.org/officeDocument/2006/relationships/hyperlink" Target="http://pubs.rsc.org/en/Content/ArticleLanding/2026/EE/D6EE01393G" TargetMode="External"/><Relationship Id="rId47" Type="http://schemas.openxmlformats.org/officeDocument/2006/relationships/hyperlink" Target="http://pubs.rsc.org/en/Content/ArticleLanding/2026/EE/D6EE00273K" TargetMode="External"/><Relationship Id="rId48" Type="http://schemas.openxmlformats.org/officeDocument/2006/relationships/hyperlink" Target="https://www.nature.com/articles/s41560-026-02059-w" TargetMode="External"/><Relationship Id="rId49" Type="http://schemas.openxmlformats.org/officeDocument/2006/relationships/hyperlink" Target="https://doi.org/10.1038/s41560-026-02059-w" TargetMode="External"/><Relationship Id="rId50" Type="http://schemas.openxmlformats.org/officeDocument/2006/relationships/hyperlink" Target="https://advanced.onlinelibrary.wiley.com/doi/10.1002/adma.73339?af=R" TargetMode="External"/><Relationship Id="rId51" Type="http://schemas.openxmlformats.org/officeDocument/2006/relationships/hyperlink" Target="https://doi.org/10.1002/adma.73339" TargetMode="External"/><Relationship Id="rId52" Type="http://schemas.openxmlformats.org/officeDocument/2006/relationships/hyperlink" Target="http://pubs.rsc.org/en/Content/ArticleLanding/2026/EE/D6EE00713A" TargetMode="External"/><Relationship Id="rId53" Type="http://schemas.openxmlformats.org/officeDocument/2006/relationships/hyperlink" Target="https://advanced.onlinelibrary.wiley.com/doi/10.1002/adma.202520981?af=R" TargetMode="External"/><Relationship Id="rId54" Type="http://schemas.openxmlformats.org/officeDocument/2006/relationships/hyperlink" Target="https://doi.org/10.1002/adma.202520981" TargetMode="External"/><Relationship Id="rId55" Type="http://schemas.openxmlformats.org/officeDocument/2006/relationships/hyperlink" Target="http://pubs.rsc.org/en/Content/ArticleLanding/2026/EE/D5EE07525D" TargetMode="External"/><Relationship Id="rId56" Type="http://schemas.openxmlformats.org/officeDocument/2006/relationships/hyperlink" Target="https://www.cell.com/joule/fulltext/S2542-4351(26)00158-3?rss=yes" TargetMode="External"/><Relationship Id="rId57" Type="http://schemas.openxmlformats.org/officeDocument/2006/relationships/hyperlink" Target="https://doi.org/10.1016/j.joule.2026.102474" TargetMode="External"/><Relationship Id="rId58" Type="http://schemas.openxmlformats.org/officeDocument/2006/relationships/hyperlink" Target="https://advanced.onlinelibrary.wiley.com/doi/10.1002/aenm.71044?af=R" TargetMode="External"/><Relationship Id="rId59" Type="http://schemas.openxmlformats.org/officeDocument/2006/relationships/hyperlink" Target="https://doi.org/10.1002/aenm.71044" TargetMode="External"/><Relationship Id="rId60" Type="http://schemas.openxmlformats.org/officeDocument/2006/relationships/hyperlink" Target="https://chemistry-europe.onlinelibrary.wiley.com/doi/10.1002/anie.4368463?af=R" TargetMode="External"/><Relationship Id="rId61" Type="http://schemas.openxmlformats.org/officeDocument/2006/relationships/hyperlink" Target="https://doi.org/10.1002/anie.4368463" TargetMode="External"/><Relationship Id="rId62" Type="http://schemas.openxmlformats.org/officeDocument/2006/relationships/hyperlink" Target="https://advanced.onlinelibrary.wiley.com/doi/10.1002/aenm.71056?af=R" TargetMode="External"/><Relationship Id="rId63" Type="http://schemas.openxmlformats.org/officeDocument/2006/relationships/hyperlink" Target="https://doi.org/10.1002/aenm.71056" TargetMode="External"/><Relationship Id="rId64" Type="http://schemas.openxmlformats.org/officeDocument/2006/relationships/hyperlink" Target="https://advanced.onlinelibrary.wiley.com/doi/10.1002/aenm.71065?af=R" TargetMode="External"/><Relationship Id="rId65" Type="http://schemas.openxmlformats.org/officeDocument/2006/relationships/hyperlink" Target="https://doi.org/10.1002/aenm.71065" TargetMode="External"/><Relationship Id="rId66" Type="http://schemas.openxmlformats.org/officeDocument/2006/relationships/hyperlink" Target="https://onlinelibrary.wiley.com/doi/10.1002/anie.5367305?af=R" TargetMode="External"/><Relationship Id="rId67" Type="http://schemas.openxmlformats.org/officeDocument/2006/relationships/hyperlink" Target="https://doi.org/10.1002/anie.5367305" TargetMode="External"/><Relationship Id="rId68" Type="http://schemas.openxmlformats.org/officeDocument/2006/relationships/hyperlink" Target="https://advanced.onlinelibrary.wiley.com/doi/10.1002/adma.73343?af=R" TargetMode="External"/><Relationship Id="rId69" Type="http://schemas.openxmlformats.org/officeDocument/2006/relationships/hyperlink" Target="https://doi.org/10.1002/adma.73343" TargetMode="External"/><Relationship Id="rId70" Type="http://schemas.openxmlformats.org/officeDocument/2006/relationships/hyperlink" Target="http://pubs.rsc.org/en/Content/ArticleLanding/2026/EE/D6EE01319H" TargetMode="External"/><Relationship Id="rId71" Type="http://schemas.openxmlformats.org/officeDocument/2006/relationships/hyperlink" Target="https://advanced.onlinelibrary.wiley.com/doi/10.1002/aenm.71064?af=R" TargetMode="External"/><Relationship Id="rId72" Type="http://schemas.openxmlformats.org/officeDocument/2006/relationships/hyperlink" Target="https://doi.org/10.1002/aenm.71064" TargetMode="External"/><Relationship Id="rId73" Type="http://schemas.openxmlformats.org/officeDocument/2006/relationships/hyperlink" Target="https://advanced.onlinelibrary.wiley.com/doi/10.1002/adma.202522328?af=R" TargetMode="External"/><Relationship Id="rId74" Type="http://schemas.openxmlformats.org/officeDocument/2006/relationships/hyperlink" Target="https://doi.org/10.1002/adma.202522328" TargetMode="External"/><Relationship Id="rId75" Type="http://schemas.openxmlformats.org/officeDocument/2006/relationships/hyperlink" Target="http://dx.doi.org/10.1021/acsenergylett.6c00968" TargetMode="External"/><Relationship Id="rId76" Type="http://schemas.openxmlformats.org/officeDocument/2006/relationships/hyperlink" Target="https://doi.org/10.1021/acsenergylett.6c00968" TargetMode="External"/><Relationship Id="rId77" Type="http://schemas.openxmlformats.org/officeDocument/2006/relationships/hyperlink" Target="https://academic.oup.com/nsr/advance-article/doi/10.1093/nsr/nwag268/8675043?rss=1" TargetMode="External"/><Relationship Id="rId78" Type="http://schemas.openxmlformats.org/officeDocument/2006/relationships/hyperlink" Target="https://doi.org/10.1093/nsr/nwag268" TargetMode="External"/><Relationship Id="rId79" Type="http://schemas.openxmlformats.org/officeDocument/2006/relationships/hyperlink" Target="http://dx.doi.org/10.1021/acsenergylett.6c00911" TargetMode="External"/><Relationship Id="rId80" Type="http://schemas.openxmlformats.org/officeDocument/2006/relationships/hyperlink" Target="https://doi.org/10.1021/acsenergylett.6c00911" TargetMode="External"/><Relationship Id="rId81" Type="http://schemas.openxmlformats.org/officeDocument/2006/relationships/hyperlink" Target="http://pubs.rsc.org/en/Content/ArticleLanding/2026/EE/D6EE00044D" TargetMode="External"/><Relationship Id="rId82" Type="http://schemas.openxmlformats.org/officeDocument/2006/relationships/hyperlink" Target="https://advanced.onlinelibrary.wiley.com/doi/10.1002/aenm.71061?af=R" TargetMode="External"/><Relationship Id="rId83" Type="http://schemas.openxmlformats.org/officeDocument/2006/relationships/hyperlink" Target="https://doi.org/10.1002/aenm.71061" TargetMode="External"/><Relationship Id="rId84" Type="http://schemas.openxmlformats.org/officeDocument/2006/relationships/hyperlink" Target="https://advanced.onlinelibrary.wiley.com/doi/10.1002/aenm.71053?af=R" TargetMode="External"/><Relationship Id="rId85" Type="http://schemas.openxmlformats.org/officeDocument/2006/relationships/hyperlink" Target="https://doi.org/10.1002/aenm.71053" TargetMode="External"/><Relationship Id="rId86" Type="http://schemas.openxmlformats.org/officeDocument/2006/relationships/hyperlink" Target="https://advanced.onlinelibrary.wiley.com/doi/10.1002/adma.73342?af=R" TargetMode="External"/><Relationship Id="rId87" Type="http://schemas.openxmlformats.org/officeDocument/2006/relationships/hyperlink" Target="https://doi.org/10.1002/adma.73342" TargetMode="External"/><Relationship Id="rId88" Type="http://schemas.openxmlformats.org/officeDocument/2006/relationships/hyperlink" Target="https://chemistry-europe.onlinelibrary.wiley.com/doi/10.1002/anie.1261984?af=R" TargetMode="External"/><Relationship Id="rId89" Type="http://schemas.openxmlformats.org/officeDocument/2006/relationships/hyperlink" Target="https://doi.org/10.1002/anie.1261984" TargetMode="External"/><Relationship Id="rId90" Type="http://schemas.openxmlformats.org/officeDocument/2006/relationships/hyperlink" Target="https://advanced.onlinelibrary.wiley.com/doi/10.1002/adma.202521350?af=R" TargetMode="External"/><Relationship Id="rId91" Type="http://schemas.openxmlformats.org/officeDocument/2006/relationships/hyperlink" Target="https://doi.org/10.1002/adma.202521350" TargetMode="External"/><Relationship Id="rId92" Type="http://schemas.openxmlformats.org/officeDocument/2006/relationships/hyperlink" Target="https://advanced.onlinelibrary.wiley.com/doi/10.1002/aenm.71071?af=R" TargetMode="External"/><Relationship Id="rId93" Type="http://schemas.openxmlformats.org/officeDocument/2006/relationships/hyperlink" Target="https://doi.org/10.1002/aenm.71071" TargetMode="External"/><Relationship Id="rId94" Type="http://schemas.openxmlformats.org/officeDocument/2006/relationships/hyperlink" Target="https://advanced.onlinelibrary.wiley.com/doi/10.1002/adma.73311?af=R" TargetMode="External"/><Relationship Id="rId95" Type="http://schemas.openxmlformats.org/officeDocument/2006/relationships/hyperlink" Target="https://doi.org/10.1002/adma.73311" TargetMode="External"/><Relationship Id="rId96" Type="http://schemas.openxmlformats.org/officeDocument/2006/relationships/hyperlink" Target="https://www.nature.com/articles/s41565-026-02167-4" TargetMode="External"/><Relationship Id="rId97" Type="http://schemas.openxmlformats.org/officeDocument/2006/relationships/hyperlink" Target="https://doi.org/10.1038/s41565-026-02167-4" TargetMode="External"/><Relationship Id="rId98" Type="http://schemas.openxmlformats.org/officeDocument/2006/relationships/hyperlink" Target="https://advanced.onlinelibrary.wiley.com/doi/10.1002/adma.73323?af=R" TargetMode="External"/><Relationship Id="rId99" Type="http://schemas.openxmlformats.org/officeDocument/2006/relationships/hyperlink" Target="https://doi.org/10.1002/adma.73323" TargetMode="External"/><Relationship Id="rId100" Type="http://schemas.openxmlformats.org/officeDocument/2006/relationships/hyperlink" Target="https://advanced.onlinelibrary.wiley.com/doi/10.1002/adma.73375?af=R" TargetMode="External"/><Relationship Id="rId101" Type="http://schemas.openxmlformats.org/officeDocument/2006/relationships/hyperlink" Target="https://doi.org/10.1002/adma.73375" TargetMode="External"/><Relationship Id="rId102" Type="http://schemas.openxmlformats.org/officeDocument/2006/relationships/hyperlink" Target="https://advanced.onlinelibrary.wiley.com/doi/10.1002/adma.73359?af=R" TargetMode="External"/><Relationship Id="rId103" Type="http://schemas.openxmlformats.org/officeDocument/2006/relationships/hyperlink" Target="https://doi.org/10.1002/adma.73359" TargetMode="External"/><Relationship Id="rId104" Type="http://schemas.openxmlformats.org/officeDocument/2006/relationships/hyperlink" Target="https://onlinelibrary.wiley.com/doi/10.1002/anie.4082977?af=R" TargetMode="External"/><Relationship Id="rId105" Type="http://schemas.openxmlformats.org/officeDocument/2006/relationships/hyperlink" Target="https://doi.org/10.1002/anie.4082977" TargetMode="External"/><Relationship Id="rId106" Type="http://schemas.openxmlformats.org/officeDocument/2006/relationships/hyperlink" Target="https://onlinelibrary.wiley.com/doi/10.1002/anie.8115835?af=R" TargetMode="External"/><Relationship Id="rId107" Type="http://schemas.openxmlformats.org/officeDocument/2006/relationships/hyperlink" Target="https://doi.org/10.1002/anie.8115835" TargetMode="External"/><Relationship Id="rId108" Type="http://schemas.openxmlformats.org/officeDocument/2006/relationships/hyperlink" Target="https://www.nature.com/articles/s41467-026-73012-4" TargetMode="External"/><Relationship Id="rId109" Type="http://schemas.openxmlformats.org/officeDocument/2006/relationships/hyperlink" Target="https://doi.org/10.1038/s41467-026-73012-4" TargetMode="External"/><Relationship Id="rId110" Type="http://schemas.openxmlformats.org/officeDocument/2006/relationships/hyperlink" Target="http://dx.doi.org/10.1021/acsenergylett.6c00991" TargetMode="External"/><Relationship Id="rId111" Type="http://schemas.openxmlformats.org/officeDocument/2006/relationships/hyperlink" Target="https://doi.org/10.1021/acsenergylett.6c00991" TargetMode="External"/><Relationship Id="rId112" Type="http://schemas.openxmlformats.org/officeDocument/2006/relationships/hyperlink" Target="https://www.sciencedirect.com/science/article/pii/S0306261926006884?dgcid=rss_sd_all" TargetMode="External"/><Relationship Id="rId113" Type="http://schemas.openxmlformats.org/officeDocument/2006/relationships/hyperlink" Target="http://pubs.rsc.org/en/Content/ArticleLanding/2026/EE/D6EE02149B" TargetMode="External"/><Relationship Id="rId114" Type="http://schemas.openxmlformats.org/officeDocument/2006/relationships/hyperlink" Target="https://www.sciencedirect.com/science/article/pii/S0306261926006677?dgcid=rss_sd_all" TargetMode="External"/><Relationship Id="rId115" Type="http://schemas.openxmlformats.org/officeDocument/2006/relationships/hyperlink" Target="https://www.sciencedirect.com/science/article/pii/S0306261926006598?dgcid=rss_sd_all" TargetMode="External"/><Relationship Id="rId116" Type="http://schemas.openxmlformats.org/officeDocument/2006/relationships/hyperlink" Target="https://advanced.onlinelibrary.wiley.com/doi/10.1002/adma.73340?af=R" TargetMode="External"/><Relationship Id="rId117" Type="http://schemas.openxmlformats.org/officeDocument/2006/relationships/hyperlink" Target="https://doi.org/10.1002/adma.73340" TargetMode="External"/><Relationship Id="rId118" Type="http://schemas.openxmlformats.org/officeDocument/2006/relationships/hyperlink" Target="https://advanced.onlinelibrary.wiley.com/doi/10.1002/adma.73352?af=R" TargetMode="External"/><Relationship Id="rId119" Type="http://schemas.openxmlformats.org/officeDocument/2006/relationships/hyperlink" Target="https://doi.org/10.1002/adma.73352" TargetMode="External"/><Relationship Id="rId120" Type="http://schemas.openxmlformats.org/officeDocument/2006/relationships/hyperlink" Target="https://onlinelibrary.wiley.com/doi/10.1002/anie.6160285?af=R" TargetMode="External"/><Relationship Id="rId121" Type="http://schemas.openxmlformats.org/officeDocument/2006/relationships/hyperlink" Target="https://doi.org/10.1002/anie.6160285" TargetMode="External"/><Relationship Id="rId122" Type="http://schemas.openxmlformats.org/officeDocument/2006/relationships/hyperlink" Target="https://www.sciencedirect.com/science/article/pii/S0306261926006008?dgcid=rss_sd_all" TargetMode="External"/><Relationship Id="rId123" Type="http://schemas.openxmlformats.org/officeDocument/2006/relationships/hyperlink" Target="https://chemistry-europe.onlinelibrary.wiley.com/doi/10.1002/anie.1677991?af=R" TargetMode="External"/><Relationship Id="rId124" Type="http://schemas.openxmlformats.org/officeDocument/2006/relationships/hyperlink" Target="https://doi.org/10.1002/anie.1677991" TargetMode="External"/><Relationship Id="rId125" Type="http://schemas.openxmlformats.org/officeDocument/2006/relationships/hyperlink" Target="https://www.cell.com/joule/fulltext/S2542-4351(26)00159-5?rss=yes" TargetMode="External"/><Relationship Id="rId126" Type="http://schemas.openxmlformats.org/officeDocument/2006/relationships/hyperlink" Target="https://doi.org/10.1016/j.joule.2026.102475" TargetMode="External"/><Relationship Id="rId127" Type="http://schemas.openxmlformats.org/officeDocument/2006/relationships/hyperlink" Target="https://www.sciencedirect.com/science/article/pii/S0306261926005556?dgcid=rss_sd_all" TargetMode="External"/><Relationship Id="rId128" Type="http://schemas.openxmlformats.org/officeDocument/2006/relationships/hyperlink" Target="https://advanced.onlinelibrary.wiley.com/doi/10.1002/adma.202521765?af=R" TargetMode="External"/><Relationship Id="rId129" Type="http://schemas.openxmlformats.org/officeDocument/2006/relationships/hyperlink" Target="https://doi.org/10.1002/adma.202521765" TargetMode="External"/><Relationship Id="rId130" Type="http://schemas.openxmlformats.org/officeDocument/2006/relationships/hyperlink" Target="https://www.nature.com/articles/s41893-026-01826-7" TargetMode="External"/><Relationship Id="rId131" Type="http://schemas.openxmlformats.org/officeDocument/2006/relationships/hyperlink" Target="https://doi.org/10.1038/s41893-026-01826-7" TargetMode="External"/><Relationship Id="rId132" Type="http://schemas.openxmlformats.org/officeDocument/2006/relationships/hyperlink" Target="https://academic.oup.com/nsr/advance-article/doi/10.1093/nsr/nwag283/8678199?rss=1" TargetMode="External"/><Relationship Id="rId133" Type="http://schemas.openxmlformats.org/officeDocument/2006/relationships/hyperlink" Target="https://doi.org/10.1093/nsr/nwag283" TargetMode="External"/><Relationship Id="rId134" Type="http://schemas.openxmlformats.org/officeDocument/2006/relationships/hyperlink" Target="https://www.sciencedirect.com/science/article/pii/S0306261926006458?dgcid=rss_sd_all" TargetMode="External"/><Relationship Id="rId135" Type="http://schemas.openxmlformats.org/officeDocument/2006/relationships/hyperlink" Target="https://www.sciencedirect.com/science/article/pii/S0301421526002296?dgcid=rss_sd_all" TargetMode="External"/><Relationship Id="rId136" Type="http://schemas.openxmlformats.org/officeDocument/2006/relationships/hyperlink" Target="https://www.sciencedirect.com/science/article/pii/S0301421526002314?dgcid=rss_sd_all" TargetMode="External"/><Relationship Id="rId137" Type="http://schemas.openxmlformats.org/officeDocument/2006/relationships/hyperlink" Target="https://www.sciencedirect.com/science/article/pii/S0306261926005490?dgcid=rss_sd_all" TargetMode="External"/><Relationship Id="rId138" Type="http://schemas.openxmlformats.org/officeDocument/2006/relationships/hyperlink" Target="https://www.sciencedirect.com/science/article/pii/S0306261926006380?dgcid=rss_sd_all" TargetMode="External"/><Relationship Id="rId139" Type="http://schemas.openxmlformats.org/officeDocument/2006/relationships/hyperlink" Target="https://www.sciencedirect.com/science/article/pii/S0306261926006021?dgcid=rss_sd_all" TargetMode="External"/><Relationship Id="rId140" Type="http://schemas.openxmlformats.org/officeDocument/2006/relationships/hyperlink" Target="https://www.sciencedirect.com/science/article/pii/S0301421526002302?dgcid=rss_sd_all" TargetMode="External"/><Relationship Id="rId141" Type="http://schemas.openxmlformats.org/officeDocument/2006/relationships/hyperlink" Target="https://onlinelibrary.wiley.com/doi/10.1002/anie.7140350?af=R" TargetMode="External"/><Relationship Id="rId142" Type="http://schemas.openxmlformats.org/officeDocument/2006/relationships/hyperlink" Target="https://doi.org/10.1002/anie.7140350" TargetMode="External"/><Relationship Id="rId143" Type="http://schemas.openxmlformats.org/officeDocument/2006/relationships/hyperlink" Target="https://www.sciencedirect.com/science/article/pii/S0306261926006586?dgcid=rss_sd_all" TargetMode="External"/><Relationship Id="rId144" Type="http://schemas.openxmlformats.org/officeDocument/2006/relationships/hyperlink" Target="https://chemistry-europe.onlinelibrary.wiley.com/doi/10.1002/anie.9919505?af=R" TargetMode="External"/><Relationship Id="rId145" Type="http://schemas.openxmlformats.org/officeDocument/2006/relationships/hyperlink" Target="https://doi.org/10.1002/anie.9919505" TargetMode="External"/><Relationship Id="rId146" Type="http://schemas.openxmlformats.org/officeDocument/2006/relationships/hyperlink" Target="https://onlinelibrary.wiley.com/doi/10.1002/anie.6627945?af=R" TargetMode="External"/><Relationship Id="rId147" Type="http://schemas.openxmlformats.org/officeDocument/2006/relationships/hyperlink" Target="https://doi.org/10.1002/anie.6627945" TargetMode="External"/><Relationship Id="rId148" Type="http://schemas.openxmlformats.org/officeDocument/2006/relationships/hyperlink" Target="https://onlinelibrary.wiley.com/doi/10.1002/anie.202520295?af=R" TargetMode="External"/><Relationship Id="rId149" Type="http://schemas.openxmlformats.org/officeDocument/2006/relationships/hyperlink" Target="https://doi.org/10.1002/anie.202520295" TargetMode="External"/><Relationship Id="rId150" Type="http://schemas.openxmlformats.org/officeDocument/2006/relationships/hyperlink" Target="http://dx.doi.org/10.1021/jacs.6c01469" TargetMode="External"/><Relationship Id="rId151" Type="http://schemas.openxmlformats.org/officeDocument/2006/relationships/hyperlink" Target="https://doi.org/10.1021/jacs.6c01469" TargetMode="External"/><Relationship Id="rId152" Type="http://schemas.openxmlformats.org/officeDocument/2006/relationships/hyperlink" Target="https://www.pnas.org/doi/abs/10.1073/pnas.2537982123?mi=eymic2&amp;af=R&amp;access=on&amp;content=articlesChapters&amp;publication=pnas&amp;sortBy=Earliest&amp;target=default" TargetMode="External"/><Relationship Id="rId153" Type="http://schemas.openxmlformats.org/officeDocument/2006/relationships/hyperlink" Target="https://doi.org/10.1073/pnas.2537982123" TargetMode="External"/><Relationship Id="rId154" Type="http://schemas.openxmlformats.org/officeDocument/2006/relationships/hyperlink" Target="https://advanced.onlinelibrary.wiley.com/doi/10.1002/aenm.71076?af=R" TargetMode="External"/><Relationship Id="rId155" Type="http://schemas.openxmlformats.org/officeDocument/2006/relationships/hyperlink" Target="https://doi.org/10.1002/aenm.71076" TargetMode="External"/><Relationship Id="rId156" Type="http://schemas.openxmlformats.org/officeDocument/2006/relationships/hyperlink" Target="https://advanced.onlinelibrary.wiley.com/doi/10.1002/aenm.70881?af=R" TargetMode="External"/><Relationship Id="rId157" Type="http://schemas.openxmlformats.org/officeDocument/2006/relationships/hyperlink" Target="https://doi.org/10.1002/aenm.70881" TargetMode="External"/><Relationship Id="rId158" Type="http://schemas.openxmlformats.org/officeDocument/2006/relationships/hyperlink" Target="https://onlinelibrary.wiley.com/doi/10.1002/anie.9988326?af=R" TargetMode="External"/><Relationship Id="rId159" Type="http://schemas.openxmlformats.org/officeDocument/2006/relationships/hyperlink" Target="https://doi.org/10.1002/anie.9988326" TargetMode="External"/><Relationship Id="rId160" Type="http://schemas.openxmlformats.org/officeDocument/2006/relationships/hyperlink" Target="https://onlinelibrary.wiley.com/doi/10.1002/anie.8549669?af=R" TargetMode="External"/><Relationship Id="rId161" Type="http://schemas.openxmlformats.org/officeDocument/2006/relationships/hyperlink" Target="https://doi.org/10.1002/anie.8549669" TargetMode="External"/><Relationship Id="rId162" Type="http://schemas.openxmlformats.org/officeDocument/2006/relationships/hyperlink" Target="http://dx.doi.org/10.1021/jacs.6c04124" TargetMode="External"/><Relationship Id="rId163" Type="http://schemas.openxmlformats.org/officeDocument/2006/relationships/hyperlink" Target="https://doi.org/10.1021/jacs.6c04124" TargetMode="External"/><Relationship Id="rId164" Type="http://schemas.openxmlformats.org/officeDocument/2006/relationships/hyperlink" Target="https://www.cell.com/joule/fulltext/S2542-4351(26)00148-0?rss=yes" TargetMode="External"/><Relationship Id="rId165" Type="http://schemas.openxmlformats.org/officeDocument/2006/relationships/hyperlink" Target="https://doi.org/10.1016/j.joule.2026.102464" TargetMode="External"/><Relationship Id="rId166" Type="http://schemas.openxmlformats.org/officeDocument/2006/relationships/hyperlink" Target="https://www.nature.com/articles/s41467-026-72950-3" TargetMode="External"/><Relationship Id="rId167" Type="http://schemas.openxmlformats.org/officeDocument/2006/relationships/hyperlink" Target="https://doi.org/10.1038/s41467-026-72950-3" TargetMode="External"/><Relationship Id="rId168" Type="http://schemas.openxmlformats.org/officeDocument/2006/relationships/hyperlink" Target="https://www.sciencedirect.com/science/article/pii/S0306261926006422?dgcid=rss_sd_all" TargetMode="External"/><Relationship Id="rId169" Type="http://schemas.openxmlformats.org/officeDocument/2006/relationships/hyperlink" Target="https://advanced.onlinelibrary.wiley.com/doi/10.1002/aenm.71030?af=R" TargetMode="External"/><Relationship Id="rId170" Type="http://schemas.openxmlformats.org/officeDocument/2006/relationships/hyperlink" Target="https://doi.org/10.1002/aenm.71030" TargetMode="External"/><Relationship Id="rId171" Type="http://schemas.openxmlformats.org/officeDocument/2006/relationships/hyperlink" Target="http://dx.doi.org/10.1021/acsenergylett.5c04150" TargetMode="External"/><Relationship Id="rId172" Type="http://schemas.openxmlformats.org/officeDocument/2006/relationships/hyperlink" Target="https://doi.org/10.1021/acsenergylett.5c04150" TargetMode="External"/><Relationship Id="rId173" Type="http://schemas.openxmlformats.org/officeDocument/2006/relationships/hyperlink" Target="https://www.sciencedirect.com/science/article/pii/S0301421526003071?dgcid=rss_sd_all" TargetMode="External"/><Relationship Id="rId174" Type="http://schemas.openxmlformats.org/officeDocument/2006/relationships/hyperlink" Target="https://www.sciencedirect.com/science/article/pii/S0306261926005969?dgcid=rss_sd_all" TargetMode="External"/><Relationship Id="rId175" Type="http://schemas.openxmlformats.org/officeDocument/2006/relationships/hyperlink" Target="https://advanced.onlinelibrary.wiley.com/doi/10.1002/adma.73300?af=R" TargetMode="External"/><Relationship Id="rId176" Type="http://schemas.openxmlformats.org/officeDocument/2006/relationships/hyperlink" Target="https://doi.org/10.1002/adma.73300" TargetMode="External"/><Relationship Id="rId177" Type="http://schemas.openxmlformats.org/officeDocument/2006/relationships/hyperlink" Target="http://dx.doi.org/10.1021/jacs.6c02733" TargetMode="External"/><Relationship Id="rId178" Type="http://schemas.openxmlformats.org/officeDocument/2006/relationships/hyperlink" Target="https://doi.org/10.1021/jacs.6c02733" TargetMode="External"/><Relationship Id="rId179" Type="http://schemas.openxmlformats.org/officeDocument/2006/relationships/hyperlink" Target="https://onlinelibrary.wiley.com/doi/10.1002/anie.6306355?af=R" TargetMode="External"/><Relationship Id="rId180" Type="http://schemas.openxmlformats.org/officeDocument/2006/relationships/hyperlink" Target="https://doi.org/10.1002/anie.6306355" TargetMode="External"/><Relationship Id="rId181" Type="http://schemas.openxmlformats.org/officeDocument/2006/relationships/hyperlink" Target="https://www.sciencedirect.com/science/article/pii/S0301421526002983?dgcid=rss_sd_all" TargetMode="External"/><Relationship Id="rId182" Type="http://schemas.openxmlformats.org/officeDocument/2006/relationships/hyperlink" Target="https://chemistry-europe.onlinelibrary.wiley.com/doi/10.1002/anie.3290876?af=R" TargetMode="External"/><Relationship Id="rId183" Type="http://schemas.openxmlformats.org/officeDocument/2006/relationships/hyperlink" Target="https://doi.org/10.1002/anie.3290876" TargetMode="External"/><Relationship Id="rId184" Type="http://schemas.openxmlformats.org/officeDocument/2006/relationships/hyperlink" Target="https://chemistry-europe.onlinelibrary.wiley.com/doi/10.1002/anie.9130890?af=R" TargetMode="External"/><Relationship Id="rId185" Type="http://schemas.openxmlformats.org/officeDocument/2006/relationships/hyperlink" Target="https://doi.org/10.1002/anie.9130890" TargetMode="External"/><Relationship Id="rId186" Type="http://schemas.openxmlformats.org/officeDocument/2006/relationships/hyperlink" Target="https://chemistry-europe.onlinelibrary.wiley.com/doi/10.1002/anie.7481604?af=R" TargetMode="External"/><Relationship Id="rId187" Type="http://schemas.openxmlformats.org/officeDocument/2006/relationships/hyperlink" Target="https://doi.org/10.1002/anie.7481604" TargetMode="External"/><Relationship Id="rId188" Type="http://schemas.openxmlformats.org/officeDocument/2006/relationships/hyperlink" Target="https://onlinelibrary.wiley.com/doi/10.1002/anie.2577753?af=R" TargetMode="External"/><Relationship Id="rId189" Type="http://schemas.openxmlformats.org/officeDocument/2006/relationships/hyperlink" Target="https://doi.org/10.1002/anie.2577753" TargetMode="External"/><Relationship Id="rId190" Type="http://schemas.openxmlformats.org/officeDocument/2006/relationships/hyperlink" Target="https://onlinelibrary.wiley.com/doi/10.1002/anie.8811376?af=R" TargetMode="External"/><Relationship Id="rId191" Type="http://schemas.openxmlformats.org/officeDocument/2006/relationships/hyperlink" Target="https://doi.org/10.1002/anie.8811376" TargetMode="External"/><Relationship Id="rId192" Type="http://schemas.openxmlformats.org/officeDocument/2006/relationships/hyperlink" Target="https://www.science.org/doi/abs/10.1126/sciadv.aed8640?af=R" TargetMode="External"/><Relationship Id="rId193" Type="http://schemas.openxmlformats.org/officeDocument/2006/relationships/hyperlink" Target="https://doi.org/10.1126/sciadv.aed8640" TargetMode="External"/><Relationship Id="rId194" Type="http://schemas.openxmlformats.org/officeDocument/2006/relationships/hyperlink" Target="https://www.science.org/doi/abs/10.1126/sciadv.aea2538?af=R" TargetMode="External"/><Relationship Id="rId195" Type="http://schemas.openxmlformats.org/officeDocument/2006/relationships/hyperlink" Target="https://doi.org/10.1126/sciadv.aea2538" TargetMode="External"/><Relationship Id="rId196" Type="http://schemas.openxmlformats.org/officeDocument/2006/relationships/hyperlink" Target="http://dx.doi.org/10.1021/acs.chemrev.5c00513" TargetMode="External"/><Relationship Id="rId197" Type="http://schemas.openxmlformats.org/officeDocument/2006/relationships/hyperlink" Target="https://doi.org/10.1021/acs.chemrev.5c00513" TargetMode="External"/><Relationship Id="rId198" Type="http://schemas.openxmlformats.org/officeDocument/2006/relationships/hyperlink" Target="http://dx.doi.org/10.1021/jacs.6c03975" TargetMode="External"/><Relationship Id="rId199" Type="http://schemas.openxmlformats.org/officeDocument/2006/relationships/hyperlink" Target="https://doi.org/10.1021/jacs.6c03975" TargetMode="External"/><Relationship Id="rId200" Type="http://schemas.openxmlformats.org/officeDocument/2006/relationships/hyperlink" Target="http://pubs.rsc.org/en/Content/ArticleLanding/2026/EE/D6EE01132B" TargetMode="External"/><Relationship Id="rId201" Type="http://schemas.openxmlformats.org/officeDocument/2006/relationships/hyperlink" Target="https://www.nature.com/articles/s44286-026-00393-0" TargetMode="External"/><Relationship Id="rId202" Type="http://schemas.openxmlformats.org/officeDocument/2006/relationships/hyperlink" Target="https://doi.org/10.1038/s44286-026-00393-0" TargetMode="External"/><Relationship Id="rId203" Type="http://schemas.openxmlformats.org/officeDocument/2006/relationships/hyperlink" Target="https://academic.oup.com/nsr/advance-article/doi/10.1093/nsr/nwag266/8678209?rss=1" TargetMode="External"/><Relationship Id="rId204" Type="http://schemas.openxmlformats.org/officeDocument/2006/relationships/hyperlink" Target="https://doi.org/10.1093/nsr/nwag266" TargetMode="External"/><Relationship Id="rId205" Type="http://schemas.openxmlformats.org/officeDocument/2006/relationships/hyperlink" Target="http://pubs.rsc.org/en/Content/ArticleLanding/2026/EE/D5EE07522J" TargetMode="External"/><Relationship Id="rId206" Type="http://schemas.openxmlformats.org/officeDocument/2006/relationships/hyperlink" Target="https://www.nature.com/articles/s41893-026-01832-9" TargetMode="External"/><Relationship Id="rId207" Type="http://schemas.openxmlformats.org/officeDocument/2006/relationships/hyperlink" Target="https://doi.org/10.1038/s41893-026-01832-9" TargetMode="External"/><Relationship Id="rId208" Type="http://schemas.openxmlformats.org/officeDocument/2006/relationships/hyperlink" Target="https://advanced.onlinelibrary.wiley.com/doi/10.1002/adma.202521912?af=R" TargetMode="External"/><Relationship Id="rId209" Type="http://schemas.openxmlformats.org/officeDocument/2006/relationships/hyperlink" Target="https://doi.org/10.1002/adma.202521912" TargetMode="External"/><Relationship Id="rId210" Type="http://schemas.openxmlformats.org/officeDocument/2006/relationships/hyperlink" Target="https://www.science.org/doi/abs/10.1126/sciadv.aec1418?af=R" TargetMode="External"/><Relationship Id="rId211" Type="http://schemas.openxmlformats.org/officeDocument/2006/relationships/hyperlink" Target="https://doi.org/10.1126/sciadv.aec1418" TargetMode="External"/><Relationship Id="rId212" Type="http://schemas.openxmlformats.org/officeDocument/2006/relationships/hyperlink" Target="https://www.sciencedirect.com/science/article/pii/S0306261926005970?dgcid=rss_sd_all" TargetMode="External"/><Relationship Id="rId213" Type="http://schemas.openxmlformats.org/officeDocument/2006/relationships/hyperlink" Target="https://www.nature.com/articles/s41467-026-72865-z" TargetMode="External"/><Relationship Id="rId214" Type="http://schemas.openxmlformats.org/officeDocument/2006/relationships/hyperlink" Target="https://doi.org/10.1038/s41467-026-72865-z" TargetMode="External"/><Relationship Id="rId215" Type="http://schemas.openxmlformats.org/officeDocument/2006/relationships/hyperlink" Target="https://www.nature.com/articles/s41467-026-72297-9" TargetMode="External"/><Relationship Id="rId216" Type="http://schemas.openxmlformats.org/officeDocument/2006/relationships/hyperlink" Target="https://doi.org/10.1038/s41467-026-72297-9" TargetMode="External"/><Relationship Id="rId217" Type="http://schemas.openxmlformats.org/officeDocument/2006/relationships/hyperlink" Target="https://academic.oup.com/nsr/advance-article/doi/10.1093/nsr/nwag264/8675034?rss=1" TargetMode="External"/><Relationship Id="rId218" Type="http://schemas.openxmlformats.org/officeDocument/2006/relationships/hyperlink" Target="https://doi.org/10.1093/nsr/nwag264" TargetMode="External"/><Relationship Id="rId219" Type="http://schemas.openxmlformats.org/officeDocument/2006/relationships/hyperlink" Target="https://www.nature.com/articles/s41467-026-72745-6" TargetMode="External"/><Relationship Id="rId220" Type="http://schemas.openxmlformats.org/officeDocument/2006/relationships/hyperlink" Target="https://doi.org/10.1038/s41467-026-72745-6" TargetMode="External"/><Relationship Id="rId221" Type="http://schemas.openxmlformats.org/officeDocument/2006/relationships/hyperlink" Target="https://www.nature.com/articles/s41467-026-72420-w" TargetMode="External"/><Relationship Id="rId222" Type="http://schemas.openxmlformats.org/officeDocument/2006/relationships/hyperlink" Target="https://doi.org/10.1038/s41467-026-72420-w" TargetMode="External"/><Relationship Id="rId223" Type="http://schemas.openxmlformats.org/officeDocument/2006/relationships/hyperlink" Target="https://www.nature.com/articles/s41467-026-73015-1" TargetMode="External"/><Relationship Id="rId224" Type="http://schemas.openxmlformats.org/officeDocument/2006/relationships/hyperlink" Target="https://doi.org/10.1038/s41467-026-73015-1" TargetMode="External"/><Relationship Id="rId225" Type="http://schemas.openxmlformats.org/officeDocument/2006/relationships/hyperlink" Target="https://www.sciencedirect.com/science/article/pii/S0306261926006616?dgcid=rss_sd_all" TargetMode="External"/><Relationship Id="rId226" Type="http://schemas.openxmlformats.org/officeDocument/2006/relationships/hyperlink" Target="https://www.sciencedirect.com/science/article/pii/S030626192600632X?dgcid=rss_sd_all" TargetMode="External"/><Relationship Id="rId227" Type="http://schemas.openxmlformats.org/officeDocument/2006/relationships/hyperlink" Target="https://www.sciencedirect.com/science/article/pii/S0301421526002910?dgcid=rss_sd_all" TargetMode="External"/><Relationship Id="rId228" Type="http://schemas.openxmlformats.org/officeDocument/2006/relationships/hyperlink" Target="https://www.sciencedirect.com/science/article/pii/S0301421526002466?dgcid=rss_sd_all" TargetMode="External"/><Relationship Id="rId229" Type="http://schemas.openxmlformats.org/officeDocument/2006/relationships/hyperlink" Target="https://www.sciencedirect.com/science/article/pii/S0306261926006471?dgcid=rss_sd_all" TargetMode="External"/><Relationship Id="rId230" Type="http://schemas.openxmlformats.org/officeDocument/2006/relationships/hyperlink" Target="https://www.sciencedirect.com/science/article/pii/S0306261926006033?dgcid=rss_sd_all" TargetMode="External"/><Relationship Id="rId231" Type="http://schemas.openxmlformats.org/officeDocument/2006/relationships/hyperlink" Target="https://www.nature.com/articles/s41467-026-72661-9" TargetMode="External"/><Relationship Id="rId232" Type="http://schemas.openxmlformats.org/officeDocument/2006/relationships/hyperlink" Target="https://doi.org/10.1038/s41467-026-72661-9" TargetMode="External"/><Relationship Id="rId233" Type="http://schemas.openxmlformats.org/officeDocument/2006/relationships/hyperlink" Target="https://www.sciencedirect.com/science/article/pii/S0306261926005891?dgcid=rss_sd_all" TargetMode="External"/><Relationship Id="rId234" Type="http://schemas.openxmlformats.org/officeDocument/2006/relationships/hyperlink" Target="https://www.sciencedirect.com/science/article/pii/S0306261926006367?dgcid=rss_sd_all" TargetMode="External"/><Relationship Id="rId235" Type="http://schemas.openxmlformats.org/officeDocument/2006/relationships/hyperlink" Target="https://www.sciencedirect.com/science/article/pii/S0306261926006811?dgcid=rss_sd_all" TargetMode="External"/><Relationship Id="rId236" Type="http://schemas.openxmlformats.org/officeDocument/2006/relationships/hyperlink" Target="https://advanced.onlinelibrary.wiley.com/doi/10.1002/adma.73336?af=R" TargetMode="External"/><Relationship Id="rId237" Type="http://schemas.openxmlformats.org/officeDocument/2006/relationships/hyperlink" Target="https://doi.org/10.1002/adma.73336" TargetMode="External"/><Relationship Id="rId238" Type="http://schemas.openxmlformats.org/officeDocument/2006/relationships/hyperlink" Target="https://advanced.onlinelibrary.wiley.com/doi/10.1002/adma.202516189?af=R" TargetMode="External"/><Relationship Id="rId239" Type="http://schemas.openxmlformats.org/officeDocument/2006/relationships/hyperlink" Target="https://doi.org/10.1002/adma.202516189" TargetMode="External"/><Relationship Id="rId240" Type="http://schemas.openxmlformats.org/officeDocument/2006/relationships/hyperlink" Target="https://advanced.onlinelibrary.wiley.com/doi/10.1002/adma.73319?af=R" TargetMode="External"/><Relationship Id="rId241" Type="http://schemas.openxmlformats.org/officeDocument/2006/relationships/hyperlink" Target="https://doi.org/10.1002/adma.73319" TargetMode="External"/><Relationship Id="rId242" Type="http://schemas.openxmlformats.org/officeDocument/2006/relationships/hyperlink" Target="https://advanced.onlinelibrary.wiley.com/doi/10.1002/adma.73113?af=R" TargetMode="External"/><Relationship Id="rId243" Type="http://schemas.openxmlformats.org/officeDocument/2006/relationships/hyperlink" Target="https://doi.org/10.1002/adma.73113" TargetMode="External"/><Relationship Id="rId244" Type="http://schemas.openxmlformats.org/officeDocument/2006/relationships/hyperlink" Target="http://dx.doi.org/10.1021/jacs.5c21842" TargetMode="External"/><Relationship Id="rId245" Type="http://schemas.openxmlformats.org/officeDocument/2006/relationships/hyperlink" Target="https://doi.org/10.1021/jacs.5c21842" TargetMode="External"/><Relationship Id="rId246" Type="http://schemas.openxmlformats.org/officeDocument/2006/relationships/hyperlink" Target="https://advanced.onlinelibrary.wiley.com/doi/10.1002/adma.73310?af=R" TargetMode="External"/><Relationship Id="rId247" Type="http://schemas.openxmlformats.org/officeDocument/2006/relationships/hyperlink" Target="https://doi.org/10.1002/adma.73310" TargetMode="External"/><Relationship Id="rId248" Type="http://schemas.openxmlformats.org/officeDocument/2006/relationships/hyperlink" Target="https://advanced.onlinelibrary.wiley.com/doi/10.1002/adma.202523699?af=R" TargetMode="External"/><Relationship Id="rId249" Type="http://schemas.openxmlformats.org/officeDocument/2006/relationships/hyperlink" Target="https://doi.org/10.1002/adma.202523699" TargetMode="External"/><Relationship Id="rId250" Type="http://schemas.openxmlformats.org/officeDocument/2006/relationships/hyperlink" Target="https://advanced.onlinelibrary.wiley.com/doi/10.1002/adma.73338?af=R" TargetMode="External"/><Relationship Id="rId251" Type="http://schemas.openxmlformats.org/officeDocument/2006/relationships/hyperlink" Target="https://doi.org/10.1002/adma.73338" TargetMode="External"/><Relationship Id="rId252" Type="http://schemas.openxmlformats.org/officeDocument/2006/relationships/hyperlink" Target="https://advanced.onlinelibrary.wiley.com/doi/10.1002/adma.73341?af=R" TargetMode="External"/><Relationship Id="rId253" Type="http://schemas.openxmlformats.org/officeDocument/2006/relationships/hyperlink" Target="https://doi.org/10.1002/adma.73341" TargetMode="External"/><Relationship Id="rId254" Type="http://schemas.openxmlformats.org/officeDocument/2006/relationships/hyperlink" Target="https://onlinelibrary.wiley.com/doi/10.1002/anie.7258562?af=R" TargetMode="External"/><Relationship Id="rId255" Type="http://schemas.openxmlformats.org/officeDocument/2006/relationships/hyperlink" Target="https://doi.org/10.1002/anie.7258562" TargetMode="External"/><Relationship Id="rId256" Type="http://schemas.openxmlformats.org/officeDocument/2006/relationships/hyperlink" Target="https://onlinelibrary.wiley.com/doi/10.1002/anie.9627340?af=R" TargetMode="External"/><Relationship Id="rId257" Type="http://schemas.openxmlformats.org/officeDocument/2006/relationships/hyperlink" Target="https://doi.org/10.1002/anie.9627340" TargetMode="External"/><Relationship Id="rId258" Type="http://schemas.openxmlformats.org/officeDocument/2006/relationships/hyperlink" Target="https://onlinelibrary.wiley.com/doi/10.1002/anie.9293384?af=R" TargetMode="External"/><Relationship Id="rId259" Type="http://schemas.openxmlformats.org/officeDocument/2006/relationships/hyperlink" Target="https://doi.org/10.1002/anie.9293384" TargetMode="External"/><Relationship Id="rId260" Type="http://schemas.openxmlformats.org/officeDocument/2006/relationships/hyperlink" Target="https://onlinelibrary.wiley.com/doi/10.1002/anie.6649441?af=R" TargetMode="External"/><Relationship Id="rId261" Type="http://schemas.openxmlformats.org/officeDocument/2006/relationships/hyperlink" Target="https://doi.org/10.1002/anie.6649441" TargetMode="External"/><Relationship Id="rId262" Type="http://schemas.openxmlformats.org/officeDocument/2006/relationships/hyperlink" Target="https://onlinelibrary.wiley.com/doi/10.1002/anie.7638565?af=R" TargetMode="External"/><Relationship Id="rId263" Type="http://schemas.openxmlformats.org/officeDocument/2006/relationships/hyperlink" Target="https://doi.org/10.1002/anie.7638565" TargetMode="External"/><Relationship Id="rId264" Type="http://schemas.openxmlformats.org/officeDocument/2006/relationships/hyperlink" Target="https://onlinelibrary.wiley.com/doi/10.1002/anie.4364552?af=R" TargetMode="External"/><Relationship Id="rId265" Type="http://schemas.openxmlformats.org/officeDocument/2006/relationships/hyperlink" Target="https://doi.org/10.1002/anie.4364552" TargetMode="External"/><Relationship Id="rId266" Type="http://schemas.openxmlformats.org/officeDocument/2006/relationships/hyperlink" Target="https://onlinelibrary.wiley.com/doi/10.1002/anie.1084711?af=R" TargetMode="External"/><Relationship Id="rId267" Type="http://schemas.openxmlformats.org/officeDocument/2006/relationships/hyperlink" Target="https://doi.org/10.1002/anie.1084711" TargetMode="External"/><Relationship Id="rId268" Type="http://schemas.openxmlformats.org/officeDocument/2006/relationships/hyperlink" Target="https://www.sciencedirect.com/science/article/pii/S0306261926006549?dgcid=rss_sd_all" TargetMode="External"/><Relationship Id="rId269" Type="http://schemas.openxmlformats.org/officeDocument/2006/relationships/hyperlink" Target="https://www.sciencedirect.com/science/article/pii/S0306261926006495?dgcid=rss_sd_all" TargetMode="External"/><Relationship Id="rId270" Type="http://schemas.openxmlformats.org/officeDocument/2006/relationships/hyperlink" Target="https://www.nature.com/articles/s41467-026-72907-6" TargetMode="External"/><Relationship Id="rId271" Type="http://schemas.openxmlformats.org/officeDocument/2006/relationships/hyperlink" Target="https://doi.org/10.1038/s41467-026-72907-6" TargetMode="External"/><Relationship Id="rId272" Type="http://schemas.openxmlformats.org/officeDocument/2006/relationships/hyperlink" Target="https://www.sciencedirect.com/science/article/pii/S030626192600663X?dgcid=rss_sd_all" TargetMode="External"/><Relationship Id="rId273" Type="http://schemas.openxmlformats.org/officeDocument/2006/relationships/hyperlink" Target="https://www.sciencedirect.com/science/article/pii/S0306261926006537?dgcid=rss_sd_all" TargetMode="External"/><Relationship Id="rId274" Type="http://schemas.openxmlformats.org/officeDocument/2006/relationships/hyperlink" Target="https://www.sciencedirect.com/science/article/pii/S0306261926006100?dgcid=rss_sd_all" TargetMode="External"/><Relationship Id="rId275" Type="http://schemas.openxmlformats.org/officeDocument/2006/relationships/hyperlink" Target="https://www.sciencedirect.com/science/article/pii/S0306261926005830?dgcid=rss_sd_all" TargetMode="External"/><Relationship Id="rId276" Type="http://schemas.openxmlformats.org/officeDocument/2006/relationships/hyperlink" Target="https://www.sciencedirect.com/science/article/pii/S0306261926006574?dgcid=rss_sd_all" TargetMode="External"/><Relationship Id="rId277" Type="http://schemas.openxmlformats.org/officeDocument/2006/relationships/hyperlink" Target="https://www.sciencedirect.com/science/article/pii/S0306261926006690?dgcid=rss_sd_all" TargetMode="External"/><Relationship Id="rId278" Type="http://schemas.openxmlformats.org/officeDocument/2006/relationships/hyperlink" Target="https://www.sciencedirect.com/science/article/pii/S0306261926006781?dgcid=rss_sd_all" TargetMode="External"/><Relationship Id="rId279" Type="http://schemas.openxmlformats.org/officeDocument/2006/relationships/hyperlink" Target="https://www.sciencedirect.com/science/article/pii/S0306261926006653?dgcid=rss_sd_all" TargetMode="External"/><Relationship Id="rId280" Type="http://schemas.openxmlformats.org/officeDocument/2006/relationships/hyperlink" Target="https://www.nature.com/articles/s41467-026-70018-w" TargetMode="External"/><Relationship Id="rId281" Type="http://schemas.openxmlformats.org/officeDocument/2006/relationships/hyperlink" Target="https://doi.org/10.1038/s41467-026-70018-w" TargetMode="External"/><Relationship Id="rId282" Type="http://schemas.openxmlformats.org/officeDocument/2006/relationships/hyperlink" Target="https://www.sciencedirect.com/science/article/pii/S030626192600646X?dgcid=rss_sd_all" TargetMode="External"/><Relationship Id="rId283" Type="http://schemas.openxmlformats.org/officeDocument/2006/relationships/hyperlink" Target="https://www.sciencedirect.com/science/article/pii/S0306261926005921?dgcid=rss_sd_all" TargetMode="External"/><Relationship Id="rId284" Type="http://schemas.openxmlformats.org/officeDocument/2006/relationships/hyperlink" Target="http://dx.doi.org/10.1021/jacs.5c18659" TargetMode="External"/><Relationship Id="rId285" Type="http://schemas.openxmlformats.org/officeDocument/2006/relationships/hyperlink" Target="https://doi.org/10.1021/jacs.5c18659" TargetMode="External"/><Relationship Id="rId286" Type="http://schemas.openxmlformats.org/officeDocument/2006/relationships/hyperlink" Target="http://dx.doi.org/10.1021/jacs.6c01581" TargetMode="External"/><Relationship Id="rId287" Type="http://schemas.openxmlformats.org/officeDocument/2006/relationships/hyperlink" Target="https://doi.org/10.1021/jacs.6c01581" TargetMode="External"/><Relationship Id="rId288" Type="http://schemas.openxmlformats.org/officeDocument/2006/relationships/hyperlink" Target="http://dx.doi.org/10.1021/jacs.5c20726" TargetMode="External"/><Relationship Id="rId289" Type="http://schemas.openxmlformats.org/officeDocument/2006/relationships/hyperlink" Target="https://doi.org/10.1021/jacs.5c20726" TargetMode="External"/><Relationship Id="rId290" Type="http://schemas.openxmlformats.org/officeDocument/2006/relationships/hyperlink" Target="http://pubs.rsc.org/en/Content/ArticleLanding/2026/CS/D6CS00318D" TargetMode="External"/><Relationship Id="rId291" Type="http://schemas.openxmlformats.org/officeDocument/2006/relationships/hyperlink" Target="https://academic.oup.com/nsr/advance-article/doi/10.1093/nsr/nwag271/8676050?rss=1" TargetMode="External"/><Relationship Id="rId292" Type="http://schemas.openxmlformats.org/officeDocument/2006/relationships/hyperlink" Target="https://doi.org/10.1093/nsr/nwag271" TargetMode="External"/><Relationship Id="rId293" Type="http://schemas.openxmlformats.org/officeDocument/2006/relationships/hyperlink" Target="https://academic.oup.com/nsr/advance-article/doi/10.1093/nsr/nwag269/8676048?rss=1" TargetMode="External"/><Relationship Id="rId294" Type="http://schemas.openxmlformats.org/officeDocument/2006/relationships/hyperlink" Target="https://doi.org/10.1093/nsr/nwag269" TargetMode="External"/><Relationship Id="rId295" Type="http://schemas.openxmlformats.org/officeDocument/2006/relationships/hyperlink" Target="https://academic.oup.com/nsr/advance-article/doi/10.1093/nsr/nwag265/8676051?rss=1" TargetMode="External"/><Relationship Id="rId296" Type="http://schemas.openxmlformats.org/officeDocument/2006/relationships/hyperlink" Target="https://doi.org/10.1093/nsr/nwag265" TargetMode="External"/><Relationship Id="rId297" Type="http://schemas.openxmlformats.org/officeDocument/2006/relationships/hyperlink" Target="https://www.nature.com/articles/d41586-026-01491-y" TargetMode="External"/><Relationship Id="rId298" Type="http://schemas.openxmlformats.org/officeDocument/2006/relationships/hyperlink" Target="https://doi.org/10.1038/d41586-026-01491-y" TargetMode="External"/><Relationship Id="rId299" Type="http://schemas.openxmlformats.org/officeDocument/2006/relationships/hyperlink" Target="https://www.nature.com/articles/d41586-026-01512-w" TargetMode="External"/><Relationship Id="rId300" Type="http://schemas.openxmlformats.org/officeDocument/2006/relationships/hyperlink" Target="https://doi.org/10.1038/d41586-026-01512-w" TargetMode="External"/><Relationship Id="rId301" Type="http://schemas.openxmlformats.org/officeDocument/2006/relationships/hyperlink" Target="https://www.nature.com/articles/d41586-026-01479-8" TargetMode="External"/><Relationship Id="rId302" Type="http://schemas.openxmlformats.org/officeDocument/2006/relationships/hyperlink" Target="https://doi.org/10.1038/d41586-026-01479-8" TargetMode="External"/><Relationship Id="rId303" Type="http://schemas.openxmlformats.org/officeDocument/2006/relationships/hyperlink" Target="https://www.nature.com/articles/d41586-026-01481-0" TargetMode="External"/><Relationship Id="rId304" Type="http://schemas.openxmlformats.org/officeDocument/2006/relationships/hyperlink" Target="https://doi.org/10.1038/d41586-026-01481-0" TargetMode="External"/><Relationship Id="rId305" Type="http://schemas.openxmlformats.org/officeDocument/2006/relationships/hyperlink" Target="https://www.nature.com/articles/d41586-026-01478-9" TargetMode="External"/><Relationship Id="rId306" Type="http://schemas.openxmlformats.org/officeDocument/2006/relationships/hyperlink" Target="https://doi.org/10.1038/d41586-026-01478-9" TargetMode="External"/><Relationship Id="rId307" Type="http://schemas.openxmlformats.org/officeDocument/2006/relationships/hyperlink" Target="https://www.nature.com/articles/d41586-026-01522-8" TargetMode="External"/><Relationship Id="rId308" Type="http://schemas.openxmlformats.org/officeDocument/2006/relationships/hyperlink" Target="https://doi.org/10.1038/d41586-026-01522-8" TargetMode="External"/><Relationship Id="rId309" Type="http://schemas.openxmlformats.org/officeDocument/2006/relationships/hyperlink" Target="https://www.nature.com/articles/s41557-026-02147-0" TargetMode="External"/><Relationship Id="rId310" Type="http://schemas.openxmlformats.org/officeDocument/2006/relationships/hyperlink" Target="https://doi.org/10.1038/s41557-026-02147-0" TargetMode="External"/><Relationship Id="rId311" Type="http://schemas.openxmlformats.org/officeDocument/2006/relationships/hyperlink" Target="https://www.nature.com/articles/s41563-026-02600-y" TargetMode="External"/><Relationship Id="rId312" Type="http://schemas.openxmlformats.org/officeDocument/2006/relationships/hyperlink" Target="https://doi.org/10.1038/s41563-026-02600-y" TargetMode="External"/><Relationship Id="rId313" Type="http://schemas.openxmlformats.org/officeDocument/2006/relationships/hyperlink" Target="https://www.nature.com/articles/s41893-026-01833-8" TargetMode="External"/><Relationship Id="rId314" Type="http://schemas.openxmlformats.org/officeDocument/2006/relationships/hyperlink" Target="https://doi.org/10.1038/s41893-026-01833-8" TargetMode="External"/><Relationship Id="rId315" Type="http://schemas.openxmlformats.org/officeDocument/2006/relationships/hyperlink" Target="https://www.nature.com/articles/s41893-026-01814-x" TargetMode="External"/><Relationship Id="rId316" Type="http://schemas.openxmlformats.org/officeDocument/2006/relationships/hyperlink" Target="https://doi.org/10.1038/s41893-026-01814-x" TargetMode="External"/><Relationship Id="rId317" Type="http://schemas.openxmlformats.org/officeDocument/2006/relationships/hyperlink" Target="https://www.nature.com/articles/s41893-026-01775-1" TargetMode="External"/><Relationship Id="rId318" Type="http://schemas.openxmlformats.org/officeDocument/2006/relationships/hyperlink" Target="https://doi.org/10.1038/s41893-026-01775-1" TargetMode="External"/><Relationship Id="rId319" Type="http://schemas.openxmlformats.org/officeDocument/2006/relationships/hyperlink" Target="https://www.nature.com/articles/s41467-026-73041-z" TargetMode="External"/><Relationship Id="rId320" Type="http://schemas.openxmlformats.org/officeDocument/2006/relationships/hyperlink" Target="https://doi.org/10.1038/s41467-026-73041-z" TargetMode="External"/><Relationship Id="rId321" Type="http://schemas.openxmlformats.org/officeDocument/2006/relationships/hyperlink" Target="https://www.nature.com/articles/s41557-026-02143-4" TargetMode="External"/><Relationship Id="rId322" Type="http://schemas.openxmlformats.org/officeDocument/2006/relationships/hyperlink" Target="https://doi.org/10.1038/s41557-026-02143-4" TargetMode="External"/><Relationship Id="rId323" Type="http://schemas.openxmlformats.org/officeDocument/2006/relationships/hyperlink" Target="https://www.nature.com/articles/s41467-026-72826-6" TargetMode="External"/><Relationship Id="rId324" Type="http://schemas.openxmlformats.org/officeDocument/2006/relationships/hyperlink" Target="https://doi.org/10.1038/s41467-026-72826-6" TargetMode="External"/><Relationship Id="rId325" Type="http://schemas.openxmlformats.org/officeDocument/2006/relationships/hyperlink" Target="https://www.sciencedirect.com/science/article/pii/S0306261926006847?dgcid=rss_sd_all" TargetMode="External"/><Relationship Id="rId326" Type="http://schemas.openxmlformats.org/officeDocument/2006/relationships/hyperlink" Target="https://www.nature.com/articles/s41586-026-10578-5" TargetMode="External"/><Relationship Id="rId327" Type="http://schemas.openxmlformats.org/officeDocument/2006/relationships/hyperlink" Target="https://doi.org/10.1038/s41586-026-10578-5" TargetMode="External"/><Relationship Id="rId328" Type="http://schemas.openxmlformats.org/officeDocument/2006/relationships/hyperlink" Target="https://www.pnas.org/doi/abs/10.1073/pnas.2533900123?mi=eymic2&amp;af=R&amp;access=on&amp;content=articlesChapters&amp;publication=pnas&amp;sortBy=Earliest&amp;target=default" TargetMode="External"/><Relationship Id="rId329" Type="http://schemas.openxmlformats.org/officeDocument/2006/relationships/hyperlink" Target="https://doi.org/10.1073/pnas.2533900123" TargetMode="External"/><Relationship Id="rId330" Type="http://schemas.openxmlformats.org/officeDocument/2006/relationships/hyperlink" Target="https://www.pnas.org/doi/abs/10.1073/pnas.2532935123?mi=eymic2&amp;af=R&amp;access=on&amp;content=articlesChapters&amp;publication=pnas&amp;sortBy=Earliest&amp;target=default" TargetMode="External"/><Relationship Id="rId331" Type="http://schemas.openxmlformats.org/officeDocument/2006/relationships/hyperlink" Target="https://doi.org/10.1073/pnas.2532935123" TargetMode="External"/><Relationship Id="rId332" Type="http://schemas.openxmlformats.org/officeDocument/2006/relationships/hyperlink" Target="https://www.pnas.org/doi/abs/10.1073/pnas.2532193123?mi=eymic2&amp;af=R&amp;access=on&amp;content=articlesChapters&amp;publication=pnas&amp;sortBy=Earliest&amp;target=default" TargetMode="External"/><Relationship Id="rId333" Type="http://schemas.openxmlformats.org/officeDocument/2006/relationships/hyperlink" Target="https://doi.org/10.1073/pnas.2532193123" TargetMode="External"/><Relationship Id="rId334" Type="http://schemas.openxmlformats.org/officeDocument/2006/relationships/hyperlink" Target="https://www.pnas.org/doi/abs/10.1073/pnas.2532064123?mi=eymic2&amp;af=R&amp;access=on&amp;content=articlesChapters&amp;publication=pnas&amp;sortBy=Earliest&amp;target=default" TargetMode="External"/><Relationship Id="rId335" Type="http://schemas.openxmlformats.org/officeDocument/2006/relationships/hyperlink" Target="https://doi.org/10.1073/pnas.2532064123" TargetMode="External"/><Relationship Id="rId336" Type="http://schemas.openxmlformats.org/officeDocument/2006/relationships/hyperlink" Target="https://www.pnas.org/doi/abs/10.1073/pnas.2528499123?mi=eymic2&amp;af=R&amp;access=on&amp;content=articlesChapters&amp;publication=pnas&amp;sortBy=Earliest&amp;target=default" TargetMode="External"/><Relationship Id="rId337" Type="http://schemas.openxmlformats.org/officeDocument/2006/relationships/hyperlink" Target="https://doi.org/10.1073/pnas.2528499123" TargetMode="External"/><Relationship Id="rId338" Type="http://schemas.openxmlformats.org/officeDocument/2006/relationships/hyperlink" Target="https://www.pnas.org/doi/abs/10.1073/pnas.2513383123?mi=eymic2&amp;af=R&amp;access=on&amp;content=articlesChapters&amp;publication=pnas&amp;sortBy=Earliest&amp;target=default" TargetMode="External"/><Relationship Id="rId339" Type="http://schemas.openxmlformats.org/officeDocument/2006/relationships/hyperlink" Target="https://doi.org/10.1073/pnas.2513383123" TargetMode="External"/><Relationship Id="rId340" Type="http://schemas.openxmlformats.org/officeDocument/2006/relationships/hyperlink" Target="https://www.pnas.org/doi/abs/10.1073/pnas.2527503123?mi=eymic2&amp;af=R&amp;access=on&amp;content=articlesChapters&amp;publication=pnas&amp;sortBy=Earliest&amp;target=default" TargetMode="External"/><Relationship Id="rId341" Type="http://schemas.openxmlformats.org/officeDocument/2006/relationships/hyperlink" Target="https://doi.org/10.1073/pnas.2527503123" TargetMode="External"/><Relationship Id="rId342" Type="http://schemas.openxmlformats.org/officeDocument/2006/relationships/hyperlink" Target="https://www.pnas.org/doi/abs/10.1073/pnas.2524677123?mi=eymic2&amp;af=R&amp;access=on&amp;content=articlesChapters&amp;publication=pnas&amp;sortBy=Earliest&amp;target=default" TargetMode="External"/><Relationship Id="rId343" Type="http://schemas.openxmlformats.org/officeDocument/2006/relationships/hyperlink" Target="https://doi.org/10.1073/pnas.2524677123" TargetMode="External"/><Relationship Id="rId344" Type="http://schemas.openxmlformats.org/officeDocument/2006/relationships/hyperlink" Target="https://www.pnas.org/doi/abs/10.1073/pnas.2611082123?mi=eymic2&amp;af=R&amp;access=on&amp;content=articlesChapters&amp;publication=pnas&amp;sortBy=Earliest&amp;target=default" TargetMode="External"/><Relationship Id="rId345" Type="http://schemas.openxmlformats.org/officeDocument/2006/relationships/hyperlink" Target="https://doi.org/10.1073/pnas.2611082123" TargetMode="External"/><Relationship Id="rId346" Type="http://schemas.openxmlformats.org/officeDocument/2006/relationships/hyperlink" Target="https://www.pnas.org/doi/abs/10.1073/pnas.2514098123?mi=eymic2&amp;af=R&amp;access=on&amp;content=articlesChapters&amp;publication=pnas&amp;sortBy=Earliest&amp;target=default" TargetMode="External"/><Relationship Id="rId347" Type="http://schemas.openxmlformats.org/officeDocument/2006/relationships/hyperlink" Target="https://doi.org/10.1073/pnas.2514098123" TargetMode="External"/><Relationship Id="rId348" Type="http://schemas.openxmlformats.org/officeDocument/2006/relationships/hyperlink" Target="https://www.pnas.org/doi/abs/10.1073/pnas.2609140123?mi=eymic2&amp;af=R&amp;access=on&amp;content=articlesChapters&amp;publication=pnas&amp;sortBy=Earliest&amp;target=default" TargetMode="External"/><Relationship Id="rId349" Type="http://schemas.openxmlformats.org/officeDocument/2006/relationships/hyperlink" Target="https://doi.org/10.1073/pnas.2609140123" TargetMode="External"/><Relationship Id="rId350" Type="http://schemas.openxmlformats.org/officeDocument/2006/relationships/hyperlink" Target="https://chemistry-europe.onlinelibrary.wiley.com/doi/10.1002/anie.202600007?af=R" TargetMode="External"/><Relationship Id="rId351" Type="http://schemas.openxmlformats.org/officeDocument/2006/relationships/hyperlink" Target="https://doi.org/10.1002/anie.202600007" TargetMode="External"/><Relationship Id="rId352" Type="http://schemas.openxmlformats.org/officeDocument/2006/relationships/hyperlink" Target="https://www.pnas.org/doi/abs/10.1073/pnas.2527963123?mi=eymic2&amp;af=R&amp;access=on&amp;content=articlesChapters&amp;publication=pnas&amp;sortBy=Earliest&amp;target=default" TargetMode="External"/><Relationship Id="rId353" Type="http://schemas.openxmlformats.org/officeDocument/2006/relationships/hyperlink" Target="https://doi.org/10.1073/pnas.2527963123" TargetMode="External"/><Relationship Id="rId354" Type="http://schemas.openxmlformats.org/officeDocument/2006/relationships/hyperlink" Target="https://www.pnas.org/doi/abs/10.1073/pnas.2536192123?mi=eymic2&amp;af=R&amp;access=on&amp;content=articlesChapters&amp;publication=pnas&amp;sortBy=Earliest&amp;target=default" TargetMode="External"/><Relationship Id="rId355" Type="http://schemas.openxmlformats.org/officeDocument/2006/relationships/hyperlink" Target="https://doi.org/10.1073/pnas.2536192123" TargetMode="External"/><Relationship Id="rId356" Type="http://schemas.openxmlformats.org/officeDocument/2006/relationships/hyperlink" Target="https://www.pnas.org/doi/abs/10.1073/pnas.2608469123?mi=eymic2&amp;af=R&amp;access=on&amp;content=articlesChapters&amp;publication=pnas&amp;sortBy=Earliest&amp;target=default" TargetMode="External"/><Relationship Id="rId357" Type="http://schemas.openxmlformats.org/officeDocument/2006/relationships/hyperlink" Target="https://doi.org/10.1073/pnas.2608469123" TargetMode="External"/><Relationship Id="rId358" Type="http://schemas.openxmlformats.org/officeDocument/2006/relationships/hyperlink" Target="https://www.pnas.org/doi/abs/10.1073/pnas.2534895123?mi=eymic2&amp;af=R&amp;access=on&amp;content=articlesChapters&amp;publication=pnas&amp;sortBy=Earliest&amp;target=default" TargetMode="External"/><Relationship Id="rId359" Type="http://schemas.openxmlformats.org/officeDocument/2006/relationships/hyperlink" Target="https://doi.org/10.1073/pnas.2534895123" TargetMode="External"/><Relationship Id="rId360" Type="http://schemas.openxmlformats.org/officeDocument/2006/relationships/hyperlink" Target="https://www.pnas.org/doi/abs/10.1073/pnas.2607730123?mi=eymic2&amp;af=R&amp;access=on&amp;content=articlesChapters&amp;publication=pnas&amp;sortBy=Earliest&amp;target=default" TargetMode="External"/><Relationship Id="rId361" Type="http://schemas.openxmlformats.org/officeDocument/2006/relationships/hyperlink" Target="https://doi.org/10.1073/pnas.2607730123" TargetMode="External"/><Relationship Id="rId362" Type="http://schemas.openxmlformats.org/officeDocument/2006/relationships/hyperlink" Target="https://www.pnas.org/doi/abs/10.1073/pnas.2604165123?mi=eymic2&amp;af=R&amp;access=on&amp;content=articlesChapters&amp;publication=pnas&amp;sortBy=Earliest&amp;target=default" TargetMode="External"/><Relationship Id="rId363" Type="http://schemas.openxmlformats.org/officeDocument/2006/relationships/hyperlink" Target="https://doi.org/10.1073/pnas.2604165123" TargetMode="External"/><Relationship Id="rId364" Type="http://schemas.openxmlformats.org/officeDocument/2006/relationships/hyperlink" Target="https://www.pnas.org/doi/abs/10.1073/pnas.2602705123?mi=eymic2&amp;af=R&amp;access=on&amp;content=articlesChapters&amp;publication=pnas&amp;sortBy=Earliest&amp;target=default" TargetMode="External"/><Relationship Id="rId365" Type="http://schemas.openxmlformats.org/officeDocument/2006/relationships/hyperlink" Target="https://doi.org/10.1073/pnas.2602705123" TargetMode="External"/><Relationship Id="rId366" Type="http://schemas.openxmlformats.org/officeDocument/2006/relationships/hyperlink" Target="https://www.pnas.org/doi/abs/10.1073/pnas.2609144123?mi=eymic2&amp;af=R&amp;access=on&amp;content=articlesChapters&amp;publication=pnas&amp;sortBy=Earliest&amp;target=default" TargetMode="External"/><Relationship Id="rId367" Type="http://schemas.openxmlformats.org/officeDocument/2006/relationships/hyperlink" Target="https://doi.org/10.1073/pnas.2609144123" TargetMode="External"/><Relationship Id="rId368" Type="http://schemas.openxmlformats.org/officeDocument/2006/relationships/hyperlink" Target="https://www.pnas.org/doi/abs/10.1073/pnas.2601134123?mi=eymic2&amp;af=R&amp;access=on&amp;content=articlesChapters&amp;publication=pnas&amp;sortBy=Earliest&amp;target=default" TargetMode="External"/><Relationship Id="rId369" Type="http://schemas.openxmlformats.org/officeDocument/2006/relationships/hyperlink" Target="https://doi.org/10.1073/pnas.2601134123" TargetMode="External"/><Relationship Id="rId370" Type="http://schemas.openxmlformats.org/officeDocument/2006/relationships/hyperlink" Target="https://www.pnas.org/doi/abs/10.1073/pnas.2600302123?mi=eymic2&amp;af=R&amp;access=on&amp;content=articlesChapters&amp;publication=pnas&amp;sortBy=Earliest&amp;target=default" TargetMode="External"/><Relationship Id="rId371" Type="http://schemas.openxmlformats.org/officeDocument/2006/relationships/hyperlink" Target="https://doi.org/10.1073/pnas.2600302123" TargetMode="External"/><Relationship Id="rId372" Type="http://schemas.openxmlformats.org/officeDocument/2006/relationships/hyperlink" Target="https://www.pnas.org/doi/abs/10.1073/pnas.2600021123?mi=eymic2&amp;af=R&amp;access=on&amp;content=articlesChapters&amp;publication=pnas&amp;sortBy=Earliest&amp;target=default" TargetMode="External"/><Relationship Id="rId373" Type="http://schemas.openxmlformats.org/officeDocument/2006/relationships/hyperlink" Target="https://doi.org/10.1073/pnas.2600021123" TargetMode="External"/><Relationship Id="rId374" Type="http://schemas.openxmlformats.org/officeDocument/2006/relationships/hyperlink" Target="https://www.pnas.org/doi/abs/10.1073/pnas.2537789123?mi=eymic2&amp;af=R&amp;access=on&amp;content=articlesChapters&amp;publication=pnas&amp;sortBy=Earliest&amp;target=default" TargetMode="External"/><Relationship Id="rId375" Type="http://schemas.openxmlformats.org/officeDocument/2006/relationships/hyperlink" Target="https://doi.org/10.1073/pnas.2537789123" TargetMode="External"/><Relationship Id="rId376" Type="http://schemas.openxmlformats.org/officeDocument/2006/relationships/hyperlink" Target="https://www.pnas.org/doi/abs/10.1073/pnas.2536376123?mi=eymic2&amp;af=R&amp;access=on&amp;content=articlesChapters&amp;publication=pnas&amp;sortBy=Earliest&amp;target=default" TargetMode="External"/><Relationship Id="rId377" Type="http://schemas.openxmlformats.org/officeDocument/2006/relationships/hyperlink" Target="https://doi.org/10.1073/pnas.2536376123" TargetMode="External"/><Relationship Id="rId378" Type="http://schemas.openxmlformats.org/officeDocument/2006/relationships/hyperlink" Target="https://www.pnas.org/doi/abs/10.1073/pnas.2537764123?mi=eymic2&amp;af=R&amp;access=on&amp;content=articlesChapters&amp;publication=pnas&amp;sortBy=Earliest&amp;target=default" TargetMode="External"/><Relationship Id="rId379" Type="http://schemas.openxmlformats.org/officeDocument/2006/relationships/hyperlink" Target="https://doi.org/10.1073/pnas.2537764123" TargetMode="External"/><Relationship Id="rId380" Type="http://schemas.openxmlformats.org/officeDocument/2006/relationships/hyperlink" Target="https://www.pnas.org/doi/abs/10.1073/pnas.2601861123?mi=eymic2&amp;af=R&amp;access=on&amp;content=articlesChapters&amp;publication=pnas&amp;sortBy=Earliest&amp;target=default" TargetMode="External"/><Relationship Id="rId381" Type="http://schemas.openxmlformats.org/officeDocument/2006/relationships/hyperlink" Target="https://doi.org/10.1073/pnas.2601861123" TargetMode="External"/><Relationship Id="rId382" Type="http://schemas.openxmlformats.org/officeDocument/2006/relationships/hyperlink" Target="https://www.pnas.org/doi/abs/10.1073/pnas.2611092123?mi=eymic2&amp;af=R&amp;access=on&amp;content=articlesChapters&amp;publication=pnas&amp;sortBy=Earliest&amp;target=default" TargetMode="External"/><Relationship Id="rId383" Type="http://schemas.openxmlformats.org/officeDocument/2006/relationships/hyperlink" Target="https://doi.org/10.1073/pnas.2611092123" TargetMode="External"/><Relationship Id="rId384" Type="http://schemas.openxmlformats.org/officeDocument/2006/relationships/hyperlink" Target="https://www.pnas.org/doi/abs/10.1073/pnas.2607260123?mi=eymic2&amp;af=R&amp;access=on&amp;content=articlesChapters&amp;publication=pnas&amp;sortBy=Earliest&amp;target=default" TargetMode="External"/><Relationship Id="rId385" Type="http://schemas.openxmlformats.org/officeDocument/2006/relationships/hyperlink" Target="https://doi.org/10.1073/pnas.2607260123" TargetMode="External"/><Relationship Id="rId386" Type="http://schemas.openxmlformats.org/officeDocument/2006/relationships/hyperlink" Target="https://www.pnas.org/doi/abs/10.1073/pnas.2614308123?mi=eymic2&amp;af=R&amp;access=on&amp;content=articlesChapters&amp;publication=pnas&amp;sortBy=Earliest&amp;target=default" TargetMode="External"/><Relationship Id="rId387" Type="http://schemas.openxmlformats.org/officeDocument/2006/relationships/hyperlink" Target="https://doi.org/10.1073/pnas.2614308123" TargetMode="External"/><Relationship Id="rId388" Type="http://schemas.openxmlformats.org/officeDocument/2006/relationships/hyperlink" Target="https://www.pnas.org/doi/abs/10.1073/pnas.2608036123?mi=eymic2&amp;af=R&amp;access=on&amp;content=articlesChapters&amp;publication=pnas&amp;sortBy=Earliest&amp;target=default" TargetMode="External"/><Relationship Id="rId389" Type="http://schemas.openxmlformats.org/officeDocument/2006/relationships/hyperlink" Target="https://doi.org/10.1073/pnas.2608036123" TargetMode="External"/><Relationship Id="rId390" Type="http://schemas.openxmlformats.org/officeDocument/2006/relationships/hyperlink" Target="https://www.pnas.org/doi/abs/10.1073/pnas.2609139123?mi=eymic2&amp;af=R&amp;access=on&amp;content=articlesChapters&amp;publication=pnas&amp;sortBy=Earliest&amp;target=default" TargetMode="External"/><Relationship Id="rId391" Type="http://schemas.openxmlformats.org/officeDocument/2006/relationships/hyperlink" Target="https://doi.org/10.1073/pnas.2609139123" TargetMode="External"/><Relationship Id="rId392" Type="http://schemas.openxmlformats.org/officeDocument/2006/relationships/hyperlink" Target="https://www.pnas.org/doi/abs/10.1073/pnas.2614660123?mi=eymic2&amp;af=R&amp;access=on&amp;content=articlesChapters&amp;publication=pnas&amp;sortBy=Earliest&amp;target=default" TargetMode="External"/><Relationship Id="rId393" Type="http://schemas.openxmlformats.org/officeDocument/2006/relationships/hyperlink" Target="https://doi.org/10.1073/pnas.2614660123" TargetMode="External"/><Relationship Id="rId394" Type="http://schemas.openxmlformats.org/officeDocument/2006/relationships/hyperlink" Target="https://advanced.onlinelibrary.wiley.com/doi/10.1002/aenm.71060?af=R" TargetMode="External"/><Relationship Id="rId395" Type="http://schemas.openxmlformats.org/officeDocument/2006/relationships/hyperlink" Target="https://doi.org/10.1002/aenm.71060" TargetMode="External"/><Relationship Id="rId396" Type="http://schemas.openxmlformats.org/officeDocument/2006/relationships/hyperlink" Target="https://advanced.onlinelibrary.wiley.com/doi/10.1002/aenm.71068?af=R" TargetMode="External"/><Relationship Id="rId397" Type="http://schemas.openxmlformats.org/officeDocument/2006/relationships/hyperlink" Target="https://doi.org/10.1002/aenm.71068" TargetMode="External"/><Relationship Id="rId398" Type="http://schemas.openxmlformats.org/officeDocument/2006/relationships/hyperlink" Target="https://advanced.onlinelibrary.wiley.com/doi/10.1002/aenm.70985?af=R" TargetMode="External"/><Relationship Id="rId399" Type="http://schemas.openxmlformats.org/officeDocument/2006/relationships/hyperlink" Target="https://doi.org/10.1002/aenm.70985" TargetMode="External"/><Relationship Id="rId400" Type="http://schemas.openxmlformats.org/officeDocument/2006/relationships/hyperlink" Target="https://advanced.onlinelibrary.wiley.com/doi/10.1002/aenm.71054?af=R" TargetMode="External"/><Relationship Id="rId401" Type="http://schemas.openxmlformats.org/officeDocument/2006/relationships/hyperlink" Target="https://doi.org/10.1002/aenm.71054" TargetMode="External"/><Relationship Id="rId402" Type="http://schemas.openxmlformats.org/officeDocument/2006/relationships/hyperlink" Target="https://advanced.onlinelibrary.wiley.com/doi/10.1002/adma.73313?af=R" TargetMode="External"/><Relationship Id="rId403" Type="http://schemas.openxmlformats.org/officeDocument/2006/relationships/hyperlink" Target="https://doi.org/10.1002/adma.73313" TargetMode="External"/><Relationship Id="rId404" Type="http://schemas.openxmlformats.org/officeDocument/2006/relationships/hyperlink" Target="https://advanced.onlinelibrary.wiley.com/doi/10.1002/adma.73315?af=R" TargetMode="External"/><Relationship Id="rId405" Type="http://schemas.openxmlformats.org/officeDocument/2006/relationships/hyperlink" Target="https://doi.org/10.1002/adma.73315" TargetMode="External"/><Relationship Id="rId406" Type="http://schemas.openxmlformats.org/officeDocument/2006/relationships/hyperlink" Target="https://advanced.onlinelibrary.wiley.com/doi/10.1002/adma.73354?af=R" TargetMode="External"/><Relationship Id="rId407" Type="http://schemas.openxmlformats.org/officeDocument/2006/relationships/hyperlink" Target="https://doi.org/10.1002/adma.73354" TargetMode="External"/><Relationship Id="rId408" Type="http://schemas.openxmlformats.org/officeDocument/2006/relationships/hyperlink" Target="https://onlinelibrary.wiley.com/doi/10.1002/anie.9382429?af=R" TargetMode="External"/><Relationship Id="rId409" Type="http://schemas.openxmlformats.org/officeDocument/2006/relationships/hyperlink" Target="https://doi.org/10.1002/anie.9382429" TargetMode="External"/><Relationship Id="rId410" Type="http://schemas.openxmlformats.org/officeDocument/2006/relationships/hyperlink" Target="https://advanced.onlinelibrary.wiley.com/doi/10.1002/adma.202521981?af=R" TargetMode="External"/><Relationship Id="rId411" Type="http://schemas.openxmlformats.org/officeDocument/2006/relationships/hyperlink" Target="https://doi.org/10.1002/adma.202521981" TargetMode="External"/><Relationship Id="rId412" Type="http://schemas.openxmlformats.org/officeDocument/2006/relationships/hyperlink" Target="https://onlinelibrary.wiley.com/doi/10.1002/anie.7183298?af=R" TargetMode="External"/><Relationship Id="rId413" Type="http://schemas.openxmlformats.org/officeDocument/2006/relationships/hyperlink" Target="https://doi.org/10.1002/anie.7183298" TargetMode="External"/><Relationship Id="rId414" Type="http://schemas.openxmlformats.org/officeDocument/2006/relationships/hyperlink" Target="https://onlinelibrary.wiley.com/doi/10.1002/anie.7069862?af=R" TargetMode="External"/><Relationship Id="rId415" Type="http://schemas.openxmlformats.org/officeDocument/2006/relationships/hyperlink" Target="https://doi.org/10.1002/anie.7069862" TargetMode="External"/><Relationship Id="rId416" Type="http://schemas.openxmlformats.org/officeDocument/2006/relationships/hyperlink" Target="https://onlinelibrary.wiley.com/doi/10.1002/anie.8964304?af=R" TargetMode="External"/><Relationship Id="rId417" Type="http://schemas.openxmlformats.org/officeDocument/2006/relationships/hyperlink" Target="https://doi.org/10.1002/anie.8964304" TargetMode="External"/><Relationship Id="rId418" Type="http://schemas.openxmlformats.org/officeDocument/2006/relationships/hyperlink" Target="https://onlinelibrary.wiley.com/doi/10.1002/anie.8876257?af=R" TargetMode="External"/><Relationship Id="rId419" Type="http://schemas.openxmlformats.org/officeDocument/2006/relationships/hyperlink" Target="https://doi.org/10.1002/anie.8876257" TargetMode="External"/><Relationship Id="rId420" Type="http://schemas.openxmlformats.org/officeDocument/2006/relationships/hyperlink" Target="https://onlinelibrary.wiley.com/doi/10.1002/anie.7920745?af=R" TargetMode="External"/><Relationship Id="rId421" Type="http://schemas.openxmlformats.org/officeDocument/2006/relationships/hyperlink" Target="https://doi.org/10.1002/anie.7920745" TargetMode="External"/><Relationship Id="rId422" Type="http://schemas.openxmlformats.org/officeDocument/2006/relationships/hyperlink" Target="http://dx.doi.org/10.1021/jacs.6c01567" TargetMode="External"/><Relationship Id="rId423" Type="http://schemas.openxmlformats.org/officeDocument/2006/relationships/hyperlink" Target="https://doi.org/10.1021/jacs.6c01567" TargetMode="External"/><Relationship Id="rId424" Type="http://schemas.openxmlformats.org/officeDocument/2006/relationships/hyperlink" Target="http://dx.doi.org/10.1021/jacs.5c21794" TargetMode="External"/><Relationship Id="rId425" Type="http://schemas.openxmlformats.org/officeDocument/2006/relationships/hyperlink" Target="https://doi.org/10.1021/jacs.5c21794" TargetMode="External"/><Relationship Id="rId426" Type="http://schemas.openxmlformats.org/officeDocument/2006/relationships/hyperlink" Target="http://dx.doi.org/10.1021/jacs.5c20253" TargetMode="External"/><Relationship Id="rId427" Type="http://schemas.openxmlformats.org/officeDocument/2006/relationships/hyperlink" Target="https://doi.org/10.1021/jacs.5c20253" TargetMode="External"/><Relationship Id="rId428" Type="http://schemas.openxmlformats.org/officeDocument/2006/relationships/hyperlink" Target="http://dx.doi.org/10.1021/jacs.6c04849" TargetMode="External"/><Relationship Id="rId429" Type="http://schemas.openxmlformats.org/officeDocument/2006/relationships/hyperlink" Target="https://doi.org/10.1021/jacs.6c04849" TargetMode="External"/><Relationship Id="rId430" Type="http://schemas.openxmlformats.org/officeDocument/2006/relationships/hyperlink" Target="https://chemistry-europe.onlinelibrary.wiley.com/doi/10.1002/anie.3791639?af=R" TargetMode="External"/><Relationship Id="rId431" Type="http://schemas.openxmlformats.org/officeDocument/2006/relationships/hyperlink" Target="https://doi.org/10.1002/anie.3791639" TargetMode="External"/><Relationship Id="rId432" Type="http://schemas.openxmlformats.org/officeDocument/2006/relationships/hyperlink" Target="https://chemistry-europe.onlinelibrary.wiley.com/doi/10.1002/anie.1682982?af=R" TargetMode="External"/><Relationship Id="rId433" Type="http://schemas.openxmlformats.org/officeDocument/2006/relationships/hyperlink" Target="https://doi.org/10.1002/anie.1682982" TargetMode="External"/><Relationship Id="rId434" Type="http://schemas.openxmlformats.org/officeDocument/2006/relationships/hyperlink" Target="http://dx.doi.org/10.1021/jacs.6c03189" TargetMode="External"/><Relationship Id="rId435" Type="http://schemas.openxmlformats.org/officeDocument/2006/relationships/hyperlink" Target="https://doi.org/10.1021/jacs.6c03189" TargetMode="External"/><Relationship Id="rId436" Type="http://schemas.openxmlformats.org/officeDocument/2006/relationships/hyperlink" Target="https://advanced.onlinelibrary.wiley.com/doi/10.1002/adma.72844?af=R" TargetMode="External"/><Relationship Id="rId437" Type="http://schemas.openxmlformats.org/officeDocument/2006/relationships/hyperlink" Target="https://doi.org/10.1002/adma.72844" TargetMode="External"/><Relationship Id="rId438" Type="http://schemas.openxmlformats.org/officeDocument/2006/relationships/hyperlink" Target="https://chemistry-europe.onlinelibrary.wiley.com/doi/10.1002/anie.2727232?af=R" TargetMode="External"/><Relationship Id="rId439" Type="http://schemas.openxmlformats.org/officeDocument/2006/relationships/hyperlink" Target="https://doi.org/10.1002/anie.2727232" TargetMode="External"/><Relationship Id="rId440" Type="http://schemas.openxmlformats.org/officeDocument/2006/relationships/hyperlink" Target="https://chemistry-europe.onlinelibrary.wiley.com/doi/10.1002/anie.2500154?af=R" TargetMode="External"/><Relationship Id="rId441" Type="http://schemas.openxmlformats.org/officeDocument/2006/relationships/hyperlink" Target="https://doi.org/10.1002/anie.2500154" TargetMode="External"/><Relationship Id="rId442" Type="http://schemas.openxmlformats.org/officeDocument/2006/relationships/hyperlink" Target="https://chemistry-europe.onlinelibrary.wiley.com/doi/10.1002/anie.6457530?af=R" TargetMode="External"/><Relationship Id="rId443" Type="http://schemas.openxmlformats.org/officeDocument/2006/relationships/hyperlink" Target="https://doi.org/10.1002/anie.6457530" TargetMode="External"/><Relationship Id="rId444" Type="http://schemas.openxmlformats.org/officeDocument/2006/relationships/hyperlink" Target="https://chemistry-europe.onlinelibrary.wiley.com/doi/10.1002/anie.9726457?af=R" TargetMode="External"/><Relationship Id="rId445" Type="http://schemas.openxmlformats.org/officeDocument/2006/relationships/hyperlink" Target="https://doi.org/10.1002/anie.9726457" TargetMode="External"/><Relationship Id="rId446" Type="http://schemas.openxmlformats.org/officeDocument/2006/relationships/hyperlink" Target="https://chemistry-europe.onlinelibrary.wiley.com/doi/10.1002/anie.3329101?af=R" TargetMode="External"/><Relationship Id="rId447" Type="http://schemas.openxmlformats.org/officeDocument/2006/relationships/hyperlink" Target="https://doi.org/10.1002/anie.3329101" TargetMode="External"/><Relationship Id="rId448" Type="http://schemas.openxmlformats.org/officeDocument/2006/relationships/hyperlink" Target="https://chemistry-europe.onlinelibrary.wiley.com/doi/10.1002/anie.4918548?af=R" TargetMode="External"/><Relationship Id="rId449" Type="http://schemas.openxmlformats.org/officeDocument/2006/relationships/hyperlink" Target="https://doi.org/10.1002/anie.4918548" TargetMode="External"/><Relationship Id="rId450" Type="http://schemas.openxmlformats.org/officeDocument/2006/relationships/hyperlink" Target="http://dx.doi.org/10.1021/acsenergylett.6c00820" TargetMode="External"/><Relationship Id="rId451" Type="http://schemas.openxmlformats.org/officeDocument/2006/relationships/hyperlink" Target="https://doi.org/10.1021/acsenergylett.6c00820" TargetMode="External"/><Relationship Id="rId452" Type="http://schemas.openxmlformats.org/officeDocument/2006/relationships/hyperlink" Target="http://dx.doi.org/10.1021/acsenergylett.5c04186" TargetMode="External"/><Relationship Id="rId453" Type="http://schemas.openxmlformats.org/officeDocument/2006/relationships/hyperlink" Target="https://doi.org/10.1021/acsenergylett.5c04186" TargetMode="External"/><Relationship Id="rId454" Type="http://schemas.openxmlformats.org/officeDocument/2006/relationships/hyperlink" Target="http://dx.doi.org/10.1021/jacs.6c01393" TargetMode="External"/><Relationship Id="rId455" Type="http://schemas.openxmlformats.org/officeDocument/2006/relationships/hyperlink" Target="https://doi.org/10.1021/jacs.6c01393" TargetMode="External"/><Relationship Id="rId456" Type="http://schemas.openxmlformats.org/officeDocument/2006/relationships/hyperlink" Target="http://pubs.rsc.org/en/Content/ArticleLanding/2026/CS/D6CS00132G" TargetMode="External"/><Relationship Id="rId457" Type="http://schemas.openxmlformats.org/officeDocument/2006/relationships/hyperlink" Target="https://www.nature.com/articles/d41586-026-01475-y" TargetMode="External"/><Relationship Id="rId458" Type="http://schemas.openxmlformats.org/officeDocument/2006/relationships/hyperlink" Target="https://doi.org/10.1038/d41586-026-01475-y" TargetMode="External"/><Relationship Id="rId459" Type="http://schemas.openxmlformats.org/officeDocument/2006/relationships/hyperlink" Target="https://www.nature.com/articles/d41586-026-01474-z" TargetMode="External"/><Relationship Id="rId460" Type="http://schemas.openxmlformats.org/officeDocument/2006/relationships/hyperlink" Target="https://doi.org/10.1038/d41586-026-01474-z" TargetMode="External"/><Relationship Id="rId461" Type="http://schemas.openxmlformats.org/officeDocument/2006/relationships/hyperlink" Target="https://www.sciencedirect.com/science/article/pii/S0301421526003034?dgcid=rss_sd_all" TargetMode="External"/><Relationship Id="rId462" Type="http://schemas.openxmlformats.org/officeDocument/2006/relationships/hyperlink" Target="https://academic.oup.com/nsr/advance-article/doi/10.1093/nsr/nwag273/8676369?rss=1" TargetMode="External"/><Relationship Id="rId463" Type="http://schemas.openxmlformats.org/officeDocument/2006/relationships/hyperlink" Target="https://doi.org/10.1093/nsr/nwag273" TargetMode="External"/><Relationship Id="rId464" Type="http://schemas.openxmlformats.org/officeDocument/2006/relationships/hyperlink" Target="https://academic.oup.com/nsr/advance-article/doi/10.1093/nsr/nwag274/8676377?rss=1" TargetMode="External"/><Relationship Id="rId465" Type="http://schemas.openxmlformats.org/officeDocument/2006/relationships/hyperlink" Target="https://doi.org/10.1093/nsr/nwag274" TargetMode="External"/><Relationship Id="rId466" Type="http://schemas.openxmlformats.org/officeDocument/2006/relationships/hyperlink" Target="https://academic.oup.com/nsr/advance-article/doi/10.1093/nsr/nwag261/8676379?rss=1" TargetMode="External"/><Relationship Id="rId467" Type="http://schemas.openxmlformats.org/officeDocument/2006/relationships/hyperlink" Target="https://doi.org/10.1093/nsr/nwag261" TargetMode="External"/><Relationship Id="rId468" Type="http://schemas.openxmlformats.org/officeDocument/2006/relationships/hyperlink" Target="https://academic.oup.com/nsr/advance-article/doi/10.1093/nsr/nwag275/8676381?rss=1" TargetMode="External"/><Relationship Id="rId469" Type="http://schemas.openxmlformats.org/officeDocument/2006/relationships/hyperlink" Target="https://doi.org/10.1093/nsr/nwag275" TargetMode="External"/><Relationship Id="rId470" Type="http://schemas.openxmlformats.org/officeDocument/2006/relationships/hyperlink" Target="https://academic.oup.com/nsr/advance-article/doi/10.1093/nsr/nwag270/8676386?rss=1" TargetMode="External"/><Relationship Id="rId471" Type="http://schemas.openxmlformats.org/officeDocument/2006/relationships/hyperlink" Target="https://doi.org/10.1093/nsr/nwag270" TargetMode="External"/><Relationship Id="rId472" Type="http://schemas.openxmlformats.org/officeDocument/2006/relationships/hyperlink" Target="https://www.nature.com/articles/s41578-026-00929-z" TargetMode="External"/><Relationship Id="rId473" Type="http://schemas.openxmlformats.org/officeDocument/2006/relationships/hyperlink" Target="https://doi.org/10.1038/s41578-026-00929-z" TargetMode="External"/><Relationship Id="rId474" Type="http://schemas.openxmlformats.org/officeDocument/2006/relationships/hyperlink" Target="https://www.nature.com/articles/d41586-026-01156-w" TargetMode="External"/><Relationship Id="rId475" Type="http://schemas.openxmlformats.org/officeDocument/2006/relationships/hyperlink" Target="https://doi.org/10.1038/d41586-026-01156-w" TargetMode="External"/><Relationship Id="rId476" Type="http://schemas.openxmlformats.org/officeDocument/2006/relationships/hyperlink" Target="https://www.nature.com/articles/d41586-026-01334-w" TargetMode="External"/><Relationship Id="rId477" Type="http://schemas.openxmlformats.org/officeDocument/2006/relationships/hyperlink" Target="https://doi.org/10.1038/d41586-026-01334-w" TargetMode="External"/><Relationship Id="rId478" Type="http://schemas.openxmlformats.org/officeDocument/2006/relationships/hyperlink" Target="https://www.sciencedirect.com/science/article/pii/S0301421526002934?dgcid=rss_sd_all" TargetMode="External"/><Relationship Id="rId479" Type="http://schemas.openxmlformats.org/officeDocument/2006/relationships/hyperlink" Target="https://www.nature.com/articles/s41586-026-10615-3" TargetMode="External"/><Relationship Id="rId480" Type="http://schemas.openxmlformats.org/officeDocument/2006/relationships/hyperlink" Target="https://doi.org/10.1038/s41586-026-10615-3" TargetMode="External"/><Relationship Id="rId481" Type="http://schemas.openxmlformats.org/officeDocument/2006/relationships/hyperlink" Target="https://www.nature.com/articles/s41586-026-10618-0" TargetMode="External"/><Relationship Id="rId482" Type="http://schemas.openxmlformats.org/officeDocument/2006/relationships/hyperlink" Target="https://doi.org/10.1038/s41586-026-10618-0" TargetMode="External"/><Relationship Id="rId483" Type="http://schemas.openxmlformats.org/officeDocument/2006/relationships/hyperlink" Target="https://www.nature.com/articles/s44286-026-00389-w" TargetMode="External"/><Relationship Id="rId484" Type="http://schemas.openxmlformats.org/officeDocument/2006/relationships/hyperlink" Target="https://doi.org/10.1038/s44286-026-00389-w" TargetMode="External"/><Relationship Id="rId485" Type="http://schemas.openxmlformats.org/officeDocument/2006/relationships/hyperlink" Target="https://www.nature.com/articles/d41586-026-01518-4" TargetMode="External"/><Relationship Id="rId486" Type="http://schemas.openxmlformats.org/officeDocument/2006/relationships/hyperlink" Target="https://doi.org/10.1038/d41586-026-01518-4" TargetMode="External"/><Relationship Id="rId487" Type="http://schemas.openxmlformats.org/officeDocument/2006/relationships/hyperlink" Target="https://www.nature.com/articles/d41586-026-01544-2" TargetMode="External"/><Relationship Id="rId488" Type="http://schemas.openxmlformats.org/officeDocument/2006/relationships/hyperlink" Target="https://doi.org/10.1038/d41586-026-01544-2" TargetMode="External"/><Relationship Id="rId489" Type="http://schemas.openxmlformats.org/officeDocument/2006/relationships/hyperlink" Target="https://www.sciencedirect.com/science/article/pii/S0301421526003058?dgcid=rss_sd_all" TargetMode="External"/><Relationship Id="rId490" Type="http://schemas.openxmlformats.org/officeDocument/2006/relationships/hyperlink" Target="https://www.nature.com/articles/s41563-026-02606-6" TargetMode="External"/><Relationship Id="rId491" Type="http://schemas.openxmlformats.org/officeDocument/2006/relationships/hyperlink" Target="https://doi.org/10.1038/s41563-026-02606-6" TargetMode="External"/><Relationship Id="rId492" Type="http://schemas.openxmlformats.org/officeDocument/2006/relationships/hyperlink" Target="https://www.nature.com/articles/d41586-026-01502-y" TargetMode="External"/><Relationship Id="rId493" Type="http://schemas.openxmlformats.org/officeDocument/2006/relationships/hyperlink" Target="https://doi.org/10.1038/d41586-026-01502-y" TargetMode="External"/><Relationship Id="rId494" Type="http://schemas.openxmlformats.org/officeDocument/2006/relationships/hyperlink" Target="https://www.nature.com/articles/d41586-026-01521-9" TargetMode="External"/><Relationship Id="rId495" Type="http://schemas.openxmlformats.org/officeDocument/2006/relationships/hyperlink" Target="https://doi.org/10.1038/d41586-026-01521-9" TargetMode="External"/><Relationship Id="rId496" Type="http://schemas.openxmlformats.org/officeDocument/2006/relationships/hyperlink" Target="https://www.nature.com/articles/d41586-026-01520-w" TargetMode="External"/><Relationship Id="rId497" Type="http://schemas.openxmlformats.org/officeDocument/2006/relationships/hyperlink" Target="https://doi.org/10.1038/d41586-026-01520-w" TargetMode="External"/><Relationship Id="rId498" Type="http://schemas.openxmlformats.org/officeDocument/2006/relationships/hyperlink" Target="https://www.nature.com/articles/d41586-026-01519-3" TargetMode="External"/><Relationship Id="rId499" Type="http://schemas.openxmlformats.org/officeDocument/2006/relationships/hyperlink" Target="https://doi.org/10.1038/d41586-026-01519-3" TargetMode="External"/><Relationship Id="rId500" Type="http://schemas.openxmlformats.org/officeDocument/2006/relationships/hyperlink" Target="https://academic.oup.com/nsr/advance-article/doi/10.1093/nsr/nwag262/8676370?rss=1" TargetMode="External"/><Relationship Id="rId501" Type="http://schemas.openxmlformats.org/officeDocument/2006/relationships/hyperlink" Target="https://doi.org/10.1093/nsr/nwag262" TargetMode="External"/><Relationship Id="rId502" Type="http://schemas.openxmlformats.org/officeDocument/2006/relationships/hyperlink" Target="https://www.nature.com/articles/d41586-026-01477-w" TargetMode="External"/><Relationship Id="rId503" Type="http://schemas.openxmlformats.org/officeDocument/2006/relationships/hyperlink" Target="https://doi.org/10.1038/d41586-026-01477-w" TargetMode="External"/><Relationship Id="rId504" Type="http://schemas.openxmlformats.org/officeDocument/2006/relationships/hyperlink" Target="https://www.sciencedirect.com/science/article/pii/S030626192600704X?dgcid=rss_sd_all" TargetMode="External"/><Relationship Id="rId505" Type="http://schemas.openxmlformats.org/officeDocument/2006/relationships/hyperlink" Target="https://www.sciencedirect.com/science/article/pii/S0306261926006896?dgcid=rss_sd_all" TargetMode="External"/><Relationship Id="rId506" Type="http://schemas.openxmlformats.org/officeDocument/2006/relationships/hyperlink" Target="https://www.sciencedirect.com/science/article/pii/S0306261926006550?dgcid=rss_sd_all" TargetMode="External"/><Relationship Id="rId507" Type="http://schemas.openxmlformats.org/officeDocument/2006/relationships/hyperlink" Target="https://www.nature.com/articles/s41928-026-01632-1" TargetMode="External"/><Relationship Id="rId508" Type="http://schemas.openxmlformats.org/officeDocument/2006/relationships/hyperlink" Target="https://doi.org/10.1038/s41928-026-01632-1" TargetMode="External"/><Relationship Id="rId509" Type="http://schemas.openxmlformats.org/officeDocument/2006/relationships/hyperlink" Target="https://www.nature.com/articles/s41928-026-01627-y" TargetMode="External"/><Relationship Id="rId510" Type="http://schemas.openxmlformats.org/officeDocument/2006/relationships/hyperlink" Target="https://doi.org/10.1038/s41928-026-01627-y" TargetMode="External"/><Relationship Id="rId511" Type="http://schemas.openxmlformats.org/officeDocument/2006/relationships/hyperlink" Target="https://www.nature.com/articles/d41586-026-01369-z" TargetMode="External"/><Relationship Id="rId512" Type="http://schemas.openxmlformats.org/officeDocument/2006/relationships/hyperlink" Target="https://doi.org/10.1038/d41586-026-01369-z" TargetMode="External"/><Relationship Id="rId513" Type="http://schemas.openxmlformats.org/officeDocument/2006/relationships/hyperlink" Target="https://www.nature.com/articles/s41893-026-01828-5" TargetMode="External"/><Relationship Id="rId514" Type="http://schemas.openxmlformats.org/officeDocument/2006/relationships/hyperlink" Target="https://doi.org/10.1038/s41893-026-01828-5" TargetMode="External"/><Relationship Id="rId515" Type="http://schemas.openxmlformats.org/officeDocument/2006/relationships/hyperlink" Target="https://www.nature.com/articles/s41893-026-01834-7" TargetMode="External"/><Relationship Id="rId516" Type="http://schemas.openxmlformats.org/officeDocument/2006/relationships/hyperlink" Target="https://doi.org/10.1038/s41893-026-01834-7" TargetMode="External"/><Relationship Id="rId517" Type="http://schemas.openxmlformats.org/officeDocument/2006/relationships/hyperlink" Target="https://www.nature.com/articles/d41586-026-01523-7" TargetMode="External"/><Relationship Id="rId518" Type="http://schemas.openxmlformats.org/officeDocument/2006/relationships/hyperlink" Target="https://doi.org/10.1038/d41586-026-01523-7" TargetMode="External"/><Relationship Id="rId519" Type="http://schemas.openxmlformats.org/officeDocument/2006/relationships/hyperlink" Target="https://www.nature.com/articles/s41893-026-01821-y" TargetMode="External"/><Relationship Id="rId520" Type="http://schemas.openxmlformats.org/officeDocument/2006/relationships/hyperlink" Target="https://doi.org/10.1038/s41893-026-01821-y" TargetMode="External"/><Relationship Id="rId521" Type="http://schemas.openxmlformats.org/officeDocument/2006/relationships/hyperlink" Target="https://www.nature.com/articles/s41893-026-01822-x" TargetMode="External"/><Relationship Id="rId522" Type="http://schemas.openxmlformats.org/officeDocument/2006/relationships/hyperlink" Target="https://doi.org/10.1038/s41893-026-01822-x" TargetMode="External"/><Relationship Id="rId523" Type="http://schemas.openxmlformats.org/officeDocument/2006/relationships/hyperlink" Target="https://www.nature.com/articles/s41467-026-72856-0" TargetMode="External"/><Relationship Id="rId524" Type="http://schemas.openxmlformats.org/officeDocument/2006/relationships/hyperlink" Target="https://doi.org/10.1038/s41467-026-72856-0" TargetMode="External"/><Relationship Id="rId525" Type="http://schemas.openxmlformats.org/officeDocument/2006/relationships/hyperlink" Target="https://www.nature.com/articles/s41467-026-72813-x" TargetMode="External"/><Relationship Id="rId526" Type="http://schemas.openxmlformats.org/officeDocument/2006/relationships/hyperlink" Target="https://doi.org/10.1038/s41467-026-72813-x" TargetMode="External"/><Relationship Id="rId527" Type="http://schemas.openxmlformats.org/officeDocument/2006/relationships/hyperlink" Target="https://www.nature.com/articles/s41467-026-72909-4" TargetMode="External"/><Relationship Id="rId528" Type="http://schemas.openxmlformats.org/officeDocument/2006/relationships/hyperlink" Target="https://doi.org/10.1038/s41467-026-72909-4" TargetMode="External"/><Relationship Id="rId529" Type="http://schemas.openxmlformats.org/officeDocument/2006/relationships/hyperlink" Target="https://www.nature.com/articles/s41467-026-72896-6" TargetMode="External"/><Relationship Id="rId530" Type="http://schemas.openxmlformats.org/officeDocument/2006/relationships/hyperlink" Target="https://doi.org/10.1038/s41467-026-72896-6" TargetMode="External"/><Relationship Id="rId531" Type="http://schemas.openxmlformats.org/officeDocument/2006/relationships/hyperlink" Target="https://www.nature.com/articles/s41560-026-02062-1" TargetMode="External"/><Relationship Id="rId532" Type="http://schemas.openxmlformats.org/officeDocument/2006/relationships/hyperlink" Target="https://doi.org/10.1038/s41560-026-02062-1" TargetMode="External"/><Relationship Id="rId533" Type="http://schemas.openxmlformats.org/officeDocument/2006/relationships/hyperlink" Target="https://www.nature.com/articles/s41560-026-02060-3" TargetMode="External"/><Relationship Id="rId534" Type="http://schemas.openxmlformats.org/officeDocument/2006/relationships/hyperlink" Target="https://doi.org/10.1038/s41560-026-02060-3" TargetMode="External"/><Relationship Id="rId535" Type="http://schemas.openxmlformats.org/officeDocument/2006/relationships/hyperlink" Target="https://www.nature.com/articles/s41565-026-02174-5" TargetMode="External"/><Relationship Id="rId536" Type="http://schemas.openxmlformats.org/officeDocument/2006/relationships/hyperlink" Target="https://doi.org/10.1038/s41565-026-02174-5" TargetMode="External"/><Relationship Id="rId537" Type="http://schemas.openxmlformats.org/officeDocument/2006/relationships/hyperlink" Target="https://www.nature.com/articles/s41928-026-01615-2" TargetMode="External"/><Relationship Id="rId538" Type="http://schemas.openxmlformats.org/officeDocument/2006/relationships/hyperlink" Target="https://doi.org/10.1038/s41928-026-01615-2" TargetMode="External"/><Relationship Id="rId539" Type="http://schemas.openxmlformats.org/officeDocument/2006/relationships/hyperlink" Target="https://www.cell.com/matter/fulltext/S2590-2385(26)00182-7?rss=yes" TargetMode="External"/><Relationship Id="rId540" Type="http://schemas.openxmlformats.org/officeDocument/2006/relationships/hyperlink" Target="https://doi.org/10.1016/j.matt.2026.102819" TargetMode="External"/><Relationship Id="rId541" Type="http://schemas.openxmlformats.org/officeDocument/2006/relationships/hyperlink" Target="https://chemistry-europe.onlinelibrary.wiley.com/doi/10.1002/anie.8677989?af=R" TargetMode="External"/><Relationship Id="rId542" Type="http://schemas.openxmlformats.org/officeDocument/2006/relationships/hyperlink" Target="https://doi.org/10.1002/anie.8677989" TargetMode="External"/><Relationship Id="rId543" Type="http://schemas.openxmlformats.org/officeDocument/2006/relationships/hyperlink" Target="https://chemistry-europe.onlinelibrary.wiley.com/doi/10.1002/anie.5512891?af=R" TargetMode="External"/><Relationship Id="rId544" Type="http://schemas.openxmlformats.org/officeDocument/2006/relationships/hyperlink" Target="https://doi.org/10.1002/anie.5512891" TargetMode="External"/><Relationship Id="rId545" Type="http://schemas.openxmlformats.org/officeDocument/2006/relationships/hyperlink" Target="https://chemistry-europe.onlinelibrary.wiley.com/doi/10.1002/anie.6349130?af=R" TargetMode="External"/><Relationship Id="rId546" Type="http://schemas.openxmlformats.org/officeDocument/2006/relationships/hyperlink" Target="https://doi.org/10.1002/anie.6349130" TargetMode="External"/><Relationship Id="rId547" Type="http://schemas.openxmlformats.org/officeDocument/2006/relationships/hyperlink" Target="https://chemistry-europe.onlinelibrary.wiley.com/doi/10.1002/anie.7454058?af=R" TargetMode="External"/><Relationship Id="rId548" Type="http://schemas.openxmlformats.org/officeDocument/2006/relationships/hyperlink" Target="https://doi.org/10.1002/anie.7454058" TargetMode="External"/><Relationship Id="rId549" Type="http://schemas.openxmlformats.org/officeDocument/2006/relationships/hyperlink" Target="https://chemistry-europe.onlinelibrary.wiley.com/doi/10.1002/anie.5182394?af=R" TargetMode="External"/><Relationship Id="rId550" Type="http://schemas.openxmlformats.org/officeDocument/2006/relationships/hyperlink" Target="https://doi.org/10.1002/anie.5182394" TargetMode="External"/><Relationship Id="rId551" Type="http://schemas.openxmlformats.org/officeDocument/2006/relationships/hyperlink" Target="https://chemistry-europe.onlinelibrary.wiley.com/doi/10.1002/anie.1052729?af=R" TargetMode="External"/><Relationship Id="rId552" Type="http://schemas.openxmlformats.org/officeDocument/2006/relationships/hyperlink" Target="https://doi.org/10.1002/anie.1052729" TargetMode="External"/><Relationship Id="rId553" Type="http://schemas.openxmlformats.org/officeDocument/2006/relationships/hyperlink" Target="https://chemistry-europe.onlinelibrary.wiley.com/doi/10.1002/anie.1664539?af=R" TargetMode="External"/><Relationship Id="rId554" Type="http://schemas.openxmlformats.org/officeDocument/2006/relationships/hyperlink" Target="https://doi.org/10.1002/anie.1664539" TargetMode="External"/><Relationship Id="rId555" Type="http://schemas.openxmlformats.org/officeDocument/2006/relationships/hyperlink" Target="https://chemistry-europe.onlinelibrary.wiley.com/doi/10.1002/anie.4991944?af=R" TargetMode="External"/><Relationship Id="rId556" Type="http://schemas.openxmlformats.org/officeDocument/2006/relationships/hyperlink" Target="https://doi.org/10.1002/anie.4991944" TargetMode="External"/><Relationship Id="rId557" Type="http://schemas.openxmlformats.org/officeDocument/2006/relationships/hyperlink" Target="https://chemistry-europe.onlinelibrary.wiley.com/doi/10.1002/anie.202526136?af=R" TargetMode="External"/><Relationship Id="rId558" Type="http://schemas.openxmlformats.org/officeDocument/2006/relationships/hyperlink" Target="https://doi.org/10.1002/anie.202526136" TargetMode="External"/><Relationship Id="rId559" Type="http://schemas.openxmlformats.org/officeDocument/2006/relationships/hyperlink" Target="https://chemistry-europe.onlinelibrary.wiley.com/doi/10.1002/anie.9577048?af=R" TargetMode="External"/><Relationship Id="rId560" Type="http://schemas.openxmlformats.org/officeDocument/2006/relationships/hyperlink" Target="https://doi.org/10.1002/anie.9577048" TargetMode="External"/><Relationship Id="rId561" Type="http://schemas.openxmlformats.org/officeDocument/2006/relationships/hyperlink" Target="https://advanced.onlinelibrary.wiley.com/doi/10.1002/adma.73364?af=R" TargetMode="External"/><Relationship Id="rId562" Type="http://schemas.openxmlformats.org/officeDocument/2006/relationships/hyperlink" Target="https://doi.org/10.1002/adma.73364" TargetMode="External"/><Relationship Id="rId563" Type="http://schemas.openxmlformats.org/officeDocument/2006/relationships/hyperlink" Target="https://www.pnas.org/doi/abs/10.1073/pnas.2606726123?mi=eymic2&amp;af=R&amp;access=on&amp;content=articlesChapters&amp;publication=pnas&amp;sortBy=Earliest&amp;target=default" TargetMode="External"/><Relationship Id="rId564" Type="http://schemas.openxmlformats.org/officeDocument/2006/relationships/hyperlink" Target="https://doi.org/10.1073/pnas.2606726123" TargetMode="External"/><Relationship Id="rId565" Type="http://schemas.openxmlformats.org/officeDocument/2006/relationships/hyperlink" Target="https://www.pnas.org/doi/abs/10.1073/pnas.2537038123?mi=eymic2&amp;af=R&amp;access=on&amp;content=articlesChapters&amp;publication=pnas&amp;sortBy=Earliest&amp;target=default" TargetMode="External"/><Relationship Id="rId566" Type="http://schemas.openxmlformats.org/officeDocument/2006/relationships/hyperlink" Target="https://doi.org/10.1073/pnas.2537038123" TargetMode="External"/><Relationship Id="rId567" Type="http://schemas.openxmlformats.org/officeDocument/2006/relationships/hyperlink" Target="https://www.pnas.org/doi/abs/10.1073/pnas.2603297123?mi=eymic2&amp;af=R&amp;access=on&amp;content=articlesChapters&amp;publication=pnas&amp;sortBy=Earliest&amp;target=default" TargetMode="External"/><Relationship Id="rId568" Type="http://schemas.openxmlformats.org/officeDocument/2006/relationships/hyperlink" Target="https://doi.org/10.1073/pnas.2603297123" TargetMode="External"/><Relationship Id="rId569" Type="http://schemas.openxmlformats.org/officeDocument/2006/relationships/hyperlink" Target="https://www.pnas.org/doi/abs/10.1073/pnas.2602678123?mi=eymic2&amp;af=R&amp;access=on&amp;content=articlesChapters&amp;publication=pnas&amp;sortBy=Earliest&amp;target=default" TargetMode="External"/><Relationship Id="rId570" Type="http://schemas.openxmlformats.org/officeDocument/2006/relationships/hyperlink" Target="https://doi.org/10.1073/pnas.2602678123" TargetMode="External"/><Relationship Id="rId571" Type="http://schemas.openxmlformats.org/officeDocument/2006/relationships/hyperlink" Target="https://www.pnas.org/doi/abs/10.1073/pnas.2537655123?mi=eymic2&amp;af=R&amp;access=on&amp;content=articlesChapters&amp;publication=pnas&amp;sortBy=Earliest&amp;target=default" TargetMode="External"/><Relationship Id="rId572" Type="http://schemas.openxmlformats.org/officeDocument/2006/relationships/hyperlink" Target="https://doi.org/10.1073/pnas.2537655123" TargetMode="External"/><Relationship Id="rId573" Type="http://schemas.openxmlformats.org/officeDocument/2006/relationships/hyperlink" Target="https://www.pnas.org/doi/abs/10.1073/pnas.2537351123?mi=eymic2&amp;af=R&amp;access=on&amp;content=articlesChapters&amp;publication=pnas&amp;sortBy=Earliest&amp;target=default" TargetMode="External"/><Relationship Id="rId574" Type="http://schemas.openxmlformats.org/officeDocument/2006/relationships/hyperlink" Target="https://doi.org/10.1073/pnas.2537351123" TargetMode="External"/><Relationship Id="rId575" Type="http://schemas.openxmlformats.org/officeDocument/2006/relationships/hyperlink" Target="https://www.pnas.org/doi/abs/10.1073/pnas.2536899123?mi=eymic2&amp;af=R&amp;access=on&amp;content=articlesChapters&amp;publication=pnas&amp;sortBy=Earliest&amp;target=default" TargetMode="External"/><Relationship Id="rId576" Type="http://schemas.openxmlformats.org/officeDocument/2006/relationships/hyperlink" Target="https://doi.org/10.1073/pnas.2536899123" TargetMode="External"/><Relationship Id="rId577" Type="http://schemas.openxmlformats.org/officeDocument/2006/relationships/hyperlink" Target="https://onlinelibrary.wiley.com/doi/10.1002/anie.5828704?af=R" TargetMode="External"/><Relationship Id="rId578" Type="http://schemas.openxmlformats.org/officeDocument/2006/relationships/hyperlink" Target="https://doi.org/10.1002/anie.5828704" TargetMode="External"/><Relationship Id="rId579" Type="http://schemas.openxmlformats.org/officeDocument/2006/relationships/hyperlink" Target="https://www.pnas.org/doi/abs/10.1073/pnas.2530814123?mi=eymic2&amp;af=R&amp;access=on&amp;content=articlesChapters&amp;publication=pnas&amp;sortBy=Earliest&amp;target=default" TargetMode="External"/><Relationship Id="rId580" Type="http://schemas.openxmlformats.org/officeDocument/2006/relationships/hyperlink" Target="https://doi.org/10.1073/pnas.2530814123" TargetMode="External"/><Relationship Id="rId581" Type="http://schemas.openxmlformats.org/officeDocument/2006/relationships/hyperlink" Target="https://www.pnas.org/doi/abs/10.1073/pnas.2533968123?mi=eymic2&amp;af=R&amp;access=on&amp;content=articlesChapters&amp;publication=pnas&amp;sortBy=Earliest&amp;target=default" TargetMode="External"/><Relationship Id="rId582" Type="http://schemas.openxmlformats.org/officeDocument/2006/relationships/hyperlink" Target="https://doi.org/10.1073/pnas.2533968123" TargetMode="External"/><Relationship Id="rId583" Type="http://schemas.openxmlformats.org/officeDocument/2006/relationships/hyperlink" Target="https://www.pnas.org/doi/abs/10.1073/pnas.2529959123?mi=eymic2&amp;af=R&amp;access=on&amp;content=articlesChapters&amp;publication=pnas&amp;sortBy=Earliest&amp;target=default" TargetMode="External"/><Relationship Id="rId584" Type="http://schemas.openxmlformats.org/officeDocument/2006/relationships/hyperlink" Target="https://doi.org/10.1073/pnas.2529959123" TargetMode="External"/><Relationship Id="rId585" Type="http://schemas.openxmlformats.org/officeDocument/2006/relationships/hyperlink" Target="https://www.pnas.org/doi/abs/10.1073/pnas.2529533123?mi=eymic2&amp;af=R&amp;access=on&amp;content=articlesChapters&amp;publication=pnas&amp;sortBy=Earliest&amp;target=default" TargetMode="External"/><Relationship Id="rId586" Type="http://schemas.openxmlformats.org/officeDocument/2006/relationships/hyperlink" Target="https://doi.org/10.1073/pnas.2529533123" TargetMode="External"/><Relationship Id="rId587" Type="http://schemas.openxmlformats.org/officeDocument/2006/relationships/hyperlink" Target="https://www.pnas.org/doi/abs/10.1073/iti1926123?mi=eymic2&amp;af=R&amp;access=on&amp;content=articlesChapters&amp;publication=pnas&amp;sortBy=Earliest&amp;target=default" TargetMode="External"/><Relationship Id="rId588" Type="http://schemas.openxmlformats.org/officeDocument/2006/relationships/hyperlink" Target="https://doi.org/10.1073/iti1926123" TargetMode="External"/><Relationship Id="rId589" Type="http://schemas.openxmlformats.org/officeDocument/2006/relationships/hyperlink" Target="https://www.pnas.org/doi/abs/10.1073/pnas.2512756123?mi=eymic2&amp;af=R&amp;access=on&amp;content=articlesChapters&amp;publication=pnas&amp;sortBy=Earliest&amp;target=default" TargetMode="External"/><Relationship Id="rId590" Type="http://schemas.openxmlformats.org/officeDocument/2006/relationships/hyperlink" Target="https://doi.org/10.1073/pnas.2512756123" TargetMode="External"/><Relationship Id="rId591" Type="http://schemas.openxmlformats.org/officeDocument/2006/relationships/hyperlink" Target="https://www.pnas.org/doi/abs/10.1073/pnas.2516477123?mi=eymic2&amp;af=R&amp;access=on&amp;content=articlesChapters&amp;publication=pnas&amp;sortBy=Earliest&amp;target=default" TargetMode="External"/><Relationship Id="rId592" Type="http://schemas.openxmlformats.org/officeDocument/2006/relationships/hyperlink" Target="https://doi.org/10.1073/pnas.2516477123" TargetMode="External"/><Relationship Id="rId593" Type="http://schemas.openxmlformats.org/officeDocument/2006/relationships/hyperlink" Target="https://www.pnas.org/doi/abs/10.1073/pnas.2529979123?mi=eymic2&amp;af=R&amp;access=on&amp;content=articlesChapters&amp;publication=pnas&amp;sortBy=Earliest&amp;target=default" TargetMode="External"/><Relationship Id="rId594" Type="http://schemas.openxmlformats.org/officeDocument/2006/relationships/hyperlink" Target="https://doi.org/10.1073/pnas.2529979123" TargetMode="External"/><Relationship Id="rId595" Type="http://schemas.openxmlformats.org/officeDocument/2006/relationships/hyperlink" Target="https://www.pnas.org/doi/abs/10.1073/pnas.2523301123?mi=eymic2&amp;af=R&amp;access=on&amp;content=articlesChapters&amp;publication=pnas&amp;sortBy=Earliest&amp;target=default" TargetMode="External"/><Relationship Id="rId596" Type="http://schemas.openxmlformats.org/officeDocument/2006/relationships/hyperlink" Target="https://doi.org/10.1073/pnas.2523301123" TargetMode="External"/><Relationship Id="rId597" Type="http://schemas.openxmlformats.org/officeDocument/2006/relationships/hyperlink" Target="https://www.pnas.org/doi/abs/10.1073/pnas.2524728123?mi=eymic2&amp;af=R&amp;access=on&amp;content=articlesChapters&amp;publication=pnas&amp;sortBy=Earliest&amp;target=default" TargetMode="External"/><Relationship Id="rId598" Type="http://schemas.openxmlformats.org/officeDocument/2006/relationships/hyperlink" Target="https://doi.org/10.1073/pnas.2524728123" TargetMode="External"/><Relationship Id="rId599" Type="http://schemas.openxmlformats.org/officeDocument/2006/relationships/hyperlink" Target="https://www.pnas.org/doi/abs/10.1073/pnas.2526643123?mi=eymic2&amp;af=R&amp;access=on&amp;content=articlesChapters&amp;publication=pnas&amp;sortBy=Earliest&amp;target=default" TargetMode="External"/><Relationship Id="rId600" Type="http://schemas.openxmlformats.org/officeDocument/2006/relationships/hyperlink" Target="https://doi.org/10.1073/pnas.2526643123" TargetMode="External"/><Relationship Id="rId601" Type="http://schemas.openxmlformats.org/officeDocument/2006/relationships/hyperlink" Target="https://www.pnas.org/doi/abs/10.1073/pnas.2528332123?mi=eymic2&amp;af=R&amp;access=on&amp;content=articlesChapters&amp;publication=pnas&amp;sortBy=Earliest&amp;target=default" TargetMode="External"/><Relationship Id="rId602" Type="http://schemas.openxmlformats.org/officeDocument/2006/relationships/hyperlink" Target="https://doi.org/10.1073/pnas.2528332123" TargetMode="External"/><Relationship Id="rId603" Type="http://schemas.openxmlformats.org/officeDocument/2006/relationships/hyperlink" Target="https://www.pnas.org/doi/abs/10.1073/pnas.2521055123?mi=eymic2&amp;af=R&amp;access=on&amp;content=articlesChapters&amp;publication=pnas&amp;sortBy=Earliest&amp;target=default" TargetMode="External"/><Relationship Id="rId604" Type="http://schemas.openxmlformats.org/officeDocument/2006/relationships/hyperlink" Target="https://doi.org/10.1073/pnas.2521055123" TargetMode="External"/><Relationship Id="rId605" Type="http://schemas.openxmlformats.org/officeDocument/2006/relationships/hyperlink" Target="https://advanced.onlinelibrary.wiley.com/doi/10.1002/adma.73312?af=R" TargetMode="External"/><Relationship Id="rId606" Type="http://schemas.openxmlformats.org/officeDocument/2006/relationships/hyperlink" Target="https://doi.org/10.1002/adma.73312" TargetMode="External"/><Relationship Id="rId607" Type="http://schemas.openxmlformats.org/officeDocument/2006/relationships/hyperlink" Target="https://advanced.onlinelibrary.wiley.com/doi/10.1002/adma.202521108?af=R" TargetMode="External"/><Relationship Id="rId608" Type="http://schemas.openxmlformats.org/officeDocument/2006/relationships/hyperlink" Target="https://doi.org/10.1002/adma.202521108" TargetMode="External"/><Relationship Id="rId609" Type="http://schemas.openxmlformats.org/officeDocument/2006/relationships/hyperlink" Target="https://advanced.onlinelibrary.wiley.com/doi/10.1002/aenm.71046?af=R" TargetMode="External"/><Relationship Id="rId610" Type="http://schemas.openxmlformats.org/officeDocument/2006/relationships/hyperlink" Target="https://doi.org/10.1002/aenm.71046" TargetMode="External"/><Relationship Id="rId611" Type="http://schemas.openxmlformats.org/officeDocument/2006/relationships/hyperlink" Target="https://advanced.onlinelibrary.wiley.com/doi/10.1002/adma.202522500?af=R" TargetMode="External"/><Relationship Id="rId612" Type="http://schemas.openxmlformats.org/officeDocument/2006/relationships/hyperlink" Target="https://doi.org/10.1002/adma.202522500" TargetMode="External"/><Relationship Id="rId613" Type="http://schemas.openxmlformats.org/officeDocument/2006/relationships/hyperlink" Target="http://dx.doi.org/10.1021/jacs.6c01876" TargetMode="External"/><Relationship Id="rId614" Type="http://schemas.openxmlformats.org/officeDocument/2006/relationships/hyperlink" Target="https://doi.org/10.1021/jacs.6c01876" TargetMode="External"/><Relationship Id="rId615" Type="http://schemas.openxmlformats.org/officeDocument/2006/relationships/hyperlink" Target="http://dx.doi.org/10.1021/jacs.6c05281" TargetMode="External"/><Relationship Id="rId616" Type="http://schemas.openxmlformats.org/officeDocument/2006/relationships/hyperlink" Target="https://doi.org/10.1021/jacs.6c05281" TargetMode="External"/><Relationship Id="rId617" Type="http://schemas.openxmlformats.org/officeDocument/2006/relationships/hyperlink" Target="http://dx.doi.org/10.1021/jacs.6c01293" TargetMode="External"/><Relationship Id="rId618" Type="http://schemas.openxmlformats.org/officeDocument/2006/relationships/hyperlink" Target="https://doi.org/10.1021/jacs.6c01293" TargetMode="External"/><Relationship Id="rId619" Type="http://schemas.openxmlformats.org/officeDocument/2006/relationships/hyperlink" Target="https://onlinelibrary.wiley.com/doi/10.1002/anie.6374949?af=R" TargetMode="External"/><Relationship Id="rId620" Type="http://schemas.openxmlformats.org/officeDocument/2006/relationships/hyperlink" Target="https://doi.org/10.1002/anie.6374949" TargetMode="External"/><Relationship Id="rId621" Type="http://schemas.openxmlformats.org/officeDocument/2006/relationships/hyperlink" Target="https://onlinelibrary.wiley.com/doi/10.1002/anie.9220846?af=R" TargetMode="External"/><Relationship Id="rId622" Type="http://schemas.openxmlformats.org/officeDocument/2006/relationships/hyperlink" Target="https://doi.org/10.1002/anie.9220846" TargetMode="External"/><Relationship Id="rId623" Type="http://schemas.openxmlformats.org/officeDocument/2006/relationships/hyperlink" Target="https://onlinelibrary.wiley.com/doi/10.1002/anie.7680895?af=R" TargetMode="External"/><Relationship Id="rId624" Type="http://schemas.openxmlformats.org/officeDocument/2006/relationships/hyperlink" Target="https://doi.org/10.1002/anie.7680895" TargetMode="External"/><Relationship Id="rId625" Type="http://schemas.openxmlformats.org/officeDocument/2006/relationships/hyperlink" Target="http://dx.doi.org/10.1021/jacs.6c02539" TargetMode="External"/><Relationship Id="rId626" Type="http://schemas.openxmlformats.org/officeDocument/2006/relationships/hyperlink" Target="https://doi.org/10.1021/jacs.6c02539" TargetMode="External"/><Relationship Id="rId627" Type="http://schemas.openxmlformats.org/officeDocument/2006/relationships/hyperlink" Target="http://dx.doi.org/10.1021/jacs.6c06778" TargetMode="External"/><Relationship Id="rId628" Type="http://schemas.openxmlformats.org/officeDocument/2006/relationships/hyperlink" Target="https://doi.org/10.1021/jacs.6c06778" TargetMode="External"/><Relationship Id="rId629" Type="http://schemas.openxmlformats.org/officeDocument/2006/relationships/hyperlink" Target="http://dx.doi.org/10.1021/acs.chemrev.5c01120" TargetMode="External"/><Relationship Id="rId630" Type="http://schemas.openxmlformats.org/officeDocument/2006/relationships/hyperlink" Target="https://doi.org/10.1021/acs.chemrev.5c01120" TargetMode="External"/><Relationship Id="rId631" Type="http://schemas.openxmlformats.org/officeDocument/2006/relationships/hyperlink" Target="https://onlinelibrary.wiley.com/doi/10.1002/anie.9994402?af=R" TargetMode="External"/><Relationship Id="rId632" Type="http://schemas.openxmlformats.org/officeDocument/2006/relationships/hyperlink" Target="https://doi.org/10.1002/anie.9994402" TargetMode="External"/><Relationship Id="rId633" Type="http://schemas.openxmlformats.org/officeDocument/2006/relationships/hyperlink" Target="https://advanced.onlinelibrary.wiley.com/doi/10.1002/aenm.71074?af=R" TargetMode="External"/><Relationship Id="rId634" Type="http://schemas.openxmlformats.org/officeDocument/2006/relationships/hyperlink" Target="https://doi.org/10.1002/aenm.71074" TargetMode="External"/><Relationship Id="rId635" Type="http://schemas.openxmlformats.org/officeDocument/2006/relationships/hyperlink" Target="https://advanced.onlinelibrary.wiley.com/doi/10.1002/aenm.202502265?af=R" TargetMode="External"/><Relationship Id="rId636" Type="http://schemas.openxmlformats.org/officeDocument/2006/relationships/hyperlink" Target="https://doi.org/10.1002/aenm.202502265" TargetMode="External"/><Relationship Id="rId637" Type="http://schemas.openxmlformats.org/officeDocument/2006/relationships/hyperlink" Target="http://dx.doi.org/10.1021/jacs.5c21453" TargetMode="External"/><Relationship Id="rId638" Type="http://schemas.openxmlformats.org/officeDocument/2006/relationships/hyperlink" Target="https://doi.org/10.1021/jacs.5c21453" TargetMode="External"/><Relationship Id="rId639" Type="http://schemas.openxmlformats.org/officeDocument/2006/relationships/hyperlink" Target="http://dx.doi.org/10.1021/jacs.6c01737" TargetMode="External"/><Relationship Id="rId640" Type="http://schemas.openxmlformats.org/officeDocument/2006/relationships/hyperlink" Target="https://doi.org/10.1021/jacs.6c01737" TargetMode="External"/><Relationship Id="rId641" Type="http://schemas.openxmlformats.org/officeDocument/2006/relationships/hyperlink" Target="http://dx.doi.org/10.1021/jacs.6c03948" TargetMode="External"/><Relationship Id="rId642" Type="http://schemas.openxmlformats.org/officeDocument/2006/relationships/hyperlink" Target="https://doi.org/10.1021/jacs.6c03948" TargetMode="External"/><Relationship Id="rId643" Type="http://schemas.openxmlformats.org/officeDocument/2006/relationships/hyperlink" Target="http://dx.doi.org/10.1021/jacs.6c05077" TargetMode="External"/><Relationship Id="rId644" Type="http://schemas.openxmlformats.org/officeDocument/2006/relationships/hyperlink" Target="https://doi.org/10.1021/jacs.6c05077" TargetMode="External"/><Relationship Id="rId645" Type="http://schemas.openxmlformats.org/officeDocument/2006/relationships/hyperlink" Target="http://dx.doi.org/10.1021/jacs.6c06343" TargetMode="External"/><Relationship Id="rId646" Type="http://schemas.openxmlformats.org/officeDocument/2006/relationships/hyperlink" Target="https://doi.org/10.1021/jacs.6c06343" TargetMode="External"/><Relationship Id="rId647" Type="http://schemas.openxmlformats.org/officeDocument/2006/relationships/hyperlink" Target="https://advanced.onlinelibrary.wiley.com/doi/10.1002/adma.73367?af=R" TargetMode="External"/><Relationship Id="rId648" Type="http://schemas.openxmlformats.org/officeDocument/2006/relationships/hyperlink" Target="https://doi.org/10.1002/adma.73367" TargetMode="External"/><Relationship Id="rId649" Type="http://schemas.openxmlformats.org/officeDocument/2006/relationships/hyperlink" Target="https://advanced.onlinelibrary.wiley.com/doi/10.1002/adma.73358?af=R" TargetMode="External"/><Relationship Id="rId650" Type="http://schemas.openxmlformats.org/officeDocument/2006/relationships/hyperlink" Target="https://doi.org/10.1002/adma.73358" TargetMode="External"/><Relationship Id="rId651" Type="http://schemas.openxmlformats.org/officeDocument/2006/relationships/hyperlink" Target="http://dx.doi.org/10.1021/jacs.6c04860" TargetMode="External"/><Relationship Id="rId652" Type="http://schemas.openxmlformats.org/officeDocument/2006/relationships/hyperlink" Target="https://doi.org/10.1021/jacs.6c04860" TargetMode="External"/><Relationship Id="rId653" Type="http://schemas.openxmlformats.org/officeDocument/2006/relationships/hyperlink" Target="http://dx.doi.org/10.1021/jacs.6c05034" TargetMode="External"/><Relationship Id="rId654" Type="http://schemas.openxmlformats.org/officeDocument/2006/relationships/hyperlink" Target="https://doi.org/10.1021/jacs.6c05034" TargetMode="External"/><Relationship Id="rId655" Type="http://schemas.openxmlformats.org/officeDocument/2006/relationships/hyperlink" Target="http://dx.doi.org/10.1021/jacs.6c05080" TargetMode="External"/><Relationship Id="rId656" Type="http://schemas.openxmlformats.org/officeDocument/2006/relationships/hyperlink" Target="https://doi.org/10.1021/jacs.6c05080" TargetMode="External"/><Relationship Id="rId657" Type="http://schemas.openxmlformats.org/officeDocument/2006/relationships/hyperlink" Target="http://dx.doi.org/10.1021/jacs.6c01900" TargetMode="External"/><Relationship Id="rId658" Type="http://schemas.openxmlformats.org/officeDocument/2006/relationships/hyperlink" Target="https://doi.org/10.1021/jacs.6c01900" TargetMode="External"/><Relationship Id="rId659" Type="http://schemas.openxmlformats.org/officeDocument/2006/relationships/hyperlink" Target="http://dx.doi.org/10.1021/jacs.6c06123" TargetMode="External"/><Relationship Id="rId660" Type="http://schemas.openxmlformats.org/officeDocument/2006/relationships/hyperlink" Target="https://doi.org/10.1021/jacs.6c06123" TargetMode="External"/><Relationship Id="rId661" Type="http://schemas.openxmlformats.org/officeDocument/2006/relationships/hyperlink" Target="http://dx.doi.org/10.1021/jacs.6c04962" TargetMode="External"/><Relationship Id="rId662" Type="http://schemas.openxmlformats.org/officeDocument/2006/relationships/hyperlink" Target="https://doi.org/10.1021/jacs.6c04962" TargetMode="External"/><Relationship Id="rId663" Type="http://schemas.openxmlformats.org/officeDocument/2006/relationships/hyperlink" Target="http://dx.doi.org/10.1021/jacs.6c02948" TargetMode="External"/><Relationship Id="rId664" Type="http://schemas.openxmlformats.org/officeDocument/2006/relationships/hyperlink" Target="https://doi.org/10.1021/jacs.6c02948" TargetMode="External"/><Relationship Id="rId665" Type="http://schemas.openxmlformats.org/officeDocument/2006/relationships/hyperlink" Target="http://dx.doi.org/10.1021/jacs.6c08172" TargetMode="External"/><Relationship Id="rId666" Type="http://schemas.openxmlformats.org/officeDocument/2006/relationships/hyperlink" Target="https://doi.org/10.1021/jacs.6c08172" TargetMode="External"/><Relationship Id="rId667" Type="http://schemas.openxmlformats.org/officeDocument/2006/relationships/hyperlink" Target="https://onlinelibrary.wiley.com/doi/10.1002/anie.6007000?af=R" TargetMode="External"/><Relationship Id="rId668" Type="http://schemas.openxmlformats.org/officeDocument/2006/relationships/hyperlink" Target="https://doi.org/10.1002/anie.6007000" TargetMode="External"/><Relationship Id="rId669" Type="http://schemas.openxmlformats.org/officeDocument/2006/relationships/hyperlink" Target="http://dx.doi.org/10.1021/acs.chemrev.6c00110" TargetMode="External"/><Relationship Id="rId670" Type="http://schemas.openxmlformats.org/officeDocument/2006/relationships/hyperlink" Target="https://doi.org/10.1021/acs.chemrev.6c00110" TargetMode="External"/><Relationship Id="rId671" Type="http://schemas.openxmlformats.org/officeDocument/2006/relationships/hyperlink" Target="http://dx.doi.org/10.1021/jacs.6c04404" TargetMode="External"/><Relationship Id="rId672" Type="http://schemas.openxmlformats.org/officeDocument/2006/relationships/hyperlink" Target="https://doi.org/10.1021/jacs.6c04404" TargetMode="External"/><Relationship Id="rId673" Type="http://schemas.openxmlformats.org/officeDocument/2006/relationships/hyperlink" Target="http://pubs.rsc.org/en/Content/ArticleLanding/2026/CS/D6CS90040B" TargetMode="External"/><Relationship Id="rId674" Type="http://schemas.openxmlformats.org/officeDocument/2006/relationships/hyperlink" Target="http://pubs.rsc.org/en/Content/ArticleLanding/2026/CS/D5CS01387A" TargetMode="External"/><Relationship Id="rId675" Type="http://schemas.openxmlformats.org/officeDocument/2006/relationships/hyperlink" Target="http://pubs.rsc.org/en/Content/ArticleLanding/2026/CS/D5CS00526D" TargetMode="External"/><Relationship Id="rId676" Type="http://schemas.openxmlformats.org/officeDocument/2006/relationships/hyperlink" Target="http://pubs.rsc.org/en/Content/ArticleLanding/2026/CS/D5CS01295C" TargetMode="External"/><Relationship Id="rId677" Type="http://schemas.openxmlformats.org/officeDocument/2006/relationships/hyperlink" Target="http://pubs.rsc.org/en/Content/ArticleLanding/2026/CS/D4CS00071D" TargetMode="External"/><Relationship Id="rId678" Type="http://schemas.openxmlformats.org/officeDocument/2006/relationships/hyperlink" Target="http://pubs.rsc.org/en/Content/ArticleLanding/2026/CS/D6CS00465B" TargetMode="External"/><Relationship Id="rId679" Type="http://schemas.openxmlformats.org/officeDocument/2006/relationships/hyperlink" Target="https://www.nature.com/articles/d41586-026-01321-1" TargetMode="External"/><Relationship Id="rId680" Type="http://schemas.openxmlformats.org/officeDocument/2006/relationships/hyperlink" Target="https://doi.org/10.1038/d41586-026-01321-1" TargetMode="External"/><Relationship Id="rId681" Type="http://schemas.openxmlformats.org/officeDocument/2006/relationships/hyperlink" Target="https://www.nature.com/articles/d41586-026-01380-4" TargetMode="External"/><Relationship Id="rId682" Type="http://schemas.openxmlformats.org/officeDocument/2006/relationships/hyperlink" Target="https://doi.org/10.1038/d41586-026-01380-4" TargetMode="External"/><Relationship Id="rId683" Type="http://schemas.openxmlformats.org/officeDocument/2006/relationships/hyperlink" Target="https://www.nature.com/articles/d41586-026-01378-y" TargetMode="External"/><Relationship Id="rId684" Type="http://schemas.openxmlformats.org/officeDocument/2006/relationships/hyperlink" Target="https://doi.org/10.1038/d41586-026-01378-y" TargetMode="External"/><Relationship Id="rId685" Type="http://schemas.openxmlformats.org/officeDocument/2006/relationships/hyperlink" Target="https://www.nature.com/articles/d41586-026-01486-9" TargetMode="External"/><Relationship Id="rId686" Type="http://schemas.openxmlformats.org/officeDocument/2006/relationships/hyperlink" Target="https://doi.org/10.1038/d41586-026-01486-9" TargetMode="External"/><Relationship Id="rId687" Type="http://schemas.openxmlformats.org/officeDocument/2006/relationships/hyperlink" Target="https://www.nature.com/articles/d41586-026-01373-3" TargetMode="External"/><Relationship Id="rId688" Type="http://schemas.openxmlformats.org/officeDocument/2006/relationships/hyperlink" Target="https://doi.org/10.1038/d41586-026-01373-3" TargetMode="External"/><Relationship Id="rId689" Type="http://schemas.openxmlformats.org/officeDocument/2006/relationships/hyperlink" Target="https://www.nature.com/articles/d41586-026-01328-8" TargetMode="External"/><Relationship Id="rId690" Type="http://schemas.openxmlformats.org/officeDocument/2006/relationships/hyperlink" Target="https://doi.org/10.1038/d41586-026-01328-8" TargetMode="External"/><Relationship Id="rId691" Type="http://schemas.openxmlformats.org/officeDocument/2006/relationships/hyperlink" Target="https://www.sciencedirect.com/science/article/pii/S030142152600282X?dgcid=rss_sd_all" TargetMode="External"/><Relationship Id="rId692" Type="http://schemas.openxmlformats.org/officeDocument/2006/relationships/hyperlink" Target="https://www.nature.com/articles/d41586-026-01375-1" TargetMode="External"/><Relationship Id="rId693" Type="http://schemas.openxmlformats.org/officeDocument/2006/relationships/hyperlink" Target="https://doi.org/10.1038/d41586-026-01375-1" TargetMode="External"/><Relationship Id="rId694" Type="http://schemas.openxmlformats.org/officeDocument/2006/relationships/hyperlink" Target="https://www.nature.com/articles/d41586-026-01377-z" TargetMode="External"/><Relationship Id="rId695" Type="http://schemas.openxmlformats.org/officeDocument/2006/relationships/hyperlink" Target="https://doi.org/10.1038/d41586-026-01377-z" TargetMode="External"/><Relationship Id="rId696" Type="http://schemas.openxmlformats.org/officeDocument/2006/relationships/hyperlink" Target="https://www.nature.com/articles/d41586-026-01476-x" TargetMode="External"/><Relationship Id="rId697" Type="http://schemas.openxmlformats.org/officeDocument/2006/relationships/hyperlink" Target="https://doi.org/10.1038/d41586-026-01476-x" TargetMode="External"/><Relationship Id="rId698" Type="http://schemas.openxmlformats.org/officeDocument/2006/relationships/hyperlink" Target="https://www.nature.com/articles/d41586-026-01374-2" TargetMode="External"/><Relationship Id="rId699" Type="http://schemas.openxmlformats.org/officeDocument/2006/relationships/hyperlink" Target="https://doi.org/10.1038/d41586-026-01374-2" TargetMode="External"/><Relationship Id="rId700" Type="http://schemas.openxmlformats.org/officeDocument/2006/relationships/hyperlink" Target="https://www.nature.com/articles/s41586-026-10515-6" TargetMode="External"/><Relationship Id="rId701" Type="http://schemas.openxmlformats.org/officeDocument/2006/relationships/hyperlink" Target="https://doi.org/10.1038/s41586-026-10515-6" TargetMode="External"/><Relationship Id="rId702" Type="http://schemas.openxmlformats.org/officeDocument/2006/relationships/hyperlink" Target="https://www.nature.com/articles/d41586-026-01376-0" TargetMode="External"/><Relationship Id="rId703" Type="http://schemas.openxmlformats.org/officeDocument/2006/relationships/hyperlink" Target="https://doi.org/10.1038/d41586-026-01376-0" TargetMode="External"/><Relationship Id="rId704" Type="http://schemas.openxmlformats.org/officeDocument/2006/relationships/hyperlink" Target="https://www.nature.com/articles/d41586-026-01151-1" TargetMode="External"/><Relationship Id="rId705" Type="http://schemas.openxmlformats.org/officeDocument/2006/relationships/hyperlink" Target="https://doi.org/10.1038/d41586-026-01151-1" TargetMode="External"/><Relationship Id="rId706" Type="http://schemas.openxmlformats.org/officeDocument/2006/relationships/hyperlink" Target="https://www.nature.com/articles/d41586-026-01081-y" TargetMode="External"/><Relationship Id="rId707" Type="http://schemas.openxmlformats.org/officeDocument/2006/relationships/hyperlink" Target="https://doi.org/10.1038/d41586-026-01081-y" TargetMode="External"/><Relationship Id="rId708" Type="http://schemas.openxmlformats.org/officeDocument/2006/relationships/hyperlink" Target="https://www.nature.com/articles/d41586-026-01506-8" TargetMode="External"/><Relationship Id="rId709" Type="http://schemas.openxmlformats.org/officeDocument/2006/relationships/hyperlink" Target="https://doi.org/10.1038/d41586-026-01506-8" TargetMode="External"/><Relationship Id="rId710" Type="http://schemas.openxmlformats.org/officeDocument/2006/relationships/hyperlink" Target="https://www.nature.com/articles/d41586-026-01546-0" TargetMode="External"/><Relationship Id="rId711" Type="http://schemas.openxmlformats.org/officeDocument/2006/relationships/hyperlink" Target="https://doi.org/10.1038/d41586-026-01546-0" TargetMode="External"/><Relationship Id="rId712" Type="http://schemas.openxmlformats.org/officeDocument/2006/relationships/hyperlink" Target="https://www.nature.com/articles/d41586-026-01322-0" TargetMode="External"/><Relationship Id="rId713" Type="http://schemas.openxmlformats.org/officeDocument/2006/relationships/hyperlink" Target="https://doi.org/10.1038/d41586-026-01322-0" TargetMode="External"/><Relationship Id="rId714" Type="http://schemas.openxmlformats.org/officeDocument/2006/relationships/hyperlink" Target="https://academic.oup.com/nsr/advance-article/doi/10.1093/nsr/nwag279/8677311?rss=1" TargetMode="External"/><Relationship Id="rId715" Type="http://schemas.openxmlformats.org/officeDocument/2006/relationships/hyperlink" Target="https://doi.org/10.1093/nsr/nwag279" TargetMode="External"/><Relationship Id="rId716" Type="http://schemas.openxmlformats.org/officeDocument/2006/relationships/hyperlink" Target="https://www.nature.com/articles/s41467-026-73080-6" TargetMode="External"/><Relationship Id="rId717" Type="http://schemas.openxmlformats.org/officeDocument/2006/relationships/hyperlink" Target="https://doi.org/10.1038/s41467-026-73080-6" TargetMode="External"/><Relationship Id="rId718" Type="http://schemas.openxmlformats.org/officeDocument/2006/relationships/hyperlink" Target="https://www.nature.com/articles/s41586-026-10454-2" TargetMode="External"/><Relationship Id="rId719" Type="http://schemas.openxmlformats.org/officeDocument/2006/relationships/hyperlink" Target="https://doi.org/10.1038/s41586-026-10454-2" TargetMode="External"/><Relationship Id="rId720" Type="http://schemas.openxmlformats.org/officeDocument/2006/relationships/hyperlink" Target="https://www.sciencedirect.com/science/article/pii/S0301421526003046?dgcid=rss_sd_all" TargetMode="External"/><Relationship Id="rId721" Type="http://schemas.openxmlformats.org/officeDocument/2006/relationships/hyperlink" Target="https://www.nature.com/articles/d41586-026-01379-x" TargetMode="External"/><Relationship Id="rId722" Type="http://schemas.openxmlformats.org/officeDocument/2006/relationships/hyperlink" Target="https://doi.org/10.1038/d41586-026-01379-x" TargetMode="External"/><Relationship Id="rId723" Type="http://schemas.openxmlformats.org/officeDocument/2006/relationships/hyperlink" Target="https://www.nature.com/articles/d41586-026-01485-w" TargetMode="External"/><Relationship Id="rId724" Type="http://schemas.openxmlformats.org/officeDocument/2006/relationships/hyperlink" Target="https://doi.org/10.1038/d41586-026-01485-w" TargetMode="External"/><Relationship Id="rId725" Type="http://schemas.openxmlformats.org/officeDocument/2006/relationships/hyperlink" Target="https://www.nature.com/articles/s41586-026-10469-9" TargetMode="External"/><Relationship Id="rId726" Type="http://schemas.openxmlformats.org/officeDocument/2006/relationships/hyperlink" Target="https://doi.org/10.1038/s41586-026-10469-9" TargetMode="External"/><Relationship Id="rId727" Type="http://schemas.openxmlformats.org/officeDocument/2006/relationships/hyperlink" Target="https://www.nature.com/articles/d41586-026-01318-w" TargetMode="External"/><Relationship Id="rId728" Type="http://schemas.openxmlformats.org/officeDocument/2006/relationships/hyperlink" Target="https://doi.org/10.1038/d41586-026-01318-w" TargetMode="External"/><Relationship Id="rId729" Type="http://schemas.openxmlformats.org/officeDocument/2006/relationships/hyperlink" Target="https://www.nature.com/articles/d41586-026-01139-x" TargetMode="External"/><Relationship Id="rId730" Type="http://schemas.openxmlformats.org/officeDocument/2006/relationships/hyperlink" Target="https://doi.org/10.1038/d41586-026-01139-x" TargetMode="External"/><Relationship Id="rId731" Type="http://schemas.openxmlformats.org/officeDocument/2006/relationships/hyperlink" Target="https://www.nature.com/articles/d41586-026-01532-6" TargetMode="External"/><Relationship Id="rId732" Type="http://schemas.openxmlformats.org/officeDocument/2006/relationships/hyperlink" Target="https://doi.org/10.1038/d41586-026-01532-6" TargetMode="External"/><Relationship Id="rId733" Type="http://schemas.openxmlformats.org/officeDocument/2006/relationships/hyperlink" Target="https://www.nature.com/articles/d41586-026-01372-4" TargetMode="External"/><Relationship Id="rId734" Type="http://schemas.openxmlformats.org/officeDocument/2006/relationships/hyperlink" Target="https://doi.org/10.1038/d41586-026-01372-4" TargetMode="External"/><Relationship Id="rId735" Type="http://schemas.openxmlformats.org/officeDocument/2006/relationships/hyperlink" Target="https://www.sciencedirect.com/science/article/pii/S0306261926005386?dgcid=rss_sd_all" TargetMode="External"/><Relationship Id="rId736" Type="http://schemas.openxmlformats.org/officeDocument/2006/relationships/hyperlink" Target="https://www.nature.com/articles/d41586-026-00909-x" TargetMode="External"/><Relationship Id="rId737" Type="http://schemas.openxmlformats.org/officeDocument/2006/relationships/hyperlink" Target="https://doi.org/10.1038/d41586-026-00909-x" TargetMode="External"/><Relationship Id="rId738" Type="http://schemas.openxmlformats.org/officeDocument/2006/relationships/hyperlink" Target="https://www.nature.com/articles/s41586-026-10523-6" TargetMode="External"/><Relationship Id="rId739" Type="http://schemas.openxmlformats.org/officeDocument/2006/relationships/hyperlink" Target="https://doi.org/10.1038/s41586-026-10523-6" TargetMode="External"/><Relationship Id="rId740" Type="http://schemas.openxmlformats.org/officeDocument/2006/relationships/hyperlink" Target="https://www.nature.com/articles/d41586-026-01561-1" TargetMode="External"/><Relationship Id="rId741" Type="http://schemas.openxmlformats.org/officeDocument/2006/relationships/hyperlink" Target="https://doi.org/10.1038/d41586-026-01561-1" TargetMode="External"/><Relationship Id="rId742" Type="http://schemas.openxmlformats.org/officeDocument/2006/relationships/hyperlink" Target="https://www.nature.com/articles/s41586-026-10511-w" TargetMode="External"/><Relationship Id="rId743" Type="http://schemas.openxmlformats.org/officeDocument/2006/relationships/hyperlink" Target="https://doi.org/10.1038/s41586-026-10511-w" TargetMode="External"/><Relationship Id="rId744" Type="http://schemas.openxmlformats.org/officeDocument/2006/relationships/hyperlink" Target="https://www.nature.com/articles/s41586-026-10510-x" TargetMode="External"/><Relationship Id="rId745" Type="http://schemas.openxmlformats.org/officeDocument/2006/relationships/hyperlink" Target="https://doi.org/10.1038/s41586-026-10510-x" TargetMode="External"/><Relationship Id="rId746" Type="http://schemas.openxmlformats.org/officeDocument/2006/relationships/hyperlink" Target="https://www.nature.com/articles/s41565-026-02183-4" TargetMode="External"/><Relationship Id="rId747" Type="http://schemas.openxmlformats.org/officeDocument/2006/relationships/hyperlink" Target="https://doi.org/10.1038/s41565-026-02183-4" TargetMode="External"/><Relationship Id="rId748" Type="http://schemas.openxmlformats.org/officeDocument/2006/relationships/hyperlink" Target="https://www.sciencedirect.com/science/article/pii/S0306261926006999?dgcid=rss_sd_all" TargetMode="External"/><Relationship Id="rId749" Type="http://schemas.openxmlformats.org/officeDocument/2006/relationships/hyperlink" Target="https://www.nature.com/articles/s41586-026-10431-9" TargetMode="External"/><Relationship Id="rId750" Type="http://schemas.openxmlformats.org/officeDocument/2006/relationships/hyperlink" Target="https://doi.org/10.1038/s41586-026-10431-9" TargetMode="External"/><Relationship Id="rId751" Type="http://schemas.openxmlformats.org/officeDocument/2006/relationships/hyperlink" Target="https://www.nature.com/articles/s41586-026-10481-z" TargetMode="External"/><Relationship Id="rId752" Type="http://schemas.openxmlformats.org/officeDocument/2006/relationships/hyperlink" Target="https://doi.org/10.1038/s41586-026-10481-z" TargetMode="External"/><Relationship Id="rId753" Type="http://schemas.openxmlformats.org/officeDocument/2006/relationships/hyperlink" Target="https://www.nature.com/articles/s41586-026-10489-5" TargetMode="External"/><Relationship Id="rId754" Type="http://schemas.openxmlformats.org/officeDocument/2006/relationships/hyperlink" Target="https://doi.org/10.1038/s41586-026-10489-5" TargetMode="External"/><Relationship Id="rId755" Type="http://schemas.openxmlformats.org/officeDocument/2006/relationships/hyperlink" Target="https://www.nature.com/articles/s41586-026-10531-6" TargetMode="External"/><Relationship Id="rId756" Type="http://schemas.openxmlformats.org/officeDocument/2006/relationships/hyperlink" Target="https://doi.org/10.1038/s41586-026-10531-6" TargetMode="External"/><Relationship Id="rId757" Type="http://schemas.openxmlformats.org/officeDocument/2006/relationships/hyperlink" Target="https://www.nature.com/articles/s41586-026-10524-5" TargetMode="External"/><Relationship Id="rId758" Type="http://schemas.openxmlformats.org/officeDocument/2006/relationships/hyperlink" Target="https://doi.org/10.1038/s41586-026-10524-5" TargetMode="External"/><Relationship Id="rId759" Type="http://schemas.openxmlformats.org/officeDocument/2006/relationships/hyperlink" Target="https://www.nature.com/articles/s41586-026-10491-x" TargetMode="External"/><Relationship Id="rId760" Type="http://schemas.openxmlformats.org/officeDocument/2006/relationships/hyperlink" Target="https://doi.org/10.1038/s41586-026-10491-x" TargetMode="External"/><Relationship Id="rId761" Type="http://schemas.openxmlformats.org/officeDocument/2006/relationships/hyperlink" Target="https://www.nature.com/articles/s41586-026-10383-0" TargetMode="External"/><Relationship Id="rId762" Type="http://schemas.openxmlformats.org/officeDocument/2006/relationships/hyperlink" Target="https://doi.org/10.1038/s41586-026-10383-0" TargetMode="External"/><Relationship Id="rId763" Type="http://schemas.openxmlformats.org/officeDocument/2006/relationships/hyperlink" Target="https://www.nature.com/articles/s41586-026-10490-y" TargetMode="External"/><Relationship Id="rId764" Type="http://schemas.openxmlformats.org/officeDocument/2006/relationships/hyperlink" Target="https://doi.org/10.1038/s41586-026-10490-y" TargetMode="External"/><Relationship Id="rId765" Type="http://schemas.openxmlformats.org/officeDocument/2006/relationships/hyperlink" Target="https://www.nature.com/articles/s41928-026-01640-1" TargetMode="External"/><Relationship Id="rId766" Type="http://schemas.openxmlformats.org/officeDocument/2006/relationships/hyperlink" Target="https://doi.org/10.1038/s41928-026-01640-1" TargetMode="External"/><Relationship Id="rId767" Type="http://schemas.openxmlformats.org/officeDocument/2006/relationships/hyperlink" Target="https://www.nature.com/articles/s41586-026-10478-8" TargetMode="External"/><Relationship Id="rId768" Type="http://schemas.openxmlformats.org/officeDocument/2006/relationships/hyperlink" Target="https://doi.org/10.1038/s41586-026-10478-8" TargetMode="External"/><Relationship Id="rId769" Type="http://schemas.openxmlformats.org/officeDocument/2006/relationships/hyperlink" Target="https://www.nature.com/articles/s41586-026-10530-7" TargetMode="External"/><Relationship Id="rId770" Type="http://schemas.openxmlformats.org/officeDocument/2006/relationships/hyperlink" Target="https://doi.org/10.1038/s41586-026-10530-7" TargetMode="External"/><Relationship Id="rId771" Type="http://schemas.openxmlformats.org/officeDocument/2006/relationships/hyperlink" Target="https://www.nature.com/articles/s41586-026-10544-1" TargetMode="External"/><Relationship Id="rId772" Type="http://schemas.openxmlformats.org/officeDocument/2006/relationships/hyperlink" Target="https://doi.org/10.1038/s41586-026-10544-1" TargetMode="External"/><Relationship Id="rId773" Type="http://schemas.openxmlformats.org/officeDocument/2006/relationships/hyperlink" Target="https://www.nature.com/articles/s41586-026-10501-y" TargetMode="External"/><Relationship Id="rId774" Type="http://schemas.openxmlformats.org/officeDocument/2006/relationships/hyperlink" Target="https://doi.org/10.1038/s41586-026-10501-y" TargetMode="External"/><Relationship Id="rId775" Type="http://schemas.openxmlformats.org/officeDocument/2006/relationships/hyperlink" Target="https://www.nature.com/articles/s41586-026-10494-8" TargetMode="External"/><Relationship Id="rId776" Type="http://schemas.openxmlformats.org/officeDocument/2006/relationships/hyperlink" Target="https://doi.org/10.1038/s41586-026-10494-8" TargetMode="External"/><Relationship Id="rId777" Type="http://schemas.openxmlformats.org/officeDocument/2006/relationships/hyperlink" Target="https://www.nature.com/articles/s41586-026-10461-3" TargetMode="External"/><Relationship Id="rId778" Type="http://schemas.openxmlformats.org/officeDocument/2006/relationships/hyperlink" Target="https://doi.org/10.1038/s41586-026-10461-3" TargetMode="External"/><Relationship Id="rId779" Type="http://schemas.openxmlformats.org/officeDocument/2006/relationships/hyperlink" Target="https://www.nature.com/articles/s41586-026-10487-7" TargetMode="External"/><Relationship Id="rId780" Type="http://schemas.openxmlformats.org/officeDocument/2006/relationships/hyperlink" Target="https://doi.org/10.1038/s41586-026-10487-7" TargetMode="External"/><Relationship Id="rId781" Type="http://schemas.openxmlformats.org/officeDocument/2006/relationships/hyperlink" Target="https://www.nature.com/articles/s41586-026-10506-7" TargetMode="External"/><Relationship Id="rId782" Type="http://schemas.openxmlformats.org/officeDocument/2006/relationships/hyperlink" Target="https://doi.org/10.1038/s41586-026-10506-7" TargetMode="External"/><Relationship Id="rId783" Type="http://schemas.openxmlformats.org/officeDocument/2006/relationships/hyperlink" Target="https://www.nature.com/articles/d41586-026-01505-9" TargetMode="External"/><Relationship Id="rId784" Type="http://schemas.openxmlformats.org/officeDocument/2006/relationships/hyperlink" Target="https://doi.org/10.1038/d41586-026-01505-9" TargetMode="External"/><Relationship Id="rId785" Type="http://schemas.openxmlformats.org/officeDocument/2006/relationships/hyperlink" Target="https://www.nature.com/articles/d41586-026-01547-z" TargetMode="External"/><Relationship Id="rId786" Type="http://schemas.openxmlformats.org/officeDocument/2006/relationships/hyperlink" Target="https://doi.org/10.1038/d41586-026-01547-z" TargetMode="External"/><Relationship Id="rId787" Type="http://schemas.openxmlformats.org/officeDocument/2006/relationships/hyperlink" Target="https://www.nature.com/articles/d41586-026-01424-9" TargetMode="External"/><Relationship Id="rId788" Type="http://schemas.openxmlformats.org/officeDocument/2006/relationships/hyperlink" Target="https://doi.org/10.1038/d41586-026-01424-9" TargetMode="External"/><Relationship Id="rId789" Type="http://schemas.openxmlformats.org/officeDocument/2006/relationships/hyperlink" Target="https://www.nature.com/articles/s41928-026-01621-4" TargetMode="External"/><Relationship Id="rId790" Type="http://schemas.openxmlformats.org/officeDocument/2006/relationships/hyperlink" Target="https://doi.org/10.1038/s41928-026-01621-4" TargetMode="External"/><Relationship Id="rId791" Type="http://schemas.openxmlformats.org/officeDocument/2006/relationships/hyperlink" Target="https://www.nature.com/articles/s41563-026-02609-3" TargetMode="External"/><Relationship Id="rId792" Type="http://schemas.openxmlformats.org/officeDocument/2006/relationships/hyperlink" Target="https://doi.org/10.1038/s41563-026-02609-3" TargetMode="External"/><Relationship Id="rId793" Type="http://schemas.openxmlformats.org/officeDocument/2006/relationships/hyperlink" Target="https://www.nature.com/articles/s41586-026-10374-1" TargetMode="External"/><Relationship Id="rId794" Type="http://schemas.openxmlformats.org/officeDocument/2006/relationships/hyperlink" Target="https://doi.org/10.1038/s41586-026-10374-1" TargetMode="External"/><Relationship Id="rId795" Type="http://schemas.openxmlformats.org/officeDocument/2006/relationships/hyperlink" Target="https://www.science.org/doi/abs/10.1126/sciadv.aeg4939?af=R" TargetMode="External"/><Relationship Id="rId796" Type="http://schemas.openxmlformats.org/officeDocument/2006/relationships/hyperlink" Target="https://doi.org/10.1126/sciadv.aeg4939" TargetMode="External"/><Relationship Id="rId797" Type="http://schemas.openxmlformats.org/officeDocument/2006/relationships/hyperlink" Target="https://www.science.org/doi/abs/10.1126/sciadv.aec2042?af=R" TargetMode="External"/><Relationship Id="rId798" Type="http://schemas.openxmlformats.org/officeDocument/2006/relationships/hyperlink" Target="https://doi.org/10.1126/sciadv.aec2042" TargetMode="External"/><Relationship Id="rId799" Type="http://schemas.openxmlformats.org/officeDocument/2006/relationships/hyperlink" Target="https://www.science.org/doi/abs/10.1126/sciadv.aea0220?af=R" TargetMode="External"/><Relationship Id="rId800" Type="http://schemas.openxmlformats.org/officeDocument/2006/relationships/hyperlink" Target="https://doi.org/10.1126/sciadv.aea0220" TargetMode="External"/><Relationship Id="rId801" Type="http://schemas.openxmlformats.org/officeDocument/2006/relationships/hyperlink" Target="https://www.science.org/doi/abs/10.1126/sciadv.aec3855?af=R" TargetMode="External"/><Relationship Id="rId802" Type="http://schemas.openxmlformats.org/officeDocument/2006/relationships/hyperlink" Target="https://doi.org/10.1126/sciadv.aec3855" TargetMode="External"/><Relationship Id="rId803" Type="http://schemas.openxmlformats.org/officeDocument/2006/relationships/hyperlink" Target="https://www.science.org/doi/abs/10.1126/sciadv.aea6509?af=R" TargetMode="External"/><Relationship Id="rId804" Type="http://schemas.openxmlformats.org/officeDocument/2006/relationships/hyperlink" Target="https://doi.org/10.1126/sciadv.aea6509" TargetMode="External"/><Relationship Id="rId805" Type="http://schemas.openxmlformats.org/officeDocument/2006/relationships/hyperlink" Target="https://www.science.org/doi/abs/10.1126/sciadv.aef2453?af=R" TargetMode="External"/><Relationship Id="rId806" Type="http://schemas.openxmlformats.org/officeDocument/2006/relationships/hyperlink" Target="https://doi.org/10.1126/sciadv.aef2453" TargetMode="External"/><Relationship Id="rId807" Type="http://schemas.openxmlformats.org/officeDocument/2006/relationships/hyperlink" Target="https://www.science.org/doi/abs/10.1126/sciadv.aec3379?af=R" TargetMode="External"/><Relationship Id="rId808" Type="http://schemas.openxmlformats.org/officeDocument/2006/relationships/hyperlink" Target="https://doi.org/10.1126/sciadv.aec3379" TargetMode="External"/><Relationship Id="rId809" Type="http://schemas.openxmlformats.org/officeDocument/2006/relationships/hyperlink" Target="https://www.science.org/doi/abs/10.1126/sciadv.aec1846?af=R" TargetMode="External"/><Relationship Id="rId810" Type="http://schemas.openxmlformats.org/officeDocument/2006/relationships/hyperlink" Target="https://doi.org/10.1126/sciadv.aec1846" TargetMode="External"/><Relationship Id="rId811" Type="http://schemas.openxmlformats.org/officeDocument/2006/relationships/hyperlink" Target="https://www.science.org/doi/abs/10.1126/sciadv.aef2717?af=R" TargetMode="External"/><Relationship Id="rId812" Type="http://schemas.openxmlformats.org/officeDocument/2006/relationships/hyperlink" Target="https://doi.org/10.1126/sciadv.aef2717" TargetMode="External"/><Relationship Id="rId813" Type="http://schemas.openxmlformats.org/officeDocument/2006/relationships/hyperlink" Target="https://www.science.org/doi/abs/10.1126/sciadv.aeb4675?af=R" TargetMode="External"/><Relationship Id="rId814" Type="http://schemas.openxmlformats.org/officeDocument/2006/relationships/hyperlink" Target="https://doi.org/10.1126/sciadv.aeb4675" TargetMode="External"/><Relationship Id="rId815" Type="http://schemas.openxmlformats.org/officeDocument/2006/relationships/hyperlink" Target="https://www.science.org/doi/abs/10.1126/sciadv.aeb8615?af=R" TargetMode="External"/><Relationship Id="rId816" Type="http://schemas.openxmlformats.org/officeDocument/2006/relationships/hyperlink" Target="https://doi.org/10.1126/sciadv.aeb8615" TargetMode="External"/><Relationship Id="rId817" Type="http://schemas.openxmlformats.org/officeDocument/2006/relationships/hyperlink" Target="https://www.science.org/doi/abs/10.1126/sciadv.aee4995?af=R" TargetMode="External"/><Relationship Id="rId818" Type="http://schemas.openxmlformats.org/officeDocument/2006/relationships/hyperlink" Target="https://doi.org/10.1126/sciadv.aee4995" TargetMode="External"/><Relationship Id="rId819" Type="http://schemas.openxmlformats.org/officeDocument/2006/relationships/hyperlink" Target="https://www.science.org/doi/abs/10.1126/sciadv.aed0154?af=R" TargetMode="External"/><Relationship Id="rId820" Type="http://schemas.openxmlformats.org/officeDocument/2006/relationships/hyperlink" Target="https://doi.org/10.1126/sciadv.aed0154" TargetMode="External"/><Relationship Id="rId821" Type="http://schemas.openxmlformats.org/officeDocument/2006/relationships/hyperlink" Target="https://www.science.org/doi/abs/10.1126/sciadv.aed3162?af=R" TargetMode="External"/><Relationship Id="rId822" Type="http://schemas.openxmlformats.org/officeDocument/2006/relationships/hyperlink" Target="https://doi.org/10.1126/sciadv.aed3162" TargetMode="External"/><Relationship Id="rId823" Type="http://schemas.openxmlformats.org/officeDocument/2006/relationships/hyperlink" Target="https://www.science.org/doi/abs/10.1126/sciadv.aed9613?af=R" TargetMode="External"/><Relationship Id="rId824" Type="http://schemas.openxmlformats.org/officeDocument/2006/relationships/hyperlink" Target="https://doi.org/10.1126/sciadv.aed9613" TargetMode="External"/><Relationship Id="rId825" Type="http://schemas.openxmlformats.org/officeDocument/2006/relationships/hyperlink" Target="https://www.science.org/doi/abs/10.1126/sciadv.aec6153?af=R" TargetMode="External"/><Relationship Id="rId826" Type="http://schemas.openxmlformats.org/officeDocument/2006/relationships/hyperlink" Target="https://doi.org/10.1126/sciadv.aec6153" TargetMode="External"/><Relationship Id="rId827" Type="http://schemas.openxmlformats.org/officeDocument/2006/relationships/hyperlink" Target="https://www.science.org/doi/abs/10.1126/sciadv.aec8813?af=R" TargetMode="External"/><Relationship Id="rId828" Type="http://schemas.openxmlformats.org/officeDocument/2006/relationships/hyperlink" Target="https://doi.org/10.1126/sciadv.aec8813" TargetMode="External"/><Relationship Id="rId829" Type="http://schemas.openxmlformats.org/officeDocument/2006/relationships/hyperlink" Target="https://www.science.org/doi/abs/10.1126/sciadv.aee2009?af=R" TargetMode="External"/><Relationship Id="rId830" Type="http://schemas.openxmlformats.org/officeDocument/2006/relationships/hyperlink" Target="https://doi.org/10.1126/sciadv.aee2009" TargetMode="External"/><Relationship Id="rId831" Type="http://schemas.openxmlformats.org/officeDocument/2006/relationships/hyperlink" Target="https://www.pnas.org/doi/abs/10.1073/pnas.2531118123?mi=eymic2&amp;af=R&amp;access=on&amp;content=articlesChapters&amp;publication=pnas&amp;sortBy=Earliest&amp;target=default" TargetMode="External"/><Relationship Id="rId832" Type="http://schemas.openxmlformats.org/officeDocument/2006/relationships/hyperlink" Target="https://doi.org/10.1073/pnas.2531118123" TargetMode="External"/><Relationship Id="rId833" Type="http://schemas.openxmlformats.org/officeDocument/2006/relationships/hyperlink" Target="https://www.science.org/doi/abs/10.1126/sciadv.aed2892?af=R" TargetMode="External"/><Relationship Id="rId834" Type="http://schemas.openxmlformats.org/officeDocument/2006/relationships/hyperlink" Target="https://doi.org/10.1126/sciadv.aed2892" TargetMode="External"/><Relationship Id="rId835" Type="http://schemas.openxmlformats.org/officeDocument/2006/relationships/hyperlink" Target="https://www.science.org/doi/abs/10.1126/sciadv.aed4078?af=R" TargetMode="External"/><Relationship Id="rId836" Type="http://schemas.openxmlformats.org/officeDocument/2006/relationships/hyperlink" Target="https://doi.org/10.1126/sciadv.aed4078" TargetMode="External"/><Relationship Id="rId837" Type="http://schemas.openxmlformats.org/officeDocument/2006/relationships/hyperlink" Target="https://www.science.org/doi/abs/10.1126/sciadv.aed8300?af=R" TargetMode="External"/><Relationship Id="rId838" Type="http://schemas.openxmlformats.org/officeDocument/2006/relationships/hyperlink" Target="https://doi.org/10.1126/sciadv.aed8300" TargetMode="External"/><Relationship Id="rId839" Type="http://schemas.openxmlformats.org/officeDocument/2006/relationships/hyperlink" Target="https://www.science.org/doi/abs/10.1126/sciadv.aed8899?af=R" TargetMode="External"/><Relationship Id="rId840" Type="http://schemas.openxmlformats.org/officeDocument/2006/relationships/hyperlink" Target="https://doi.org/10.1126/sciadv.aed8899" TargetMode="External"/><Relationship Id="rId841" Type="http://schemas.openxmlformats.org/officeDocument/2006/relationships/hyperlink" Target="https://www.science.org/doi/abs/10.1126/sciadv.aed0172?af=R" TargetMode="External"/><Relationship Id="rId842" Type="http://schemas.openxmlformats.org/officeDocument/2006/relationships/hyperlink" Target="https://doi.org/10.1126/sciadv.aed0172" TargetMode="External"/><Relationship Id="rId843" Type="http://schemas.openxmlformats.org/officeDocument/2006/relationships/hyperlink" Target="https://www.science.org/doi/abs/10.1126/sciadv.aee2085?af=R" TargetMode="External"/><Relationship Id="rId844" Type="http://schemas.openxmlformats.org/officeDocument/2006/relationships/hyperlink" Target="https://doi.org/10.1126/sciadv.aee2085" TargetMode="External"/><Relationship Id="rId845" Type="http://schemas.openxmlformats.org/officeDocument/2006/relationships/hyperlink" Target="https://www.pnas.org/doi/abs/10.1073/pnas.2519631123?mi=eymic2&amp;af=R&amp;access=on&amp;content=articlesChapters&amp;publication=pnas&amp;sortBy=Earliest&amp;target=default" TargetMode="External"/><Relationship Id="rId846" Type="http://schemas.openxmlformats.org/officeDocument/2006/relationships/hyperlink" Target="https://doi.org/10.1073/pnas.2519631123" TargetMode="External"/><Relationship Id="rId847" Type="http://schemas.openxmlformats.org/officeDocument/2006/relationships/hyperlink" Target="https://www.pnas.org/doi/abs/10.1073/pnas.2608790123?mi=eymic2&amp;af=R&amp;access=on&amp;content=articlesChapters&amp;publication=pnas&amp;sortBy=Earliest&amp;target=default" TargetMode="External"/><Relationship Id="rId848" Type="http://schemas.openxmlformats.org/officeDocument/2006/relationships/hyperlink" Target="https://doi.org/10.1073/pnas.2608790123" TargetMode="External"/><Relationship Id="rId849" Type="http://schemas.openxmlformats.org/officeDocument/2006/relationships/hyperlink" Target="https://www.pnas.org/doi/abs/10.1073/pnas.2531472123?mi=eymic2&amp;af=R&amp;access=on&amp;content=articlesChapters&amp;publication=pnas&amp;sortBy=Earliest&amp;target=default" TargetMode="External"/><Relationship Id="rId850" Type="http://schemas.openxmlformats.org/officeDocument/2006/relationships/hyperlink" Target="https://doi.org/10.1073/pnas.2531472123" TargetMode="External"/><Relationship Id="rId851" Type="http://schemas.openxmlformats.org/officeDocument/2006/relationships/hyperlink" Target="https://www.science.org/doi/abs/10.1126/sciadv.aed3642?af=R" TargetMode="External"/><Relationship Id="rId852" Type="http://schemas.openxmlformats.org/officeDocument/2006/relationships/hyperlink" Target="https://doi.org/10.1126/sciadv.aed3642" TargetMode="External"/><Relationship Id="rId853" Type="http://schemas.openxmlformats.org/officeDocument/2006/relationships/hyperlink" Target="https://www.science.org/doi/abs/10.1126/sciadv.ady7336?af=R" TargetMode="External"/><Relationship Id="rId854" Type="http://schemas.openxmlformats.org/officeDocument/2006/relationships/hyperlink" Target="https://doi.org/10.1126/sciadv.ady7336" TargetMode="External"/><Relationship Id="rId855" Type="http://schemas.openxmlformats.org/officeDocument/2006/relationships/hyperlink" Target="https://pubs.acs.org/doi/10.1021/acs.chemrev.6c00315?af=R" TargetMode="External"/><Relationship Id="rId856" Type="http://schemas.openxmlformats.org/officeDocument/2006/relationships/hyperlink" Target="https://doi.org/10.1021/acs.chemrev.6c00315" TargetMode="External"/><Relationship Id="rId857" Type="http://schemas.openxmlformats.org/officeDocument/2006/relationships/hyperlink" Target="https://www.science.org/doi/abs/10.1126/sciadv.aea4183?af=R" TargetMode="External"/><Relationship Id="rId858" Type="http://schemas.openxmlformats.org/officeDocument/2006/relationships/hyperlink" Target="https://doi.org/10.1126/sciadv.aea4183" TargetMode="External"/><Relationship Id="rId859" Type="http://schemas.openxmlformats.org/officeDocument/2006/relationships/hyperlink" Target="https://www.science.org/doi/abs/10.1126/sciadv.aeb8106?af=R" TargetMode="External"/><Relationship Id="rId860" Type="http://schemas.openxmlformats.org/officeDocument/2006/relationships/hyperlink" Target="https://doi.org/10.1126/sciadv.aeb8106" TargetMode="External"/><Relationship Id="rId861" Type="http://schemas.openxmlformats.org/officeDocument/2006/relationships/hyperlink" Target="https://www.science.org/doi/abs/10.1126/sciadv.aeb2528?af=R" TargetMode="External"/><Relationship Id="rId862" Type="http://schemas.openxmlformats.org/officeDocument/2006/relationships/hyperlink" Target="https://doi.org/10.1126/sciadv.aeb2528" TargetMode="External"/><Relationship Id="rId863" Type="http://schemas.openxmlformats.org/officeDocument/2006/relationships/hyperlink" Target="https://www.science.org/doi/abs/10.1126/sciadv.aea4983?af=R" TargetMode="External"/><Relationship Id="rId864" Type="http://schemas.openxmlformats.org/officeDocument/2006/relationships/hyperlink" Target="https://doi.org/10.1126/sciadv.aea4983" TargetMode="External"/><Relationship Id="rId865" Type="http://schemas.openxmlformats.org/officeDocument/2006/relationships/hyperlink" Target="https://www.science.org/doi/abs/10.1126/sciadv.adz6570?af=R" TargetMode="External"/><Relationship Id="rId866" Type="http://schemas.openxmlformats.org/officeDocument/2006/relationships/hyperlink" Target="https://doi.org/10.1126/sciadv.adz6570" TargetMode="External"/><Relationship Id="rId867" Type="http://schemas.openxmlformats.org/officeDocument/2006/relationships/hyperlink" Target="https://www.pnas.org/doi/abs/10.1073/pnas.2525899123?mi=eymic2&amp;af=R&amp;access=on&amp;content=articlesChapters&amp;publication=pnas&amp;sortBy=Earliest&amp;target=default" TargetMode="External"/><Relationship Id="rId868" Type="http://schemas.openxmlformats.org/officeDocument/2006/relationships/hyperlink" Target="https://doi.org/10.1073/pnas.2525899123" TargetMode="External"/><Relationship Id="rId869" Type="http://schemas.openxmlformats.org/officeDocument/2006/relationships/hyperlink" Target="https://www.science.org/doi/abs/10.1126/sciadv.adz5180?af=R" TargetMode="External"/><Relationship Id="rId870" Type="http://schemas.openxmlformats.org/officeDocument/2006/relationships/hyperlink" Target="https://doi.org/10.1126/sciadv.adz5180" TargetMode="External"/><Relationship Id="rId871" Type="http://schemas.openxmlformats.org/officeDocument/2006/relationships/hyperlink" Target="https://www.science.org/doi/abs/10.1126/sciadv.adx7966?af=R" TargetMode="External"/><Relationship Id="rId872" Type="http://schemas.openxmlformats.org/officeDocument/2006/relationships/hyperlink" Target="https://doi.org/10.1126/sciadv.adx7966" TargetMode="External"/><Relationship Id="rId873" Type="http://schemas.openxmlformats.org/officeDocument/2006/relationships/hyperlink" Target="https://www.science.org/doi/abs/10.1126/sciadv.adz5324?af=R" TargetMode="External"/><Relationship Id="rId874" Type="http://schemas.openxmlformats.org/officeDocument/2006/relationships/hyperlink" Target="https://doi.org/10.1126/sciadv.adz5324" TargetMode="External"/><Relationship Id="rId875" Type="http://schemas.openxmlformats.org/officeDocument/2006/relationships/hyperlink" Target="https://www.pnas.org/doi/abs/10.1073/pnas.2611962123?mi=eymic2&amp;af=R&amp;access=on&amp;content=articlesChapters&amp;publication=pnas&amp;sortBy=Earliest&amp;target=default" TargetMode="External"/><Relationship Id="rId876" Type="http://schemas.openxmlformats.org/officeDocument/2006/relationships/hyperlink" Target="https://doi.org/10.1073/pnas.2611962123" TargetMode="External"/><Relationship Id="rId877" Type="http://schemas.openxmlformats.org/officeDocument/2006/relationships/hyperlink" Target="https://www.pnas.org/doi/abs/10.1073/pnas.2533498123?mi=eymic2&amp;af=R&amp;access=on&amp;content=articlesChapters&amp;publication=pnas&amp;sortBy=Earliest&amp;target=default" TargetMode="External"/><Relationship Id="rId878" Type="http://schemas.openxmlformats.org/officeDocument/2006/relationships/hyperlink" Target="https://doi.org/10.1073/pnas.2533498123" TargetMode="External"/><Relationship Id="rId879" Type="http://schemas.openxmlformats.org/officeDocument/2006/relationships/hyperlink" Target="https://www.pnas.org/doi/abs/10.1073/pnas.2535302123?mi=eymic2&amp;af=R&amp;access=on&amp;content=articlesChapters&amp;publication=pnas&amp;sortBy=Earliest&amp;target=default" TargetMode="External"/><Relationship Id="rId880" Type="http://schemas.openxmlformats.org/officeDocument/2006/relationships/hyperlink" Target="https://doi.org/10.1073/pnas.2535302123" TargetMode="External"/><Relationship Id="rId881" Type="http://schemas.openxmlformats.org/officeDocument/2006/relationships/hyperlink" Target="https://www.pnas.org/doi/abs/10.1073/pnas.2614006123?mi=eymic2&amp;af=R&amp;access=on&amp;content=articlesChapters&amp;publication=pnas&amp;sortBy=Earliest&amp;target=default" TargetMode="External"/><Relationship Id="rId882" Type="http://schemas.openxmlformats.org/officeDocument/2006/relationships/hyperlink" Target="https://doi.org/10.1073/pnas.2614006123" TargetMode="External"/><Relationship Id="rId883" Type="http://schemas.openxmlformats.org/officeDocument/2006/relationships/hyperlink" Target="https://www.pnas.org/doi/abs/10.1073/pnas.2536919123?mi=eymic2&amp;af=R&amp;access=on&amp;content=articlesChapters&amp;publication=pnas&amp;sortBy=Earliest&amp;target=default" TargetMode="External"/><Relationship Id="rId884" Type="http://schemas.openxmlformats.org/officeDocument/2006/relationships/hyperlink" Target="https://doi.org/10.1073/pnas.2536919123" TargetMode="External"/><Relationship Id="rId885" Type="http://schemas.openxmlformats.org/officeDocument/2006/relationships/hyperlink" Target="https://www.pnas.org/doi/abs/10.1073/pnas.2535316123?mi=eymic2&amp;af=R&amp;access=on&amp;content=articlesChapters&amp;publication=pnas&amp;sortBy=Earliest&amp;target=default" TargetMode="External"/><Relationship Id="rId886" Type="http://schemas.openxmlformats.org/officeDocument/2006/relationships/hyperlink" Target="https://doi.org/10.1073/pnas.2535316123" TargetMode="External"/><Relationship Id="rId887" Type="http://schemas.openxmlformats.org/officeDocument/2006/relationships/hyperlink" Target="https://www.pnas.org/doi/abs/10.1073/pnas.2602167123?mi=eymic2&amp;af=R&amp;access=on&amp;content=articlesChapters&amp;publication=pnas&amp;sortBy=Earliest&amp;target=default" TargetMode="External"/><Relationship Id="rId888" Type="http://schemas.openxmlformats.org/officeDocument/2006/relationships/hyperlink" Target="https://doi.org/10.1073/pnas.2602167123" TargetMode="External"/><Relationship Id="rId889" Type="http://schemas.openxmlformats.org/officeDocument/2006/relationships/hyperlink" Target="https://www.pnas.org/doi/abs/10.1073/pnas.2603627123?mi=eymic2&amp;af=R&amp;access=on&amp;content=articlesChapters&amp;publication=pnas&amp;sortBy=Earliest&amp;target=default" TargetMode="External"/><Relationship Id="rId890" Type="http://schemas.openxmlformats.org/officeDocument/2006/relationships/hyperlink" Target="https://doi.org/10.1073/pnas.2603627123" TargetMode="External"/><Relationship Id="rId891" Type="http://schemas.openxmlformats.org/officeDocument/2006/relationships/hyperlink" Target="https://www.pnas.org/doi/abs/10.1073/pnas.2605022123?mi=eymic2&amp;af=R&amp;access=on&amp;content=articlesChapters&amp;publication=pnas&amp;sortBy=Earliest&amp;target=default" TargetMode="External"/><Relationship Id="rId892" Type="http://schemas.openxmlformats.org/officeDocument/2006/relationships/hyperlink" Target="https://doi.org/10.1073/pnas.2605022123" TargetMode="External"/><Relationship Id="rId893" Type="http://schemas.openxmlformats.org/officeDocument/2006/relationships/hyperlink" Target="https://www.pnas.org/doi/abs/10.1073/pnas.2605960123?mi=eymic2&amp;af=R&amp;access=on&amp;content=articlesChapters&amp;publication=pnas&amp;sortBy=Earliest&amp;target=default" TargetMode="External"/><Relationship Id="rId894" Type="http://schemas.openxmlformats.org/officeDocument/2006/relationships/hyperlink" Target="https://doi.org/10.1073/pnas.2605960123" TargetMode="External"/><Relationship Id="rId895" Type="http://schemas.openxmlformats.org/officeDocument/2006/relationships/hyperlink" Target="https://www.pnas.org/doi/abs/10.1073/pnas.2607638123?mi=eymic2&amp;af=R&amp;access=on&amp;content=articlesChapters&amp;publication=pnas&amp;sortBy=Earliest&amp;target=default" TargetMode="External"/><Relationship Id="rId896" Type="http://schemas.openxmlformats.org/officeDocument/2006/relationships/hyperlink" Target="https://doi.org/10.1073/pnas.2607638123" TargetMode="External"/><Relationship Id="rId897" Type="http://schemas.openxmlformats.org/officeDocument/2006/relationships/hyperlink" Target="https://www.pnas.org/doi/abs/10.1073/pnas.2601795123?mi=eymic2&amp;af=R&amp;access=on&amp;content=articlesChapters&amp;publication=pnas&amp;sortBy=Earliest&amp;target=default" TargetMode="External"/><Relationship Id="rId898" Type="http://schemas.openxmlformats.org/officeDocument/2006/relationships/hyperlink" Target="https://doi.org/10.1073/pnas.2601795123" TargetMode="External"/><Relationship Id="rId899" Type="http://schemas.openxmlformats.org/officeDocument/2006/relationships/hyperlink" Target="https://advanced.onlinelibrary.wiley.com/doi/10.1002/adma.202522373?af=R" TargetMode="External"/><Relationship Id="rId900" Type="http://schemas.openxmlformats.org/officeDocument/2006/relationships/hyperlink" Target="https://doi.org/10.1002/adma.202522373" TargetMode="External"/><Relationship Id="rId901" Type="http://schemas.openxmlformats.org/officeDocument/2006/relationships/hyperlink" Target="https://advanced.onlinelibrary.wiley.com/doi/10.1002/adma.73362?af=R" TargetMode="External"/><Relationship Id="rId902" Type="http://schemas.openxmlformats.org/officeDocument/2006/relationships/hyperlink" Target="https://doi.org/10.1002/adma.73362" TargetMode="External"/><Relationship Id="rId903" Type="http://schemas.openxmlformats.org/officeDocument/2006/relationships/hyperlink" Target="https://advanced.onlinelibrary.wiley.com/doi/10.1002/adma.202522191?af=R" TargetMode="External"/><Relationship Id="rId904" Type="http://schemas.openxmlformats.org/officeDocument/2006/relationships/hyperlink" Target="https://doi.org/10.1002/adma.202522191" TargetMode="External"/><Relationship Id="rId905" Type="http://schemas.openxmlformats.org/officeDocument/2006/relationships/hyperlink" Target="https://advanced.onlinelibrary.wiley.com/doi/10.1002/adma.73377?af=R" TargetMode="External"/><Relationship Id="rId906" Type="http://schemas.openxmlformats.org/officeDocument/2006/relationships/hyperlink" Target="https://doi.org/10.1002/adma.73377" TargetMode="External"/><Relationship Id="rId907" Type="http://schemas.openxmlformats.org/officeDocument/2006/relationships/hyperlink" Target="https://advanced.onlinelibrary.wiley.com/doi/10.1002/adma.202523670?af=R" TargetMode="External"/><Relationship Id="rId908" Type="http://schemas.openxmlformats.org/officeDocument/2006/relationships/hyperlink" Target="https://doi.org/10.1002/adma.202523670" TargetMode="External"/><Relationship Id="rId909" Type="http://schemas.openxmlformats.org/officeDocument/2006/relationships/hyperlink" Target="http://dx.doi.org/10.1021/jacs.6c04456" TargetMode="External"/><Relationship Id="rId910" Type="http://schemas.openxmlformats.org/officeDocument/2006/relationships/hyperlink" Target="https://doi.org/10.1021/jacs.6c04456" TargetMode="External"/><Relationship Id="rId911" Type="http://schemas.openxmlformats.org/officeDocument/2006/relationships/hyperlink" Target="https://advanced.onlinelibrary.wiley.com/doi/10.1002/adma.73337?af=R" TargetMode="External"/><Relationship Id="rId912" Type="http://schemas.openxmlformats.org/officeDocument/2006/relationships/hyperlink" Target="https://doi.org/10.1002/adma.73337" TargetMode="External"/><Relationship Id="rId913" Type="http://schemas.openxmlformats.org/officeDocument/2006/relationships/hyperlink" Target="http://dx.doi.org/10.1021/jacs.6c04482" TargetMode="External"/><Relationship Id="rId914" Type="http://schemas.openxmlformats.org/officeDocument/2006/relationships/hyperlink" Target="https://doi.org/10.1021/jacs.6c04482" TargetMode="External"/><Relationship Id="rId915" Type="http://schemas.openxmlformats.org/officeDocument/2006/relationships/hyperlink" Target="http://dx.doi.org/10.1021/jacs.6c02760" TargetMode="External"/><Relationship Id="rId916" Type="http://schemas.openxmlformats.org/officeDocument/2006/relationships/hyperlink" Target="https://doi.org/10.1021/jacs.6c02760" TargetMode="External"/><Relationship Id="rId917" Type="http://schemas.openxmlformats.org/officeDocument/2006/relationships/hyperlink" Target="http://dx.doi.org/10.1021/acsenergylett.6c01373" TargetMode="External"/><Relationship Id="rId918" Type="http://schemas.openxmlformats.org/officeDocument/2006/relationships/hyperlink" Target="https://doi.org/10.1021/acsenergylett.6c01373" TargetMode="External"/><Relationship Id="rId919" Type="http://schemas.openxmlformats.org/officeDocument/2006/relationships/hyperlink" Target="http://dx.doi.org/10.1021/jacs.6c05255" TargetMode="External"/><Relationship Id="rId920" Type="http://schemas.openxmlformats.org/officeDocument/2006/relationships/hyperlink" Target="https://doi.org/10.1021/jacs.6c05255" TargetMode="External"/><Relationship Id="rId921" Type="http://schemas.openxmlformats.org/officeDocument/2006/relationships/hyperlink" Target="http://dx.doi.org/10.1021/jacs.6c01087" TargetMode="External"/><Relationship Id="rId922" Type="http://schemas.openxmlformats.org/officeDocument/2006/relationships/hyperlink" Target="https://doi.org/10.1021/jacs.6c01087" TargetMode="External"/><Relationship Id="rId923" Type="http://schemas.openxmlformats.org/officeDocument/2006/relationships/hyperlink" Target="http://dx.doi.org/10.1021/jacs.6c05805" TargetMode="External"/><Relationship Id="rId924" Type="http://schemas.openxmlformats.org/officeDocument/2006/relationships/hyperlink" Target="https://doi.org/10.1021/jacs.6c05805" TargetMode="External"/><Relationship Id="rId925" Type="http://schemas.openxmlformats.org/officeDocument/2006/relationships/hyperlink" Target="http://dx.doi.org/10.1021/jacs.6c06207" TargetMode="External"/><Relationship Id="rId926" Type="http://schemas.openxmlformats.org/officeDocument/2006/relationships/hyperlink" Target="https://doi.org/10.1021/jacs.6c06207" TargetMode="External"/><Relationship Id="rId927" Type="http://schemas.openxmlformats.org/officeDocument/2006/relationships/hyperlink" Target="http://dx.doi.org/10.1021/jacs.5c17497" TargetMode="External"/><Relationship Id="rId928" Type="http://schemas.openxmlformats.org/officeDocument/2006/relationships/hyperlink" Target="https://doi.org/10.1021/jacs.5c17497" TargetMode="External"/><Relationship Id="rId929" Type="http://schemas.openxmlformats.org/officeDocument/2006/relationships/hyperlink" Target="http://dx.doi.org/10.1021/acsenergylett.6c00568" TargetMode="External"/><Relationship Id="rId930" Type="http://schemas.openxmlformats.org/officeDocument/2006/relationships/hyperlink" Target="https://doi.org/10.1021/acsenergylett.6c00568" TargetMode="External"/><Relationship Id="rId931" Type="http://schemas.openxmlformats.org/officeDocument/2006/relationships/hyperlink" Target="http://dx.doi.org/10.1021/jacs.6c05118" TargetMode="External"/><Relationship Id="rId932" Type="http://schemas.openxmlformats.org/officeDocument/2006/relationships/hyperlink" Target="https://doi.org/10.1021/jacs.6c05118" TargetMode="External"/><Relationship Id="rId933" Type="http://schemas.openxmlformats.org/officeDocument/2006/relationships/hyperlink" Target="http://dx.doi.org/10.1021/jacs.5c20581" TargetMode="External"/><Relationship Id="rId934" Type="http://schemas.openxmlformats.org/officeDocument/2006/relationships/hyperlink" Target="https://doi.org/10.1021/jacs.5c20581" TargetMode="External"/><Relationship Id="rId935" Type="http://schemas.openxmlformats.org/officeDocument/2006/relationships/hyperlink" Target="https://onlinelibrary.wiley.com/doi/10.1002/anie.5559534?af=R" TargetMode="External"/><Relationship Id="rId936" Type="http://schemas.openxmlformats.org/officeDocument/2006/relationships/hyperlink" Target="https://doi.org/10.1002/anie.5559534" TargetMode="External"/><Relationship Id="rId937" Type="http://schemas.openxmlformats.org/officeDocument/2006/relationships/hyperlink" Target="https://onlinelibrary.wiley.com/doi/10.1002/anie.8794274?af=R" TargetMode="External"/><Relationship Id="rId938" Type="http://schemas.openxmlformats.org/officeDocument/2006/relationships/hyperlink" Target="https://doi.org/10.1002/anie.8794274" TargetMode="External"/><Relationship Id="rId939" Type="http://schemas.openxmlformats.org/officeDocument/2006/relationships/hyperlink" Target="https://onlinelibrary.wiley.com/doi/10.1002/anie.5021940?af=R" TargetMode="External"/><Relationship Id="rId940" Type="http://schemas.openxmlformats.org/officeDocument/2006/relationships/hyperlink" Target="https://doi.org/10.1002/anie.5021940" TargetMode="External"/><Relationship Id="rId941" Type="http://schemas.openxmlformats.org/officeDocument/2006/relationships/hyperlink" Target="https://onlinelibrary.wiley.com/doi/10.1002/anie.5183787?af=R" TargetMode="External"/><Relationship Id="rId942" Type="http://schemas.openxmlformats.org/officeDocument/2006/relationships/hyperlink" Target="https://doi.org/10.1002/anie.5183787" TargetMode="External"/><Relationship Id="rId943" Type="http://schemas.openxmlformats.org/officeDocument/2006/relationships/hyperlink" Target="https://onlinelibrary.wiley.com/doi/10.1002/anie.4594145?af=R" TargetMode="External"/><Relationship Id="rId944" Type="http://schemas.openxmlformats.org/officeDocument/2006/relationships/hyperlink" Target="https://doi.org/10.1002/anie.4594145" TargetMode="External"/><Relationship Id="rId945" Type="http://schemas.openxmlformats.org/officeDocument/2006/relationships/hyperlink" Target="https://onlinelibrary.wiley.com/doi/10.1002/anie.7574479?af=R" TargetMode="External"/><Relationship Id="rId946" Type="http://schemas.openxmlformats.org/officeDocument/2006/relationships/hyperlink" Target="https://doi.org/10.1002/anie.7574479" TargetMode="External"/><Relationship Id="rId947" Type="http://schemas.openxmlformats.org/officeDocument/2006/relationships/hyperlink" Target="https://onlinelibrary.wiley.com/doi/10.1002/anie.5900367?af=R" TargetMode="External"/><Relationship Id="rId948" Type="http://schemas.openxmlformats.org/officeDocument/2006/relationships/hyperlink" Target="https://doi.org/10.1002/anie.5900367" TargetMode="External"/><Relationship Id="rId949" Type="http://schemas.openxmlformats.org/officeDocument/2006/relationships/hyperlink" Target="https://onlinelibrary.wiley.com/doi/10.1002/anie.8845899?af=R" TargetMode="External"/><Relationship Id="rId950" Type="http://schemas.openxmlformats.org/officeDocument/2006/relationships/hyperlink" Target="https://doi.org/10.1002/anie.8845899" TargetMode="External"/><Relationship Id="rId951" Type="http://schemas.openxmlformats.org/officeDocument/2006/relationships/hyperlink" Target="https://onlinelibrary.wiley.com/doi/10.1002/anie.8614821?af=R" TargetMode="External"/><Relationship Id="rId952" Type="http://schemas.openxmlformats.org/officeDocument/2006/relationships/hyperlink" Target="https://doi.org/10.1002/anie.8614821" TargetMode="External"/><Relationship Id="rId953" Type="http://schemas.openxmlformats.org/officeDocument/2006/relationships/hyperlink" Target="https://onlinelibrary.wiley.com/doi/10.1002/anie.9475391?af=R" TargetMode="External"/><Relationship Id="rId954" Type="http://schemas.openxmlformats.org/officeDocument/2006/relationships/hyperlink" Target="https://doi.org/10.1002/anie.9475391" TargetMode="External"/><Relationship Id="rId955" Type="http://schemas.openxmlformats.org/officeDocument/2006/relationships/hyperlink" Target="https://onlinelibrary.wiley.com/doi/10.1002/anie.3359287?af=R" TargetMode="External"/><Relationship Id="rId956" Type="http://schemas.openxmlformats.org/officeDocument/2006/relationships/hyperlink" Target="https://doi.org/10.1002/anie.3359287" TargetMode="External"/><Relationship Id="rId957" Type="http://schemas.openxmlformats.org/officeDocument/2006/relationships/hyperlink" Target="http://dx.doi.org/10.1021/jacs.6c05529" TargetMode="External"/><Relationship Id="rId958" Type="http://schemas.openxmlformats.org/officeDocument/2006/relationships/hyperlink" Target="https://doi.org/10.1021/jacs.6c05529" TargetMode="External"/><Relationship Id="rId959" Type="http://schemas.openxmlformats.org/officeDocument/2006/relationships/hyperlink" Target="http://dx.doi.org/10.1021/jacs.5c23086" TargetMode="External"/><Relationship Id="rId960" Type="http://schemas.openxmlformats.org/officeDocument/2006/relationships/hyperlink" Target="https://doi.org/10.1021/jacs.5c23086" TargetMode="External"/><Relationship Id="rId961" Type="http://schemas.openxmlformats.org/officeDocument/2006/relationships/hyperlink" Target="http://dx.doi.org/10.1021/acs.chemrev.5c00878" TargetMode="External"/><Relationship Id="rId962" Type="http://schemas.openxmlformats.org/officeDocument/2006/relationships/hyperlink" Target="https://doi.org/10.1021/acs.chemrev.5c00878" TargetMode="External"/><Relationship Id="rId963" Type="http://schemas.openxmlformats.org/officeDocument/2006/relationships/hyperlink" Target="http://dx.doi.org/10.1021/jacs.6c02556" TargetMode="External"/><Relationship Id="rId964" Type="http://schemas.openxmlformats.org/officeDocument/2006/relationships/hyperlink" Target="https://doi.org/10.1021/jacs.6c02556" TargetMode="External"/><Relationship Id="rId965" Type="http://schemas.openxmlformats.org/officeDocument/2006/relationships/hyperlink" Target="http://dx.doi.org/10.1021/jacs.6c02370" TargetMode="External"/><Relationship Id="rId966" Type="http://schemas.openxmlformats.org/officeDocument/2006/relationships/hyperlink" Target="https://doi.org/10.1021/jacs.6c02370" TargetMode="External"/><Relationship Id="rId967" Type="http://schemas.openxmlformats.org/officeDocument/2006/relationships/hyperlink" Target="http://dx.doi.org/10.1021/acs.chemrev.5c00914" TargetMode="External"/><Relationship Id="rId968" Type="http://schemas.openxmlformats.org/officeDocument/2006/relationships/hyperlink" Target="https://doi.org/10.1021/acs.chemrev.5c00914" TargetMode="External"/><Relationship Id="rId969" Type="http://schemas.openxmlformats.org/officeDocument/2006/relationships/hyperlink" Target="http://dx.doi.org/10.1021/jacs.6c04832" TargetMode="External"/><Relationship Id="rId970" Type="http://schemas.openxmlformats.org/officeDocument/2006/relationships/hyperlink" Target="https://doi.org/10.1021/jacs.6c04832" TargetMode="External"/><Relationship Id="rId971" Type="http://schemas.openxmlformats.org/officeDocument/2006/relationships/hyperlink" Target="http://dx.doi.org/10.1021/jacs.6c02500" TargetMode="External"/><Relationship Id="rId972" Type="http://schemas.openxmlformats.org/officeDocument/2006/relationships/hyperlink" Target="https://doi.org/10.1021/jacs.6c02500" TargetMode="External"/><Relationship Id="rId973" Type="http://schemas.openxmlformats.org/officeDocument/2006/relationships/hyperlink" Target="http://dx.doi.org/10.1021/jacs.6c05246" TargetMode="External"/><Relationship Id="rId974" Type="http://schemas.openxmlformats.org/officeDocument/2006/relationships/hyperlink" Target="https://doi.org/10.1021/jacs.6c05246" TargetMode="External"/><Relationship Id="rId975" Type="http://schemas.openxmlformats.org/officeDocument/2006/relationships/hyperlink" Target="http://dx.doi.org/10.1021/jacs.6c00632" TargetMode="External"/><Relationship Id="rId976" Type="http://schemas.openxmlformats.org/officeDocument/2006/relationships/hyperlink" Target="https://doi.org/10.1021/jacs.6c00632" TargetMode="External"/><Relationship Id="rId977" Type="http://schemas.openxmlformats.org/officeDocument/2006/relationships/hyperlink" Target="http://dx.doi.org/10.1021/jacs.6c01792" TargetMode="External"/><Relationship Id="rId978" Type="http://schemas.openxmlformats.org/officeDocument/2006/relationships/hyperlink" Target="https://doi.org/10.1021/jacs.6c01792" TargetMode="External"/><Relationship Id="rId979" Type="http://schemas.openxmlformats.org/officeDocument/2006/relationships/hyperlink" Target="http://dx.doi.org/10.1021/jacs.6c00472" TargetMode="External"/><Relationship Id="rId980" Type="http://schemas.openxmlformats.org/officeDocument/2006/relationships/hyperlink" Target="https://doi.org/10.1021/jacs.6c00472" TargetMode="External"/><Relationship Id="rId981" Type="http://schemas.openxmlformats.org/officeDocument/2006/relationships/hyperlink" Target="http://dx.doi.org/10.1021/jacs.6c07083" TargetMode="External"/><Relationship Id="rId982" Type="http://schemas.openxmlformats.org/officeDocument/2006/relationships/hyperlink" Target="https://doi.org/10.1021/jacs.6c07083" TargetMode="External"/><Relationship Id="rId983" Type="http://schemas.openxmlformats.org/officeDocument/2006/relationships/hyperlink" Target="http://pubs.rsc.org/en/Content/ArticleLanding/2026/CS/D6CS90041K" TargetMode="External"/><Relationship Id="rId984" Type="http://schemas.openxmlformats.org/officeDocument/2006/relationships/hyperlink" Target="https://www.nature.com/articles/s41565-026-02168-3" TargetMode="External"/><Relationship Id="rId985" Type="http://schemas.openxmlformats.org/officeDocument/2006/relationships/hyperlink" Target="https://doi.org/10.1038/s41565-026-02168-3" TargetMode="External"/><Relationship Id="rId986" Type="http://schemas.openxmlformats.org/officeDocument/2006/relationships/hyperlink" Target="https://www.nature.com/articles/s41467-026-72962-z" TargetMode="External"/><Relationship Id="rId987" Type="http://schemas.openxmlformats.org/officeDocument/2006/relationships/hyperlink" Target="https://doi.org/10.1038/s41467-026-72962-z" TargetMode="External"/><Relationship Id="rId988" Type="http://schemas.openxmlformats.org/officeDocument/2006/relationships/hyperlink" Target="https://www.nature.com/articles/s41565-026-02151-y" TargetMode="External"/><Relationship Id="rId989" Type="http://schemas.openxmlformats.org/officeDocument/2006/relationships/hyperlink" Target="https://doi.org/10.1038/s41565-026-02151-y" TargetMode="External"/><Relationship Id="rId990" Type="http://schemas.openxmlformats.org/officeDocument/2006/relationships/hyperlink" Target="https://www.nature.com/articles/s41565-026-02154-9" TargetMode="External"/><Relationship Id="rId991" Type="http://schemas.openxmlformats.org/officeDocument/2006/relationships/hyperlink" Target="https://doi.org/10.1038/s41565-026-02154-9" TargetMode="External"/><Relationship Id="rId992" Type="http://schemas.openxmlformats.org/officeDocument/2006/relationships/hyperlink" Target="https://www.sciencedirect.com/science/article/pii/S0301421526003095?dgcid=rss_sd_all" TargetMode="External"/><Relationship Id="rId993" Type="http://schemas.openxmlformats.org/officeDocument/2006/relationships/hyperlink" Target="https://www.nature.com/articles/s41467-026-72877-9" TargetMode="External"/><Relationship Id="rId994" Type="http://schemas.openxmlformats.org/officeDocument/2006/relationships/hyperlink" Target="https://doi.org/10.1038/s41467-026-72877-9" TargetMode="External"/><Relationship Id="rId995" Type="http://schemas.openxmlformats.org/officeDocument/2006/relationships/hyperlink" Target="https://www.nature.com/articles/s41563-026-02599-2" TargetMode="External"/><Relationship Id="rId996" Type="http://schemas.openxmlformats.org/officeDocument/2006/relationships/hyperlink" Target="https://doi.org/10.1038/s41563-026-02599-2" TargetMode="External"/><Relationship Id="rId997" Type="http://schemas.openxmlformats.org/officeDocument/2006/relationships/hyperlink" Target="https://www.cell.com/joule/fulltext/S2542-4351(26)00163-7?rss=yes" TargetMode="External"/><Relationship Id="rId998" Type="http://schemas.openxmlformats.org/officeDocument/2006/relationships/hyperlink" Target="https://doi.org/10.1016/j.joule.2026.102479" TargetMode="External"/><Relationship Id="rId999" Type="http://schemas.openxmlformats.org/officeDocument/2006/relationships/hyperlink" Target="https://www.nature.com/articles/s41467-026-73116-x" TargetMode="External"/><Relationship Id="rId1000" Type="http://schemas.openxmlformats.org/officeDocument/2006/relationships/hyperlink" Target="https://doi.org/10.1038/s41467-026-73116-x" TargetMode="External"/><Relationship Id="rId1001" Type="http://schemas.openxmlformats.org/officeDocument/2006/relationships/hyperlink" Target="https://www.nature.com/articles/s41467-026-73221-x" TargetMode="External"/><Relationship Id="rId1002" Type="http://schemas.openxmlformats.org/officeDocument/2006/relationships/hyperlink" Target="https://doi.org/10.1038/s41467-026-73221-x" TargetMode="External"/><Relationship Id="rId1003" Type="http://schemas.openxmlformats.org/officeDocument/2006/relationships/hyperlink" Target="https://www.nature.com/articles/s41565-026-02169-2" TargetMode="External"/><Relationship Id="rId1004" Type="http://schemas.openxmlformats.org/officeDocument/2006/relationships/hyperlink" Target="https://doi.org/10.1038/s41565-026-02169-2" TargetMode="External"/><Relationship Id="rId1005" Type="http://schemas.openxmlformats.org/officeDocument/2006/relationships/hyperlink" Target="https://www.nature.com/articles/s41467-026-73137-6" TargetMode="External"/><Relationship Id="rId1006" Type="http://schemas.openxmlformats.org/officeDocument/2006/relationships/hyperlink" Target="https://doi.org/10.1038/s41467-026-73137-6" TargetMode="External"/><Relationship Id="rId1007" Type="http://schemas.openxmlformats.org/officeDocument/2006/relationships/hyperlink" Target="https://www.nature.com/articles/s41557-026-02176-9" TargetMode="External"/><Relationship Id="rId1008" Type="http://schemas.openxmlformats.org/officeDocument/2006/relationships/hyperlink" Target="https://doi.org/10.1038/s41557-026-02176-9" TargetMode="External"/><Relationship Id="rId1009" Type="http://schemas.openxmlformats.org/officeDocument/2006/relationships/hyperlink" Target="https://www.nature.com/articles/s41467-026-73069-1" TargetMode="External"/><Relationship Id="rId1010" Type="http://schemas.openxmlformats.org/officeDocument/2006/relationships/hyperlink" Target="https://doi.org/10.1038/s41467-026-73069-1" TargetMode="External"/><Relationship Id="rId1011" Type="http://schemas.openxmlformats.org/officeDocument/2006/relationships/hyperlink" Target="https://academic.oup.com/nsr/advance-article/doi/10.1093/nsr/nwag267/8678196?rss=1" TargetMode="External"/><Relationship Id="rId1012" Type="http://schemas.openxmlformats.org/officeDocument/2006/relationships/hyperlink" Target="https://doi.org/10.1093/nsr/nwag267" TargetMode="External"/><Relationship Id="rId1013" Type="http://schemas.openxmlformats.org/officeDocument/2006/relationships/hyperlink" Target="https://www.sciencedirect.com/science/article/pii/S0306261926006914?dgcid=rss_sd_all" TargetMode="External"/><Relationship Id="rId1014" Type="http://schemas.openxmlformats.org/officeDocument/2006/relationships/hyperlink" Target="https://www.nature.com/articles/d41586-026-01537-1" TargetMode="External"/><Relationship Id="rId1015" Type="http://schemas.openxmlformats.org/officeDocument/2006/relationships/hyperlink" Target="https://doi.org/10.1038/d41586-026-01537-1" TargetMode="External"/><Relationship Id="rId1016" Type="http://schemas.openxmlformats.org/officeDocument/2006/relationships/hyperlink" Target="https://www.sciencedirect.com/science/article/pii/S0306261926006665?dgcid=rss_sd_all" TargetMode="External"/><Relationship Id="rId1017" Type="http://schemas.openxmlformats.org/officeDocument/2006/relationships/hyperlink" Target="https://www.nature.com/articles/s44286-026-00392-1" TargetMode="External"/><Relationship Id="rId1018" Type="http://schemas.openxmlformats.org/officeDocument/2006/relationships/hyperlink" Target="https://doi.org/10.1038/s44286-026-00392-1" TargetMode="External"/><Relationship Id="rId1019" Type="http://schemas.openxmlformats.org/officeDocument/2006/relationships/hyperlink" Target="https://www.cell.com/one-earth/fulltext/S2590-3322(26)00106-5?rss=yes" TargetMode="External"/><Relationship Id="rId1020" Type="http://schemas.openxmlformats.org/officeDocument/2006/relationships/hyperlink" Target="https://doi.org/10.1016/j.oneear.2026.101705" TargetMode="External"/><Relationship Id="rId1021" Type="http://schemas.openxmlformats.org/officeDocument/2006/relationships/hyperlink" Target="https://www.nature.com/articles/d41586-026-01550-4" TargetMode="External"/><Relationship Id="rId1022" Type="http://schemas.openxmlformats.org/officeDocument/2006/relationships/hyperlink" Target="https://doi.org/10.1038/d41586-026-01550-4" TargetMode="External"/><Relationship Id="rId1023" Type="http://schemas.openxmlformats.org/officeDocument/2006/relationships/hyperlink" Target="https://www.nature.com/articles/d41586-026-01531-7" TargetMode="External"/><Relationship Id="rId1024" Type="http://schemas.openxmlformats.org/officeDocument/2006/relationships/hyperlink" Target="https://doi.org/10.1038/d41586-026-01531-7" TargetMode="External"/><Relationship Id="rId1025" Type="http://schemas.openxmlformats.org/officeDocument/2006/relationships/hyperlink" Target="https://www.nature.com/articles/d41586-026-01545-1" TargetMode="External"/><Relationship Id="rId1026" Type="http://schemas.openxmlformats.org/officeDocument/2006/relationships/hyperlink" Target="https://doi.org/10.1038/d41586-026-01545-1" TargetMode="External"/><Relationship Id="rId1027" Type="http://schemas.openxmlformats.org/officeDocument/2006/relationships/hyperlink" Target="https://www.nature.com/articles/d41586-026-01538-0" TargetMode="External"/><Relationship Id="rId1028" Type="http://schemas.openxmlformats.org/officeDocument/2006/relationships/hyperlink" Target="https://doi.org/10.1038/d41586-026-01538-0" TargetMode="External"/><Relationship Id="rId1029" Type="http://schemas.openxmlformats.org/officeDocument/2006/relationships/hyperlink" Target="https://www.nature.com/articles/d41586-026-01549-x" TargetMode="External"/><Relationship Id="rId1030" Type="http://schemas.openxmlformats.org/officeDocument/2006/relationships/hyperlink" Target="https://doi.org/10.1038/d41586-026-01549-x" TargetMode="External"/><Relationship Id="rId1031" Type="http://schemas.openxmlformats.org/officeDocument/2006/relationships/hyperlink" Target="https://www.nature.com/articles/d41586-026-00895-0" TargetMode="External"/><Relationship Id="rId1032" Type="http://schemas.openxmlformats.org/officeDocument/2006/relationships/hyperlink" Target="https://doi.org/10.1038/d41586-026-00895-0" TargetMode="External"/><Relationship Id="rId1033" Type="http://schemas.openxmlformats.org/officeDocument/2006/relationships/hyperlink" Target="https://www.nature.com/articles/s41586-026-10573-w" TargetMode="External"/><Relationship Id="rId1034" Type="http://schemas.openxmlformats.org/officeDocument/2006/relationships/hyperlink" Target="https://doi.org/10.1038/s41586-026-10573-w" TargetMode="External"/><Relationship Id="rId1035" Type="http://schemas.openxmlformats.org/officeDocument/2006/relationships/hyperlink" Target="https://www.nature.com/articles/s41586-026-10620-6" TargetMode="External"/><Relationship Id="rId1036" Type="http://schemas.openxmlformats.org/officeDocument/2006/relationships/hyperlink" Target="https://doi.org/10.1038/s41586-026-10620-6" TargetMode="External"/><Relationship Id="rId1037" Type="http://schemas.openxmlformats.org/officeDocument/2006/relationships/hyperlink" Target="https://academic.oup.com/nsr/advance-article/doi/10.1093/nsr/nwag284/8678204?rss=1" TargetMode="External"/><Relationship Id="rId1038" Type="http://schemas.openxmlformats.org/officeDocument/2006/relationships/hyperlink" Target="https://doi.org/10.1093/nsr/nwag284" TargetMode="External"/><Relationship Id="rId1039" Type="http://schemas.openxmlformats.org/officeDocument/2006/relationships/hyperlink" Target="https://onlinelibrary.wiley.com/doi/10.1002/anie.6610209?af=R" TargetMode="External"/><Relationship Id="rId1040" Type="http://schemas.openxmlformats.org/officeDocument/2006/relationships/hyperlink" Target="https://doi.org/10.1002/anie.6610209" TargetMode="External"/><Relationship Id="rId1041" Type="http://schemas.openxmlformats.org/officeDocument/2006/relationships/hyperlink" Target="https://www.science.org/doi/abs/10.1126/science.aei7754?af=R" TargetMode="External"/><Relationship Id="rId1042" Type="http://schemas.openxmlformats.org/officeDocument/2006/relationships/hyperlink" Target="https://doi.org/10.1126/science.aei7754" TargetMode="External"/><Relationship Id="rId1043" Type="http://schemas.openxmlformats.org/officeDocument/2006/relationships/hyperlink" Target="https://www.science.org/doi/abs/10.1126/science.aei7755?af=R" TargetMode="External"/><Relationship Id="rId1044" Type="http://schemas.openxmlformats.org/officeDocument/2006/relationships/hyperlink" Target="https://doi.org/10.1126/science.aei7755" TargetMode="External"/><Relationship Id="rId1045" Type="http://schemas.openxmlformats.org/officeDocument/2006/relationships/hyperlink" Target="https://www.science.org/doi/abs/10.1126/science.aei8227?af=R" TargetMode="External"/><Relationship Id="rId1046" Type="http://schemas.openxmlformats.org/officeDocument/2006/relationships/hyperlink" Target="https://doi.org/10.1126/science.aei8227" TargetMode="External"/><Relationship Id="rId1047" Type="http://schemas.openxmlformats.org/officeDocument/2006/relationships/hyperlink" Target="https://www.science.org/doi/abs/10.1126/science.aed6094?af=R" TargetMode="External"/><Relationship Id="rId1048" Type="http://schemas.openxmlformats.org/officeDocument/2006/relationships/hyperlink" Target="https://doi.org/10.1126/science.aed6094" TargetMode="External"/><Relationship Id="rId1049" Type="http://schemas.openxmlformats.org/officeDocument/2006/relationships/hyperlink" Target="https://www.science.org/doi/abs/10.1126/science.aeh5488?af=R" TargetMode="External"/><Relationship Id="rId1050" Type="http://schemas.openxmlformats.org/officeDocument/2006/relationships/hyperlink" Target="https://doi.org/10.1126/science.aeh5488" TargetMode="External"/><Relationship Id="rId1051" Type="http://schemas.openxmlformats.org/officeDocument/2006/relationships/hyperlink" Target="https://www.science.org/doi/abs/10.1126/science.aeh7121?af=R" TargetMode="External"/><Relationship Id="rId1052" Type="http://schemas.openxmlformats.org/officeDocument/2006/relationships/hyperlink" Target="https://doi.org/10.1126/science.aeh7121" TargetMode="External"/><Relationship Id="rId1053" Type="http://schemas.openxmlformats.org/officeDocument/2006/relationships/hyperlink" Target="https://www.science.org/doi/abs/10.1126/science.aeg9714?af=R" TargetMode="External"/><Relationship Id="rId1054" Type="http://schemas.openxmlformats.org/officeDocument/2006/relationships/hyperlink" Target="https://doi.org/10.1126/science.aeg9714" TargetMode="External"/><Relationship Id="rId1055" Type="http://schemas.openxmlformats.org/officeDocument/2006/relationships/hyperlink" Target="https://www.science.org/doi/abs/10.1126/science.aef3432?af=R" TargetMode="External"/><Relationship Id="rId1056" Type="http://schemas.openxmlformats.org/officeDocument/2006/relationships/hyperlink" Target="https://doi.org/10.1126/science.aef3432" TargetMode="External"/><Relationship Id="rId1057" Type="http://schemas.openxmlformats.org/officeDocument/2006/relationships/hyperlink" Target="https://www.science.org/doi/abs/10.1126/science.aeh5698?af=R" TargetMode="External"/><Relationship Id="rId1058" Type="http://schemas.openxmlformats.org/officeDocument/2006/relationships/hyperlink" Target="https://doi.org/10.1126/science.aeh5698" TargetMode="External"/><Relationship Id="rId1059" Type="http://schemas.openxmlformats.org/officeDocument/2006/relationships/hyperlink" Target="https://www.science.org/doi/abs/10.1126/science.aei8221?af=R" TargetMode="External"/><Relationship Id="rId1060" Type="http://schemas.openxmlformats.org/officeDocument/2006/relationships/hyperlink" Target="https://doi.org/10.1126/science.aei8221" TargetMode="External"/><Relationship Id="rId1061" Type="http://schemas.openxmlformats.org/officeDocument/2006/relationships/hyperlink" Target="https://www.science.org/doi/abs/10.1126/science.aei8222?af=R" TargetMode="External"/><Relationship Id="rId1062" Type="http://schemas.openxmlformats.org/officeDocument/2006/relationships/hyperlink" Target="https://doi.org/10.1126/science.aei8222" TargetMode="External"/><Relationship Id="rId1063" Type="http://schemas.openxmlformats.org/officeDocument/2006/relationships/hyperlink" Target="https://www.science.org/doi/abs/10.1126/science.aei8223?af=R" TargetMode="External"/><Relationship Id="rId1064" Type="http://schemas.openxmlformats.org/officeDocument/2006/relationships/hyperlink" Target="https://doi.org/10.1126/science.aei8223" TargetMode="External"/><Relationship Id="rId1065" Type="http://schemas.openxmlformats.org/officeDocument/2006/relationships/hyperlink" Target="https://www.science.org/doi/abs/10.1126/science.aea9563?af=R" TargetMode="External"/><Relationship Id="rId1066" Type="http://schemas.openxmlformats.org/officeDocument/2006/relationships/hyperlink" Target="https://doi.org/10.1126/science.aea9563" TargetMode="External"/><Relationship Id="rId1067" Type="http://schemas.openxmlformats.org/officeDocument/2006/relationships/hyperlink" Target="https://www.science.org/doi/abs/10.1126/science.aeh1690?af=R" TargetMode="External"/><Relationship Id="rId1068" Type="http://schemas.openxmlformats.org/officeDocument/2006/relationships/hyperlink" Target="https://doi.org/10.1126/science.aeh1690" TargetMode="External"/><Relationship Id="rId1069" Type="http://schemas.openxmlformats.org/officeDocument/2006/relationships/hyperlink" Target="https://www.science.org/doi/abs/10.1126/science.aef1620?af=R" TargetMode="External"/><Relationship Id="rId1070" Type="http://schemas.openxmlformats.org/officeDocument/2006/relationships/hyperlink" Target="https://doi.org/10.1126/science.aef1620" TargetMode="External"/><Relationship Id="rId1071" Type="http://schemas.openxmlformats.org/officeDocument/2006/relationships/hyperlink" Target="https://www.science.org/doi/abs/10.1126/science.aeh7122?af=R" TargetMode="External"/><Relationship Id="rId1072" Type="http://schemas.openxmlformats.org/officeDocument/2006/relationships/hyperlink" Target="https://doi.org/10.1126/science.aeh7122" TargetMode="External"/><Relationship Id="rId1073" Type="http://schemas.openxmlformats.org/officeDocument/2006/relationships/hyperlink" Target="https://www.science.org/doi/abs/10.1126/science.aec2071?af=R" TargetMode="External"/><Relationship Id="rId1074" Type="http://schemas.openxmlformats.org/officeDocument/2006/relationships/hyperlink" Target="https://doi.org/10.1126/science.aec2071" TargetMode="External"/><Relationship Id="rId1075" Type="http://schemas.openxmlformats.org/officeDocument/2006/relationships/hyperlink" Target="https://www.science.org/doi/abs/10.1126/science.aei5835?af=R" TargetMode="External"/><Relationship Id="rId1076" Type="http://schemas.openxmlformats.org/officeDocument/2006/relationships/hyperlink" Target="https://doi.org/10.1126/science.aei5835" TargetMode="External"/><Relationship Id="rId1077" Type="http://schemas.openxmlformats.org/officeDocument/2006/relationships/hyperlink" Target="https://www.science.org/doi/abs/10.1126/science.aei7753?af=R" TargetMode="External"/><Relationship Id="rId1078" Type="http://schemas.openxmlformats.org/officeDocument/2006/relationships/hyperlink" Target="https://doi.org/10.1126/science.aei7753" TargetMode="External"/><Relationship Id="rId1079" Type="http://schemas.openxmlformats.org/officeDocument/2006/relationships/hyperlink" Target="https://www.science.org/doi/abs/10.1126/science.aed4488?af=R" TargetMode="External"/><Relationship Id="rId1080" Type="http://schemas.openxmlformats.org/officeDocument/2006/relationships/hyperlink" Target="https://doi.org/10.1126/science.aed4488" TargetMode="External"/><Relationship Id="rId1081" Type="http://schemas.openxmlformats.org/officeDocument/2006/relationships/hyperlink" Target="https://www.science.org/doi/abs/10.1126/science.aec3177?af=R" TargetMode="External"/><Relationship Id="rId1082" Type="http://schemas.openxmlformats.org/officeDocument/2006/relationships/hyperlink" Target="https://doi.org/10.1126/science.aec3177" TargetMode="External"/><Relationship Id="rId1083" Type="http://schemas.openxmlformats.org/officeDocument/2006/relationships/hyperlink" Target="https://www.science.org/doi/abs/10.1126/science.aei8229?af=R" TargetMode="External"/><Relationship Id="rId1084" Type="http://schemas.openxmlformats.org/officeDocument/2006/relationships/hyperlink" Target="https://doi.org/10.1126/science.aei8229" TargetMode="External"/><Relationship Id="rId1085" Type="http://schemas.openxmlformats.org/officeDocument/2006/relationships/hyperlink" Target="https://www.science.org/doi/abs/10.1126/science.aei8225?af=R" TargetMode="External"/><Relationship Id="rId1086" Type="http://schemas.openxmlformats.org/officeDocument/2006/relationships/hyperlink" Target="https://doi.org/10.1126/science.aei8225" TargetMode="External"/><Relationship Id="rId1087" Type="http://schemas.openxmlformats.org/officeDocument/2006/relationships/hyperlink" Target="https://www.science.org/doi/abs/10.1126/science.aei8224?af=R" TargetMode="External"/><Relationship Id="rId1088" Type="http://schemas.openxmlformats.org/officeDocument/2006/relationships/hyperlink" Target="https://doi.org/10.1126/science.aei8224" TargetMode="External"/><Relationship Id="rId1089" Type="http://schemas.openxmlformats.org/officeDocument/2006/relationships/hyperlink" Target="https://www.science.org/doi/abs/10.1126/science.aeg5752?af=R" TargetMode="External"/><Relationship Id="rId1090" Type="http://schemas.openxmlformats.org/officeDocument/2006/relationships/hyperlink" Target="https://doi.org/10.1126/science.aeg5752" TargetMode="External"/><Relationship Id="rId1091" Type="http://schemas.openxmlformats.org/officeDocument/2006/relationships/hyperlink" Target="https://www.science.org/doi/abs/10.1126/science.aeh0749?af=R" TargetMode="External"/><Relationship Id="rId1092" Type="http://schemas.openxmlformats.org/officeDocument/2006/relationships/hyperlink" Target="https://doi.org/10.1126/science.aeh0749" TargetMode="External"/><Relationship Id="rId1093" Type="http://schemas.openxmlformats.org/officeDocument/2006/relationships/hyperlink" Target="https://www.science.org/doi/abs/10.1126/science.adx9533?af=R" TargetMode="External"/><Relationship Id="rId1094" Type="http://schemas.openxmlformats.org/officeDocument/2006/relationships/hyperlink" Target="https://doi.org/10.1126/science.adx9533" TargetMode="External"/><Relationship Id="rId1095" Type="http://schemas.openxmlformats.org/officeDocument/2006/relationships/hyperlink" Target="https://www.science.org/doi/abs/10.1126/science.ady6190?af=R" TargetMode="External"/><Relationship Id="rId1096" Type="http://schemas.openxmlformats.org/officeDocument/2006/relationships/hyperlink" Target="https://doi.org/10.1126/science.ady6190" TargetMode="External"/><Relationship Id="rId1097" Type="http://schemas.openxmlformats.org/officeDocument/2006/relationships/hyperlink" Target="https://www.science.org/doi/abs/10.1126/science.aea7086?af=R" TargetMode="External"/><Relationship Id="rId1098" Type="http://schemas.openxmlformats.org/officeDocument/2006/relationships/hyperlink" Target="https://doi.org/10.1126/science.aea7086" TargetMode="External"/><Relationship Id="rId1099" Type="http://schemas.openxmlformats.org/officeDocument/2006/relationships/hyperlink" Target="https://www.science.org/doi/abs/10.1126/science.aei8226?af=R" TargetMode="External"/><Relationship Id="rId1100" Type="http://schemas.openxmlformats.org/officeDocument/2006/relationships/hyperlink" Target="https://doi.org/10.1126/science.aei8226" TargetMode="External"/><Relationship Id="rId1101" Type="http://schemas.openxmlformats.org/officeDocument/2006/relationships/hyperlink" Target="https://www.science.org/doi/abs/10.1126/science.adt3136?af=R" TargetMode="External"/><Relationship Id="rId1102" Type="http://schemas.openxmlformats.org/officeDocument/2006/relationships/hyperlink" Target="https://doi.org/10.1126/science.adt3136" TargetMode="External"/><Relationship Id="rId1103" Type="http://schemas.openxmlformats.org/officeDocument/2006/relationships/hyperlink" Target="https://advanced.onlinelibrary.wiley.com/doi/10.1002/adma.73369?af=R" TargetMode="External"/><Relationship Id="rId1104" Type="http://schemas.openxmlformats.org/officeDocument/2006/relationships/hyperlink" Target="https://doi.org/10.1002/adma.73369" TargetMode="External"/><Relationship Id="rId1105" Type="http://schemas.openxmlformats.org/officeDocument/2006/relationships/hyperlink" Target="https://advanced.onlinelibrary.wiley.com/doi/10.1002/adma.73363?af=R" TargetMode="External"/><Relationship Id="rId1106" Type="http://schemas.openxmlformats.org/officeDocument/2006/relationships/hyperlink" Target="https://doi.org/10.1002/adma.73363" TargetMode="External"/><Relationship Id="rId1107" Type="http://schemas.openxmlformats.org/officeDocument/2006/relationships/hyperlink" Target="https://advanced.onlinelibrary.wiley.com/doi/10.1002/adma.73373?af=R" TargetMode="External"/><Relationship Id="rId1108" Type="http://schemas.openxmlformats.org/officeDocument/2006/relationships/hyperlink" Target="https://doi.org/10.1002/adma.73373" TargetMode="External"/><Relationship Id="rId1109" Type="http://schemas.openxmlformats.org/officeDocument/2006/relationships/hyperlink" Target="https://advanced.onlinelibrary.wiley.com/doi/10.1002/adma.73380?af=R" TargetMode="External"/><Relationship Id="rId1110" Type="http://schemas.openxmlformats.org/officeDocument/2006/relationships/hyperlink" Target="https://doi.org/10.1002/adma.73380" TargetMode="External"/><Relationship Id="rId1111" Type="http://schemas.openxmlformats.org/officeDocument/2006/relationships/hyperlink" Target="https://advanced.onlinelibrary.wiley.com/doi/10.1002/adma.73360?af=R" TargetMode="External"/><Relationship Id="rId1112" Type="http://schemas.openxmlformats.org/officeDocument/2006/relationships/hyperlink" Target="https://doi.org/10.1002/adma.73360" TargetMode="External"/><Relationship Id="rId1113" Type="http://schemas.openxmlformats.org/officeDocument/2006/relationships/hyperlink" Target="https://www.science.org/doi/abs/10.1126/science.adz1970?af=R" TargetMode="External"/><Relationship Id="rId1114" Type="http://schemas.openxmlformats.org/officeDocument/2006/relationships/hyperlink" Target="https://doi.org/10.1126/science.adz1970" TargetMode="External"/><Relationship Id="rId1115" Type="http://schemas.openxmlformats.org/officeDocument/2006/relationships/hyperlink" Target="https://www.science.org/doi/abs/10.1126/science.aeb5134?af=R" TargetMode="External"/><Relationship Id="rId1116" Type="http://schemas.openxmlformats.org/officeDocument/2006/relationships/hyperlink" Target="https://doi.org/10.1126/science.aeb5134" TargetMode="External"/><Relationship Id="rId1117" Type="http://schemas.openxmlformats.org/officeDocument/2006/relationships/hyperlink" Target="https://www.science.org/doi/abs/10.1126/science.aed6880?af=R" TargetMode="External"/><Relationship Id="rId1118" Type="http://schemas.openxmlformats.org/officeDocument/2006/relationships/hyperlink" Target="https://doi.org/10.1126/science.aed6880" TargetMode="External"/><Relationship Id="rId1119" Type="http://schemas.openxmlformats.org/officeDocument/2006/relationships/hyperlink" Target="https://www.science.org/doi/abs/10.1126/science.adx9954?af=R" TargetMode="External"/><Relationship Id="rId1120" Type="http://schemas.openxmlformats.org/officeDocument/2006/relationships/hyperlink" Target="https://doi.org/10.1126/science.adx9954" TargetMode="External"/><Relationship Id="rId1121" Type="http://schemas.openxmlformats.org/officeDocument/2006/relationships/hyperlink" Target="https://www.pnas.org/doi/abs/10.1073/pnas.2606891123?mi=eymic2&amp;af=R&amp;access=on&amp;content=articlesChapters&amp;publication=pnas&amp;sortBy=Earliest&amp;target=default" TargetMode="External"/><Relationship Id="rId1122" Type="http://schemas.openxmlformats.org/officeDocument/2006/relationships/hyperlink" Target="https://doi.org/10.1073/pnas.2606891123" TargetMode="External"/><Relationship Id="rId1123" Type="http://schemas.openxmlformats.org/officeDocument/2006/relationships/hyperlink" Target="https://www.science.org/doi/abs/10.1126/science.aeh7153?af=R" TargetMode="External"/><Relationship Id="rId1124" Type="http://schemas.openxmlformats.org/officeDocument/2006/relationships/hyperlink" Target="https://doi.org/10.1126/science.aeh7153" TargetMode="External"/><Relationship Id="rId1125" Type="http://schemas.openxmlformats.org/officeDocument/2006/relationships/hyperlink" Target="https://www.science.org/doi/abs/10.1126/science.adg8401?af=R" TargetMode="External"/><Relationship Id="rId1126" Type="http://schemas.openxmlformats.org/officeDocument/2006/relationships/hyperlink" Target="https://doi.org/10.1126/science.adg8401" TargetMode="External"/><Relationship Id="rId1127" Type="http://schemas.openxmlformats.org/officeDocument/2006/relationships/hyperlink" Target="https://www.science.org/doi/abs/10.1126/science.aei3078?af=R" TargetMode="External"/><Relationship Id="rId1128" Type="http://schemas.openxmlformats.org/officeDocument/2006/relationships/hyperlink" Target="https://doi.org/10.1126/science.aei3078" TargetMode="External"/><Relationship Id="rId1129" Type="http://schemas.openxmlformats.org/officeDocument/2006/relationships/hyperlink" Target="https://www.pnas.org/doi/abs/10.1073/pnas.2529064123?mi=eymic2&amp;af=R&amp;access=on&amp;content=articlesChapters&amp;publication=pnas&amp;sortBy=Earliest&amp;target=default" TargetMode="External"/><Relationship Id="rId1130" Type="http://schemas.openxmlformats.org/officeDocument/2006/relationships/hyperlink" Target="https://doi.org/10.1073/pnas.2529064123" TargetMode="External"/><Relationship Id="rId1131" Type="http://schemas.openxmlformats.org/officeDocument/2006/relationships/hyperlink" Target="https://www.pnas.org/doi/abs/10.1073/pnas.2535757123?mi=eymic2&amp;af=R&amp;access=on&amp;content=articlesChapters&amp;publication=pnas&amp;sortBy=Earliest&amp;target=default" TargetMode="External"/><Relationship Id="rId1132" Type="http://schemas.openxmlformats.org/officeDocument/2006/relationships/hyperlink" Target="https://doi.org/10.1073/pnas.2535757123" TargetMode="External"/><Relationship Id="rId1133" Type="http://schemas.openxmlformats.org/officeDocument/2006/relationships/hyperlink" Target="https://www.pnas.org/doi/abs/10.1073/pnas.2532263123?mi=eymic2&amp;af=R&amp;access=on&amp;content=articlesChapters&amp;publication=pnas&amp;sortBy=Earliest&amp;target=default" TargetMode="External"/><Relationship Id="rId1134" Type="http://schemas.openxmlformats.org/officeDocument/2006/relationships/hyperlink" Target="https://doi.org/10.1073/pnas.2532263123" TargetMode="External"/><Relationship Id="rId1135" Type="http://schemas.openxmlformats.org/officeDocument/2006/relationships/hyperlink" Target="https://www.pnas.org/doi/abs/10.1073/pnas.2533821123?mi=eymic2&amp;af=R&amp;access=on&amp;content=articlesChapters&amp;publication=pnas&amp;sortBy=Earliest&amp;target=default" TargetMode="External"/><Relationship Id="rId1136" Type="http://schemas.openxmlformats.org/officeDocument/2006/relationships/hyperlink" Target="https://doi.org/10.1073/pnas.2533821123" TargetMode="External"/><Relationship Id="rId1137" Type="http://schemas.openxmlformats.org/officeDocument/2006/relationships/hyperlink" Target="https://www.pnas.org/doi/abs/10.1073/pnas.2535296123?mi=eymic2&amp;af=R&amp;access=on&amp;content=articlesChapters&amp;publication=pnas&amp;sortBy=Earliest&amp;target=default" TargetMode="External"/><Relationship Id="rId1138" Type="http://schemas.openxmlformats.org/officeDocument/2006/relationships/hyperlink" Target="https://doi.org/10.1073/pnas.2535296123" TargetMode="External"/><Relationship Id="rId1139" Type="http://schemas.openxmlformats.org/officeDocument/2006/relationships/hyperlink" Target="https://www.pnas.org/doi/abs/10.1073/pnas.2535550123?mi=eymic2&amp;af=R&amp;access=on&amp;content=articlesChapters&amp;publication=pnas&amp;sortBy=Earliest&amp;target=default" TargetMode="External"/><Relationship Id="rId1140" Type="http://schemas.openxmlformats.org/officeDocument/2006/relationships/hyperlink" Target="https://doi.org/10.1073/pnas.2535550123" TargetMode="External"/><Relationship Id="rId1141" Type="http://schemas.openxmlformats.org/officeDocument/2006/relationships/hyperlink" Target="https://www.pnas.org/doi/abs/10.1073/pnas.2538042123?mi=eymic2&amp;af=R&amp;access=on&amp;content=articlesChapters&amp;publication=pnas&amp;sortBy=Earliest&amp;target=default" TargetMode="External"/><Relationship Id="rId1142" Type="http://schemas.openxmlformats.org/officeDocument/2006/relationships/hyperlink" Target="https://doi.org/10.1073/pnas.2538042123" TargetMode="External"/><Relationship Id="rId1143" Type="http://schemas.openxmlformats.org/officeDocument/2006/relationships/hyperlink" Target="https://www.pnas.org/doi/abs/10.1073/pnas.2603870123?mi=eymic2&amp;af=R&amp;access=on&amp;content=articlesChapters&amp;publication=pnas&amp;sortBy=Earliest&amp;target=default" TargetMode="External"/><Relationship Id="rId1144" Type="http://schemas.openxmlformats.org/officeDocument/2006/relationships/hyperlink" Target="https://doi.org/10.1073/pnas.2603870123" TargetMode="External"/><Relationship Id="rId1145" Type="http://schemas.openxmlformats.org/officeDocument/2006/relationships/hyperlink" Target="https://www.science.org/doi/abs/10.1126/science.aed6802?af=R" TargetMode="External"/><Relationship Id="rId1146" Type="http://schemas.openxmlformats.org/officeDocument/2006/relationships/hyperlink" Target="https://doi.org/10.1126/science.aed6802" TargetMode="External"/><Relationship Id="rId1147" Type="http://schemas.openxmlformats.org/officeDocument/2006/relationships/hyperlink" Target="https://www.pnas.org/doi/abs/10.1073/pnas.2604078123?mi=eymic2&amp;af=R&amp;access=on&amp;content=articlesChapters&amp;publication=pnas&amp;sortBy=Earliest&amp;target=default" TargetMode="External"/><Relationship Id="rId1148" Type="http://schemas.openxmlformats.org/officeDocument/2006/relationships/hyperlink" Target="https://doi.org/10.1073/pnas.2604078123" TargetMode="External"/><Relationship Id="rId1149" Type="http://schemas.openxmlformats.org/officeDocument/2006/relationships/hyperlink" Target="https://www.pnas.org/doi/abs/10.1073/pnas.2529792123?mi=eymic2&amp;af=R&amp;access=on&amp;content=articlesChapters&amp;publication=pnas&amp;sortBy=Earliest&amp;target=default" TargetMode="External"/><Relationship Id="rId1150" Type="http://schemas.openxmlformats.org/officeDocument/2006/relationships/hyperlink" Target="https://doi.org/10.1073/pnas.2529792123" TargetMode="External"/><Relationship Id="rId1151" Type="http://schemas.openxmlformats.org/officeDocument/2006/relationships/hyperlink" Target="http://dx.doi.org/10.1021/jacs.6c02992" TargetMode="External"/><Relationship Id="rId1152" Type="http://schemas.openxmlformats.org/officeDocument/2006/relationships/hyperlink" Target="https://doi.org/10.1021/jacs.6c02992" TargetMode="External"/><Relationship Id="rId1153" Type="http://schemas.openxmlformats.org/officeDocument/2006/relationships/hyperlink" Target="http://dx.doi.org/10.1021/jacs.6c04768" TargetMode="External"/><Relationship Id="rId1154" Type="http://schemas.openxmlformats.org/officeDocument/2006/relationships/hyperlink" Target="https://doi.org/10.1021/jacs.6c04768" TargetMode="External"/><Relationship Id="rId1155" Type="http://schemas.openxmlformats.org/officeDocument/2006/relationships/hyperlink" Target="http://dx.doi.org/10.1021/jacs.6c06148" TargetMode="External"/><Relationship Id="rId1156" Type="http://schemas.openxmlformats.org/officeDocument/2006/relationships/hyperlink" Target="https://doi.org/10.1021/jacs.6c06148" TargetMode="External"/><Relationship Id="rId1157" Type="http://schemas.openxmlformats.org/officeDocument/2006/relationships/hyperlink" Target="http://dx.doi.org/10.1021/jacs.6c04507" TargetMode="External"/><Relationship Id="rId1158" Type="http://schemas.openxmlformats.org/officeDocument/2006/relationships/hyperlink" Target="https://doi.org/10.1021/jacs.6c04507" TargetMode="External"/><Relationship Id="rId1159" Type="http://schemas.openxmlformats.org/officeDocument/2006/relationships/hyperlink" Target="http://dx.doi.org/10.1021/jacs.6c00463" TargetMode="External"/><Relationship Id="rId1160" Type="http://schemas.openxmlformats.org/officeDocument/2006/relationships/hyperlink" Target="https://doi.org/10.1021/jacs.6c00463" TargetMode="External"/><Relationship Id="rId1161" Type="http://schemas.openxmlformats.org/officeDocument/2006/relationships/hyperlink" Target="http://dx.doi.org/10.1021/jacs.6c06467" TargetMode="External"/><Relationship Id="rId1162" Type="http://schemas.openxmlformats.org/officeDocument/2006/relationships/hyperlink" Target="https://doi.org/10.1021/jacs.6c06467" TargetMode="External"/><Relationship Id="rId1163" Type="http://schemas.openxmlformats.org/officeDocument/2006/relationships/hyperlink" Target="http://dx.doi.org/10.1021/jacs.6c03867" TargetMode="External"/><Relationship Id="rId1164" Type="http://schemas.openxmlformats.org/officeDocument/2006/relationships/hyperlink" Target="https://doi.org/10.1021/jacs.6c03867" TargetMode="External"/><Relationship Id="rId1165" Type="http://schemas.openxmlformats.org/officeDocument/2006/relationships/hyperlink" Target="http://dx.doi.org/10.1021/jacs.6c01543" TargetMode="External"/><Relationship Id="rId1166" Type="http://schemas.openxmlformats.org/officeDocument/2006/relationships/hyperlink" Target="https://doi.org/10.1021/jacs.6c01543" TargetMode="External"/><Relationship Id="rId1167" Type="http://schemas.openxmlformats.org/officeDocument/2006/relationships/hyperlink" Target="http://dx.doi.org/10.1021/jacs.6c05591" TargetMode="External"/><Relationship Id="rId1168" Type="http://schemas.openxmlformats.org/officeDocument/2006/relationships/hyperlink" Target="https://doi.org/10.1021/jacs.6c05591" TargetMode="External"/><Relationship Id="rId1169" Type="http://schemas.openxmlformats.org/officeDocument/2006/relationships/hyperlink" Target="http://dx.doi.org/10.1021/jacs.6c02199" TargetMode="External"/><Relationship Id="rId1170" Type="http://schemas.openxmlformats.org/officeDocument/2006/relationships/hyperlink" Target="https://doi.org/10.1021/jacs.6c02199" TargetMode="External"/><Relationship Id="rId1171" Type="http://schemas.openxmlformats.org/officeDocument/2006/relationships/hyperlink" Target="http://dx.doi.org/10.1021/jacs.5c22589" TargetMode="External"/><Relationship Id="rId1172" Type="http://schemas.openxmlformats.org/officeDocument/2006/relationships/hyperlink" Target="https://doi.org/10.1021/jacs.5c22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