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120" w:line="360" w:lineRule="auto"/>
        <w:ind w:firstLine="0"/>
        <w:jc w:val="center"/>
      </w:pPr>
      <w:r>
        <w:rPr>
          <w:rFonts w:ascii="Times New Roman" w:hAnsi="Times New Roman" w:eastAsia="黑体"/>
          <w:b/>
          <w:color w:val="000000"/>
          <w:sz w:val="44"/>
        </w:rPr>
        <w:t>师范生试讲多模态智能评价 Agent</w:t>
      </w:r>
    </w:p>
    <w:p>
      <w:pPr>
        <w:spacing w:before="0" w:after="120" w:line="360" w:lineRule="auto"/>
        <w:ind w:firstLine="0"/>
        <w:jc w:val="center"/>
      </w:pPr>
      <w:r>
        <w:rPr>
          <w:rFonts w:ascii="Times New Roman" w:hAnsi="Times New Roman" w:eastAsia="黑体"/>
          <w:b/>
          <w:color w:val="000000"/>
          <w:sz w:val="44"/>
        </w:rPr>
        <w:t>前端全链路可视化改造开发计划书</w:t>
      </w:r>
    </w:p>
    <w:p>
      <w:pPr>
        <w:spacing w:before="0" w:after="0" w:line="360" w:lineRule="auto"/>
        <w:ind w:firstLine="0"/>
        <w:jc w:val="center"/>
      </w:pPr>
      <w:r>
        <w:rPr>
          <w:rFonts w:ascii="Times New Roman" w:hAnsi="Times New Roman" w:eastAsia="楷体"/>
          <w:b w:val="0"/>
          <w:color w:val="000000"/>
          <w:sz w:val="28"/>
        </w:rPr>
        <w:t>（v1.0 · 可落地的智能体应用前端实施方案）</w:t>
      </w: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0" w:line="360" w:lineRule="auto"/>
        <w:ind w:firstLine="0"/>
        <w:jc w:val="both"/>
      </w:pPr>
    </w:p>
    <w:p>
      <w:pPr>
        <w:spacing w:before="0" w:after="0" w:line="360" w:lineRule="auto"/>
        <w:ind w:firstLine="0"/>
        <w:jc w:val="center"/>
      </w:pPr>
      <w:r>
        <w:rPr>
          <w:rFonts w:ascii="Times New Roman" w:hAnsi="Times New Roman" w:eastAsia="宋体"/>
          <w:b w:val="0"/>
          <w:color w:val="000000"/>
          <w:sz w:val="24"/>
        </w:rPr>
        <w:t>编制人：杨德琰（项目 Owner）</w:t>
      </w:r>
    </w:p>
    <w:p>
      <w:pPr>
        <w:spacing w:before="0" w:after="0" w:line="360" w:lineRule="auto"/>
        <w:ind w:firstLine="0"/>
        <w:jc w:val="center"/>
      </w:pPr>
      <w:r>
        <w:rPr>
          <w:rFonts w:ascii="Times New Roman" w:hAnsi="Times New Roman" w:eastAsia="宋体"/>
          <w:b w:val="0"/>
          <w:color w:val="000000"/>
          <w:sz w:val="24"/>
        </w:rPr>
        <w:t>编制日期：2026 年 10 月 28 日</w:t>
      </w:r>
    </w:p>
    <w:p>
      <w:pPr>
        <w:spacing w:before="0" w:after="0" w:line="360" w:lineRule="auto"/>
        <w:ind w:firstLine="0"/>
        <w:jc w:val="center"/>
      </w:pPr>
      <w:r>
        <w:rPr>
          <w:rFonts w:ascii="Times New Roman" w:hAnsi="Times New Roman" w:eastAsia="宋体"/>
          <w:b w:val="0"/>
          <w:color w:val="000000"/>
          <w:sz w:val="24"/>
        </w:rPr>
        <w:t>所属项目：教育赋能·师范生讲课降本增效 Agent</w:t>
      </w:r>
    </w:p>
    <w:p>
      <w:r>
        <w:br w:type="page"/>
      </w:r>
    </w:p>
    <w:p>
      <w:pPr>
        <w:spacing w:before="0" w:after="240" w:line="360" w:lineRule="auto"/>
        <w:ind w:firstLine="0"/>
        <w:jc w:val="center"/>
      </w:pPr>
      <w:r>
        <w:rPr>
          <w:rFonts w:ascii="Times New Roman" w:hAnsi="Times New Roman" w:eastAsia="黑体"/>
          <w:b/>
          <w:color w:val="000000"/>
          <w:sz w:val="32"/>
        </w:rPr>
        <w:t>目　录</w:t>
      </w:r>
    </w:p>
    <w:p>
      <w:r>
        <w:rPr>
          <w:rFonts w:eastAsia="宋体"/>
        </w:rPr>
        <w:fldChar w:fldCharType="begin"/>
        <w:instrText xml:space="preserve">TOC \o "1-2" \h \z \u</w:instrText>
        <w:fldChar w:fldCharType="separate"/>
        <w:t>（请在 Word 中右键目录→更新域以生成目录）</w:t>
        <w:fldChar w:fldCharType="end"/>
      </w:r>
    </w:p>
    <w:p>
      <w:r>
        <w:br w:type="page"/>
      </w:r>
    </w:p>
    <w:p>
      <w:pPr>
        <w:pStyle w:val="Heading1"/>
        <w:spacing w:before="280" w:after="120" w:line="240" w:lineRule="auto"/>
        <w:ind w:firstLine="0"/>
      </w:pPr>
      <w:r>
        <w:rPr>
          <w:rFonts w:ascii="Times New Roman" w:hAnsi="Times New Roman" w:eastAsia="黑体"/>
          <w:b/>
          <w:color w:val="000000"/>
          <w:sz w:val="32"/>
        </w:rPr>
        <w:t>1　执行摘要</w:t>
      </w:r>
    </w:p>
    <w:p>
      <w:pPr>
        <w:spacing w:before="0" w:after="0" w:line="360" w:lineRule="auto"/>
        <w:ind w:firstLine="480"/>
        <w:jc w:val="both"/>
      </w:pPr>
      <w:r>
        <w:rPr>
          <w:rFonts w:ascii="Times New Roman" w:hAnsi="Times New Roman" w:eastAsia="宋体"/>
          <w:b w:val="0"/>
          <w:color w:val="000000"/>
          <w:sz w:val="24"/>
        </w:rPr>
        <w:t>本计划书围绕“教育赋能·师范生讲课降本增效 Agent”竞赛项目的重大前端改造展开。竞赛对参赛作品的核心要求是提交可落地、可演示、可实际使用的智能体应用，而非框架层面的架构强健性。因此，前端不再是锦上添花的界面，而是评审判断“应用是否成立”的关键一环，也是面向师范生与专家两类真实用户的核心交付面。</w:t>
      </w:r>
    </w:p>
    <w:p>
      <w:pPr>
        <w:spacing w:before="0" w:after="0" w:line="360" w:lineRule="auto"/>
        <w:ind w:firstLine="480"/>
        <w:jc w:val="both"/>
      </w:pPr>
      <w:r>
        <w:rPr>
          <w:rFonts w:ascii="Times New Roman" w:hAnsi="Times New Roman" w:eastAsia="宋体"/>
          <w:b w:val="0"/>
          <w:color w:val="000000"/>
          <w:sz w:val="24"/>
        </w:rPr>
        <w:t>经对现有 Soybean Admin 模板（Vue3＋Vite6＋TypeScript）能力边界、项目已有后端（FastAPI＋LangGraph＋DeepSeek-R1＋ChromaDB 知识库）与已固化的四维度评价指标体系进行综合评估，本计划书形成一条核心判断：Soybean 模板在技术上完全可以承载本项目全部需求，决定改造成败的并非模板本身，而是四个模板无关的自定义可视化组件——全链路流程可视化、视频证据时间轴、评分与成长可视化、流式对话面板。它们均可通过引入成熟的独立库（AntV X6、video.js、ECharts、SSE）实现，且与是否继续使用 Soybean 无关。</w:t>
      </w:r>
    </w:p>
    <w:p>
      <w:pPr>
        <w:spacing w:before="0" w:after="0" w:line="360" w:lineRule="auto"/>
        <w:ind w:firstLine="480"/>
        <w:jc w:val="both"/>
      </w:pPr>
      <w:r>
        <w:rPr>
          <w:rFonts w:ascii="Times New Roman" w:hAnsi="Times New Roman" w:eastAsia="宋体"/>
          <w:b w:val="0"/>
          <w:color w:val="000000"/>
          <w:sz w:val="24"/>
        </w:rPr>
        <w:t>据此，推荐采取“成本可控的双区改造”策略：继续以 Soybean 作为统一工程外壳，复用它已具备的路由、权限、布局、表格与表单能力，避免推倒重来；将应用重构为“专家工作台（B 端）＋学生端（C 端）”双区，并在共享可视化组件层投入核心研发资源。全部工作划分为四个里程碑（M0 基座与数据契约、M1 可视化组件、M2 双区页面、M3 联调与演示），预计可在竞赛周期内完成可演示的完整闭环。</w:t>
      </w:r>
    </w:p>
    <w:p>
      <w:pPr>
        <w:spacing w:before="0" w:after="0" w:line="360" w:lineRule="auto"/>
        <w:ind w:firstLine="480"/>
        <w:jc w:val="both"/>
      </w:pPr>
      <w:r>
        <w:rPr>
          <w:rFonts w:ascii="Times New Roman" w:hAnsi="Times New Roman" w:eastAsia="宋体"/>
          <w:b w:val="0"/>
          <w:color w:val="000000"/>
          <w:sz w:val="24"/>
        </w:rPr>
        <w:t>本计划书同时给出结论性建议与备选方案：若团队评估认为“学生端 C 端体验”是打动评委的决定性因素，可考虑改用更面向用户侧的轻量脚手架（Vue3＋Vite＋Naive UI/Element Plus＋Tailwind），或为 C 端引入 Nuxt，但这意味着放弃已有 Soybean 工作量、成本更高；在默认成本约束下，不推荐整体换框架。</w:t>
      </w:r>
    </w:p>
    <w:p>
      <w:pPr>
        <w:pStyle w:val="Heading1"/>
        <w:spacing w:before="280" w:after="120" w:line="240" w:lineRule="auto"/>
        <w:ind w:firstLine="0"/>
      </w:pPr>
      <w:r>
        <w:rPr>
          <w:rFonts w:ascii="Times New Roman" w:hAnsi="Times New Roman" w:eastAsia="黑体"/>
          <w:b/>
          <w:color w:val="000000"/>
          <w:sz w:val="32"/>
        </w:rPr>
        <w:t>2　项目背景与立项动因</w:t>
      </w:r>
    </w:p>
    <w:p>
      <w:pPr>
        <w:pStyle w:val="Heading2"/>
        <w:spacing w:before="220" w:after="100" w:line="240" w:lineRule="auto"/>
        <w:ind w:firstLine="0"/>
      </w:pPr>
      <w:r>
        <w:rPr>
          <w:rFonts w:ascii="Times New Roman" w:hAnsi="Times New Roman" w:eastAsia="黑体"/>
          <w:b/>
          <w:color w:val="000000"/>
          <w:sz w:val="28"/>
        </w:rPr>
        <w:t>2.1　竞赛要求：可落地的智能体应用</w:t>
      </w:r>
    </w:p>
    <w:p>
      <w:pPr>
        <w:spacing w:before="0" w:after="0" w:line="360" w:lineRule="auto"/>
        <w:ind w:firstLine="480"/>
        <w:jc w:val="both"/>
      </w:pPr>
      <w:r>
        <w:rPr>
          <w:rFonts w:ascii="Times New Roman" w:hAnsi="Times New Roman" w:eastAsia="宋体"/>
          <w:b w:val="0"/>
          <w:color w:val="000000"/>
          <w:sz w:val="24"/>
        </w:rPr>
        <w:t>竞赛作品要求强调“可落地的智能体应用”。这意味着评审关注的是：应用能否被真实用户操作、能否完整走通一条业务链路、能否在现场演示中展示价值，而不只是后台服务或算法模型的健壮性。对师范生试讲评价场景而言，“可落地”具体表现为：师范生能上传试讲视频、看到即时评价报告、定位自身短板并收到训练建议；专家能在工作台完成复核并让改进建议回流到知识库；整个过程有清晰、可视、可复现的证据支撑。</w:t>
      </w:r>
    </w:p>
    <w:p>
      <w:pPr>
        <w:pStyle w:val="Heading2"/>
        <w:spacing w:before="220" w:after="100" w:line="240" w:lineRule="auto"/>
        <w:ind w:firstLine="0"/>
      </w:pPr>
      <w:r>
        <w:rPr>
          <w:rFonts w:ascii="Times New Roman" w:hAnsi="Times New Roman" w:eastAsia="黑体"/>
          <w:b/>
          <w:color w:val="000000"/>
          <w:sz w:val="28"/>
        </w:rPr>
        <w:t>2.2　前端改造的价值定位</w:t>
      </w:r>
    </w:p>
    <w:p>
      <w:pPr>
        <w:spacing w:before="0" w:after="0" w:line="360" w:lineRule="auto"/>
        <w:ind w:firstLine="480"/>
        <w:jc w:val="both"/>
      </w:pPr>
      <w:r>
        <w:rPr>
          <w:rFonts w:ascii="Times New Roman" w:hAnsi="Times New Roman" w:eastAsia="宋体"/>
          <w:b w:val="0"/>
          <w:color w:val="000000"/>
          <w:sz w:val="24"/>
        </w:rPr>
        <w:t>前端在本项目中承担三重价值。其一，它是“可落地”的直接证据——评审看到的不是接口文档，而是可点击的页面与可回放的时间轴。其二，它是两类真实用户（师范生与专家）的日常使用界面，功能是否顺手直接决定应用是否被采纳。其三，前端是全链路智能体的可视化窗口——把“上传→机器初评→专家复核→知识库回流”这一看不见的后端流程变成可被理解、可被演示的状态图，是区别于“仅有一个接口”的作品的重要加分项。</w:t>
      </w:r>
    </w:p>
    <w:p>
      <w:pPr>
        <w:pStyle w:val="Heading2"/>
        <w:spacing w:before="220" w:after="100" w:line="240" w:lineRule="auto"/>
        <w:ind w:firstLine="0"/>
      </w:pPr>
      <w:r>
        <w:rPr>
          <w:rFonts w:ascii="Times New Roman" w:hAnsi="Times New Roman" w:eastAsia="黑体"/>
          <w:b/>
          <w:color w:val="000000"/>
          <w:sz w:val="28"/>
        </w:rPr>
        <w:t>2.3　现状与改造范围界定</w:t>
      </w:r>
    </w:p>
    <w:p>
      <w:pPr>
        <w:spacing w:before="0" w:after="0" w:line="360" w:lineRule="auto"/>
        <w:ind w:firstLine="480"/>
        <w:jc w:val="both"/>
      </w:pPr>
      <w:r>
        <w:rPr>
          <w:rFonts w:ascii="Times New Roman" w:hAnsi="Times New Roman" w:eastAsia="宋体"/>
          <w:b w:val="0"/>
          <w:color w:val="000000"/>
          <w:sz w:val="24"/>
        </w:rPr>
        <w:t>项目当前已完成阶段 1 的需求固化与知识库搭建：已固化《标准化评价指标体系 v1.0》（四维度 18 指标，含权重、可量化观测点、评分锚点），已建立基于 ChromaDB 的评课细则知识库语料，已产出 Agent 基础 System Prompt 与结构化 JSON 输出模板。后端规划了 FastAPI＋LangGraph＋DeepSeek-R1＋多模态工具链（ASR、OCR、姿态识别、表情识别）的技术栈。</w:t>
      </w:r>
    </w:p>
    <w:p>
      <w:pPr>
        <w:spacing w:before="0" w:after="0" w:line="360" w:lineRule="auto"/>
        <w:ind w:firstLine="480"/>
        <w:jc w:val="both"/>
      </w:pPr>
      <w:r>
        <w:rPr>
          <w:rFonts w:ascii="Times New Roman" w:hAnsi="Times New Roman" w:eastAsia="宋体"/>
          <w:b w:val="0"/>
          <w:color w:val="000000"/>
          <w:sz w:val="24"/>
        </w:rPr>
        <w:t>本次改造范围集中于前端：将现有 Soybean 管理平台从“纯后台”升级为面向学生端与专家端两类用户的完整应用，并新增全链路关键节点可视化与 AI 对话板块。后端能力与指标体系在本计划书中作为前端字段与接口的既成事实予以复用，不纳入本次改造范围，但前端接口契约须与其严格对齐。</w:t>
      </w:r>
    </w:p>
    <w:p>
      <w:pPr>
        <w:pStyle w:val="Heading1"/>
        <w:spacing w:before="280" w:after="120" w:line="240" w:lineRule="auto"/>
        <w:ind w:firstLine="0"/>
      </w:pPr>
      <w:r>
        <w:rPr>
          <w:rFonts w:ascii="Times New Roman" w:hAnsi="Times New Roman" w:eastAsia="黑体"/>
          <w:b/>
          <w:color w:val="000000"/>
          <w:sz w:val="32"/>
        </w:rPr>
        <w:t>3　需求全景（改造目标蓝图）</w:t>
      </w:r>
    </w:p>
    <w:p>
      <w:pPr>
        <w:spacing w:before="0" w:after="0" w:line="360" w:lineRule="auto"/>
        <w:ind w:firstLine="480"/>
        <w:jc w:val="both"/>
      </w:pPr>
      <w:r>
        <w:rPr>
          <w:rFonts w:ascii="Times New Roman" w:hAnsi="Times New Roman" w:eastAsia="宋体"/>
          <w:b w:val="0"/>
          <w:color w:val="000000"/>
          <w:sz w:val="24"/>
        </w:rPr>
        <w:t>依据已确认的前端交互设计，并结合新增的 AI 对话板块与全链路可视化目标，将需求划分为学生端、专家工作台、全链路可视化、AI 对话四个板块。</w:t>
      </w:r>
    </w:p>
    <w:p>
      <w:pPr>
        <w:pStyle w:val="Heading2"/>
        <w:spacing w:before="220" w:after="100" w:line="240" w:lineRule="auto"/>
        <w:ind w:firstLine="0"/>
      </w:pPr>
      <w:r>
        <w:rPr>
          <w:rFonts w:ascii="Times New Roman" w:hAnsi="Times New Roman" w:eastAsia="黑体"/>
          <w:b/>
          <w:color w:val="000000"/>
          <w:sz w:val="28"/>
        </w:rPr>
        <w:t>3.1　学生端核心功能</w:t>
      </w:r>
    </w:p>
    <w:p>
      <w:pPr>
        <w:spacing w:after="0" w:line="360" w:lineRule="auto"/>
        <w:ind w:left="480" w:firstLine="0"/>
      </w:pPr>
      <w:r>
        <w:rPr>
          <w:rFonts w:ascii="Times New Roman" w:hAnsi="Times New Roman" w:eastAsia="宋体"/>
          <w:b w:val="0"/>
          <w:color w:val="000000"/>
          <w:sz w:val="24"/>
        </w:rPr>
        <w:t>• 视频上传：师范生上传试讲视频后，立即看到机器初评报告，报告顶部标注“AI 初评·待专家复核”或“AI 初评·已自动通过”。</w:t>
      </w:r>
    </w:p>
    <w:p>
      <w:pPr>
        <w:spacing w:after="0" w:line="360" w:lineRule="auto"/>
        <w:ind w:left="480" w:firstLine="0"/>
      </w:pPr>
      <w:r>
        <w:rPr>
          <w:rFonts w:ascii="Times New Roman" w:hAnsi="Times New Roman" w:eastAsia="宋体"/>
          <w:b w:val="0"/>
          <w:color w:val="000000"/>
          <w:sz w:val="24"/>
        </w:rPr>
        <w:t>• 消息铃铛：页面右上角常驻消息入口，有未读消息时显示红点；点开查看消息列表，每条消息关联一个试讲，点击可跳转。</w:t>
      </w:r>
    </w:p>
    <w:p>
      <w:pPr>
        <w:spacing w:after="0" w:line="360" w:lineRule="auto"/>
        <w:ind w:left="480" w:firstLine="0"/>
      </w:pPr>
      <w:r>
        <w:rPr>
          <w:rFonts w:ascii="Times New Roman" w:hAnsi="Times New Roman" w:eastAsia="宋体"/>
          <w:b w:val="0"/>
          <w:color w:val="000000"/>
          <w:sz w:val="24"/>
        </w:rPr>
        <w:t>• 试讲详情页：当 review_status=expert_reviewed 时，页面分上下两块——上半部分为机器初评（分数＋评语），下半部分为专家复核意见（原文保留，标注专家姓名与时间）。</w:t>
      </w:r>
    </w:p>
    <w:p>
      <w:pPr>
        <w:spacing w:after="0" w:line="360" w:lineRule="auto"/>
        <w:ind w:left="480" w:firstLine="0"/>
      </w:pPr>
      <w:r>
        <w:rPr>
          <w:rFonts w:ascii="Times New Roman" w:hAnsi="Times New Roman" w:eastAsia="宋体"/>
          <w:b w:val="0"/>
          <w:color w:val="000000"/>
          <w:sz w:val="24"/>
        </w:rPr>
        <w:t>• 成长曲线页：始终以机器分绘制趋势线，专家复评过的数据点附加小标记，支撑“短板追踪＋迭代闭环”。</w:t>
      </w:r>
    </w:p>
    <w:p>
      <w:pPr>
        <w:pStyle w:val="Heading2"/>
        <w:spacing w:before="220" w:after="100" w:line="240" w:lineRule="auto"/>
        <w:ind w:firstLine="0"/>
      </w:pPr>
      <w:r>
        <w:rPr>
          <w:rFonts w:ascii="Times New Roman" w:hAnsi="Times New Roman" w:eastAsia="黑体"/>
          <w:b/>
          <w:color w:val="000000"/>
          <w:sz w:val="28"/>
        </w:rPr>
        <w:t>3.2　专家工作台核心功能</w:t>
      </w:r>
    </w:p>
    <w:p>
      <w:pPr>
        <w:spacing w:after="0" w:line="360" w:lineRule="auto"/>
        <w:ind w:left="480" w:firstLine="0"/>
      </w:pPr>
      <w:r>
        <w:rPr>
          <w:rFonts w:ascii="Times New Roman" w:hAnsi="Times New Roman" w:eastAsia="宋体"/>
          <w:b w:val="0"/>
          <w:color w:val="000000"/>
          <w:sz w:val="24"/>
        </w:rPr>
        <w:t>• 待复评列表：按时间排序，展示试讲标题、学科、机器总分、最低置信度维度，便于专家优先处理最需人工介入的条目。</w:t>
      </w:r>
    </w:p>
    <w:p>
      <w:pPr>
        <w:spacing w:after="0" w:line="360" w:lineRule="auto"/>
        <w:ind w:left="480" w:firstLine="0"/>
      </w:pPr>
      <w:r>
        <w:rPr>
          <w:rFonts w:ascii="Times New Roman" w:hAnsi="Times New Roman" w:eastAsia="宋体"/>
          <w:b w:val="0"/>
          <w:color w:val="000000"/>
          <w:sz w:val="24"/>
        </w:rPr>
        <w:t>• 复评页面：三栏布局——左侧为机器初评摘要（各维度分数＋置信度＋评语），中间为视频证据时间轴（可点击跳转到对应时间点），右侧为专家复评表单（调整分数、填写意见、标注分歧维度）。</w:t>
      </w:r>
    </w:p>
    <w:p>
      <w:pPr>
        <w:spacing w:after="0" w:line="360" w:lineRule="auto"/>
        <w:ind w:left="480" w:firstLine="0"/>
      </w:pPr>
      <w:r>
        <w:rPr>
          <w:rFonts w:ascii="Times New Roman" w:hAnsi="Times New Roman" w:eastAsia="宋体"/>
          <w:b w:val="0"/>
          <w:color w:val="000000"/>
          <w:sz w:val="24"/>
        </w:rPr>
        <w:t>• 提交处理：提交后系统自动计算机器与专家的人机差异，触发消息通知，并将改进建议回流到知识库。</w:t>
      </w:r>
    </w:p>
    <w:p>
      <w:pPr>
        <w:pStyle w:val="Heading2"/>
        <w:spacing w:before="220" w:after="100" w:line="240" w:lineRule="auto"/>
        <w:ind w:firstLine="0"/>
      </w:pPr>
      <w:r>
        <w:rPr>
          <w:rFonts w:ascii="Times New Roman" w:hAnsi="Times New Roman" w:eastAsia="黑体"/>
          <w:b/>
          <w:color w:val="000000"/>
          <w:sz w:val="28"/>
        </w:rPr>
        <w:t>3.3　全链路关键节点可视化</w:t>
      </w:r>
    </w:p>
    <w:p>
      <w:pPr>
        <w:spacing w:before="0" w:after="0" w:line="360" w:lineRule="auto"/>
        <w:ind w:firstLine="480"/>
        <w:jc w:val="both"/>
      </w:pPr>
      <w:r>
        <w:rPr>
          <w:rFonts w:ascii="Times New Roman" w:hAnsi="Times New Roman" w:eastAsia="宋体"/>
          <w:b w:val="0"/>
          <w:color w:val="000000"/>
          <w:sz w:val="24"/>
        </w:rPr>
        <w:t>新增贯穿全局的全链路状态可视化：以“上传视频→多模态采集→机器初评→（人工复核/自动通过）→知识库回流→训练建议生成”为主链路，用有向流程图展示每个节点的实时状态（待处理/处理中/完成/异常）。这是本改造区别于普通管理后台的核心亮点，也是评审演示时最直观的“智能体在运转”证据。</w:t>
      </w:r>
    </w:p>
    <w:p>
      <w:pPr>
        <w:pStyle w:val="Heading2"/>
        <w:spacing w:before="220" w:after="100" w:line="240" w:lineRule="auto"/>
        <w:ind w:firstLine="0"/>
      </w:pPr>
      <w:r>
        <w:rPr>
          <w:rFonts w:ascii="Times New Roman" w:hAnsi="Times New Roman" w:eastAsia="黑体"/>
          <w:b/>
          <w:color w:val="000000"/>
          <w:sz w:val="28"/>
        </w:rPr>
        <w:t>3.4　AI 对话板块</w:t>
      </w:r>
    </w:p>
    <w:p>
      <w:pPr>
        <w:spacing w:before="0" w:after="0" w:line="360" w:lineRule="auto"/>
        <w:ind w:firstLine="480"/>
        <w:jc w:val="both"/>
      </w:pPr>
      <w:r>
        <w:rPr>
          <w:rFonts w:ascii="Times New Roman" w:hAnsi="Times New Roman" w:eastAsia="宋体"/>
          <w:b w:val="0"/>
          <w:color w:val="000000"/>
          <w:sz w:val="24"/>
        </w:rPr>
        <w:t>在既有结构化评价之外，新增 AI 对话板块：师范生可就某次试讲报告向 Agent 追问（如“板书这块怎么改”“重难点怎么强调”），专家也可针对复评细节发起对话。对话采用流式输出（SSE/WebSocket），支持多轮上下文，并可在对话中引用某次试讲、某条评语、某个时间轴片段作为上下文锚点。该板块把“评价报告”从静态页面升级为可交互的智能体能力，直接强化“智能体应用”的观感。</w:t>
      </w:r>
    </w:p>
    <w:p>
      <w:pPr>
        <w:pStyle w:val="Heading1"/>
        <w:spacing w:before="280" w:after="120" w:line="240" w:lineRule="auto"/>
        <w:ind w:firstLine="0"/>
      </w:pPr>
      <w:r>
        <w:rPr>
          <w:rFonts w:ascii="Times New Roman" w:hAnsi="Times New Roman" w:eastAsia="黑体"/>
          <w:b/>
          <w:color w:val="000000"/>
          <w:sz w:val="32"/>
        </w:rPr>
        <w:t>4　前端技术选型评估</w:t>
      </w:r>
    </w:p>
    <w:p>
      <w:pPr>
        <w:pStyle w:val="Heading2"/>
        <w:spacing w:before="220" w:after="100" w:line="240" w:lineRule="auto"/>
        <w:ind w:firstLine="0"/>
      </w:pPr>
      <w:r>
        <w:rPr>
          <w:rFonts w:ascii="Times New Roman" w:hAnsi="Times New Roman" w:eastAsia="黑体"/>
          <w:b/>
          <w:color w:val="000000"/>
          <w:sz w:val="28"/>
        </w:rPr>
        <w:t>4.1　Soybean 模板能力评估</w:t>
      </w:r>
    </w:p>
    <w:p>
      <w:pPr>
        <w:spacing w:before="0" w:after="0" w:line="360" w:lineRule="auto"/>
        <w:ind w:firstLine="480"/>
        <w:jc w:val="both"/>
      </w:pPr>
      <w:r>
        <w:rPr>
          <w:rFonts w:ascii="Times New Roman" w:hAnsi="Times New Roman" w:eastAsia="宋体"/>
          <w:b w:val="0"/>
          <w:color w:val="000000"/>
          <w:sz w:val="24"/>
        </w:rPr>
        <w:t>Soybean Admin 是基于 Vue3、Vite6、TypeScript、Pinia、UnoCSS 的中后台模板，支持多组件库适配（Naive UI、Element Plus、Ant Design Vue），采用 pnpm monorepo 架构，内置主题配置、文件路由、动态权限与高质量代码规范。它对本项目专家工作台（待复评列表、复评表单、三栏布局、数据表格）天然契合，可显著降低 B 端页面的开发成本。</w:t>
      </w:r>
    </w:p>
    <w:p>
      <w:pPr>
        <w:spacing w:before="0" w:after="0" w:line="360" w:lineRule="auto"/>
        <w:ind w:firstLine="480"/>
        <w:jc w:val="both"/>
      </w:pPr>
      <w:r>
        <w:rPr>
          <w:rFonts w:ascii="Times New Roman" w:hAnsi="Times New Roman" w:eastAsia="宋体"/>
          <w:b w:val="0"/>
          <w:color w:val="000000"/>
          <w:sz w:val="24"/>
        </w:rPr>
        <w:t>但 Soybean 并不内置本项目四个关键能力：视频证据时间轴（视频播放＋进度条打点＋时间戳跳转）、全链路 DAG 流程可视化、雷达图/成长曲线等定制图表、流式大模型对话。这四个能力都需引入独立库并二次开发。关键在于：它们与“是否使用 Soybean”无关，在任何 Vue3 工程中都一样需要投入。因此，Soybean 的既有能力是“净收益”，其不覆盖的部分是模板无关的通用工作量。</w:t>
      </w:r>
    </w:p>
    <w:p>
      <w:pPr>
        <w:pStyle w:val="Heading2"/>
        <w:spacing w:before="220" w:after="100" w:line="240" w:lineRule="auto"/>
        <w:ind w:firstLine="0"/>
      </w:pPr>
      <w:r>
        <w:rPr>
          <w:rFonts w:ascii="Times New Roman" w:hAnsi="Times New Roman" w:eastAsia="黑体"/>
          <w:b/>
          <w:color w:val="000000"/>
          <w:sz w:val="28"/>
        </w:rPr>
        <w:t>4.2　瓶颈定位：模板无关的自定义可视化组件</w:t>
      </w:r>
    </w:p>
    <w:p>
      <w:pPr>
        <w:spacing w:before="0" w:after="0" w:line="360" w:lineRule="auto"/>
        <w:ind w:firstLine="480"/>
        <w:jc w:val="both"/>
      </w:pPr>
      <w:r>
        <w:rPr>
          <w:rFonts w:ascii="Times New Roman" w:hAnsi="Times New Roman" w:eastAsia="宋体"/>
          <w:b w:val="0"/>
          <w:color w:val="000000"/>
          <w:sz w:val="24"/>
        </w:rPr>
        <w:t>改造的真正成本与风险集中在四个模板无关组件，而非框架本身：①全链路流程可视化，采用 AntV X6（本项目已规划使用，提供 DAG 图编辑与节点状态定制）或 Vue Flow，用于渲染主链路状态机；②视频证据时间轴，基于 video.js/HTML5 播放器叠加自定义进度条标记（可参考 videojs-markers、timeline-canvas 等方案），实现“点击评语→跳转对应时间点”；③评分与成长可视化，采用 ECharts 的雷达图（四维度）与折线图（跨次成长），数据直接取自后端 JSON；④流式对话面板，采用 SSE/WebSocket 方案（可参考 @kernelift/ai-chat 等 Vue3 对话组件），实现打字机式流式输出。</w:t>
      </w:r>
    </w:p>
    <w:p>
      <w:pPr>
        <w:pStyle w:val="Heading2"/>
        <w:spacing w:before="220" w:after="100" w:line="240" w:lineRule="auto"/>
        <w:ind w:firstLine="0"/>
      </w:pPr>
      <w:r>
        <w:rPr>
          <w:rFonts w:ascii="Times New Roman" w:hAnsi="Times New Roman" w:eastAsia="黑体"/>
          <w:b/>
          <w:color w:val="000000"/>
          <w:sz w:val="28"/>
        </w:rPr>
        <w:t>4.3　替代方案对比与选型结论</w:t>
      </w:r>
    </w:p>
    <w:p>
      <w:pPr>
        <w:spacing w:before="0" w:after="80" w:line="240" w:lineRule="auto"/>
        <w:ind w:firstLine="0"/>
        <w:jc w:val="center"/>
      </w:pPr>
      <w:r>
        <w:rPr>
          <w:rFonts w:ascii="Times New Roman" w:hAnsi="Times New Roman" w:eastAsia="宋体"/>
          <w:b w:val="0"/>
          <w:color w:val="000000"/>
          <w:sz w:val="21"/>
        </w:rPr>
        <w:t>表 1　前端方案对比</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cantSplit/>
          <w:tblHeader w:val="true"/>
          <w:cantSplit/>
          <w:tblHeader w:val="true"/>
          <w:cantSplit/>
          <w:tblHeader w:val="true"/>
          <w:cantSplit/>
          <w:tblHeader w:val="true"/>
          <w:cantSplit/>
          <w:tblHeader w:val="true"/>
          <w:cantSplit/>
          <w:tblHeader w:val="true"/>
          <w:cantSplit/>
        </w:trPr>
        <w:tc>
          <w:tcPr>
            <w:tcW w:type="dxa" w:w="1474"/>
            <w:vAlign w:val="center"/>
            <w:shd w:val="clear" w:fill="F2F2F2"/>
          </w:tcPr>
          <w:p>
            <w:pPr>
              <w:spacing w:line="240" w:lineRule="auto"/>
              <w:ind w:firstLine="0"/>
              <w:jc w:val="center"/>
            </w:pPr>
            <w:r>
              <w:rPr>
                <w:rFonts w:ascii="Times New Roman" w:hAnsi="Times New Roman" w:eastAsia="宋体"/>
                <w:b/>
                <w:color w:val="000000"/>
                <w:sz w:val="21"/>
              </w:rPr>
              <w:t>方案</w:t>
            </w:r>
          </w:p>
        </w:tc>
        <w:tc>
          <w:tcPr>
            <w:tcW w:type="dxa" w:w="1247"/>
            <w:vAlign w:val="center"/>
            <w:shd w:val="clear" w:fill="F2F2F2"/>
          </w:tcPr>
          <w:p>
            <w:pPr>
              <w:spacing w:line="240" w:lineRule="auto"/>
              <w:ind w:firstLine="0"/>
              <w:jc w:val="center"/>
            </w:pPr>
            <w:r>
              <w:rPr>
                <w:rFonts w:ascii="Times New Roman" w:hAnsi="Times New Roman" w:eastAsia="宋体"/>
                <w:b/>
                <w:color w:val="000000"/>
                <w:sz w:val="21"/>
              </w:rPr>
              <w:t>定位</w:t>
            </w:r>
          </w:p>
        </w:tc>
        <w:tc>
          <w:tcPr>
            <w:tcW w:type="dxa" w:w="1077"/>
            <w:vAlign w:val="center"/>
            <w:shd w:val="clear" w:fill="F2F2F2"/>
          </w:tcPr>
          <w:p>
            <w:pPr>
              <w:spacing w:line="240" w:lineRule="auto"/>
              <w:ind w:firstLine="0"/>
              <w:jc w:val="center"/>
            </w:pPr>
            <w:r>
              <w:rPr>
                <w:rFonts w:ascii="Times New Roman" w:hAnsi="Times New Roman" w:eastAsia="宋体"/>
                <w:b/>
                <w:color w:val="000000"/>
                <w:sz w:val="21"/>
              </w:rPr>
              <w:t>对专家端</w:t>
            </w:r>
          </w:p>
        </w:tc>
        <w:tc>
          <w:tcPr>
            <w:tcW w:type="dxa" w:w="1077"/>
            <w:vAlign w:val="center"/>
            <w:shd w:val="clear" w:fill="F2F2F2"/>
          </w:tcPr>
          <w:p>
            <w:pPr>
              <w:spacing w:line="240" w:lineRule="auto"/>
              <w:ind w:firstLine="0"/>
              <w:jc w:val="center"/>
            </w:pPr>
            <w:r>
              <w:rPr>
                <w:rFonts w:ascii="Times New Roman" w:hAnsi="Times New Roman" w:eastAsia="宋体"/>
                <w:b/>
                <w:color w:val="000000"/>
                <w:sz w:val="21"/>
              </w:rPr>
              <w:t>对学生端</w:t>
            </w:r>
          </w:p>
        </w:tc>
        <w:tc>
          <w:tcPr>
            <w:tcW w:type="dxa" w:w="1077"/>
            <w:vAlign w:val="center"/>
            <w:shd w:val="clear" w:fill="F2F2F2"/>
          </w:tcPr>
          <w:p>
            <w:pPr>
              <w:spacing w:line="240" w:lineRule="auto"/>
              <w:ind w:firstLine="0"/>
              <w:jc w:val="center"/>
            </w:pPr>
            <w:r>
              <w:rPr>
                <w:rFonts w:ascii="Times New Roman" w:hAnsi="Times New Roman" w:eastAsia="宋体"/>
                <w:b/>
                <w:color w:val="000000"/>
                <w:sz w:val="21"/>
              </w:rPr>
              <w:t>可视化能力</w:t>
            </w:r>
          </w:p>
        </w:tc>
        <w:tc>
          <w:tcPr>
            <w:tcW w:type="dxa" w:w="1077"/>
            <w:vAlign w:val="center"/>
            <w:shd w:val="clear" w:fill="F2F2F2"/>
          </w:tcPr>
          <w:p>
            <w:pPr>
              <w:spacing w:line="240" w:lineRule="auto"/>
              <w:ind w:firstLine="0"/>
              <w:jc w:val="center"/>
            </w:pPr>
            <w:r>
              <w:rPr>
                <w:rFonts w:ascii="Times New Roman" w:hAnsi="Times New Roman" w:eastAsia="宋体"/>
                <w:b/>
                <w:color w:val="000000"/>
                <w:sz w:val="21"/>
              </w:rPr>
              <w:t>改造成本</w:t>
            </w:r>
          </w:p>
        </w:tc>
        <w:tc>
          <w:tcPr>
            <w:tcW w:type="dxa" w:w="907"/>
            <w:vAlign w:val="center"/>
            <w:shd w:val="clear" w:fill="F2F2F2"/>
          </w:tcPr>
          <w:p>
            <w:pPr>
              <w:spacing w:line="240" w:lineRule="auto"/>
              <w:ind w:firstLine="0"/>
              <w:jc w:val="center"/>
            </w:pPr>
            <w:r>
              <w:rPr>
                <w:rFonts w:ascii="Times New Roman" w:hAnsi="Times New Roman" w:eastAsia="宋体"/>
                <w:b/>
                <w:color w:val="000000"/>
                <w:sz w:val="21"/>
              </w:rPr>
              <w:t>结论</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Soybean Admin（现状）</w:t>
            </w:r>
          </w:p>
        </w:tc>
        <w:tc>
          <w:tcPr>
            <w:tcW w:type="dxa" w:w="1247"/>
            <w:vAlign w:val="center"/>
            <w:cantSplit/>
          </w:tcPr>
          <w:p>
            <w:pPr>
              <w:spacing w:line="240" w:lineRule="auto"/>
              <w:ind w:firstLine="0"/>
              <w:jc w:val="left"/>
            </w:pPr>
            <w:r>
              <w:rPr>
                <w:rFonts w:ascii="Times New Roman" w:hAnsi="Times New Roman" w:eastAsia="宋体"/>
                <w:b w:val="0"/>
                <w:color w:val="000000"/>
                <w:sz w:val="21"/>
              </w:rPr>
              <w:t>B 端中后台</w:t>
            </w:r>
          </w:p>
        </w:tc>
        <w:tc>
          <w:tcPr>
            <w:tcW w:type="dxa" w:w="1077"/>
            <w:vAlign w:val="center"/>
            <w:cantSplit/>
          </w:tcPr>
          <w:p>
            <w:pPr>
              <w:spacing w:line="240" w:lineRule="auto"/>
              <w:ind w:firstLine="0"/>
              <w:jc w:val="left"/>
            </w:pPr>
            <w:r>
              <w:rPr>
                <w:rFonts w:ascii="Times New Roman" w:hAnsi="Times New Roman" w:eastAsia="宋体"/>
                <w:b w:val="0"/>
                <w:color w:val="000000"/>
                <w:sz w:val="21"/>
              </w:rPr>
              <w:t>高度契合</w:t>
            </w:r>
          </w:p>
        </w:tc>
        <w:tc>
          <w:tcPr>
            <w:tcW w:type="dxa" w:w="1077"/>
            <w:vAlign w:val="center"/>
            <w:cantSplit/>
          </w:tcPr>
          <w:p>
            <w:pPr>
              <w:spacing w:line="240" w:lineRule="auto"/>
              <w:ind w:firstLine="0"/>
              <w:jc w:val="left"/>
            </w:pPr>
            <w:r>
              <w:rPr>
                <w:rFonts w:ascii="Times New Roman" w:hAnsi="Times New Roman" w:eastAsia="宋体"/>
                <w:b w:val="0"/>
                <w:color w:val="000000"/>
                <w:sz w:val="21"/>
              </w:rPr>
              <w:t>需重设计 C 端观感</w:t>
            </w:r>
          </w:p>
        </w:tc>
        <w:tc>
          <w:tcPr>
            <w:tcW w:type="dxa" w:w="1077"/>
            <w:vAlign w:val="center"/>
            <w:cantSplit/>
          </w:tcPr>
          <w:p>
            <w:pPr>
              <w:spacing w:line="240" w:lineRule="auto"/>
              <w:ind w:firstLine="0"/>
              <w:jc w:val="left"/>
            </w:pPr>
            <w:r>
              <w:rPr>
                <w:rFonts w:ascii="Times New Roman" w:hAnsi="Times New Roman" w:eastAsia="宋体"/>
                <w:b w:val="0"/>
                <w:color w:val="000000"/>
                <w:sz w:val="21"/>
              </w:rPr>
              <w:t>均需自建组件</w:t>
            </w:r>
          </w:p>
        </w:tc>
        <w:tc>
          <w:tcPr>
            <w:tcW w:type="dxa" w:w="1077"/>
            <w:vAlign w:val="center"/>
            <w:cantSplit/>
          </w:tcPr>
          <w:p>
            <w:pPr>
              <w:spacing w:line="240" w:lineRule="auto"/>
              <w:ind w:firstLine="0"/>
              <w:jc w:val="left"/>
            </w:pPr>
            <w:r>
              <w:rPr>
                <w:rFonts w:ascii="Times New Roman" w:hAnsi="Times New Roman" w:eastAsia="宋体"/>
                <w:b w:val="0"/>
                <w:color w:val="000000"/>
                <w:sz w:val="21"/>
              </w:rPr>
              <w:t>低（复用已有）</w:t>
            </w:r>
          </w:p>
        </w:tc>
        <w:tc>
          <w:tcPr>
            <w:tcW w:type="dxa" w:w="907"/>
            <w:vAlign w:val="center"/>
            <w:cantSplit/>
          </w:tcPr>
          <w:p>
            <w:pPr>
              <w:spacing w:line="240" w:lineRule="auto"/>
              <w:ind w:firstLine="0"/>
              <w:jc w:val="left"/>
            </w:pPr>
            <w:r>
              <w:rPr>
                <w:rFonts w:ascii="Times New Roman" w:hAnsi="Times New Roman" w:eastAsia="宋体"/>
                <w:b w:val="0"/>
                <w:color w:val="000000"/>
                <w:sz w:val="21"/>
              </w:rPr>
              <w:t>推荐</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Vben Admin</w:t>
            </w:r>
          </w:p>
        </w:tc>
        <w:tc>
          <w:tcPr>
            <w:tcW w:type="dxa" w:w="1247"/>
            <w:vAlign w:val="center"/>
            <w:cantSplit/>
          </w:tcPr>
          <w:p>
            <w:pPr>
              <w:spacing w:line="240" w:lineRule="auto"/>
              <w:ind w:firstLine="0"/>
              <w:jc w:val="left"/>
            </w:pPr>
            <w:r>
              <w:rPr>
                <w:rFonts w:ascii="Times New Roman" w:hAnsi="Times New Roman" w:eastAsia="宋体"/>
                <w:b w:val="0"/>
                <w:color w:val="000000"/>
                <w:sz w:val="21"/>
              </w:rPr>
              <w:t>企业级中后台</w:t>
            </w:r>
          </w:p>
        </w:tc>
        <w:tc>
          <w:tcPr>
            <w:tcW w:type="dxa" w:w="1077"/>
            <w:vAlign w:val="center"/>
            <w:cantSplit/>
          </w:tcPr>
          <w:p>
            <w:pPr>
              <w:spacing w:line="240" w:lineRule="auto"/>
              <w:ind w:firstLine="0"/>
              <w:jc w:val="left"/>
            </w:pPr>
            <w:r>
              <w:rPr>
                <w:rFonts w:ascii="Times New Roman" w:hAnsi="Times New Roman" w:eastAsia="宋体"/>
                <w:b w:val="0"/>
                <w:color w:val="000000"/>
                <w:sz w:val="21"/>
              </w:rPr>
              <w:t>高度契合</w:t>
            </w:r>
          </w:p>
        </w:tc>
        <w:tc>
          <w:tcPr>
            <w:tcW w:type="dxa" w:w="1077"/>
            <w:vAlign w:val="center"/>
            <w:cantSplit/>
          </w:tcPr>
          <w:p>
            <w:pPr>
              <w:spacing w:line="240" w:lineRule="auto"/>
              <w:ind w:firstLine="0"/>
              <w:jc w:val="left"/>
            </w:pPr>
            <w:r>
              <w:rPr>
                <w:rFonts w:ascii="Times New Roman" w:hAnsi="Times New Roman" w:eastAsia="宋体"/>
                <w:b w:val="0"/>
                <w:color w:val="000000"/>
                <w:sz w:val="21"/>
              </w:rPr>
              <w:t>同 Soybean，需自建</w:t>
            </w:r>
          </w:p>
        </w:tc>
        <w:tc>
          <w:tcPr>
            <w:tcW w:type="dxa" w:w="1077"/>
            <w:vAlign w:val="center"/>
            <w:cantSplit/>
          </w:tcPr>
          <w:p>
            <w:pPr>
              <w:spacing w:line="240" w:lineRule="auto"/>
              <w:ind w:firstLine="0"/>
              <w:jc w:val="left"/>
            </w:pPr>
            <w:r>
              <w:rPr>
                <w:rFonts w:ascii="Times New Roman" w:hAnsi="Times New Roman" w:eastAsia="宋体"/>
                <w:b w:val="0"/>
                <w:color w:val="000000"/>
                <w:sz w:val="21"/>
              </w:rPr>
              <w:t>均需自建组件</w:t>
            </w:r>
          </w:p>
        </w:tc>
        <w:tc>
          <w:tcPr>
            <w:tcW w:type="dxa" w:w="1077"/>
            <w:vAlign w:val="center"/>
            <w:cantSplit/>
          </w:tcPr>
          <w:p>
            <w:pPr>
              <w:spacing w:line="240" w:lineRule="auto"/>
              <w:ind w:firstLine="0"/>
              <w:jc w:val="left"/>
            </w:pPr>
            <w:r>
              <w:rPr>
                <w:rFonts w:ascii="Times New Roman" w:hAnsi="Times New Roman" w:eastAsia="宋体"/>
                <w:b w:val="0"/>
                <w:color w:val="000000"/>
                <w:sz w:val="21"/>
              </w:rPr>
              <w:t>中（迁移已有工作）</w:t>
            </w:r>
          </w:p>
        </w:tc>
        <w:tc>
          <w:tcPr>
            <w:tcW w:type="dxa" w:w="907"/>
            <w:vAlign w:val="center"/>
            <w:cantSplit/>
          </w:tcPr>
          <w:p>
            <w:pPr>
              <w:spacing w:line="240" w:lineRule="auto"/>
              <w:ind w:firstLine="0"/>
              <w:jc w:val="left"/>
            </w:pPr>
            <w:r>
              <w:rPr>
                <w:rFonts w:ascii="Times New Roman" w:hAnsi="Times New Roman" w:eastAsia="宋体"/>
                <w:b w:val="0"/>
                <w:color w:val="000000"/>
                <w:sz w:val="21"/>
              </w:rPr>
              <w:t>不推荐</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vue-pure-admin</w:t>
            </w:r>
          </w:p>
        </w:tc>
        <w:tc>
          <w:tcPr>
            <w:tcW w:type="dxa" w:w="1247"/>
            <w:vAlign w:val="center"/>
            <w:cantSplit/>
          </w:tcPr>
          <w:p>
            <w:pPr>
              <w:spacing w:line="240" w:lineRule="auto"/>
              <w:ind w:firstLine="0"/>
              <w:jc w:val="left"/>
            </w:pPr>
            <w:r>
              <w:rPr>
                <w:rFonts w:ascii="Times New Roman" w:hAnsi="Times New Roman" w:eastAsia="宋体"/>
                <w:b w:val="0"/>
                <w:color w:val="000000"/>
                <w:sz w:val="21"/>
              </w:rPr>
              <w:t>轻量中后台</w:t>
            </w:r>
          </w:p>
        </w:tc>
        <w:tc>
          <w:tcPr>
            <w:tcW w:type="dxa" w:w="1077"/>
            <w:vAlign w:val="center"/>
            <w:cantSplit/>
          </w:tcPr>
          <w:p>
            <w:pPr>
              <w:spacing w:line="240" w:lineRule="auto"/>
              <w:ind w:firstLine="0"/>
              <w:jc w:val="left"/>
            </w:pPr>
            <w:r>
              <w:rPr>
                <w:rFonts w:ascii="Times New Roman" w:hAnsi="Times New Roman" w:eastAsia="宋体"/>
                <w:b w:val="0"/>
                <w:color w:val="000000"/>
                <w:sz w:val="21"/>
              </w:rPr>
              <w:t>契合</w:t>
            </w:r>
          </w:p>
        </w:tc>
        <w:tc>
          <w:tcPr>
            <w:tcW w:type="dxa" w:w="1077"/>
            <w:vAlign w:val="center"/>
            <w:cantSplit/>
          </w:tcPr>
          <w:p>
            <w:pPr>
              <w:spacing w:line="240" w:lineRule="auto"/>
              <w:ind w:firstLine="0"/>
              <w:jc w:val="left"/>
            </w:pPr>
            <w:r>
              <w:rPr>
                <w:rFonts w:ascii="Times New Roman" w:hAnsi="Times New Roman" w:eastAsia="宋体"/>
                <w:b w:val="0"/>
                <w:color w:val="000000"/>
                <w:sz w:val="21"/>
              </w:rPr>
              <w:t>较易定制观感</w:t>
            </w:r>
          </w:p>
        </w:tc>
        <w:tc>
          <w:tcPr>
            <w:tcW w:type="dxa" w:w="1077"/>
            <w:vAlign w:val="center"/>
            <w:cantSplit/>
          </w:tcPr>
          <w:p>
            <w:pPr>
              <w:spacing w:line="240" w:lineRule="auto"/>
              <w:ind w:firstLine="0"/>
              <w:jc w:val="left"/>
            </w:pPr>
            <w:r>
              <w:rPr>
                <w:rFonts w:ascii="Times New Roman" w:hAnsi="Times New Roman" w:eastAsia="宋体"/>
                <w:b w:val="0"/>
                <w:color w:val="000000"/>
                <w:sz w:val="21"/>
              </w:rPr>
              <w:t>均需自建组件</w:t>
            </w:r>
          </w:p>
        </w:tc>
        <w:tc>
          <w:tcPr>
            <w:tcW w:type="dxa" w:w="1077"/>
            <w:vAlign w:val="center"/>
            <w:cantSplit/>
          </w:tcPr>
          <w:p>
            <w:pPr>
              <w:spacing w:line="240" w:lineRule="auto"/>
              <w:ind w:firstLine="0"/>
              <w:jc w:val="left"/>
            </w:pPr>
            <w:r>
              <w:rPr>
                <w:rFonts w:ascii="Times New Roman" w:hAnsi="Times New Roman" w:eastAsia="宋体"/>
                <w:b w:val="0"/>
                <w:color w:val="000000"/>
                <w:sz w:val="21"/>
              </w:rPr>
              <w:t>中</w:t>
            </w:r>
          </w:p>
        </w:tc>
        <w:tc>
          <w:tcPr>
            <w:tcW w:type="dxa" w:w="907"/>
            <w:vAlign w:val="center"/>
            <w:cantSplit/>
          </w:tcPr>
          <w:p>
            <w:pPr>
              <w:spacing w:line="240" w:lineRule="auto"/>
              <w:ind w:firstLine="0"/>
              <w:jc w:val="left"/>
            </w:pPr>
            <w:r>
              <w:rPr>
                <w:rFonts w:ascii="Times New Roman" w:hAnsi="Times New Roman" w:eastAsia="宋体"/>
                <w:b w:val="0"/>
                <w:color w:val="000000"/>
                <w:sz w:val="21"/>
              </w:rPr>
              <w:t>备选</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Ant Design Pro</w:t>
            </w:r>
          </w:p>
        </w:tc>
        <w:tc>
          <w:tcPr>
            <w:tcW w:type="dxa" w:w="1247"/>
            <w:vAlign w:val="center"/>
            <w:cantSplit/>
          </w:tcPr>
          <w:p>
            <w:pPr>
              <w:spacing w:line="240" w:lineRule="auto"/>
              <w:ind w:firstLine="0"/>
              <w:jc w:val="left"/>
            </w:pPr>
            <w:r>
              <w:rPr>
                <w:rFonts w:ascii="Times New Roman" w:hAnsi="Times New Roman" w:eastAsia="宋体"/>
                <w:b w:val="0"/>
                <w:color w:val="000000"/>
                <w:sz w:val="21"/>
              </w:rPr>
              <w:t>企业级（React）</w:t>
            </w:r>
          </w:p>
        </w:tc>
        <w:tc>
          <w:tcPr>
            <w:tcW w:type="dxa" w:w="1077"/>
            <w:vAlign w:val="center"/>
            <w:cantSplit/>
          </w:tcPr>
          <w:p>
            <w:pPr>
              <w:spacing w:line="240" w:lineRule="auto"/>
              <w:ind w:firstLine="0"/>
              <w:jc w:val="left"/>
            </w:pPr>
            <w:r>
              <w:rPr>
                <w:rFonts w:ascii="Times New Roman" w:hAnsi="Times New Roman" w:eastAsia="宋体"/>
                <w:b w:val="0"/>
                <w:color w:val="000000"/>
                <w:sz w:val="21"/>
              </w:rPr>
              <w:t>契合</w:t>
            </w:r>
          </w:p>
        </w:tc>
        <w:tc>
          <w:tcPr>
            <w:tcW w:type="dxa" w:w="1077"/>
            <w:vAlign w:val="center"/>
            <w:cantSplit/>
          </w:tcPr>
          <w:p>
            <w:pPr>
              <w:spacing w:line="240" w:lineRule="auto"/>
              <w:ind w:firstLine="0"/>
              <w:jc w:val="left"/>
            </w:pPr>
            <w:r>
              <w:rPr>
                <w:rFonts w:ascii="Times New Roman" w:hAnsi="Times New Roman" w:eastAsia="宋体"/>
                <w:b w:val="0"/>
                <w:color w:val="000000"/>
                <w:sz w:val="21"/>
              </w:rPr>
              <w:t>需自建</w:t>
            </w:r>
          </w:p>
        </w:tc>
        <w:tc>
          <w:tcPr>
            <w:tcW w:type="dxa" w:w="1077"/>
            <w:vAlign w:val="center"/>
            <w:cantSplit/>
          </w:tcPr>
          <w:p>
            <w:pPr>
              <w:spacing w:line="240" w:lineRule="auto"/>
              <w:ind w:firstLine="0"/>
              <w:jc w:val="left"/>
            </w:pPr>
            <w:r>
              <w:rPr>
                <w:rFonts w:ascii="Times New Roman" w:hAnsi="Times New Roman" w:eastAsia="宋体"/>
                <w:b w:val="0"/>
                <w:color w:val="000000"/>
                <w:sz w:val="21"/>
              </w:rPr>
              <w:t>均需自建组件</w:t>
            </w:r>
          </w:p>
        </w:tc>
        <w:tc>
          <w:tcPr>
            <w:tcW w:type="dxa" w:w="1077"/>
            <w:vAlign w:val="center"/>
            <w:cantSplit/>
          </w:tcPr>
          <w:p>
            <w:pPr>
              <w:spacing w:line="240" w:lineRule="auto"/>
              <w:ind w:firstLine="0"/>
              <w:jc w:val="left"/>
            </w:pPr>
            <w:r>
              <w:rPr>
                <w:rFonts w:ascii="Times New Roman" w:hAnsi="Times New Roman" w:eastAsia="宋体"/>
                <w:b w:val="0"/>
                <w:color w:val="000000"/>
                <w:sz w:val="21"/>
              </w:rPr>
              <w:t>高（换技术栈）</w:t>
            </w:r>
          </w:p>
        </w:tc>
        <w:tc>
          <w:tcPr>
            <w:tcW w:type="dxa" w:w="907"/>
            <w:vAlign w:val="center"/>
            <w:cantSplit/>
          </w:tcPr>
          <w:p>
            <w:pPr>
              <w:spacing w:line="240" w:lineRule="auto"/>
              <w:ind w:firstLine="0"/>
              <w:jc w:val="left"/>
            </w:pPr>
            <w:r>
              <w:rPr>
                <w:rFonts w:ascii="Times New Roman" w:hAnsi="Times New Roman" w:eastAsia="宋体"/>
                <w:b w:val="0"/>
                <w:color w:val="000000"/>
                <w:sz w:val="21"/>
              </w:rPr>
              <w:t>不推荐</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自研 Vue3 轻脚手架</w:t>
            </w:r>
          </w:p>
        </w:tc>
        <w:tc>
          <w:tcPr>
            <w:tcW w:type="dxa" w:w="1247"/>
            <w:vAlign w:val="center"/>
            <w:cantSplit/>
          </w:tcPr>
          <w:p>
            <w:pPr>
              <w:spacing w:line="240" w:lineRule="auto"/>
              <w:ind w:firstLine="0"/>
              <w:jc w:val="left"/>
            </w:pPr>
            <w:r>
              <w:rPr>
                <w:rFonts w:ascii="Times New Roman" w:hAnsi="Times New Roman" w:eastAsia="宋体"/>
                <w:b w:val="0"/>
                <w:color w:val="000000"/>
                <w:sz w:val="21"/>
              </w:rPr>
              <w:t>C 端优先</w:t>
            </w:r>
          </w:p>
        </w:tc>
        <w:tc>
          <w:tcPr>
            <w:tcW w:type="dxa" w:w="1077"/>
            <w:vAlign w:val="center"/>
            <w:cantSplit/>
          </w:tcPr>
          <w:p>
            <w:pPr>
              <w:spacing w:line="240" w:lineRule="auto"/>
              <w:ind w:firstLine="0"/>
              <w:jc w:val="left"/>
            </w:pPr>
            <w:r>
              <w:rPr>
                <w:rFonts w:ascii="Times New Roman" w:hAnsi="Times New Roman" w:eastAsia="宋体"/>
                <w:b w:val="0"/>
                <w:color w:val="000000"/>
                <w:sz w:val="21"/>
              </w:rPr>
              <w:t>需自建表格表单</w:t>
            </w:r>
          </w:p>
        </w:tc>
        <w:tc>
          <w:tcPr>
            <w:tcW w:type="dxa" w:w="1077"/>
            <w:vAlign w:val="center"/>
            <w:cantSplit/>
          </w:tcPr>
          <w:p>
            <w:pPr>
              <w:spacing w:line="240" w:lineRule="auto"/>
              <w:ind w:firstLine="0"/>
              <w:jc w:val="left"/>
            </w:pPr>
            <w:r>
              <w:rPr>
                <w:rFonts w:ascii="Times New Roman" w:hAnsi="Times New Roman" w:eastAsia="宋体"/>
                <w:b w:val="0"/>
                <w:color w:val="000000"/>
                <w:sz w:val="21"/>
              </w:rPr>
              <w:t>最佳观感</w:t>
            </w:r>
          </w:p>
        </w:tc>
        <w:tc>
          <w:tcPr>
            <w:tcW w:type="dxa" w:w="1077"/>
            <w:vAlign w:val="center"/>
            <w:cantSplit/>
          </w:tcPr>
          <w:p>
            <w:pPr>
              <w:spacing w:line="240" w:lineRule="auto"/>
              <w:ind w:firstLine="0"/>
              <w:jc w:val="left"/>
            </w:pPr>
            <w:r>
              <w:rPr>
                <w:rFonts w:ascii="Times New Roman" w:hAnsi="Times New Roman" w:eastAsia="宋体"/>
                <w:b w:val="0"/>
                <w:color w:val="000000"/>
                <w:sz w:val="21"/>
              </w:rPr>
              <w:t>均需自建组件</w:t>
            </w:r>
          </w:p>
        </w:tc>
        <w:tc>
          <w:tcPr>
            <w:tcW w:type="dxa" w:w="1077"/>
            <w:vAlign w:val="center"/>
            <w:cantSplit/>
          </w:tcPr>
          <w:p>
            <w:pPr>
              <w:spacing w:line="240" w:lineRule="auto"/>
              <w:ind w:firstLine="0"/>
              <w:jc w:val="left"/>
            </w:pPr>
            <w:r>
              <w:rPr>
                <w:rFonts w:ascii="Times New Roman" w:hAnsi="Times New Roman" w:eastAsia="宋体"/>
                <w:b w:val="0"/>
                <w:color w:val="000000"/>
                <w:sz w:val="21"/>
              </w:rPr>
              <w:t>高（放弃已有）</w:t>
            </w:r>
          </w:p>
        </w:tc>
        <w:tc>
          <w:tcPr>
            <w:tcW w:type="dxa" w:w="907"/>
            <w:vAlign w:val="center"/>
            <w:cantSplit/>
          </w:tcPr>
          <w:p>
            <w:pPr>
              <w:spacing w:line="240" w:lineRule="auto"/>
              <w:ind w:firstLine="0"/>
              <w:jc w:val="left"/>
            </w:pPr>
            <w:r>
              <w:rPr>
                <w:rFonts w:ascii="Times New Roman" w:hAnsi="Times New Roman" w:eastAsia="宋体"/>
                <w:b w:val="0"/>
                <w:color w:val="000000"/>
                <w:sz w:val="21"/>
              </w:rPr>
              <w:t>仅 C 端优先时</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Nuxt3（C 端）</w:t>
            </w:r>
          </w:p>
        </w:tc>
        <w:tc>
          <w:tcPr>
            <w:tcW w:type="dxa" w:w="1247"/>
            <w:vAlign w:val="center"/>
            <w:cantSplit/>
          </w:tcPr>
          <w:p>
            <w:pPr>
              <w:spacing w:line="240" w:lineRule="auto"/>
              <w:ind w:firstLine="0"/>
              <w:jc w:val="left"/>
            </w:pPr>
            <w:r>
              <w:rPr>
                <w:rFonts w:ascii="Times New Roman" w:hAnsi="Times New Roman" w:eastAsia="宋体"/>
                <w:b w:val="0"/>
                <w:color w:val="000000"/>
                <w:sz w:val="21"/>
              </w:rPr>
              <w:t>C 端/SSR</w:t>
            </w:r>
          </w:p>
        </w:tc>
        <w:tc>
          <w:tcPr>
            <w:tcW w:type="dxa" w:w="1077"/>
            <w:vAlign w:val="center"/>
            <w:cantSplit/>
          </w:tcPr>
          <w:p>
            <w:pPr>
              <w:spacing w:line="240" w:lineRule="auto"/>
              <w:ind w:firstLine="0"/>
              <w:jc w:val="left"/>
            </w:pPr>
            <w:r>
              <w:rPr>
                <w:rFonts w:ascii="Times New Roman" w:hAnsi="Times New Roman" w:eastAsia="宋体"/>
                <w:b w:val="0"/>
                <w:color w:val="000000"/>
                <w:sz w:val="21"/>
              </w:rPr>
              <w:t>不适合</w:t>
            </w:r>
          </w:p>
        </w:tc>
        <w:tc>
          <w:tcPr>
            <w:tcW w:type="dxa" w:w="1077"/>
            <w:vAlign w:val="center"/>
            <w:cantSplit/>
          </w:tcPr>
          <w:p>
            <w:pPr>
              <w:spacing w:line="240" w:lineRule="auto"/>
              <w:ind w:firstLine="0"/>
              <w:jc w:val="left"/>
            </w:pPr>
            <w:r>
              <w:rPr>
                <w:rFonts w:ascii="Times New Roman" w:hAnsi="Times New Roman" w:eastAsia="宋体"/>
                <w:b w:val="0"/>
                <w:color w:val="000000"/>
                <w:sz w:val="21"/>
              </w:rPr>
              <w:t>最佳</w:t>
            </w:r>
          </w:p>
        </w:tc>
        <w:tc>
          <w:tcPr>
            <w:tcW w:type="dxa" w:w="1077"/>
            <w:vAlign w:val="center"/>
            <w:cantSplit/>
          </w:tcPr>
          <w:p>
            <w:pPr>
              <w:spacing w:line="240" w:lineRule="auto"/>
              <w:ind w:firstLine="0"/>
              <w:jc w:val="left"/>
            </w:pPr>
            <w:r>
              <w:rPr>
                <w:rFonts w:ascii="Times New Roman" w:hAnsi="Times New Roman" w:eastAsia="宋体"/>
                <w:b w:val="0"/>
                <w:color w:val="000000"/>
                <w:sz w:val="21"/>
              </w:rPr>
              <w:t>均需自建组件</w:t>
            </w:r>
          </w:p>
        </w:tc>
        <w:tc>
          <w:tcPr>
            <w:tcW w:type="dxa" w:w="1077"/>
            <w:vAlign w:val="center"/>
            <w:cantSplit/>
          </w:tcPr>
          <w:p>
            <w:pPr>
              <w:spacing w:line="240" w:lineRule="auto"/>
              <w:ind w:firstLine="0"/>
              <w:jc w:val="left"/>
            </w:pPr>
            <w:r>
              <w:rPr>
                <w:rFonts w:ascii="Times New Roman" w:hAnsi="Times New Roman" w:eastAsia="宋体"/>
                <w:b w:val="0"/>
                <w:color w:val="000000"/>
                <w:sz w:val="21"/>
              </w:rPr>
              <w:t>高</w:t>
            </w:r>
          </w:p>
        </w:tc>
        <w:tc>
          <w:tcPr>
            <w:tcW w:type="dxa" w:w="907"/>
            <w:vAlign w:val="center"/>
            <w:cantSplit/>
          </w:tcPr>
          <w:p>
            <w:pPr>
              <w:spacing w:line="240" w:lineRule="auto"/>
              <w:ind w:firstLine="0"/>
              <w:jc w:val="left"/>
            </w:pPr>
            <w:r>
              <w:rPr>
                <w:rFonts w:ascii="Times New Roman" w:hAnsi="Times New Roman" w:eastAsia="宋体"/>
                <w:b w:val="0"/>
                <w:color w:val="000000"/>
                <w:sz w:val="21"/>
              </w:rPr>
              <w:t>仅极端场景</w:t>
            </w:r>
          </w:p>
        </w:tc>
      </w:tr>
    </w:tbl>
    <w:p>
      <w:pPr>
        <w:spacing w:before="0" w:after="0" w:line="360" w:lineRule="auto"/>
        <w:ind w:firstLine="480"/>
        <w:jc w:val="both"/>
      </w:pPr>
      <w:r>
        <w:rPr>
          <w:rFonts w:ascii="Times New Roman" w:hAnsi="Times New Roman" w:eastAsia="宋体"/>
          <w:b w:val="0"/>
          <w:color w:val="000000"/>
          <w:sz w:val="24"/>
        </w:rPr>
        <w:t>选型结论：在默认“成本可控”约束下，推荐继续采用 Soybean Admin，理由是它对专家端的高度契合是净收益，且学生端 C 端观感可通过定制路由区与视觉主题（差异化布局、留白、动效）而非更换框架来解决。更换到其他中后台模板（Vben、pure-admin）收益有限；只有团队明确把“学生端 C 端体验”视为决定性评分项且可接受更高成本时，才考虑轻量脚手架或 Nuxt。</w:t>
      </w:r>
    </w:p>
    <w:p>
      <w:pPr>
        <w:pStyle w:val="Heading1"/>
        <w:spacing w:before="280" w:after="120" w:line="240" w:lineRule="auto"/>
        <w:ind w:firstLine="0"/>
      </w:pPr>
      <w:r>
        <w:rPr>
          <w:rFonts w:ascii="Times New Roman" w:hAnsi="Times New Roman" w:eastAsia="黑体"/>
          <w:b/>
          <w:color w:val="000000"/>
          <w:sz w:val="32"/>
        </w:rPr>
        <w:t>5　推荐架构设计</w:t>
      </w:r>
    </w:p>
    <w:p>
      <w:pPr>
        <w:pStyle w:val="Heading2"/>
        <w:spacing w:before="220" w:after="100" w:line="240" w:lineRule="auto"/>
        <w:ind w:firstLine="0"/>
      </w:pPr>
      <w:r>
        <w:rPr>
          <w:rFonts w:ascii="Times New Roman" w:hAnsi="Times New Roman" w:eastAsia="黑体"/>
          <w:b/>
          <w:color w:val="000000"/>
          <w:sz w:val="28"/>
        </w:rPr>
        <w:t>5.1　双区应用架构</w:t>
      </w:r>
    </w:p>
    <w:p>
      <w:pPr>
        <w:spacing w:before="0" w:after="0" w:line="360" w:lineRule="auto"/>
        <w:ind w:firstLine="480"/>
        <w:jc w:val="both"/>
      </w:pPr>
      <w:r>
        <w:rPr>
          <w:rFonts w:ascii="Times New Roman" w:hAnsi="Times New Roman" w:eastAsia="宋体"/>
          <w:b w:val="0"/>
          <w:color w:val="000000"/>
          <w:sz w:val="24"/>
        </w:rPr>
        <w:t>在单个 Soybean 工程内重构为两个逻辑区，共用同一套认证、状态管理与请求层：学生区（/student/*）面向师范生，采用任务导向、大留白、移动端友好的视觉设计，路由包括工作台、上传、报告详情、成长曲线、对话；专家区（/expert/*）面向专家，沿用中后台表格与表单范式，路由包括待复评列表、复评三栏页、知识库回流记录、对话。两区通过路由守卫按角色区分入口，后端以角色权限控制访问。</w:t>
      </w:r>
    </w:p>
    <w:p>
      <w:pPr>
        <w:pStyle w:val="Heading2"/>
        <w:spacing w:before="220" w:after="100" w:line="240" w:lineRule="auto"/>
        <w:ind w:firstLine="0"/>
      </w:pPr>
      <w:r>
        <w:rPr>
          <w:rFonts w:ascii="Times New Roman" w:hAnsi="Times New Roman" w:eastAsia="黑体"/>
          <w:b/>
          <w:color w:val="000000"/>
          <w:sz w:val="28"/>
        </w:rPr>
        <w:t>5.2　共享可视化组件层</w:t>
      </w:r>
    </w:p>
    <w:p>
      <w:pPr>
        <w:spacing w:before="0" w:after="0" w:line="360" w:lineRule="auto"/>
        <w:ind w:firstLine="480"/>
        <w:jc w:val="both"/>
      </w:pPr>
      <w:r>
        <w:rPr>
          <w:rFonts w:ascii="Times New Roman" w:hAnsi="Times New Roman" w:eastAsia="宋体"/>
          <w:b w:val="0"/>
          <w:color w:val="000000"/>
          <w:sz w:val="24"/>
        </w:rPr>
        <w:t>将四个核心组件（PipelineFlow、EvidenceTimeline、ScoreCharts、ChatPanel）封装为独立可复用组件，置于 shared/components，供学生端与专家端共同调用。例如，专家复评页的“视频证据时间轴”与学生端报告页的“分段评语时间轴”复用同一 EvidenceTimeline 组件，仅呈现模式（专家可标注分歧维度 vs 学生只读）不同。共享组件层保证两端的可视化口径一致，也降低维护成本。</w:t>
      </w:r>
    </w:p>
    <w:p>
      <w:pPr>
        <w:pStyle w:val="Heading2"/>
        <w:spacing w:before="220" w:after="100" w:line="240" w:lineRule="auto"/>
        <w:ind w:firstLine="0"/>
      </w:pPr>
      <w:r>
        <w:rPr>
          <w:rFonts w:ascii="Times New Roman" w:hAnsi="Times New Roman" w:eastAsia="黑体"/>
          <w:b/>
          <w:color w:val="000000"/>
          <w:sz w:val="28"/>
        </w:rPr>
        <w:t>5.3　与后端 Agent 的数据对接</w:t>
      </w:r>
    </w:p>
    <w:p>
      <w:pPr>
        <w:spacing w:before="0" w:after="0" w:line="360" w:lineRule="auto"/>
        <w:ind w:firstLine="480"/>
        <w:jc w:val="both"/>
      </w:pPr>
      <w:r>
        <w:rPr>
          <w:rFonts w:ascii="Times New Roman" w:hAnsi="Times New Roman" w:eastAsia="宋体"/>
          <w:b w:val="0"/>
          <w:color w:val="000000"/>
          <w:sz w:val="24"/>
        </w:rPr>
        <w:t>前端与后端通过 FastAPI 接口交互，核心状态字段 review_status 定义全链路状态机：uploaded→ai_reviewing→ai_reviewed（机器初评完成）→expert_reviewed（专家复核完成）→knowledge_recycled（知识库回流）。前端 PipelineFlow 直接消费该状态驱动节点着色。评价报告字段与 Agent 输出 JSON 严格对齐：scores（D1–D4 四维度与 overall_percent，供雷达图与总分展示）、timeline_feedback（带起止时间戳的分段评语，供证据时间轴）、progress_compare（趋势与维度增量，供成长曲线）、training_plan（训练建议，供学生端“下一步练什么”卡片）、weaknesses（短板清单）。对话板块通过 SSE/WebSocket 接入 Agent 推理流。</w:t>
      </w:r>
    </w:p>
    <w:p>
      <w:pPr>
        <w:pStyle w:val="Heading1"/>
        <w:spacing w:before="280" w:after="120" w:line="240" w:lineRule="auto"/>
        <w:ind w:firstLine="0"/>
      </w:pPr>
      <w:r>
        <w:rPr>
          <w:rFonts w:ascii="Times New Roman" w:hAnsi="Times New Roman" w:eastAsia="黑体"/>
          <w:b/>
          <w:color w:val="000000"/>
          <w:sz w:val="32"/>
        </w:rPr>
        <w:t>6　核心可视化与交互组件设计</w:t>
      </w:r>
    </w:p>
    <w:p>
      <w:pPr>
        <w:pStyle w:val="Heading2"/>
        <w:spacing w:before="220" w:after="100" w:line="240" w:lineRule="auto"/>
        <w:ind w:firstLine="0"/>
      </w:pPr>
      <w:r>
        <w:rPr>
          <w:rFonts w:ascii="Times New Roman" w:hAnsi="Times New Roman" w:eastAsia="黑体"/>
          <w:b/>
          <w:color w:val="000000"/>
          <w:sz w:val="28"/>
        </w:rPr>
        <w:t>6.1　全链路流程可视化（PipelineFlow）</w:t>
      </w:r>
    </w:p>
    <w:p>
      <w:pPr>
        <w:spacing w:before="0" w:after="0" w:line="360" w:lineRule="auto"/>
        <w:ind w:firstLine="480"/>
        <w:jc w:val="both"/>
      </w:pPr>
      <w:r>
        <w:rPr>
          <w:rFonts w:ascii="Times New Roman" w:hAnsi="Times New Roman" w:eastAsia="宋体"/>
          <w:b w:val="0"/>
          <w:color w:val="000000"/>
          <w:sz w:val="24"/>
        </w:rPr>
        <w:t>采用 AntV X6 渲染有向图，节点对应链路各阶段，节点状态映射 review_status。实现要点：完成节点置绿色、处理中节点置动态 loading、异常节点置红色并可点击查看日志；点击节点在右侧面板展示该阶段的产出摘要（如“机器初评”节点展示四维度雷达缩略与总分）。初始静态状态即可读懂主链路，交互仅用于揭示阶段细节，避免装饰性动效。</w:t>
      </w:r>
    </w:p>
    <w:p>
      <w:pPr>
        <w:pStyle w:val="Heading2"/>
        <w:spacing w:before="220" w:after="100" w:line="240" w:lineRule="auto"/>
        <w:ind w:firstLine="0"/>
      </w:pPr>
      <w:r>
        <w:rPr>
          <w:rFonts w:ascii="Times New Roman" w:hAnsi="Times New Roman" w:eastAsia="黑体"/>
          <w:b/>
          <w:color w:val="000000"/>
          <w:sz w:val="28"/>
        </w:rPr>
        <w:t>6.2　视频证据时间轴（EvidenceTimeline）</w:t>
      </w:r>
    </w:p>
    <w:p>
      <w:pPr>
        <w:spacing w:before="0" w:after="0" w:line="360" w:lineRule="auto"/>
        <w:ind w:firstLine="480"/>
        <w:jc w:val="both"/>
      </w:pPr>
      <w:r>
        <w:rPr>
          <w:rFonts w:ascii="Times New Roman" w:hAnsi="Times New Roman" w:eastAsia="宋体"/>
          <w:b w:val="0"/>
          <w:color w:val="000000"/>
          <w:sz w:val="24"/>
        </w:rPr>
        <w:t>基于 HTML5 视频播放器叠加自定义进度条标记。实现要点：将 timeline_feedback 每条评语的起止时间戳映射为进度条上的可点击标记点，点击标记跳转播放至对应时间点并高亮对应评语卡片；反向点击评语卡片亦可定位进度条。专家复评页额外支持在时间轴“标注分歧维度”。该组件是本项目可视化价值最直观的载体，也是研发重点，预留充分的调试与兼容性测试时间。</w:t>
      </w:r>
    </w:p>
    <w:p>
      <w:pPr>
        <w:pStyle w:val="Heading2"/>
        <w:spacing w:before="220" w:after="100" w:line="240" w:lineRule="auto"/>
        <w:ind w:firstLine="0"/>
      </w:pPr>
      <w:r>
        <w:rPr>
          <w:rFonts w:ascii="Times New Roman" w:hAnsi="Times New Roman" w:eastAsia="黑体"/>
          <w:b/>
          <w:color w:val="000000"/>
          <w:sz w:val="28"/>
        </w:rPr>
        <w:t>6.3　评分与成长可视化（ScoreCharts）</w:t>
      </w:r>
    </w:p>
    <w:p>
      <w:pPr>
        <w:spacing w:before="0" w:after="0" w:line="360" w:lineRule="auto"/>
        <w:ind w:firstLine="480"/>
        <w:jc w:val="both"/>
      </w:pPr>
      <w:r>
        <w:rPr>
          <w:rFonts w:ascii="Times New Roman" w:hAnsi="Times New Roman" w:eastAsia="宋体"/>
          <w:b w:val="0"/>
          <w:color w:val="000000"/>
          <w:sz w:val="24"/>
        </w:rPr>
        <w:t>采用 ECharts。雷达图用于四维度（D1 教学设计、D2 语言、D3 板书、D4 教姿）与 18 个二级指标的展示，并叠加“上次试讲”作为对比参考；折线图用于跨次成长曲线的绘制，专家复评过的数据点以不同标记区分（对应 3.1 需求）。所有图表必须带数据标签、图例与清晰刻度，满足可直接用于演示的专业级要求。</w:t>
      </w:r>
    </w:p>
    <w:p>
      <w:pPr>
        <w:pStyle w:val="Heading2"/>
        <w:spacing w:before="220" w:after="100" w:line="240" w:lineRule="auto"/>
        <w:ind w:firstLine="0"/>
      </w:pPr>
      <w:r>
        <w:rPr>
          <w:rFonts w:ascii="Times New Roman" w:hAnsi="Times New Roman" w:eastAsia="黑体"/>
          <w:b/>
          <w:color w:val="000000"/>
          <w:sz w:val="28"/>
        </w:rPr>
        <w:t>6.4　流式对话面板（ChatPanel）</w:t>
      </w:r>
    </w:p>
    <w:p>
      <w:pPr>
        <w:spacing w:before="0" w:after="0" w:line="360" w:lineRule="auto"/>
        <w:ind w:firstLine="480"/>
        <w:jc w:val="both"/>
      </w:pPr>
      <w:r>
        <w:rPr>
          <w:rFonts w:ascii="Times New Roman" w:hAnsi="Times New Roman" w:eastAsia="宋体"/>
          <w:b w:val="0"/>
          <w:color w:val="000000"/>
          <w:sz w:val="24"/>
        </w:rPr>
        <w:t>采用 SSE/WebSocket 实现流式打字机输出。功能要点：支持多轮上下文、Markdown/结构化内容渲染、以某次试讲/某条评语/某个时间戳为上下文锚点（点击时间轴后“带入对话”）、消息历史本地持久化。可选用 @kernelift/ai-chat 等 Vue3 对话组件加速落地，也可自研以完全贴合“引用时间轴片段”的定制需求。</w:t>
      </w:r>
    </w:p>
    <w:p>
      <w:pPr>
        <w:pStyle w:val="Heading1"/>
        <w:spacing w:before="280" w:after="120" w:line="240" w:lineRule="auto"/>
        <w:ind w:firstLine="0"/>
      </w:pPr>
      <w:r>
        <w:rPr>
          <w:rFonts w:ascii="Times New Roman" w:hAnsi="Times New Roman" w:eastAsia="黑体"/>
          <w:b/>
          <w:color w:val="000000"/>
          <w:sz w:val="32"/>
        </w:rPr>
        <w:t>7　页面与信息架构规划</w:t>
      </w:r>
    </w:p>
    <w:p>
      <w:pPr>
        <w:spacing w:before="0" w:after="80" w:line="240" w:lineRule="auto"/>
        <w:ind w:firstLine="0"/>
        <w:jc w:val="center"/>
      </w:pPr>
      <w:r>
        <w:rPr>
          <w:rFonts w:ascii="Times New Roman" w:hAnsi="Times New Roman" w:eastAsia="宋体"/>
          <w:b w:val="0"/>
          <w:color w:val="000000"/>
          <w:sz w:val="21"/>
        </w:rPr>
        <w:t>表 2　页面与路由规划</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tblHeader w:val="true"/>
          <w:cantSplit/>
          <w:tblHeader w:val="true"/>
          <w:cantSplit/>
          <w:tblHeader w:val="true"/>
          <w:cantSplit/>
        </w:trPr>
        <w:tc>
          <w:tcPr>
            <w:tcW w:type="dxa" w:w="1134"/>
            <w:vAlign w:val="center"/>
            <w:shd w:val="clear" w:fill="F2F2F2"/>
          </w:tcPr>
          <w:p>
            <w:pPr>
              <w:spacing w:line="240" w:lineRule="auto"/>
              <w:ind w:firstLine="0"/>
              <w:jc w:val="center"/>
            </w:pPr>
            <w:r>
              <w:rPr>
                <w:rFonts w:ascii="Times New Roman" w:hAnsi="Times New Roman" w:eastAsia="宋体"/>
                <w:b/>
                <w:color w:val="000000"/>
                <w:sz w:val="21"/>
              </w:rPr>
              <w:t>区块</w:t>
            </w:r>
          </w:p>
        </w:tc>
        <w:tc>
          <w:tcPr>
            <w:tcW w:type="dxa" w:w="2041"/>
            <w:vAlign w:val="center"/>
            <w:shd w:val="clear" w:fill="F2F2F2"/>
          </w:tcPr>
          <w:p>
            <w:pPr>
              <w:spacing w:line="240" w:lineRule="auto"/>
              <w:ind w:firstLine="0"/>
              <w:jc w:val="center"/>
            </w:pPr>
            <w:r>
              <w:rPr>
                <w:rFonts w:ascii="Times New Roman" w:hAnsi="Times New Roman" w:eastAsia="宋体"/>
                <w:b/>
                <w:color w:val="000000"/>
                <w:sz w:val="21"/>
              </w:rPr>
              <w:t>路由</w:t>
            </w:r>
          </w:p>
        </w:tc>
        <w:tc>
          <w:tcPr>
            <w:tcW w:type="dxa" w:w="2494"/>
            <w:vAlign w:val="center"/>
            <w:shd w:val="clear" w:fill="F2F2F2"/>
          </w:tcPr>
          <w:p>
            <w:pPr>
              <w:spacing w:line="240" w:lineRule="auto"/>
              <w:ind w:firstLine="0"/>
              <w:jc w:val="center"/>
            </w:pPr>
            <w:r>
              <w:rPr>
                <w:rFonts w:ascii="Times New Roman" w:hAnsi="Times New Roman" w:eastAsia="宋体"/>
                <w:b/>
                <w:color w:val="000000"/>
                <w:sz w:val="21"/>
              </w:rPr>
              <w:t>核心页面</w:t>
            </w:r>
          </w:p>
        </w:tc>
        <w:tc>
          <w:tcPr>
            <w:tcW w:type="dxa" w:w="2948"/>
            <w:vAlign w:val="center"/>
            <w:shd w:val="clear" w:fill="F2F2F2"/>
          </w:tcPr>
          <w:p>
            <w:pPr>
              <w:spacing w:line="240" w:lineRule="auto"/>
              <w:ind w:firstLine="0"/>
              <w:jc w:val="center"/>
            </w:pPr>
            <w:r>
              <w:rPr>
                <w:rFonts w:ascii="Times New Roman" w:hAnsi="Times New Roman" w:eastAsia="宋体"/>
                <w:b/>
                <w:color w:val="000000"/>
                <w:sz w:val="21"/>
              </w:rPr>
              <w:t>关键交互</w:t>
            </w:r>
          </w:p>
        </w:tc>
      </w:tr>
      <w:tr>
        <w:tc>
          <w:tcPr>
            <w:tcW w:type="dxa" w:w="1134"/>
            <w:vAlign w:val="center"/>
            <w:cantSplit/>
          </w:tcPr>
          <w:p>
            <w:pPr>
              <w:spacing w:line="240" w:lineRule="auto"/>
              <w:ind w:firstLine="0"/>
              <w:jc w:val="center"/>
            </w:pPr>
            <w:r>
              <w:rPr>
                <w:rFonts w:ascii="Times New Roman" w:hAnsi="Times New Roman" w:eastAsia="宋体"/>
                <w:b w:val="0"/>
                <w:color w:val="000000"/>
                <w:sz w:val="21"/>
              </w:rPr>
              <w:t>学生端</w:t>
            </w:r>
          </w:p>
        </w:tc>
        <w:tc>
          <w:tcPr>
            <w:tcW w:type="dxa" w:w="2041"/>
            <w:vAlign w:val="center"/>
            <w:cantSplit/>
          </w:tcPr>
          <w:p>
            <w:pPr>
              <w:spacing w:line="240" w:lineRule="auto"/>
              <w:ind w:firstLine="0"/>
              <w:jc w:val="left"/>
            </w:pPr>
            <w:r>
              <w:rPr>
                <w:rFonts w:ascii="Times New Roman" w:hAnsi="Times New Roman" w:eastAsia="宋体"/>
                <w:b w:val="0"/>
                <w:color w:val="000000"/>
                <w:sz w:val="21"/>
              </w:rPr>
              <w:t>/student/workbench</w:t>
            </w:r>
          </w:p>
        </w:tc>
        <w:tc>
          <w:tcPr>
            <w:tcW w:type="dxa" w:w="2494"/>
            <w:vAlign w:val="center"/>
            <w:cantSplit/>
          </w:tcPr>
          <w:p>
            <w:pPr>
              <w:spacing w:line="240" w:lineRule="auto"/>
              <w:ind w:firstLine="0"/>
              <w:jc w:val="left"/>
            </w:pPr>
            <w:r>
              <w:rPr>
                <w:rFonts w:ascii="Times New Roman" w:hAnsi="Times New Roman" w:eastAsia="宋体"/>
                <w:b w:val="0"/>
                <w:color w:val="000000"/>
                <w:sz w:val="21"/>
              </w:rPr>
              <w:t>工作台（全链路概览＋最近试讲）</w:t>
            </w:r>
          </w:p>
        </w:tc>
        <w:tc>
          <w:tcPr>
            <w:tcW w:type="dxa" w:w="2948"/>
            <w:vAlign w:val="center"/>
            <w:cantSplit/>
          </w:tcPr>
          <w:p>
            <w:pPr>
              <w:spacing w:line="240" w:lineRule="auto"/>
              <w:ind w:firstLine="0"/>
              <w:jc w:val="left"/>
            </w:pPr>
            <w:r>
              <w:rPr>
                <w:rFonts w:ascii="Times New Roman" w:hAnsi="Times New Roman" w:eastAsia="宋体"/>
                <w:b w:val="0"/>
                <w:color w:val="000000"/>
                <w:sz w:val="21"/>
              </w:rPr>
              <w:t>PipelineFlow 概览、快捷上传</w:t>
            </w:r>
          </w:p>
        </w:tc>
      </w:tr>
      <w:tr>
        <w:tc>
          <w:tcPr>
            <w:tcW w:type="dxa" w:w="1134"/>
            <w:vAlign w:val="center"/>
            <w:cantSplit/>
          </w:tcPr>
          <w:p>
            <w:pPr>
              <w:spacing w:line="240" w:lineRule="auto"/>
              <w:ind w:firstLine="0"/>
              <w:jc w:val="center"/>
            </w:pPr>
            <w:r>
              <w:rPr>
                <w:rFonts w:ascii="Times New Roman" w:hAnsi="Times New Roman" w:eastAsia="宋体"/>
                <w:b w:val="0"/>
                <w:color w:val="000000"/>
                <w:sz w:val="21"/>
              </w:rPr>
              <w:t>学生端</w:t>
            </w:r>
          </w:p>
        </w:tc>
        <w:tc>
          <w:tcPr>
            <w:tcW w:type="dxa" w:w="2041"/>
            <w:vAlign w:val="center"/>
            <w:cantSplit/>
          </w:tcPr>
          <w:p>
            <w:pPr>
              <w:spacing w:line="240" w:lineRule="auto"/>
              <w:ind w:firstLine="0"/>
              <w:jc w:val="left"/>
            </w:pPr>
            <w:r>
              <w:rPr>
                <w:rFonts w:ascii="Times New Roman" w:hAnsi="Times New Roman" w:eastAsia="宋体"/>
                <w:b w:val="0"/>
                <w:color w:val="000000"/>
                <w:sz w:val="21"/>
              </w:rPr>
              <w:t>/student/upload</w:t>
            </w:r>
          </w:p>
        </w:tc>
        <w:tc>
          <w:tcPr>
            <w:tcW w:type="dxa" w:w="2494"/>
            <w:vAlign w:val="center"/>
            <w:cantSplit/>
          </w:tcPr>
          <w:p>
            <w:pPr>
              <w:spacing w:line="240" w:lineRule="auto"/>
              <w:ind w:firstLine="0"/>
              <w:jc w:val="left"/>
            </w:pPr>
            <w:r>
              <w:rPr>
                <w:rFonts w:ascii="Times New Roman" w:hAnsi="Times New Roman" w:eastAsia="宋体"/>
                <w:b w:val="0"/>
                <w:color w:val="000000"/>
                <w:sz w:val="21"/>
              </w:rPr>
              <w:t>上传页</w:t>
            </w:r>
          </w:p>
        </w:tc>
        <w:tc>
          <w:tcPr>
            <w:tcW w:type="dxa" w:w="2948"/>
            <w:vAlign w:val="center"/>
            <w:cantSplit/>
          </w:tcPr>
          <w:p>
            <w:pPr>
              <w:spacing w:line="240" w:lineRule="auto"/>
              <w:ind w:firstLine="0"/>
              <w:jc w:val="left"/>
            </w:pPr>
            <w:r>
              <w:rPr>
                <w:rFonts w:ascii="Times New Roman" w:hAnsi="Times New Roman" w:eastAsia="宋体"/>
                <w:b w:val="0"/>
                <w:color w:val="000000"/>
                <w:sz w:val="21"/>
              </w:rPr>
              <w:t>视频上传、教案元数据填写、进度反馈</w:t>
            </w:r>
          </w:p>
        </w:tc>
      </w:tr>
      <w:tr>
        <w:tc>
          <w:tcPr>
            <w:tcW w:type="dxa" w:w="1134"/>
            <w:vAlign w:val="center"/>
            <w:cantSplit/>
          </w:tcPr>
          <w:p>
            <w:pPr>
              <w:spacing w:line="240" w:lineRule="auto"/>
              <w:ind w:firstLine="0"/>
              <w:jc w:val="center"/>
            </w:pPr>
            <w:r>
              <w:rPr>
                <w:rFonts w:ascii="Times New Roman" w:hAnsi="Times New Roman" w:eastAsia="宋体"/>
                <w:b w:val="0"/>
                <w:color w:val="000000"/>
                <w:sz w:val="21"/>
              </w:rPr>
              <w:t>学生端</w:t>
            </w:r>
          </w:p>
        </w:tc>
        <w:tc>
          <w:tcPr>
            <w:tcW w:type="dxa" w:w="2041"/>
            <w:vAlign w:val="center"/>
            <w:cantSplit/>
          </w:tcPr>
          <w:p>
            <w:pPr>
              <w:spacing w:line="240" w:lineRule="auto"/>
              <w:ind w:firstLine="0"/>
              <w:jc w:val="left"/>
            </w:pPr>
            <w:r>
              <w:rPr>
                <w:rFonts w:ascii="Times New Roman" w:hAnsi="Times New Roman" w:eastAsia="宋体"/>
                <w:b w:val="0"/>
                <w:color w:val="000000"/>
                <w:sz w:val="21"/>
              </w:rPr>
              <w:t>/student/report/:id</w:t>
            </w:r>
          </w:p>
        </w:tc>
        <w:tc>
          <w:tcPr>
            <w:tcW w:type="dxa" w:w="2494"/>
            <w:vAlign w:val="center"/>
            <w:cantSplit/>
          </w:tcPr>
          <w:p>
            <w:pPr>
              <w:spacing w:line="240" w:lineRule="auto"/>
              <w:ind w:firstLine="0"/>
              <w:jc w:val="left"/>
            </w:pPr>
            <w:r>
              <w:rPr>
                <w:rFonts w:ascii="Times New Roman" w:hAnsi="Times New Roman" w:eastAsia="宋体"/>
                <w:b w:val="0"/>
                <w:color w:val="000000"/>
                <w:sz w:val="21"/>
              </w:rPr>
              <w:t>报告详情页</w:t>
            </w:r>
          </w:p>
        </w:tc>
        <w:tc>
          <w:tcPr>
            <w:tcW w:type="dxa" w:w="2948"/>
            <w:vAlign w:val="center"/>
            <w:cantSplit/>
          </w:tcPr>
          <w:p>
            <w:pPr>
              <w:spacing w:line="240" w:lineRule="auto"/>
              <w:ind w:firstLine="0"/>
              <w:jc w:val="left"/>
            </w:pPr>
            <w:r>
              <w:rPr>
                <w:rFonts w:ascii="Times New Roman" w:hAnsi="Times New Roman" w:eastAsia="宋体"/>
                <w:b w:val="0"/>
                <w:color w:val="000000"/>
                <w:sz w:val="21"/>
              </w:rPr>
              <w:t>总分＋四维雷达、上下分块（初评/复核）、证据时间轴、短板清单、训练建议</w:t>
            </w:r>
          </w:p>
        </w:tc>
      </w:tr>
      <w:tr>
        <w:tc>
          <w:tcPr>
            <w:tcW w:type="dxa" w:w="1134"/>
            <w:vAlign w:val="center"/>
            <w:cantSplit/>
          </w:tcPr>
          <w:p>
            <w:pPr>
              <w:spacing w:line="240" w:lineRule="auto"/>
              <w:ind w:firstLine="0"/>
              <w:jc w:val="center"/>
            </w:pPr>
            <w:r>
              <w:rPr>
                <w:rFonts w:ascii="Times New Roman" w:hAnsi="Times New Roman" w:eastAsia="宋体"/>
                <w:b w:val="0"/>
                <w:color w:val="000000"/>
                <w:sz w:val="21"/>
              </w:rPr>
              <w:t>学生端</w:t>
            </w:r>
          </w:p>
        </w:tc>
        <w:tc>
          <w:tcPr>
            <w:tcW w:type="dxa" w:w="2041"/>
            <w:vAlign w:val="center"/>
            <w:cantSplit/>
          </w:tcPr>
          <w:p>
            <w:pPr>
              <w:spacing w:line="240" w:lineRule="auto"/>
              <w:ind w:firstLine="0"/>
              <w:jc w:val="left"/>
            </w:pPr>
            <w:r>
              <w:rPr>
                <w:rFonts w:ascii="Times New Roman" w:hAnsi="Times New Roman" w:eastAsia="宋体"/>
                <w:b w:val="0"/>
                <w:color w:val="000000"/>
                <w:sz w:val="21"/>
              </w:rPr>
              <w:t>/student/growth</w:t>
            </w:r>
          </w:p>
        </w:tc>
        <w:tc>
          <w:tcPr>
            <w:tcW w:type="dxa" w:w="2494"/>
            <w:vAlign w:val="center"/>
            <w:cantSplit/>
          </w:tcPr>
          <w:p>
            <w:pPr>
              <w:spacing w:line="240" w:lineRule="auto"/>
              <w:ind w:firstLine="0"/>
              <w:jc w:val="left"/>
            </w:pPr>
            <w:r>
              <w:rPr>
                <w:rFonts w:ascii="Times New Roman" w:hAnsi="Times New Roman" w:eastAsia="宋体"/>
                <w:b w:val="0"/>
                <w:color w:val="000000"/>
                <w:sz w:val="21"/>
              </w:rPr>
              <w:t>成长曲线页</w:t>
            </w:r>
          </w:p>
        </w:tc>
        <w:tc>
          <w:tcPr>
            <w:tcW w:type="dxa" w:w="2948"/>
            <w:vAlign w:val="center"/>
            <w:cantSplit/>
          </w:tcPr>
          <w:p>
            <w:pPr>
              <w:spacing w:line="240" w:lineRule="auto"/>
              <w:ind w:firstLine="0"/>
              <w:jc w:val="left"/>
            </w:pPr>
            <w:r>
              <w:rPr>
                <w:rFonts w:ascii="Times New Roman" w:hAnsi="Times New Roman" w:eastAsia="宋体"/>
                <w:b w:val="0"/>
                <w:color w:val="000000"/>
                <w:sz w:val="21"/>
              </w:rPr>
              <w:t>跨次趋势线＋专家复评点标记</w:t>
            </w:r>
          </w:p>
        </w:tc>
      </w:tr>
      <w:tr>
        <w:tc>
          <w:tcPr>
            <w:tcW w:type="dxa" w:w="1134"/>
            <w:vAlign w:val="center"/>
            <w:cantSplit/>
          </w:tcPr>
          <w:p>
            <w:pPr>
              <w:spacing w:line="240" w:lineRule="auto"/>
              <w:ind w:firstLine="0"/>
              <w:jc w:val="center"/>
            </w:pPr>
            <w:r>
              <w:rPr>
                <w:rFonts w:ascii="Times New Roman" w:hAnsi="Times New Roman" w:eastAsia="宋体"/>
                <w:b w:val="0"/>
                <w:color w:val="000000"/>
                <w:sz w:val="21"/>
              </w:rPr>
              <w:t>学生端</w:t>
            </w:r>
          </w:p>
        </w:tc>
        <w:tc>
          <w:tcPr>
            <w:tcW w:type="dxa" w:w="2041"/>
            <w:vAlign w:val="center"/>
            <w:cantSplit/>
          </w:tcPr>
          <w:p>
            <w:pPr>
              <w:spacing w:line="240" w:lineRule="auto"/>
              <w:ind w:firstLine="0"/>
              <w:jc w:val="left"/>
            </w:pPr>
            <w:r>
              <w:rPr>
                <w:rFonts w:ascii="Times New Roman" w:hAnsi="Times New Roman" w:eastAsia="宋体"/>
                <w:b w:val="0"/>
                <w:color w:val="000000"/>
                <w:sz w:val="21"/>
              </w:rPr>
              <w:t>/student/chat</w:t>
            </w:r>
          </w:p>
        </w:tc>
        <w:tc>
          <w:tcPr>
            <w:tcW w:type="dxa" w:w="2494"/>
            <w:vAlign w:val="center"/>
            <w:cantSplit/>
          </w:tcPr>
          <w:p>
            <w:pPr>
              <w:spacing w:line="240" w:lineRule="auto"/>
              <w:ind w:firstLine="0"/>
              <w:jc w:val="left"/>
            </w:pPr>
            <w:r>
              <w:rPr>
                <w:rFonts w:ascii="Times New Roman" w:hAnsi="Times New Roman" w:eastAsia="宋体"/>
                <w:b w:val="0"/>
                <w:color w:val="000000"/>
                <w:sz w:val="21"/>
              </w:rPr>
              <w:t>对话页</w:t>
            </w:r>
          </w:p>
        </w:tc>
        <w:tc>
          <w:tcPr>
            <w:tcW w:type="dxa" w:w="2948"/>
            <w:vAlign w:val="center"/>
            <w:cantSplit/>
          </w:tcPr>
          <w:p>
            <w:pPr>
              <w:spacing w:line="240" w:lineRule="auto"/>
              <w:ind w:firstLine="0"/>
              <w:jc w:val="left"/>
            </w:pPr>
            <w:r>
              <w:rPr>
                <w:rFonts w:ascii="Times New Roman" w:hAnsi="Times New Roman" w:eastAsia="宋体"/>
                <w:b w:val="0"/>
                <w:color w:val="000000"/>
                <w:sz w:val="21"/>
              </w:rPr>
              <w:t>流式对话、试讲/评语锚点引用</w:t>
            </w:r>
          </w:p>
        </w:tc>
      </w:tr>
      <w:tr>
        <w:tc>
          <w:tcPr>
            <w:tcW w:type="dxa" w:w="1134"/>
            <w:vAlign w:val="center"/>
            <w:cantSplit/>
          </w:tcPr>
          <w:p>
            <w:pPr>
              <w:spacing w:line="240" w:lineRule="auto"/>
              <w:ind w:firstLine="0"/>
              <w:jc w:val="center"/>
            </w:pPr>
            <w:r>
              <w:rPr>
                <w:rFonts w:ascii="Times New Roman" w:hAnsi="Times New Roman" w:eastAsia="宋体"/>
                <w:b w:val="0"/>
                <w:color w:val="000000"/>
                <w:sz w:val="21"/>
              </w:rPr>
              <w:t>专家端</w:t>
            </w:r>
          </w:p>
        </w:tc>
        <w:tc>
          <w:tcPr>
            <w:tcW w:type="dxa" w:w="2041"/>
            <w:vAlign w:val="center"/>
            <w:cantSplit/>
          </w:tcPr>
          <w:p>
            <w:pPr>
              <w:spacing w:line="240" w:lineRule="auto"/>
              <w:ind w:firstLine="0"/>
              <w:jc w:val="left"/>
            </w:pPr>
            <w:r>
              <w:rPr>
                <w:rFonts w:ascii="Times New Roman" w:hAnsi="Times New Roman" w:eastAsia="宋体"/>
                <w:b w:val="0"/>
                <w:color w:val="000000"/>
                <w:sz w:val="21"/>
              </w:rPr>
              <w:t>/expert/review-list</w:t>
            </w:r>
          </w:p>
        </w:tc>
        <w:tc>
          <w:tcPr>
            <w:tcW w:type="dxa" w:w="2494"/>
            <w:vAlign w:val="center"/>
            <w:cantSplit/>
          </w:tcPr>
          <w:p>
            <w:pPr>
              <w:spacing w:line="240" w:lineRule="auto"/>
              <w:ind w:firstLine="0"/>
              <w:jc w:val="left"/>
            </w:pPr>
            <w:r>
              <w:rPr>
                <w:rFonts w:ascii="Times New Roman" w:hAnsi="Times New Roman" w:eastAsia="宋体"/>
                <w:b w:val="0"/>
                <w:color w:val="000000"/>
                <w:sz w:val="21"/>
              </w:rPr>
              <w:t>待复评列表</w:t>
            </w:r>
          </w:p>
        </w:tc>
        <w:tc>
          <w:tcPr>
            <w:tcW w:type="dxa" w:w="2948"/>
            <w:vAlign w:val="center"/>
            <w:cantSplit/>
          </w:tcPr>
          <w:p>
            <w:pPr>
              <w:spacing w:line="240" w:lineRule="auto"/>
              <w:ind w:firstLine="0"/>
              <w:jc w:val="left"/>
            </w:pPr>
            <w:r>
              <w:rPr>
                <w:rFonts w:ascii="Times New Roman" w:hAnsi="Times New Roman" w:eastAsia="宋体"/>
                <w:b w:val="0"/>
                <w:color w:val="000000"/>
                <w:sz w:val="21"/>
              </w:rPr>
              <w:t>时间排序、机器总分、最低置信度维度</w:t>
            </w:r>
          </w:p>
        </w:tc>
      </w:tr>
      <w:tr>
        <w:tc>
          <w:tcPr>
            <w:tcW w:type="dxa" w:w="1134"/>
            <w:vAlign w:val="center"/>
            <w:cantSplit/>
          </w:tcPr>
          <w:p>
            <w:pPr>
              <w:spacing w:line="240" w:lineRule="auto"/>
              <w:ind w:firstLine="0"/>
              <w:jc w:val="center"/>
            </w:pPr>
            <w:r>
              <w:rPr>
                <w:rFonts w:ascii="Times New Roman" w:hAnsi="Times New Roman" w:eastAsia="宋体"/>
                <w:b w:val="0"/>
                <w:color w:val="000000"/>
                <w:sz w:val="21"/>
              </w:rPr>
              <w:t>专家端</w:t>
            </w:r>
          </w:p>
        </w:tc>
        <w:tc>
          <w:tcPr>
            <w:tcW w:type="dxa" w:w="2041"/>
            <w:vAlign w:val="center"/>
            <w:cantSplit/>
          </w:tcPr>
          <w:p>
            <w:pPr>
              <w:spacing w:line="240" w:lineRule="auto"/>
              <w:ind w:firstLine="0"/>
              <w:jc w:val="left"/>
            </w:pPr>
            <w:r>
              <w:rPr>
                <w:rFonts w:ascii="Times New Roman" w:hAnsi="Times New Roman" w:eastAsia="宋体"/>
                <w:b w:val="0"/>
                <w:color w:val="000000"/>
                <w:sz w:val="21"/>
              </w:rPr>
              <w:t>/expert/review/:id</w:t>
            </w:r>
          </w:p>
        </w:tc>
        <w:tc>
          <w:tcPr>
            <w:tcW w:type="dxa" w:w="2494"/>
            <w:vAlign w:val="center"/>
            <w:cantSplit/>
          </w:tcPr>
          <w:p>
            <w:pPr>
              <w:spacing w:line="240" w:lineRule="auto"/>
              <w:ind w:firstLine="0"/>
              <w:jc w:val="left"/>
            </w:pPr>
            <w:r>
              <w:rPr>
                <w:rFonts w:ascii="Times New Roman" w:hAnsi="Times New Roman" w:eastAsia="宋体"/>
                <w:b w:val="0"/>
                <w:color w:val="000000"/>
                <w:sz w:val="21"/>
              </w:rPr>
              <w:t>复评三栏页</w:t>
            </w:r>
          </w:p>
        </w:tc>
        <w:tc>
          <w:tcPr>
            <w:tcW w:type="dxa" w:w="2948"/>
            <w:vAlign w:val="center"/>
            <w:cantSplit/>
          </w:tcPr>
          <w:p>
            <w:pPr>
              <w:spacing w:line="240" w:lineRule="auto"/>
              <w:ind w:firstLine="0"/>
              <w:jc w:val="left"/>
            </w:pPr>
            <w:r>
              <w:rPr>
                <w:rFonts w:ascii="Times New Roman" w:hAnsi="Times New Roman" w:eastAsia="宋体"/>
                <w:b w:val="0"/>
                <w:color w:val="000000"/>
                <w:sz w:val="21"/>
              </w:rPr>
              <w:t>左摘要＋中时间轴＋右表单</w:t>
            </w:r>
          </w:p>
        </w:tc>
      </w:tr>
      <w:tr>
        <w:tc>
          <w:tcPr>
            <w:tcW w:type="dxa" w:w="1134"/>
            <w:vAlign w:val="center"/>
            <w:cantSplit/>
          </w:tcPr>
          <w:p>
            <w:pPr>
              <w:spacing w:line="240" w:lineRule="auto"/>
              <w:ind w:firstLine="0"/>
              <w:jc w:val="center"/>
            </w:pPr>
            <w:r>
              <w:rPr>
                <w:rFonts w:ascii="Times New Roman" w:hAnsi="Times New Roman" w:eastAsia="宋体"/>
                <w:b w:val="0"/>
                <w:color w:val="000000"/>
                <w:sz w:val="21"/>
              </w:rPr>
              <w:t>专家端</w:t>
            </w:r>
          </w:p>
        </w:tc>
        <w:tc>
          <w:tcPr>
            <w:tcW w:type="dxa" w:w="2041"/>
            <w:vAlign w:val="center"/>
            <w:cantSplit/>
          </w:tcPr>
          <w:p>
            <w:pPr>
              <w:spacing w:line="240" w:lineRule="auto"/>
              <w:ind w:firstLine="0"/>
              <w:jc w:val="left"/>
            </w:pPr>
            <w:r>
              <w:rPr>
                <w:rFonts w:ascii="Times New Roman" w:hAnsi="Times New Roman" w:eastAsia="宋体"/>
                <w:b w:val="0"/>
                <w:color w:val="000000"/>
                <w:sz w:val="21"/>
              </w:rPr>
              <w:t>/expert/recycle</w:t>
            </w:r>
          </w:p>
        </w:tc>
        <w:tc>
          <w:tcPr>
            <w:tcW w:type="dxa" w:w="2494"/>
            <w:vAlign w:val="center"/>
            <w:cantSplit/>
          </w:tcPr>
          <w:p>
            <w:pPr>
              <w:spacing w:line="240" w:lineRule="auto"/>
              <w:ind w:firstLine="0"/>
              <w:jc w:val="left"/>
            </w:pPr>
            <w:r>
              <w:rPr>
                <w:rFonts w:ascii="Times New Roman" w:hAnsi="Times New Roman" w:eastAsia="宋体"/>
                <w:b w:val="0"/>
                <w:color w:val="000000"/>
                <w:sz w:val="21"/>
              </w:rPr>
              <w:t>回流记录</w:t>
            </w:r>
          </w:p>
        </w:tc>
        <w:tc>
          <w:tcPr>
            <w:tcW w:type="dxa" w:w="2948"/>
            <w:vAlign w:val="center"/>
            <w:cantSplit/>
          </w:tcPr>
          <w:p>
            <w:pPr>
              <w:spacing w:line="240" w:lineRule="auto"/>
              <w:ind w:firstLine="0"/>
              <w:jc w:val="left"/>
            </w:pPr>
            <w:r>
              <w:rPr>
                <w:rFonts w:ascii="Times New Roman" w:hAnsi="Times New Roman" w:eastAsia="宋体"/>
                <w:b w:val="0"/>
                <w:color w:val="000000"/>
                <w:sz w:val="21"/>
              </w:rPr>
              <w:t>人机差异、知识库更新记录</w:t>
            </w:r>
          </w:p>
        </w:tc>
      </w:tr>
      <w:tr>
        <w:tc>
          <w:tcPr>
            <w:tcW w:type="dxa" w:w="1134"/>
            <w:vAlign w:val="center"/>
            <w:cantSplit/>
          </w:tcPr>
          <w:p>
            <w:pPr>
              <w:spacing w:line="240" w:lineRule="auto"/>
              <w:ind w:firstLine="0"/>
              <w:jc w:val="center"/>
            </w:pPr>
            <w:r>
              <w:rPr>
                <w:rFonts w:ascii="Times New Roman" w:hAnsi="Times New Roman" w:eastAsia="宋体"/>
                <w:b w:val="0"/>
                <w:color w:val="000000"/>
                <w:sz w:val="21"/>
              </w:rPr>
              <w:t>专家端</w:t>
            </w:r>
          </w:p>
        </w:tc>
        <w:tc>
          <w:tcPr>
            <w:tcW w:type="dxa" w:w="2041"/>
            <w:vAlign w:val="center"/>
            <w:cantSplit/>
          </w:tcPr>
          <w:p>
            <w:pPr>
              <w:spacing w:line="240" w:lineRule="auto"/>
              <w:ind w:firstLine="0"/>
              <w:jc w:val="left"/>
            </w:pPr>
            <w:r>
              <w:rPr>
                <w:rFonts w:ascii="Times New Roman" w:hAnsi="Times New Roman" w:eastAsia="宋体"/>
                <w:b w:val="0"/>
                <w:color w:val="000000"/>
                <w:sz w:val="21"/>
              </w:rPr>
              <w:t>/expert/chat</w:t>
            </w:r>
          </w:p>
        </w:tc>
        <w:tc>
          <w:tcPr>
            <w:tcW w:type="dxa" w:w="2494"/>
            <w:vAlign w:val="center"/>
            <w:cantSplit/>
          </w:tcPr>
          <w:p>
            <w:pPr>
              <w:spacing w:line="240" w:lineRule="auto"/>
              <w:ind w:firstLine="0"/>
              <w:jc w:val="left"/>
            </w:pPr>
            <w:r>
              <w:rPr>
                <w:rFonts w:ascii="Times New Roman" w:hAnsi="Times New Roman" w:eastAsia="宋体"/>
                <w:b w:val="0"/>
                <w:color w:val="000000"/>
                <w:sz w:val="21"/>
              </w:rPr>
              <w:t>对话页</w:t>
            </w:r>
          </w:p>
        </w:tc>
        <w:tc>
          <w:tcPr>
            <w:tcW w:type="dxa" w:w="2948"/>
            <w:vAlign w:val="center"/>
            <w:cantSplit/>
          </w:tcPr>
          <w:p>
            <w:pPr>
              <w:spacing w:line="240" w:lineRule="auto"/>
              <w:ind w:firstLine="0"/>
              <w:jc w:val="left"/>
            </w:pPr>
            <w:r>
              <w:rPr>
                <w:rFonts w:ascii="Times New Roman" w:hAnsi="Times New Roman" w:eastAsia="宋体"/>
                <w:b w:val="0"/>
                <w:color w:val="000000"/>
                <w:sz w:val="21"/>
              </w:rPr>
              <w:t>针对复评细节的流式对话</w:t>
            </w:r>
          </w:p>
        </w:tc>
      </w:tr>
    </w:tbl>
    <w:p>
      <w:pPr>
        <w:spacing w:before="0" w:after="0" w:line="360" w:lineRule="auto"/>
        <w:ind w:firstLine="480"/>
        <w:jc w:val="both"/>
      </w:pPr>
      <w:r>
        <w:rPr>
          <w:rFonts w:ascii="Times New Roman" w:hAnsi="Times New Roman" w:eastAsia="宋体"/>
          <w:b w:val="0"/>
          <w:color w:val="000000"/>
          <w:sz w:val="24"/>
        </w:rPr>
        <w:t>移动端适配：学生端优先保证手机浏览可用（响应式栅格与触控目标），专家端以桌面为主。全链路可视化在窄屏下折叠为横向滚动或分步视图，避免节点重叠。</w:t>
      </w:r>
    </w:p>
    <w:p>
      <w:pPr>
        <w:pStyle w:val="Heading1"/>
        <w:spacing w:before="280" w:after="120" w:line="240" w:lineRule="auto"/>
        <w:ind w:firstLine="0"/>
      </w:pPr>
      <w:r>
        <w:rPr>
          <w:rFonts w:ascii="Times New Roman" w:hAnsi="Times New Roman" w:eastAsia="黑体"/>
          <w:b/>
          <w:color w:val="000000"/>
          <w:sz w:val="32"/>
        </w:rPr>
        <w:t>8　实施计划与里程碑</w:t>
      </w:r>
    </w:p>
    <w:p>
      <w:pPr>
        <w:spacing w:before="0" w:after="80" w:line="240" w:lineRule="auto"/>
        <w:ind w:firstLine="0"/>
        <w:jc w:val="center"/>
      </w:pPr>
      <w:r>
        <w:rPr>
          <w:rFonts w:ascii="Times New Roman" w:hAnsi="Times New Roman" w:eastAsia="宋体"/>
          <w:b w:val="0"/>
          <w:color w:val="000000"/>
          <w:sz w:val="21"/>
        </w:rPr>
        <w:t>表 3　里程碑与交付物</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cantSplit/>
          <w:tblHeader w:val="true"/>
          <w:cantSplit/>
          <w:tblHeader w:val="true"/>
          <w:cantSplit/>
          <w:tblHeader w:val="true"/>
          <w:cantSplit/>
        </w:trPr>
        <w:tc>
          <w:tcPr>
            <w:tcW w:type="dxa" w:w="1814"/>
            <w:vAlign w:val="center"/>
            <w:shd w:val="clear" w:fill="F2F2F2"/>
          </w:tcPr>
          <w:p>
            <w:pPr>
              <w:spacing w:line="240" w:lineRule="auto"/>
              <w:ind w:firstLine="0"/>
              <w:jc w:val="center"/>
            </w:pPr>
            <w:r>
              <w:rPr>
                <w:rFonts w:ascii="Times New Roman" w:hAnsi="Times New Roman" w:eastAsia="宋体"/>
                <w:b/>
                <w:color w:val="000000"/>
                <w:sz w:val="21"/>
              </w:rPr>
              <w:t>阶段</w:t>
            </w:r>
          </w:p>
        </w:tc>
        <w:tc>
          <w:tcPr>
            <w:tcW w:type="dxa" w:w="1247"/>
            <w:vAlign w:val="center"/>
            <w:shd w:val="clear" w:fill="F2F2F2"/>
          </w:tcPr>
          <w:p>
            <w:pPr>
              <w:spacing w:line="240" w:lineRule="auto"/>
              <w:ind w:firstLine="0"/>
              <w:jc w:val="center"/>
            </w:pPr>
            <w:r>
              <w:rPr>
                <w:rFonts w:ascii="Times New Roman" w:hAnsi="Times New Roman" w:eastAsia="宋体"/>
                <w:b/>
                <w:color w:val="000000"/>
                <w:sz w:val="21"/>
              </w:rPr>
              <w:t>周期（参考）</w:t>
            </w:r>
          </w:p>
        </w:tc>
        <w:tc>
          <w:tcPr>
            <w:tcW w:type="dxa" w:w="2608"/>
            <w:vAlign w:val="center"/>
            <w:shd w:val="clear" w:fill="F2F2F2"/>
          </w:tcPr>
          <w:p>
            <w:pPr>
              <w:spacing w:line="240" w:lineRule="auto"/>
              <w:ind w:firstLine="0"/>
              <w:jc w:val="center"/>
            </w:pPr>
            <w:r>
              <w:rPr>
                <w:rFonts w:ascii="Times New Roman" w:hAnsi="Times New Roman" w:eastAsia="宋体"/>
                <w:b/>
                <w:color w:val="000000"/>
                <w:sz w:val="21"/>
              </w:rPr>
              <w:t>核心工作</w:t>
            </w:r>
          </w:p>
        </w:tc>
        <w:tc>
          <w:tcPr>
            <w:tcW w:type="dxa" w:w="2948"/>
            <w:vAlign w:val="center"/>
            <w:shd w:val="clear" w:fill="F2F2F2"/>
          </w:tcPr>
          <w:p>
            <w:pPr>
              <w:spacing w:line="240" w:lineRule="auto"/>
              <w:ind w:firstLine="0"/>
              <w:jc w:val="center"/>
            </w:pPr>
            <w:r>
              <w:rPr>
                <w:rFonts w:ascii="Times New Roman" w:hAnsi="Times New Roman" w:eastAsia="宋体"/>
                <w:b/>
                <w:color w:val="000000"/>
                <w:sz w:val="21"/>
              </w:rPr>
              <w:t>交付物/验收标准</w:t>
            </w:r>
          </w:p>
        </w:tc>
      </w:tr>
      <w:tr>
        <w:tc>
          <w:tcPr>
            <w:tcW w:type="dxa" w:w="1814"/>
            <w:vAlign w:val="center"/>
            <w:cantSplit/>
          </w:tcPr>
          <w:p>
            <w:pPr>
              <w:spacing w:line="240" w:lineRule="auto"/>
              <w:ind w:firstLine="0"/>
              <w:jc w:val="center"/>
            </w:pPr>
            <w:r>
              <w:rPr>
                <w:rFonts w:ascii="Times New Roman" w:hAnsi="Times New Roman" w:eastAsia="宋体"/>
                <w:b w:val="0"/>
                <w:color w:val="000000"/>
                <w:sz w:val="21"/>
              </w:rPr>
              <w:t>M0 基座与数据契约</w:t>
            </w:r>
          </w:p>
        </w:tc>
        <w:tc>
          <w:tcPr>
            <w:tcW w:type="dxa" w:w="1247"/>
            <w:vAlign w:val="center"/>
            <w:cantSplit/>
          </w:tcPr>
          <w:p>
            <w:pPr>
              <w:spacing w:line="240" w:lineRule="auto"/>
              <w:ind w:firstLine="0"/>
              <w:jc w:val="center"/>
            </w:pPr>
            <w:r>
              <w:rPr>
                <w:rFonts w:ascii="Times New Roman" w:hAnsi="Times New Roman" w:eastAsia="宋体"/>
                <w:b w:val="0"/>
                <w:color w:val="000000"/>
                <w:sz w:val="21"/>
              </w:rPr>
              <w:t>第 1 周</w:t>
            </w:r>
          </w:p>
        </w:tc>
        <w:tc>
          <w:tcPr>
            <w:tcW w:type="dxa" w:w="2608"/>
            <w:vAlign w:val="center"/>
            <w:cantSplit/>
          </w:tcPr>
          <w:p>
            <w:pPr>
              <w:spacing w:line="240" w:lineRule="auto"/>
              <w:ind w:firstLine="0"/>
              <w:jc w:val="left"/>
            </w:pPr>
            <w:r>
              <w:rPr>
                <w:rFonts w:ascii="Times New Roman" w:hAnsi="Times New Roman" w:eastAsia="宋体"/>
                <w:b w:val="0"/>
                <w:color w:val="000000"/>
                <w:sz w:val="21"/>
              </w:rPr>
              <w:t>双区路由与权限、后端接口契约对齐、review_status 状态机</w:t>
            </w:r>
          </w:p>
        </w:tc>
        <w:tc>
          <w:tcPr>
            <w:tcW w:type="dxa" w:w="2948"/>
            <w:vAlign w:val="center"/>
            <w:cantSplit/>
          </w:tcPr>
          <w:p>
            <w:pPr>
              <w:spacing w:line="240" w:lineRule="auto"/>
              <w:ind w:firstLine="0"/>
              <w:jc w:val="left"/>
            </w:pPr>
            <w:r>
              <w:rPr>
                <w:rFonts w:ascii="Times New Roman" w:hAnsi="Times New Roman" w:eastAsia="宋体"/>
                <w:b w:val="0"/>
                <w:color w:val="000000"/>
                <w:sz w:val="21"/>
              </w:rPr>
              <w:t>可登录、双区可进入、接口字段与 Agent JSON 对齐</w:t>
            </w:r>
          </w:p>
        </w:tc>
      </w:tr>
      <w:tr>
        <w:tc>
          <w:tcPr>
            <w:tcW w:type="dxa" w:w="1814"/>
            <w:vAlign w:val="center"/>
            <w:cantSplit/>
          </w:tcPr>
          <w:p>
            <w:pPr>
              <w:spacing w:line="240" w:lineRule="auto"/>
              <w:ind w:firstLine="0"/>
              <w:jc w:val="center"/>
            </w:pPr>
            <w:r>
              <w:rPr>
                <w:rFonts w:ascii="Times New Roman" w:hAnsi="Times New Roman" w:eastAsia="宋体"/>
                <w:b w:val="0"/>
                <w:color w:val="000000"/>
                <w:sz w:val="21"/>
              </w:rPr>
              <w:t>M1 可视化组件</w:t>
            </w:r>
          </w:p>
        </w:tc>
        <w:tc>
          <w:tcPr>
            <w:tcW w:type="dxa" w:w="1247"/>
            <w:vAlign w:val="center"/>
            <w:cantSplit/>
          </w:tcPr>
          <w:p>
            <w:pPr>
              <w:spacing w:line="240" w:lineRule="auto"/>
              <w:ind w:firstLine="0"/>
              <w:jc w:val="center"/>
            </w:pPr>
            <w:r>
              <w:rPr>
                <w:rFonts w:ascii="Times New Roman" w:hAnsi="Times New Roman" w:eastAsia="宋体"/>
                <w:b w:val="0"/>
                <w:color w:val="000000"/>
                <w:sz w:val="21"/>
              </w:rPr>
              <w:t>第 2–3 周</w:t>
            </w:r>
          </w:p>
        </w:tc>
        <w:tc>
          <w:tcPr>
            <w:tcW w:type="dxa" w:w="2608"/>
            <w:vAlign w:val="center"/>
            <w:cantSplit/>
          </w:tcPr>
          <w:p>
            <w:pPr>
              <w:spacing w:line="240" w:lineRule="auto"/>
              <w:ind w:firstLine="0"/>
              <w:jc w:val="left"/>
            </w:pPr>
            <w:r>
              <w:rPr>
                <w:rFonts w:ascii="Times New Roman" w:hAnsi="Times New Roman" w:eastAsia="宋体"/>
                <w:b w:val="0"/>
                <w:color w:val="000000"/>
                <w:sz w:val="21"/>
              </w:rPr>
              <w:t>PipelineFlow、EvidenceTimeline、ScoreCharts、ChatPanel 四个组件</w:t>
            </w:r>
          </w:p>
        </w:tc>
        <w:tc>
          <w:tcPr>
            <w:tcW w:type="dxa" w:w="2948"/>
            <w:vAlign w:val="center"/>
            <w:cantSplit/>
          </w:tcPr>
          <w:p>
            <w:pPr>
              <w:spacing w:line="240" w:lineRule="auto"/>
              <w:ind w:firstLine="0"/>
              <w:jc w:val="left"/>
            </w:pPr>
            <w:r>
              <w:rPr>
                <w:rFonts w:ascii="Times New Roman" w:hAnsi="Times New Roman" w:eastAsia="宋体"/>
                <w:b w:val="0"/>
                <w:color w:val="000000"/>
                <w:sz w:val="21"/>
              </w:rPr>
              <w:t>四组件在演示数据下完整可用</w:t>
            </w:r>
          </w:p>
        </w:tc>
      </w:tr>
      <w:tr>
        <w:tc>
          <w:tcPr>
            <w:tcW w:type="dxa" w:w="1814"/>
            <w:vAlign w:val="center"/>
            <w:cantSplit/>
          </w:tcPr>
          <w:p>
            <w:pPr>
              <w:spacing w:line="240" w:lineRule="auto"/>
              <w:ind w:firstLine="0"/>
              <w:jc w:val="center"/>
            </w:pPr>
            <w:r>
              <w:rPr>
                <w:rFonts w:ascii="Times New Roman" w:hAnsi="Times New Roman" w:eastAsia="宋体"/>
                <w:b w:val="0"/>
                <w:color w:val="000000"/>
                <w:sz w:val="21"/>
              </w:rPr>
              <w:t>M2 双区页面</w:t>
            </w:r>
          </w:p>
        </w:tc>
        <w:tc>
          <w:tcPr>
            <w:tcW w:type="dxa" w:w="1247"/>
            <w:vAlign w:val="center"/>
            <w:cantSplit/>
          </w:tcPr>
          <w:p>
            <w:pPr>
              <w:spacing w:line="240" w:lineRule="auto"/>
              <w:ind w:firstLine="0"/>
              <w:jc w:val="center"/>
            </w:pPr>
            <w:r>
              <w:rPr>
                <w:rFonts w:ascii="Times New Roman" w:hAnsi="Times New Roman" w:eastAsia="宋体"/>
                <w:b w:val="0"/>
                <w:color w:val="000000"/>
                <w:sz w:val="21"/>
              </w:rPr>
              <w:t>第 4–5 周</w:t>
            </w:r>
          </w:p>
        </w:tc>
        <w:tc>
          <w:tcPr>
            <w:tcW w:type="dxa" w:w="2608"/>
            <w:vAlign w:val="center"/>
            <w:cantSplit/>
          </w:tcPr>
          <w:p>
            <w:pPr>
              <w:spacing w:line="240" w:lineRule="auto"/>
              <w:ind w:firstLine="0"/>
              <w:jc w:val="left"/>
            </w:pPr>
            <w:r>
              <w:rPr>
                <w:rFonts w:ascii="Times New Roman" w:hAnsi="Times New Roman" w:eastAsia="宋体"/>
                <w:b w:val="0"/>
                <w:color w:val="000000"/>
                <w:sz w:val="21"/>
              </w:rPr>
              <w:t>学生端 6 页、专家端 4 页、上传与报告全流程</w:t>
            </w:r>
          </w:p>
        </w:tc>
        <w:tc>
          <w:tcPr>
            <w:tcW w:type="dxa" w:w="2948"/>
            <w:vAlign w:val="center"/>
            <w:cantSplit/>
          </w:tcPr>
          <w:p>
            <w:pPr>
              <w:spacing w:line="240" w:lineRule="auto"/>
              <w:ind w:firstLine="0"/>
              <w:jc w:val="left"/>
            </w:pPr>
            <w:r>
              <w:rPr>
                <w:rFonts w:ascii="Times New Roman" w:hAnsi="Times New Roman" w:eastAsia="宋体"/>
                <w:b w:val="0"/>
                <w:color w:val="000000"/>
                <w:sz w:val="21"/>
              </w:rPr>
              <w:t>两端核心流程可走通</w:t>
            </w:r>
          </w:p>
        </w:tc>
      </w:tr>
      <w:tr>
        <w:tc>
          <w:tcPr>
            <w:tcW w:type="dxa" w:w="1814"/>
            <w:vAlign w:val="center"/>
            <w:cantSplit/>
          </w:tcPr>
          <w:p>
            <w:pPr>
              <w:spacing w:line="240" w:lineRule="auto"/>
              <w:ind w:firstLine="0"/>
              <w:jc w:val="center"/>
            </w:pPr>
            <w:r>
              <w:rPr>
                <w:rFonts w:ascii="Times New Roman" w:hAnsi="Times New Roman" w:eastAsia="宋体"/>
                <w:b w:val="0"/>
                <w:color w:val="000000"/>
                <w:sz w:val="21"/>
              </w:rPr>
              <w:t>M3 联调与演示</w:t>
            </w:r>
          </w:p>
        </w:tc>
        <w:tc>
          <w:tcPr>
            <w:tcW w:type="dxa" w:w="1247"/>
            <w:vAlign w:val="center"/>
            <w:cantSplit/>
          </w:tcPr>
          <w:p>
            <w:pPr>
              <w:spacing w:line="240" w:lineRule="auto"/>
              <w:ind w:firstLine="0"/>
              <w:jc w:val="center"/>
            </w:pPr>
            <w:r>
              <w:rPr>
                <w:rFonts w:ascii="Times New Roman" w:hAnsi="Times New Roman" w:eastAsia="宋体"/>
                <w:b w:val="0"/>
                <w:color w:val="000000"/>
                <w:sz w:val="21"/>
              </w:rPr>
              <w:t>第 6 周</w:t>
            </w:r>
          </w:p>
        </w:tc>
        <w:tc>
          <w:tcPr>
            <w:tcW w:type="dxa" w:w="2608"/>
            <w:vAlign w:val="center"/>
            <w:cantSplit/>
          </w:tcPr>
          <w:p>
            <w:pPr>
              <w:spacing w:line="240" w:lineRule="auto"/>
              <w:ind w:firstLine="0"/>
              <w:jc w:val="left"/>
            </w:pPr>
            <w:r>
              <w:rPr>
                <w:rFonts w:ascii="Times New Roman" w:hAnsi="Times New Roman" w:eastAsia="宋体"/>
                <w:b w:val="0"/>
                <w:color w:val="000000"/>
                <w:sz w:val="21"/>
              </w:rPr>
              <w:t>前后端联调、真实试讲视频全链路、演示脚本</w:t>
            </w:r>
          </w:p>
        </w:tc>
        <w:tc>
          <w:tcPr>
            <w:tcW w:type="dxa" w:w="2948"/>
            <w:vAlign w:val="center"/>
            <w:cantSplit/>
          </w:tcPr>
          <w:p>
            <w:pPr>
              <w:spacing w:line="240" w:lineRule="auto"/>
              <w:ind w:firstLine="0"/>
              <w:jc w:val="left"/>
            </w:pPr>
            <w:r>
              <w:rPr>
                <w:rFonts w:ascii="Times New Roman" w:hAnsi="Times New Roman" w:eastAsia="宋体"/>
                <w:b w:val="0"/>
                <w:color w:val="000000"/>
                <w:sz w:val="21"/>
              </w:rPr>
              <w:t>完整闭环可现场演示</w:t>
            </w:r>
          </w:p>
        </w:tc>
      </w:tr>
    </w:tbl>
    <w:p>
      <w:pPr>
        <w:spacing w:before="0" w:after="0" w:line="360" w:lineRule="auto"/>
        <w:ind w:firstLine="480"/>
        <w:jc w:val="both"/>
      </w:pPr>
      <w:r>
        <w:rPr>
          <w:rFonts w:ascii="Times New Roman" w:hAnsi="Times New Roman" w:eastAsia="宋体"/>
          <w:b w:val="0"/>
          <w:color w:val="000000"/>
          <w:sz w:val="24"/>
        </w:rPr>
        <w:t>里程碑按依赖顺序排列，M1 的四个组件与后端无强耦合，可在接口就绪前用演示数据先行开发，缩短关键路径。M3 预留时间专门打磨演示体验——竞赛评审看的是现场演示，而非代码量。</w:t>
      </w:r>
    </w:p>
    <w:p>
      <w:pPr>
        <w:pStyle w:val="Heading1"/>
        <w:spacing w:before="280" w:after="120" w:line="240" w:lineRule="auto"/>
        <w:ind w:firstLine="0"/>
      </w:pPr>
      <w:r>
        <w:rPr>
          <w:rFonts w:ascii="Times New Roman" w:hAnsi="Times New Roman" w:eastAsia="黑体"/>
          <w:b/>
          <w:color w:val="000000"/>
          <w:sz w:val="32"/>
        </w:rPr>
        <w:t>9　竞赛评分点映射</w:t>
      </w:r>
    </w:p>
    <w:p>
      <w:pPr>
        <w:spacing w:before="0" w:after="80" w:line="240" w:lineRule="auto"/>
        <w:ind w:firstLine="0"/>
        <w:jc w:val="center"/>
      </w:pPr>
      <w:r>
        <w:rPr>
          <w:rFonts w:ascii="Times New Roman" w:hAnsi="Times New Roman" w:eastAsia="宋体"/>
          <w:b w:val="0"/>
          <w:color w:val="000000"/>
          <w:sz w:val="21"/>
        </w:rPr>
        <w:t>表 4　前端功能对评分点映射</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tblHeader w:val="true"/>
          <w:cantSplit/>
          <w:tblHeader w:val="true"/>
          <w:cantSplit/>
        </w:trPr>
        <w:tc>
          <w:tcPr>
            <w:tcW w:type="dxa" w:w="1928"/>
            <w:vAlign w:val="center"/>
            <w:shd w:val="clear" w:fill="F2F2F2"/>
          </w:tcPr>
          <w:p>
            <w:pPr>
              <w:spacing w:line="240" w:lineRule="auto"/>
              <w:ind w:firstLine="0"/>
              <w:jc w:val="center"/>
            </w:pPr>
            <w:r>
              <w:rPr>
                <w:rFonts w:ascii="Times New Roman" w:hAnsi="Times New Roman" w:eastAsia="宋体"/>
                <w:b/>
                <w:color w:val="000000"/>
                <w:sz w:val="21"/>
              </w:rPr>
              <w:t>评分关注点</w:t>
            </w:r>
          </w:p>
        </w:tc>
        <w:tc>
          <w:tcPr>
            <w:tcW w:type="dxa" w:w="3402"/>
            <w:vAlign w:val="center"/>
            <w:shd w:val="clear" w:fill="F2F2F2"/>
          </w:tcPr>
          <w:p>
            <w:pPr>
              <w:spacing w:line="240" w:lineRule="auto"/>
              <w:ind w:firstLine="0"/>
              <w:jc w:val="center"/>
            </w:pPr>
            <w:r>
              <w:rPr>
                <w:rFonts w:ascii="Times New Roman" w:hAnsi="Times New Roman" w:eastAsia="宋体"/>
                <w:b/>
                <w:color w:val="000000"/>
                <w:sz w:val="21"/>
              </w:rPr>
              <w:t>对应前端能力</w:t>
            </w:r>
          </w:p>
        </w:tc>
        <w:tc>
          <w:tcPr>
            <w:tcW w:type="dxa" w:w="3288"/>
            <w:vAlign w:val="center"/>
            <w:shd w:val="clear" w:fill="F2F2F2"/>
          </w:tcPr>
          <w:p>
            <w:pPr>
              <w:spacing w:line="240" w:lineRule="auto"/>
              <w:ind w:firstLine="0"/>
              <w:jc w:val="center"/>
            </w:pPr>
            <w:r>
              <w:rPr>
                <w:rFonts w:ascii="Times New Roman" w:hAnsi="Times New Roman" w:eastAsia="宋体"/>
                <w:b/>
                <w:color w:val="000000"/>
                <w:sz w:val="21"/>
              </w:rPr>
              <w:t>说明</w:t>
            </w:r>
          </w:p>
        </w:tc>
      </w:tr>
      <w:tr>
        <w:tc>
          <w:tcPr>
            <w:tcW w:type="dxa" w:w="1928"/>
            <w:vAlign w:val="center"/>
            <w:cantSplit/>
          </w:tcPr>
          <w:p>
            <w:pPr>
              <w:spacing w:line="240" w:lineRule="auto"/>
              <w:ind w:firstLine="0"/>
              <w:jc w:val="center"/>
            </w:pPr>
            <w:r>
              <w:rPr>
                <w:rFonts w:ascii="Times New Roman" w:hAnsi="Times New Roman" w:eastAsia="宋体"/>
                <w:b w:val="0"/>
                <w:color w:val="000000"/>
                <w:sz w:val="21"/>
              </w:rPr>
              <w:t>可落地的智能体应用</w:t>
            </w:r>
          </w:p>
        </w:tc>
        <w:tc>
          <w:tcPr>
            <w:tcW w:type="dxa" w:w="3402"/>
            <w:vAlign w:val="center"/>
            <w:cantSplit/>
          </w:tcPr>
          <w:p>
            <w:pPr>
              <w:spacing w:line="240" w:lineRule="auto"/>
              <w:ind w:firstLine="0"/>
              <w:jc w:val="left"/>
            </w:pPr>
            <w:r>
              <w:rPr>
                <w:rFonts w:ascii="Times New Roman" w:hAnsi="Times New Roman" w:eastAsia="宋体"/>
                <w:b w:val="0"/>
                <w:color w:val="000000"/>
                <w:sz w:val="21"/>
              </w:rPr>
              <w:t>上传→报告→复核→回流完整闭环可操作</w:t>
            </w:r>
          </w:p>
        </w:tc>
        <w:tc>
          <w:tcPr>
            <w:tcW w:type="dxa" w:w="3288"/>
            <w:vAlign w:val="center"/>
            <w:cantSplit/>
          </w:tcPr>
          <w:p>
            <w:pPr>
              <w:spacing w:line="240" w:lineRule="auto"/>
              <w:ind w:firstLine="0"/>
              <w:jc w:val="left"/>
            </w:pPr>
            <w:r>
              <w:rPr>
                <w:rFonts w:ascii="Times New Roman" w:hAnsi="Times New Roman" w:eastAsia="宋体"/>
                <w:b w:val="0"/>
                <w:color w:val="000000"/>
                <w:sz w:val="21"/>
              </w:rPr>
              <w:t>双区真实用户可走通业务</w:t>
            </w:r>
          </w:p>
        </w:tc>
      </w:tr>
      <w:tr>
        <w:tc>
          <w:tcPr>
            <w:tcW w:type="dxa" w:w="1928"/>
            <w:vAlign w:val="center"/>
            <w:cantSplit/>
          </w:tcPr>
          <w:p>
            <w:pPr>
              <w:spacing w:line="240" w:lineRule="auto"/>
              <w:ind w:firstLine="0"/>
              <w:jc w:val="center"/>
            </w:pPr>
            <w:r>
              <w:rPr>
                <w:rFonts w:ascii="Times New Roman" w:hAnsi="Times New Roman" w:eastAsia="宋体"/>
                <w:b w:val="0"/>
                <w:color w:val="000000"/>
                <w:sz w:val="21"/>
              </w:rPr>
              <w:t>智能体能力体现</w:t>
            </w:r>
          </w:p>
        </w:tc>
        <w:tc>
          <w:tcPr>
            <w:tcW w:type="dxa" w:w="3402"/>
            <w:vAlign w:val="center"/>
            <w:cantSplit/>
          </w:tcPr>
          <w:p>
            <w:pPr>
              <w:spacing w:line="240" w:lineRule="auto"/>
              <w:ind w:firstLine="0"/>
              <w:jc w:val="left"/>
            </w:pPr>
            <w:r>
              <w:rPr>
                <w:rFonts w:ascii="Times New Roman" w:hAnsi="Times New Roman" w:eastAsia="宋体"/>
                <w:b w:val="0"/>
                <w:color w:val="000000"/>
                <w:sz w:val="21"/>
              </w:rPr>
              <w:t>全链路可视化＋流式对话板块</w:t>
            </w:r>
          </w:p>
        </w:tc>
        <w:tc>
          <w:tcPr>
            <w:tcW w:type="dxa" w:w="3288"/>
            <w:vAlign w:val="center"/>
            <w:cantSplit/>
          </w:tcPr>
          <w:p>
            <w:pPr>
              <w:spacing w:line="240" w:lineRule="auto"/>
              <w:ind w:firstLine="0"/>
              <w:jc w:val="left"/>
            </w:pPr>
            <w:r>
              <w:rPr>
                <w:rFonts w:ascii="Times New Roman" w:hAnsi="Times New Roman" w:eastAsia="宋体"/>
                <w:b w:val="0"/>
                <w:color w:val="000000"/>
                <w:sz w:val="21"/>
              </w:rPr>
              <w:t>把后端流程与 Agent 对话“可视化地运转”</w:t>
            </w:r>
          </w:p>
        </w:tc>
      </w:tr>
      <w:tr>
        <w:tc>
          <w:tcPr>
            <w:tcW w:type="dxa" w:w="1928"/>
            <w:vAlign w:val="center"/>
            <w:cantSplit/>
          </w:tcPr>
          <w:p>
            <w:pPr>
              <w:spacing w:line="240" w:lineRule="auto"/>
              <w:ind w:firstLine="0"/>
              <w:jc w:val="center"/>
            </w:pPr>
            <w:r>
              <w:rPr>
                <w:rFonts w:ascii="Times New Roman" w:hAnsi="Times New Roman" w:eastAsia="宋体"/>
                <w:b w:val="0"/>
                <w:color w:val="000000"/>
                <w:sz w:val="21"/>
              </w:rPr>
              <w:t>面向真实用户</w:t>
            </w:r>
          </w:p>
        </w:tc>
        <w:tc>
          <w:tcPr>
            <w:tcW w:type="dxa" w:w="3402"/>
            <w:vAlign w:val="center"/>
            <w:cantSplit/>
          </w:tcPr>
          <w:p>
            <w:pPr>
              <w:spacing w:line="240" w:lineRule="auto"/>
              <w:ind w:firstLine="0"/>
              <w:jc w:val="left"/>
            </w:pPr>
            <w:r>
              <w:rPr>
                <w:rFonts w:ascii="Times New Roman" w:hAnsi="Times New Roman" w:eastAsia="宋体"/>
                <w:b w:val="0"/>
                <w:color w:val="000000"/>
                <w:sz w:val="21"/>
              </w:rPr>
              <w:t>学生端＋专家端双区功能</w:t>
            </w:r>
          </w:p>
        </w:tc>
        <w:tc>
          <w:tcPr>
            <w:tcW w:type="dxa" w:w="3288"/>
            <w:vAlign w:val="center"/>
            <w:cantSplit/>
          </w:tcPr>
          <w:p>
            <w:pPr>
              <w:spacing w:line="240" w:lineRule="auto"/>
              <w:ind w:firstLine="0"/>
              <w:jc w:val="left"/>
            </w:pPr>
            <w:r>
              <w:rPr>
                <w:rFonts w:ascii="Times New Roman" w:hAnsi="Times New Roman" w:eastAsia="宋体"/>
                <w:b w:val="0"/>
                <w:color w:val="000000"/>
                <w:sz w:val="21"/>
              </w:rPr>
              <w:t>两类用户各有可用功能</w:t>
            </w:r>
          </w:p>
        </w:tc>
      </w:tr>
      <w:tr>
        <w:tc>
          <w:tcPr>
            <w:tcW w:type="dxa" w:w="1928"/>
            <w:vAlign w:val="center"/>
            <w:cantSplit/>
          </w:tcPr>
          <w:p>
            <w:pPr>
              <w:spacing w:line="240" w:lineRule="auto"/>
              <w:ind w:firstLine="0"/>
              <w:jc w:val="center"/>
            </w:pPr>
            <w:r>
              <w:rPr>
                <w:rFonts w:ascii="Times New Roman" w:hAnsi="Times New Roman" w:eastAsia="宋体"/>
                <w:b w:val="0"/>
                <w:color w:val="000000"/>
                <w:sz w:val="21"/>
              </w:rPr>
              <w:t>数据与证据</w:t>
            </w:r>
          </w:p>
        </w:tc>
        <w:tc>
          <w:tcPr>
            <w:tcW w:type="dxa" w:w="3402"/>
            <w:vAlign w:val="center"/>
            <w:cantSplit/>
          </w:tcPr>
          <w:p>
            <w:pPr>
              <w:spacing w:line="240" w:lineRule="auto"/>
              <w:ind w:firstLine="0"/>
              <w:jc w:val="left"/>
            </w:pPr>
            <w:r>
              <w:rPr>
                <w:rFonts w:ascii="Times New Roman" w:hAnsi="Times New Roman" w:eastAsia="宋体"/>
                <w:b w:val="0"/>
                <w:color w:val="000000"/>
                <w:sz w:val="21"/>
              </w:rPr>
              <w:t>四维雷达＋证据时间轴＋成长曲线</w:t>
            </w:r>
          </w:p>
        </w:tc>
        <w:tc>
          <w:tcPr>
            <w:tcW w:type="dxa" w:w="3288"/>
            <w:vAlign w:val="center"/>
            <w:cantSplit/>
          </w:tcPr>
          <w:p>
            <w:pPr>
              <w:spacing w:line="240" w:lineRule="auto"/>
              <w:ind w:firstLine="0"/>
              <w:jc w:val="left"/>
            </w:pPr>
            <w:r>
              <w:rPr>
                <w:rFonts w:ascii="Times New Roman" w:hAnsi="Times New Roman" w:eastAsia="宋体"/>
                <w:b w:val="0"/>
                <w:color w:val="000000"/>
                <w:sz w:val="21"/>
              </w:rPr>
              <w:t>评分有来源、改进有指向</w:t>
            </w:r>
          </w:p>
        </w:tc>
      </w:tr>
      <w:tr>
        <w:tc>
          <w:tcPr>
            <w:tcW w:type="dxa" w:w="1928"/>
            <w:vAlign w:val="center"/>
            <w:cantSplit/>
          </w:tcPr>
          <w:p>
            <w:pPr>
              <w:spacing w:line="240" w:lineRule="auto"/>
              <w:ind w:firstLine="0"/>
              <w:jc w:val="center"/>
            </w:pPr>
            <w:r>
              <w:rPr>
                <w:rFonts w:ascii="Times New Roman" w:hAnsi="Times New Roman" w:eastAsia="宋体"/>
                <w:b w:val="0"/>
                <w:color w:val="000000"/>
                <w:sz w:val="21"/>
              </w:rPr>
              <w:t>展示与交付</w:t>
            </w:r>
          </w:p>
        </w:tc>
        <w:tc>
          <w:tcPr>
            <w:tcW w:type="dxa" w:w="3402"/>
            <w:vAlign w:val="center"/>
            <w:cantSplit/>
          </w:tcPr>
          <w:p>
            <w:pPr>
              <w:spacing w:line="240" w:lineRule="auto"/>
              <w:ind w:firstLine="0"/>
              <w:jc w:val="left"/>
            </w:pPr>
            <w:r>
              <w:rPr>
                <w:rFonts w:ascii="Times New Roman" w:hAnsi="Times New Roman" w:eastAsia="宋体"/>
                <w:b w:val="0"/>
                <w:color w:val="000000"/>
                <w:sz w:val="21"/>
              </w:rPr>
              <w:t>演示数据全链路、报告页专业级图表</w:t>
            </w:r>
          </w:p>
        </w:tc>
        <w:tc>
          <w:tcPr>
            <w:tcW w:type="dxa" w:w="3288"/>
            <w:vAlign w:val="center"/>
            <w:cantSplit/>
          </w:tcPr>
          <w:p>
            <w:pPr>
              <w:spacing w:line="240" w:lineRule="auto"/>
              <w:ind w:firstLine="0"/>
              <w:jc w:val="left"/>
            </w:pPr>
            <w:r>
              <w:rPr>
                <w:rFonts w:ascii="Times New Roman" w:hAnsi="Times New Roman" w:eastAsia="宋体"/>
                <w:b w:val="0"/>
                <w:color w:val="000000"/>
                <w:sz w:val="21"/>
              </w:rPr>
              <w:t>现场演示效果</w:t>
            </w:r>
          </w:p>
        </w:tc>
      </w:tr>
    </w:tbl>
    <w:p>
      <w:pPr>
        <w:pStyle w:val="Heading1"/>
        <w:spacing w:before="280" w:after="120" w:line="240" w:lineRule="auto"/>
        <w:ind w:firstLine="0"/>
      </w:pPr>
      <w:r>
        <w:rPr>
          <w:rFonts w:ascii="Times New Roman" w:hAnsi="Times New Roman" w:eastAsia="黑体"/>
          <w:b/>
          <w:color w:val="000000"/>
          <w:sz w:val="32"/>
        </w:rPr>
        <w:t>10　风险控制与成本管理</w:t>
      </w:r>
    </w:p>
    <w:p>
      <w:pPr>
        <w:spacing w:before="0" w:after="0" w:line="360" w:lineRule="auto"/>
        <w:ind w:firstLine="480"/>
        <w:jc w:val="both"/>
      </w:pPr>
      <w:r>
        <w:rPr>
          <w:rFonts w:ascii="Times New Roman" w:hAnsi="Times New Roman" w:eastAsia="宋体"/>
          <w:b w:val="0"/>
          <w:color w:val="000000"/>
          <w:sz w:val="24"/>
        </w:rPr>
        <w:t>技术风险：视频证据时间轴是本项目最大技术风险点（视频编码兼容、时间戳精度、点击跳转）。对策：M1 优先攻坚该组件，采用成熟播放器（video.js）叠加自研标记，预留兼容性测试时间；若时间轴实现受阻，降级为先展示分段评语卡片＋时间戳文本跳转，保证功能不缺失。</w:t>
      </w:r>
    </w:p>
    <w:p>
      <w:pPr>
        <w:spacing w:before="0" w:after="0" w:line="360" w:lineRule="auto"/>
        <w:ind w:firstLine="480"/>
        <w:jc w:val="both"/>
      </w:pPr>
      <w:r>
        <w:rPr>
          <w:rFonts w:ascii="Times New Roman" w:hAnsi="Times New Roman" w:eastAsia="宋体"/>
          <w:b w:val="0"/>
          <w:color w:val="000000"/>
          <w:sz w:val="24"/>
        </w:rPr>
        <w:t>时间风险：竞赛周期有限，功能蔓延是最大威胁。对策：严格按里程碑交付，MVP 优先保证“上传→报告→复核→回流＋四维雷达＋证据时间轴”主闭环，对话板块与成长曲线作为第二优先级；明确不做与评分无关的过度打磨。</w:t>
      </w:r>
    </w:p>
    <w:p>
      <w:pPr>
        <w:spacing w:before="0" w:after="0" w:line="360" w:lineRule="auto"/>
        <w:ind w:firstLine="480"/>
        <w:jc w:val="both"/>
      </w:pPr>
      <w:r>
        <w:rPr>
          <w:rFonts w:ascii="Times New Roman" w:hAnsi="Times New Roman" w:eastAsia="宋体"/>
          <w:b w:val="0"/>
          <w:color w:val="000000"/>
          <w:sz w:val="24"/>
        </w:rPr>
        <w:t>成本控制：复用 Soybean 已有能力与后端既有产出，研发成本集中于四个可视化组件；优先采用成熟开源库（AntV X6、video.js、ECharts、SSE 组件），避免重复造轮子；演示数据先行开发，降低等待后端的串行成本。</w:t>
      </w:r>
    </w:p>
    <w:p>
      <w:pPr>
        <w:pStyle w:val="Heading1"/>
        <w:spacing w:before="280" w:after="120" w:line="240" w:lineRule="auto"/>
        <w:ind w:firstLine="0"/>
      </w:pPr>
      <w:r>
        <w:rPr>
          <w:rFonts w:ascii="Times New Roman" w:hAnsi="Times New Roman" w:eastAsia="黑体"/>
          <w:b/>
          <w:color w:val="000000"/>
          <w:sz w:val="32"/>
        </w:rPr>
        <w:t>11　附录</w:t>
      </w:r>
    </w:p>
    <w:p>
      <w:pPr>
        <w:pStyle w:val="Heading2"/>
        <w:spacing w:before="220" w:after="100" w:line="240" w:lineRule="auto"/>
        <w:ind w:firstLine="0"/>
      </w:pPr>
      <w:r>
        <w:rPr>
          <w:rFonts w:ascii="Times New Roman" w:hAnsi="Times New Roman" w:eastAsia="黑体"/>
          <w:b/>
          <w:color w:val="000000"/>
          <w:sz w:val="28"/>
        </w:rPr>
        <w:t>11.1　技术栈清单</w:t>
      </w:r>
    </w:p>
    <w:p>
      <w:pPr>
        <w:spacing w:before="0" w:after="80" w:line="240" w:lineRule="auto"/>
        <w:ind w:firstLine="0"/>
        <w:jc w:val="center"/>
      </w:pPr>
      <w:r>
        <w:rPr>
          <w:rFonts w:ascii="Times New Roman" w:hAnsi="Times New Roman" w:eastAsia="宋体"/>
          <w:b w:val="0"/>
          <w:color w:val="000000"/>
          <w:sz w:val="21"/>
        </w:rPr>
        <w:t>表 5　前端技术栈</w:t>
      </w:r>
    </w:p>
    <w:tbl>
      <w:tblPr>
        <w:tblStyle w:val="TableGrid"/>
        <w:tblW w:type="auto" w:w="0"/>
        <w:jc w:val="center"/>
        <w:tblLook w:firstColumn="1" w:firstRow="1" w:lastColumn="0" w:lastRow="0" w:noHBand="0" w:noVBand="1" w:val="04A0"/>
      </w:tblPr>
      <w:tblGrid>
        <w:gridCol w:w="3024"/>
        <w:gridCol w:w="3024"/>
        <w:gridCol w:w="3024"/>
      </w:tblGrid>
      <w:tr>
        <w:trPr>
          <w:tblHeader w:val="true"/>
          <w:cantSplit/>
          <w:tblHeader w:val="true"/>
          <w:cantSplit/>
          <w:tblHeader w:val="true"/>
          <w:cantSplit/>
        </w:trPr>
        <w:tc>
          <w:tcPr>
            <w:tcW w:type="dxa" w:w="1474"/>
            <w:vAlign w:val="center"/>
            <w:shd w:val="clear" w:fill="F2F2F2"/>
          </w:tcPr>
          <w:p>
            <w:pPr>
              <w:spacing w:line="240" w:lineRule="auto"/>
              <w:ind w:firstLine="0"/>
              <w:jc w:val="center"/>
            </w:pPr>
            <w:r>
              <w:rPr>
                <w:rFonts w:ascii="Times New Roman" w:hAnsi="Times New Roman" w:eastAsia="宋体"/>
                <w:b/>
                <w:color w:val="000000"/>
                <w:sz w:val="21"/>
              </w:rPr>
              <w:t>类别</w:t>
            </w:r>
          </w:p>
        </w:tc>
        <w:tc>
          <w:tcPr>
            <w:tcW w:type="dxa" w:w="2948"/>
            <w:vAlign w:val="center"/>
            <w:shd w:val="clear" w:fill="F2F2F2"/>
          </w:tcPr>
          <w:p>
            <w:pPr>
              <w:spacing w:line="240" w:lineRule="auto"/>
              <w:ind w:firstLine="0"/>
              <w:jc w:val="center"/>
            </w:pPr>
            <w:r>
              <w:rPr>
                <w:rFonts w:ascii="Times New Roman" w:hAnsi="Times New Roman" w:eastAsia="宋体"/>
                <w:b/>
                <w:color w:val="000000"/>
                <w:sz w:val="21"/>
              </w:rPr>
              <w:t>选型</w:t>
            </w:r>
          </w:p>
        </w:tc>
        <w:tc>
          <w:tcPr>
            <w:tcW w:type="dxa" w:w="4195"/>
            <w:vAlign w:val="center"/>
            <w:shd w:val="clear" w:fill="F2F2F2"/>
          </w:tcPr>
          <w:p>
            <w:pPr>
              <w:spacing w:line="240" w:lineRule="auto"/>
              <w:ind w:firstLine="0"/>
              <w:jc w:val="center"/>
            </w:pPr>
            <w:r>
              <w:rPr>
                <w:rFonts w:ascii="Times New Roman" w:hAnsi="Times New Roman" w:eastAsia="宋体"/>
                <w:b/>
                <w:color w:val="000000"/>
                <w:sz w:val="21"/>
              </w:rPr>
              <w:t>用途</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工程外壳</w:t>
            </w:r>
          </w:p>
        </w:tc>
        <w:tc>
          <w:tcPr>
            <w:tcW w:type="dxa" w:w="2948"/>
            <w:vAlign w:val="center"/>
            <w:cantSplit/>
          </w:tcPr>
          <w:p>
            <w:pPr>
              <w:spacing w:line="240" w:lineRule="auto"/>
              <w:ind w:firstLine="0"/>
              <w:jc w:val="left"/>
            </w:pPr>
            <w:r>
              <w:rPr>
                <w:rFonts w:ascii="Times New Roman" w:hAnsi="Times New Roman" w:eastAsia="宋体"/>
                <w:b w:val="0"/>
                <w:color w:val="000000"/>
                <w:sz w:val="21"/>
              </w:rPr>
              <w:t>Soybean Admin（Vue3＋Vite6＋TS）</w:t>
            </w:r>
          </w:p>
        </w:tc>
        <w:tc>
          <w:tcPr>
            <w:tcW w:type="dxa" w:w="4195"/>
            <w:vAlign w:val="center"/>
            <w:cantSplit/>
          </w:tcPr>
          <w:p>
            <w:pPr>
              <w:spacing w:line="240" w:lineRule="auto"/>
              <w:ind w:firstLine="0"/>
              <w:jc w:val="left"/>
            </w:pPr>
            <w:r>
              <w:rPr>
                <w:rFonts w:ascii="Times New Roman" w:hAnsi="Times New Roman" w:eastAsia="宋体"/>
                <w:b w:val="0"/>
                <w:color w:val="000000"/>
                <w:sz w:val="21"/>
              </w:rPr>
              <w:t>路由、权限、布局、表格表单</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UI 组件库</w:t>
            </w:r>
          </w:p>
        </w:tc>
        <w:tc>
          <w:tcPr>
            <w:tcW w:type="dxa" w:w="2948"/>
            <w:vAlign w:val="center"/>
            <w:cantSplit/>
          </w:tcPr>
          <w:p>
            <w:pPr>
              <w:spacing w:line="240" w:lineRule="auto"/>
              <w:ind w:firstLine="0"/>
              <w:jc w:val="left"/>
            </w:pPr>
            <w:r>
              <w:rPr>
                <w:rFonts w:ascii="Times New Roman" w:hAnsi="Times New Roman" w:eastAsia="宋体"/>
                <w:b w:val="0"/>
                <w:color w:val="000000"/>
                <w:sz w:val="21"/>
              </w:rPr>
              <w:t>Naive UI / Element Plus</w:t>
            </w:r>
          </w:p>
        </w:tc>
        <w:tc>
          <w:tcPr>
            <w:tcW w:type="dxa" w:w="4195"/>
            <w:vAlign w:val="center"/>
            <w:cantSplit/>
          </w:tcPr>
          <w:p>
            <w:pPr>
              <w:spacing w:line="240" w:lineRule="auto"/>
              <w:ind w:firstLine="0"/>
              <w:jc w:val="left"/>
            </w:pPr>
            <w:r>
              <w:rPr>
                <w:rFonts w:ascii="Times New Roman" w:hAnsi="Times New Roman" w:eastAsia="宋体"/>
                <w:b w:val="0"/>
                <w:color w:val="000000"/>
                <w:sz w:val="21"/>
              </w:rPr>
              <w:t>基础交互组件</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流程可视化</w:t>
            </w:r>
          </w:p>
        </w:tc>
        <w:tc>
          <w:tcPr>
            <w:tcW w:type="dxa" w:w="2948"/>
            <w:vAlign w:val="center"/>
            <w:cantSplit/>
          </w:tcPr>
          <w:p>
            <w:pPr>
              <w:spacing w:line="240" w:lineRule="auto"/>
              <w:ind w:firstLine="0"/>
              <w:jc w:val="center"/>
            </w:pPr>
            <w:r>
              <w:rPr>
                <w:rFonts w:ascii="Times New Roman" w:hAnsi="Times New Roman" w:eastAsia="宋体"/>
                <w:b w:val="0"/>
                <w:color w:val="000000"/>
                <w:sz w:val="21"/>
              </w:rPr>
              <w:t>AntV X6</w:t>
            </w:r>
          </w:p>
        </w:tc>
        <w:tc>
          <w:tcPr>
            <w:tcW w:type="dxa" w:w="4195"/>
            <w:vAlign w:val="center"/>
            <w:cantSplit/>
          </w:tcPr>
          <w:p>
            <w:pPr>
              <w:spacing w:line="240" w:lineRule="auto"/>
              <w:ind w:firstLine="0"/>
              <w:jc w:val="left"/>
            </w:pPr>
            <w:r>
              <w:rPr>
                <w:rFonts w:ascii="Times New Roman" w:hAnsi="Times New Roman" w:eastAsia="宋体"/>
                <w:b w:val="0"/>
                <w:color w:val="000000"/>
                <w:sz w:val="21"/>
              </w:rPr>
              <w:t>全链路 DAG 状态图</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图表</w:t>
            </w:r>
          </w:p>
        </w:tc>
        <w:tc>
          <w:tcPr>
            <w:tcW w:type="dxa" w:w="2948"/>
            <w:vAlign w:val="center"/>
            <w:cantSplit/>
          </w:tcPr>
          <w:p>
            <w:pPr>
              <w:spacing w:line="240" w:lineRule="auto"/>
              <w:ind w:firstLine="0"/>
              <w:jc w:val="left"/>
            </w:pPr>
            <w:r>
              <w:rPr>
                <w:rFonts w:ascii="Times New Roman" w:hAnsi="Times New Roman" w:eastAsia="宋体"/>
                <w:b w:val="0"/>
                <w:color w:val="000000"/>
                <w:sz w:val="21"/>
              </w:rPr>
              <w:t>ECharts</w:t>
            </w:r>
          </w:p>
        </w:tc>
        <w:tc>
          <w:tcPr>
            <w:tcW w:type="dxa" w:w="4195"/>
            <w:vAlign w:val="center"/>
            <w:cantSplit/>
          </w:tcPr>
          <w:p>
            <w:pPr>
              <w:spacing w:line="240" w:lineRule="auto"/>
              <w:ind w:firstLine="0"/>
              <w:jc w:val="left"/>
            </w:pPr>
            <w:r>
              <w:rPr>
                <w:rFonts w:ascii="Times New Roman" w:hAnsi="Times New Roman" w:eastAsia="宋体"/>
                <w:b w:val="0"/>
                <w:color w:val="000000"/>
                <w:sz w:val="21"/>
              </w:rPr>
              <w:t>四维雷达、成长曲线</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视频时间轴</w:t>
            </w:r>
          </w:p>
        </w:tc>
        <w:tc>
          <w:tcPr>
            <w:tcW w:type="dxa" w:w="2948"/>
            <w:vAlign w:val="center"/>
            <w:cantSplit/>
          </w:tcPr>
          <w:p>
            <w:pPr>
              <w:spacing w:line="240" w:lineRule="auto"/>
              <w:ind w:firstLine="0"/>
              <w:jc w:val="left"/>
            </w:pPr>
            <w:r>
              <w:rPr>
                <w:rFonts w:ascii="Times New Roman" w:hAnsi="Times New Roman" w:eastAsia="宋体"/>
                <w:b w:val="0"/>
                <w:color w:val="000000"/>
                <w:sz w:val="21"/>
              </w:rPr>
              <w:t>video.js ＋ 自研标记</w:t>
            </w:r>
          </w:p>
        </w:tc>
        <w:tc>
          <w:tcPr>
            <w:tcW w:type="dxa" w:w="4195"/>
            <w:vAlign w:val="center"/>
            <w:cantSplit/>
          </w:tcPr>
          <w:p>
            <w:pPr>
              <w:spacing w:line="240" w:lineRule="auto"/>
              <w:ind w:firstLine="0"/>
              <w:jc w:val="left"/>
            </w:pPr>
            <w:r>
              <w:rPr>
                <w:rFonts w:ascii="Times New Roman" w:hAnsi="Times New Roman" w:eastAsia="宋体"/>
                <w:b w:val="0"/>
                <w:color w:val="000000"/>
                <w:sz w:val="21"/>
              </w:rPr>
              <w:t>证据时间轴、点击跳转</w:t>
            </w:r>
          </w:p>
        </w:tc>
      </w:tr>
      <w:tr>
        <w:tc>
          <w:tcPr>
            <w:tcW w:type="dxa" w:w="1474"/>
            <w:vAlign w:val="center"/>
            <w:cantSplit/>
          </w:tcPr>
          <w:p>
            <w:pPr>
              <w:spacing w:line="240" w:lineRule="auto"/>
              <w:ind w:firstLine="0"/>
              <w:jc w:val="center"/>
            </w:pPr>
            <w:r>
              <w:rPr>
                <w:rFonts w:ascii="Times New Roman" w:hAnsi="Times New Roman" w:eastAsia="宋体"/>
                <w:b w:val="0"/>
                <w:color w:val="000000"/>
                <w:sz w:val="21"/>
              </w:rPr>
              <w:t>对话</w:t>
            </w:r>
          </w:p>
        </w:tc>
        <w:tc>
          <w:tcPr>
            <w:tcW w:type="dxa" w:w="2948"/>
            <w:vAlign w:val="center"/>
            <w:cantSplit/>
          </w:tcPr>
          <w:p>
            <w:pPr>
              <w:spacing w:line="240" w:lineRule="auto"/>
              <w:ind w:firstLine="0"/>
              <w:jc w:val="left"/>
            </w:pPr>
            <w:r>
              <w:rPr>
                <w:rFonts w:ascii="Times New Roman" w:hAnsi="Times New Roman" w:eastAsia="宋体"/>
                <w:b w:val="0"/>
                <w:color w:val="000000"/>
                <w:sz w:val="21"/>
              </w:rPr>
              <w:t>SSE/WebSocket（可参考 @kernelift/ai-chat）</w:t>
            </w:r>
          </w:p>
        </w:tc>
        <w:tc>
          <w:tcPr>
            <w:tcW w:type="dxa" w:w="4195"/>
            <w:vAlign w:val="center"/>
            <w:cantSplit/>
          </w:tcPr>
          <w:p>
            <w:pPr>
              <w:spacing w:line="240" w:lineRule="auto"/>
              <w:ind w:firstLine="0"/>
              <w:jc w:val="left"/>
            </w:pPr>
            <w:r>
              <w:rPr>
                <w:rFonts w:ascii="Times New Roman" w:hAnsi="Times New Roman" w:eastAsia="宋体"/>
                <w:b w:val="0"/>
                <w:color w:val="000000"/>
                <w:sz w:val="21"/>
              </w:rPr>
              <w:t>流式 AI 对话</w:t>
            </w:r>
          </w:p>
        </w:tc>
      </w:tr>
    </w:tbl>
    <w:p>
      <w:pPr>
        <w:pStyle w:val="Heading2"/>
        <w:spacing w:before="220" w:after="100" w:line="240" w:lineRule="auto"/>
        <w:ind w:firstLine="0"/>
      </w:pPr>
      <w:r>
        <w:rPr>
          <w:rFonts w:ascii="Times New Roman" w:hAnsi="Times New Roman" w:eastAsia="黑体"/>
          <w:b/>
          <w:color w:val="000000"/>
          <w:sz w:val="28"/>
        </w:rPr>
        <w:t>11.2　接口契约草案</w:t>
      </w:r>
    </w:p>
    <w:p>
      <w:pPr>
        <w:spacing w:before="0" w:after="0" w:line="360" w:lineRule="auto"/>
        <w:ind w:firstLine="480"/>
        <w:jc w:val="both"/>
      </w:pPr>
      <w:r>
        <w:rPr>
          <w:rFonts w:ascii="Times New Roman" w:hAnsi="Times New Roman" w:eastAsia="宋体"/>
          <w:b w:val="0"/>
          <w:color w:val="000000"/>
          <w:sz w:val="24"/>
        </w:rPr>
        <w:t>评价报告接口返回字段与 Agent JSON 对齐：meta（user_id、try_id、subject、lesson、lesson_type、duration_seconds）、disclaimer、scores（D1–D4 维度与二级项、overall_percent）、timeline_feedback（timestamp_start/end、segment、issue、suggestion）、weaknesses、progress_compare（trend、dimension_deltas、still_weak）、training_plan（next_focus、specific_tasks、reference_case）。全链路状态字段 review_status 枚举：uploaded、ai_reviewing、ai_reviewed、expert_reviewed、knowledge_recycled。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