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B4F72"/>
          <w:sz w:val="40"/>
          <w:szCs w:val="40"/>
        </w:rPr>
        <w:t xml:space="preserve">HOSTING SERVICES ADDENDUM</w:t>
      </w:r>
    </w:p>
    <w:p>
      <w:pPr>
        <w:spacing w:after="100"/>
        <w:jc w:val="center"/>
      </w:pPr>
      <w:r>
        <w:rPr>
          <w:color w:val="555555"/>
          <w:sz w:val="26"/>
          <w:szCs w:val="26"/>
        </w:rPr>
        <w:t xml:space="preserve">to the Software Development Statement of Work</w:t>
      </w:r>
    </w:p>
    <w:p>
      <w:pPr>
        <w:spacing w:after="100"/>
        <w:jc w:val="center"/>
      </w:pPr>
      <w:r>
        <w:rPr>
          <w:color w:val="555555"/>
          <w:sz w:val="22"/>
          <w:szCs w:val="22"/>
        </w:rPr>
        <w:t xml:space="preserve">between Traverse and Lackey Clinic (Olivet Medical Ministries)</w:t>
      </w:r>
    </w:p>
    <w:p>
      <w:pPr>
        <w:spacing w:after="600"/>
        <w:jc w:val="center"/>
      </w:pPr>
      <w:r>
        <w:rPr>
          <w:color w:val="333333"/>
          <w:sz w:val="22"/>
          <w:szCs w:val="22"/>
        </w:rPr>
        <w:t xml:space="preserve">Effective Date: _________________, 2026</w:t>
      </w:r>
    </w:p>
    <w:p>
      <w:pPr>
        <w:pStyle w:val="Heading1"/>
      </w:pPr>
      <w:r>
        <w:t xml:space="preserve">1. Purpose</w:t>
      </w:r>
    </w:p>
    <w:p>
      <w:pPr>
        <w:spacing w:after="120"/>
      </w:pPr>
      <w:r>
        <w:rPr>
          <w:sz w:val="22"/>
          <w:szCs w:val="22"/>
        </w:rPr>
        <w:t xml:space="preserve">This Addendum modifies the Software Development Statement of Work (the “SOW”) executed between Traverse (“Provider”) and Lackey Clinic, operating as Olivet Medical Ministries (“Client”). Under this Addendum, Provider will host and operate the Lackey Care Navigation application (“the Software”) on Provider-managed infrastructure, rather than transferring deployment assets for Client self-hosting.</w:t>
      </w:r>
    </w:p>
    <w:p>
      <w:pPr>
        <w:spacing w:after="120"/>
      </w:pPr>
      <w:r>
        <w:rPr>
          <w:sz w:val="22"/>
          <w:szCs w:val="22"/>
        </w:rPr>
        <w:t xml:space="preserve">The license grant in SOW Section 4 remains unchanged. Client retains a perpetual, non-exclusive license to the Software. This Addendum governs the hosting, operation, and support services Provider will deliver.</w:t>
      </w:r>
    </w:p>
    <w:p>
      <w:pPr>
        <w:pStyle w:val="Heading1"/>
        <w:pageBreakBefore/>
      </w:pPr>
      <w:r>
        <w:t xml:space="preserve">2. Scope of Hosting Services</w:t>
      </w:r>
    </w:p>
    <w:p>
      <w:pPr>
        <w:spacing w:after="120"/>
      </w:pPr>
      <w:r>
        <w:rPr>
          <w:sz w:val="22"/>
          <w:szCs w:val="22"/>
        </w:rPr>
        <w:t xml:space="preserve">Provider shall host, operate, and maintain the Software at the URL agreed upon by the Parties (the “Service URL”), initially expected to be:</w:t>
      </w:r>
    </w:p>
    <w:p>
      <w:pPr>
        <w:spacing w:after="120"/>
        <w:rPr>
          <w:b/>
          <w:bCs/>
          <w:color w:val="1B4F72"/>
        </w:rPr>
      </w:pPr>
      <w:r>
        <w:rPr>
          <w:b/>
          <w:bCs/>
          <w:color w:val="1B4F72"/>
          <w:sz w:val="22"/>
          <w:szCs w:val="22"/>
        </w:rPr>
        <w:t xml:space="preserve">https://care.lackeyhealthcare.org</w:t>
      </w:r>
    </w:p>
    <w:p>
      <w:pPr>
        <w:spacing w:after="100"/>
      </w:pPr>
    </w:p>
    <w:p>
      <w:pPr>
        <w:spacing w:after="120"/>
      </w:pPr>
      <w:r>
        <w:rPr>
          <w:sz w:val="22"/>
          <w:szCs w:val="22"/>
        </w:rPr>
        <w:t xml:space="preserve">The hosting services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Service</w:t>
            </w:r>
          </w:p>
        </w:tc>
        <w:tc>
          <w:tcPr>
            <w:tcW w:type="dxa" w:w="456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Description</w:t>
            </w:r>
          </w:p>
        </w:tc>
      </w:tr>
      <w:tr>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Application hosting</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Next.js application deployed on a managed platform (currently Vercel) with auto-scaling and global CDN</w:t>
            </w:r>
          </w:p>
        </w:tc>
      </w:tr>
      <w:tr>
        <w:tc>
          <w:tcPr>
            <w:tcW w:type="dxa" w:w="48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Database hosting</w:t>
            </w:r>
          </w:p>
        </w:tc>
        <w:tc>
          <w:tcPr>
            <w:tcW w:type="dxa" w:w="45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PostgreSQL database on a managed service (currently Neon) with automated daily backups and point-in-time recovery</w:t>
            </w:r>
          </w:p>
        </w:tc>
      </w:tr>
      <w:tr>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SSL/TLS certificate</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Automatically provisioned and renewed HTTPS certificate for the Service URL</w:t>
            </w:r>
          </w:p>
        </w:tc>
      </w:tr>
      <w:tr>
        <w:tc>
          <w:tcPr>
            <w:tcW w:type="dxa" w:w="48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Deployment pipeline</w:t>
            </w:r>
          </w:p>
        </w:tc>
        <w:tc>
          <w:tcPr>
            <w:tcW w:type="dxa" w:w="45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Automated deployments from the source code repository upon Provider approval</w:t>
            </w:r>
          </w:p>
        </w:tc>
      </w:tr>
      <w:tr>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Environment management</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Secure management of all API keys, secrets, and configuration values</w:t>
            </w:r>
          </w:p>
        </w:tc>
      </w:tr>
      <w:tr>
        <w:tc>
          <w:tcPr>
            <w:tcW w:type="dxa" w:w="48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Uptime monitoring</w:t>
            </w:r>
          </w:p>
        </w:tc>
        <w:tc>
          <w:tcPr>
            <w:tcW w:type="dxa" w:w="45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Automated health check monitoring via the /api/health endpoint</w:t>
            </w:r>
          </w:p>
        </w:tc>
      </w:tr>
      <w:tr>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Security patching</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Timely application of security updates to dependencies and infrastructure</w:t>
            </w:r>
          </w:p>
        </w:tc>
      </w:tr>
      <w:tr>
        <w:tc>
          <w:tcPr>
            <w:tcW w:type="dxa" w:w="48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CMS admin access</w:t>
            </w:r>
          </w:p>
        </w:tc>
        <w:tc>
          <w:tcPr>
            <w:tcW w:type="dxa" w:w="45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Client staff access to the Payload CMS admin panel at /admin for content management</w:t>
            </w:r>
          </w:p>
        </w:tc>
      </w:tr>
      <w:tr>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Dashboard access</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Client leadership access to the executive analytics dashboard at /dashboard</w:t>
            </w:r>
          </w:p>
        </w:tc>
      </w:tr>
      <w:tr>
        <w:tc>
          <w:tcPr>
            <w:tcW w:type="dxa" w:w="48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Third-party integrations</w:t>
            </w:r>
          </w:p>
        </w:tc>
        <w:tc>
          <w:tcPr>
            <w:tcW w:type="dxa" w:w="45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Management of Foursquare Places API key and other third-party service credentials</w:t>
            </w:r>
          </w:p>
        </w:tc>
      </w:tr>
    </w:tbl>
    <w:p>
      <w:pPr>
        <w:pStyle w:val="Heading1"/>
        <w:pageBreakBefore/>
      </w:pPr>
      <w:r>
        <w:t xml:space="preserve">3. Modifications to SOW Phase 1 Deliverables</w:t>
      </w:r>
    </w:p>
    <w:p>
      <w:pPr>
        <w:spacing w:after="120"/>
      </w:pPr>
      <w:r>
        <w:rPr>
          <w:sz w:val="22"/>
          <w:szCs w:val="22"/>
        </w:rPr>
        <w:t xml:space="preserve">The following SOW Phase 1 items are modified by this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ID</w:t>
            </w:r>
          </w:p>
        </w:tc>
        <w:tc>
          <w:tcPr>
            <w:tcW w:type="dxa" w:w="360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Original Requirement</w:t>
            </w:r>
          </w:p>
        </w:tc>
        <w:tc>
          <w:tcPr>
            <w:tcW w:type="dxa" w:w="456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Modified Requirement</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A1.1</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Transfer source code repository to Client’s GitHub organization</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Provider retains the repository. Client receives read access for audit purposes upon written request.</w:t>
            </w:r>
          </w:p>
        </w:tc>
      </w:tr>
      <w:tr>
        <w:tc>
          <w:tcPr>
            <w:tcW w:type="dxa" w:w="12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A1.2</w:t>
            </w:r>
          </w:p>
        </w:tc>
        <w:tc>
          <w:tcPr>
            <w:tcW w:type="dxa" w:w="36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Deliver containerized deployment package</w:t>
            </w:r>
          </w:p>
        </w:tc>
        <w:tc>
          <w:tcPr>
            <w:tcW w:type="dxa" w:w="45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Docker deployment files remain in the repository for documentation and portability. Provider operates the production deployment.</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G1.1</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Source code transferred to Client’s org</w:t>
            </w:r>
          </w:p>
        </w:tc>
        <w:tc>
          <w:tcPr>
            <w:tcW w:type="dxa" w:w="4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Software accessible at the Service URL with the agreed uptime commitment.</w:t>
            </w:r>
          </w:p>
        </w:tc>
      </w:tr>
      <w:tr>
        <w:tc>
          <w:tcPr>
            <w:tcW w:type="dxa" w:w="12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G1.2</w:t>
            </w:r>
          </w:p>
        </w:tc>
        <w:tc>
          <w:tcPr>
            <w:tcW w:type="dxa" w:w="36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App runs via docker compose up on Client test machine</w:t>
            </w:r>
          </w:p>
        </w:tc>
        <w:tc>
          <w:tcPr>
            <w:tcW w:type="dxa" w:w="45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App runs at the Service URL. Client IT verifies accessibility and functionality via the acceptance checklist.</w:t>
            </w:r>
          </w:p>
        </w:tc>
      </w:tr>
    </w:tbl>
    <w:p>
      <w:pPr>
        <w:spacing w:after="100"/>
      </w:pPr>
    </w:p>
    <w:p>
      <w:pPr>
        <w:spacing w:after="120"/>
      </w:pPr>
      <w:r>
        <w:rPr>
          <w:sz w:val="22"/>
          <w:szCs w:val="22"/>
        </w:rPr>
        <w:t xml:space="preserve">All other SOW Phase 1 deliverables (D1.1–D1.6) and Phase 2–4 terms remain in full force and effect.</w:t>
      </w:r>
    </w:p>
    <w:p>
      <w:pPr>
        <w:pStyle w:val="Heading1"/>
        <w:pageBreakBefore/>
      </w:pPr>
      <w:r>
        <w:t xml:space="preserve">4. Data Ownership &amp; Portability</w:t>
      </w:r>
    </w:p>
    <w:p>
      <w:pPr>
        <w:pStyle w:val="ListParagraph"/>
        <w:numPr>
          <w:ilvl w:val="0"/>
          <w:numId w:val="2"/>
        </w:numPr>
        <w:spacing w:after="80"/>
      </w:pPr>
      <w:r>
        <w:rPr>
          <w:sz w:val="22"/>
          <w:szCs w:val="22"/>
        </w:rPr>
        <w:t xml:space="preserve">All data stored in the database (triage session analytics, care resource directory, triage content, admin user records) is owned by Client.</w:t>
      </w:r>
    </w:p>
    <w:p>
      <w:pPr>
        <w:pStyle w:val="ListParagraph"/>
        <w:numPr>
          <w:ilvl w:val="0"/>
          <w:numId w:val="2"/>
        </w:numPr>
        <w:spacing w:after="80"/>
      </w:pPr>
      <w:r>
        <w:rPr>
          <w:sz w:val="22"/>
          <w:szCs w:val="22"/>
        </w:rPr>
        <w:t xml:space="preserve">Provider has custodial access to the data solely for the purpose of operating the hosting services described herein.</w:t>
      </w:r>
    </w:p>
    <w:p>
      <w:pPr>
        <w:pStyle w:val="ListParagraph"/>
        <w:numPr>
          <w:ilvl w:val="0"/>
          <w:numId w:val="2"/>
        </w:numPr>
        <w:spacing w:after="80"/>
      </w:pPr>
      <w:r>
        <w:rPr>
          <w:sz w:val="22"/>
          <w:szCs w:val="22"/>
        </w:rPr>
        <w:t xml:space="preserve">Provider shall not use Client data for any purpose other than operating the Software, except as required by law.</w:t>
      </w:r>
    </w:p>
    <w:p>
      <w:pPr>
        <w:pStyle w:val="ListParagraph"/>
        <w:numPr>
          <w:ilvl w:val="0"/>
          <w:numId w:val="2"/>
        </w:numPr>
        <w:spacing w:after="80"/>
      </w:pPr>
      <w:r>
        <w:rPr>
          <w:sz w:val="22"/>
          <w:szCs w:val="22"/>
        </w:rPr>
        <w:t xml:space="preserve">Upon termination of this Addendum, Provider shall deliver to Client within thirty (30) calendar days:</w:t>
      </w:r>
    </w:p>
    <w:p>
      <w:pPr>
        <w:pStyle w:val="ListParagraph"/>
        <w:numPr>
          <w:ilvl w:val="0"/>
          <w:numId w:val="3"/>
        </w:numPr>
        <w:spacing w:after="60"/>
      </w:pPr>
      <w:r>
        <w:rPr>
          <w:sz w:val="22"/>
          <w:szCs w:val="22"/>
        </w:rPr>
        <w:t xml:space="preserve">A complete PostgreSQL database export (pg_dump format)</w:t>
      </w:r>
    </w:p>
    <w:p>
      <w:pPr>
        <w:pStyle w:val="ListParagraph"/>
        <w:numPr>
          <w:ilvl w:val="0"/>
          <w:numId w:val="3"/>
        </w:numPr>
        <w:spacing w:after="60"/>
      </w:pPr>
      <w:r>
        <w:rPr>
          <w:sz w:val="22"/>
          <w:szCs w:val="22"/>
        </w:rPr>
        <w:t xml:space="preserve">The full source code repository (as delivered under SOW D1.1)</w:t>
      </w:r>
    </w:p>
    <w:p>
      <w:pPr>
        <w:pStyle w:val="ListParagraph"/>
        <w:numPr>
          <w:ilvl w:val="0"/>
          <w:numId w:val="3"/>
        </w:numPr>
        <w:spacing w:after="60"/>
      </w:pPr>
      <w:r>
        <w:rPr>
          <w:sz w:val="22"/>
          <w:szCs w:val="22"/>
        </w:rPr>
        <w:t xml:space="preserve">The Docker deployment package (SOW D1.3) enabling Client self-hosting</w:t>
      </w:r>
    </w:p>
    <w:p>
      <w:pPr>
        <w:pStyle w:val="ListParagraph"/>
        <w:numPr>
          <w:ilvl w:val="0"/>
          <w:numId w:val="3"/>
        </w:numPr>
        <w:spacing w:after="60"/>
      </w:pPr>
      <w:r>
        <w:rPr>
          <w:sz w:val="22"/>
          <w:szCs w:val="22"/>
        </w:rPr>
        <w:t xml:space="preserve">All environment variable names and descriptions (SOW D1.4), excluding Provider-owned API keys</w:t>
      </w:r>
    </w:p>
    <w:p>
      <w:pPr>
        <w:pStyle w:val="Heading1"/>
        <w:pageBreakBefore/>
      </w:pPr>
      <w:r>
        <w:t xml:space="preserve">5. Service Level Commitments</w:t>
      </w:r>
    </w:p>
    <w:p>
      <w:pPr>
        <w:pStyle w:val="Heading2"/>
      </w:pPr>
      <w:r>
        <w:t xml:space="preserve">5.1 Uptime</w:t>
      </w:r>
    </w:p>
    <w:p>
      <w:pPr>
        <w:spacing w:after="120"/>
      </w:pPr>
      <w:r>
        <w:rPr>
          <w:sz w:val="22"/>
          <w:szCs w:val="22"/>
        </w:rPr>
        <w:t xml:space="preserve">Provider commits to 99.5% monthly uptime for the Service URL, measured from the /api/health endpoint. Scheduled maintenance windows communicated at least 48 hours in advance are excluded from the uptime calculation.</w:t>
      </w:r>
    </w:p>
    <w:p>
      <w:pPr>
        <w:pStyle w:val="Heading2"/>
      </w:pPr>
      <w:r>
        <w:t xml:space="preserve">5.2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Priority</w:t>
            </w:r>
          </w:p>
        </w:tc>
        <w:tc>
          <w:tcPr>
            <w:tcW w:type="dxa" w:w="320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Definition</w:t>
            </w:r>
          </w:p>
        </w:tc>
        <w:tc>
          <w:tcPr>
            <w:tcW w:type="dxa" w:w="376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Response Time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P1 — Critical</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Application is entirely down or a safety feature (911/988 routing) is broken</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4 business hours</w:t>
            </w:r>
          </w:p>
        </w:tc>
      </w:tr>
      <w:tr>
        <w:tc>
          <w:tcPr>
            <w:tcW w:type="dxa" w:w="24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P2 — High</w:t>
            </w:r>
          </w:p>
        </w:tc>
        <w:tc>
          <w:tcPr>
            <w:tcW w:type="dxa" w:w="32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A major feature is broken (triage flow, dashboard, admin panel)</w:t>
            </w:r>
          </w:p>
        </w:tc>
        <w:tc>
          <w:tcPr>
            <w:tcW w:type="dxa" w:w="37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1 business day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P3 — Medium</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Minor functionality issue or cosmetic defect</w:t>
            </w:r>
          </w:p>
        </w:tc>
        <w:tc>
          <w:tcPr>
            <w:tcW w:type="dxa" w:w="3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Next scheduled release</w:t>
            </w:r>
          </w:p>
        </w:tc>
      </w:tr>
      <w:tr>
        <w:tc>
          <w:tcPr>
            <w:tcW w:type="dxa" w:w="24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P4 — Low</w:t>
            </w:r>
          </w:p>
        </w:tc>
        <w:tc>
          <w:tcPr>
            <w:tcW w:type="dxa" w:w="32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Enhancement request or non-urgent improvement</w:t>
            </w:r>
          </w:p>
        </w:tc>
        <w:tc>
          <w:tcPr>
            <w:tcW w:type="dxa" w:w="37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Backlog (per SOW Phase 4)</w:t>
            </w:r>
          </w:p>
        </w:tc>
      </w:tr>
    </w:tbl>
    <w:p>
      <w:pPr>
        <w:pStyle w:val="Heading2"/>
      </w:pPr>
      <w:r>
        <w:t xml:space="preserve">5.3 Backups</w:t>
      </w:r>
    </w:p>
    <w:p>
      <w:pPr>
        <w:spacing w:after="120"/>
      </w:pPr>
      <w:r>
        <w:rPr>
          <w:sz w:val="22"/>
          <w:szCs w:val="22"/>
        </w:rPr>
        <w:t xml:space="preserve">Database backups are performed automatically by the managed database provider. Point-in-time recovery is available for the most recent 7 days. Provider will perform a manual backup before any major deployment.</w:t>
      </w:r>
    </w:p>
    <w:p>
      <w:pPr>
        <w:pStyle w:val="Heading1"/>
        <w:pageBreakBefore/>
      </w:pPr>
      <w:r>
        <w:t xml:space="preserve">6. Client Responsibilities</w:t>
      </w:r>
    </w:p>
    <w:p>
      <w:pPr>
        <w:pStyle w:val="ListParagraph"/>
        <w:numPr>
          <w:ilvl w:val="0"/>
          <w:numId w:val="4"/>
        </w:numPr>
        <w:spacing w:after="80"/>
      </w:pPr>
      <w:r>
        <w:rPr>
          <w:sz w:val="22"/>
          <w:szCs w:val="22"/>
        </w:rPr>
        <w:t xml:space="preserve">Provide and maintain DNS records pointing the agreed subdomain to Provider’s hosting infrastructure.</w:t>
      </w:r>
    </w:p>
    <w:p>
      <w:pPr>
        <w:pStyle w:val="ListParagraph"/>
        <w:numPr>
          <w:ilvl w:val="0"/>
          <w:numId w:val="4"/>
        </w:numPr>
        <w:spacing w:after="80"/>
      </w:pPr>
      <w:r>
        <w:rPr>
          <w:sz w:val="22"/>
          <w:szCs w:val="22"/>
        </w:rPr>
        <w:t xml:space="preserve">Designate authorized personnel for CMS admin access and dashboard access.</w:t>
      </w:r>
    </w:p>
    <w:p>
      <w:pPr>
        <w:pStyle w:val="ListParagraph"/>
        <w:numPr>
          <w:ilvl w:val="0"/>
          <w:numId w:val="4"/>
        </w:numPr>
        <w:spacing w:after="80"/>
      </w:pPr>
      <w:r>
        <w:rPr>
          <w:sz w:val="22"/>
          <w:szCs w:val="22"/>
        </w:rPr>
        <w:t xml:space="preserve">Review and approve clinical content changes (triage questions, urgency thresholds, routing rules) through the CMS admin panel.</w:t>
      </w:r>
    </w:p>
    <w:p>
      <w:pPr>
        <w:pStyle w:val="ListParagraph"/>
        <w:numPr>
          <w:ilvl w:val="0"/>
          <w:numId w:val="4"/>
        </w:numPr>
        <w:spacing w:after="80"/>
      </w:pPr>
      <w:r>
        <w:rPr>
          <w:sz w:val="22"/>
          <w:szCs w:val="22"/>
        </w:rPr>
        <w:t xml:space="preserve">Notify Provider of any changes to care resource information (hours, phone numbers, new providers) that require CMS updates.</w:t>
      </w:r>
    </w:p>
    <w:p>
      <w:pPr>
        <w:pStyle w:val="ListParagraph"/>
        <w:numPr>
          <w:ilvl w:val="0"/>
          <w:numId w:val="4"/>
        </w:numPr>
        <w:spacing w:after="80"/>
      </w:pPr>
      <w:r>
        <w:rPr>
          <w:sz w:val="22"/>
          <w:szCs w:val="22"/>
        </w:rPr>
        <w:t xml:space="preserve">Designate a point of contact for incident communication and change requests.</w:t>
      </w:r>
    </w:p>
    <w:p>
      <w:pPr>
        <w:pStyle w:val="Heading1"/>
        <w:pageBreakBefore/>
      </w:pPr>
      <w:r>
        <w:t xml:space="preserve">7. Hosting Fees</w:t>
      </w:r>
    </w:p>
    <w:p>
      <w:pPr>
        <w:spacing w:after="120"/>
      </w:pPr>
      <w:r>
        <w:rPr>
          <w:sz w:val="22"/>
          <w:szCs w:val="22"/>
        </w:rPr>
        <w:t xml:space="preserve">Client shall pay Provider a monthly hosting fee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Period</w:t>
            </w:r>
          </w:p>
        </w:tc>
        <w:tc>
          <w:tcPr>
            <w:tcW w:type="dxa" w:w="320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Monthly Fee</w:t>
            </w:r>
          </w:p>
        </w:tc>
        <w:tc>
          <w:tcPr>
            <w:tcW w:type="dxa" w:w="316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Includes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Pilot (Months 1–12)</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$________ /month</w:t>
            </w:r>
          </w:p>
        </w:tc>
        <w:tc>
          <w:tcPr>
            <w:tcW w:type="dxa" w:w="3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Hosting, maintenance, P1/P2 bug fixes, up to 5,000 sessions/month</w:t>
            </w:r>
          </w:p>
        </w:tc>
      </w:tr>
      <w:tr>
        <w:tc>
          <w:tcPr>
            <w:tcW w:type="dxa" w:w="30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Renewal (Year 2+)</w:t>
            </w:r>
          </w:p>
        </w:tc>
        <w:tc>
          <w:tcPr>
            <w:tcW w:type="dxa" w:w="320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$________ /month</w:t>
            </w:r>
          </w:p>
        </w:tc>
        <w:tc>
          <w:tcPr>
            <w:tcW w:type="dxa" w:w="316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Same as Pilot, adjusted annually by mutual agreement</w:t>
            </w:r>
          </w:p>
        </w:tc>
      </w:tr>
    </w:tbl>
    <w:p>
      <w:pPr>
        <w:spacing w:after="100"/>
      </w:pPr>
    </w:p>
    <w:p>
      <w:pPr>
        <w:spacing w:after="120"/>
      </w:pPr>
      <w:r>
        <w:rPr>
          <w:sz w:val="22"/>
          <w:szCs w:val="22"/>
        </w:rPr>
        <w:t xml:space="preserve">Fees are due on the first business day of each calendar month. Provider shall issue invoices at least 10 business days before the due date.</w:t>
      </w:r>
    </w:p>
    <w:p>
      <w:pPr>
        <w:spacing w:after="120"/>
      </w:pPr>
      <w:r>
        <w:rPr>
          <w:sz w:val="22"/>
          <w:szCs w:val="22"/>
        </w:rPr>
        <w:t xml:space="preserve">If monthly session volume exceeds the included tier, the Parties shall negotiate in good faith an adjusted fee within 30 days. Provider shall not throttle or degrade service during the negotiation period.</w:t>
      </w:r>
    </w:p>
    <w:p>
      <w:pPr>
        <w:pStyle w:val="Heading1"/>
        <w:pageBreakBefore/>
      </w:pPr>
      <w:r>
        <w:t xml:space="preserve">8. Term &amp; Termination</w:t>
      </w:r>
    </w:p>
    <w:p>
      <w:pPr>
        <w:pStyle w:val="ListParagraph"/>
        <w:numPr>
          <w:ilvl w:val="0"/>
          <w:numId w:val="5"/>
        </w:numPr>
        <w:spacing w:after="80"/>
      </w:pPr>
      <w:r>
        <w:rPr>
          <w:sz w:val="22"/>
          <w:szCs w:val="22"/>
        </w:rPr>
        <w:t xml:space="preserve">This Addendum is effective as of the date first written above and continues for an initial term of twelve (12) months.</w:t>
      </w:r>
    </w:p>
    <w:p>
      <w:pPr>
        <w:pStyle w:val="ListParagraph"/>
        <w:numPr>
          <w:ilvl w:val="0"/>
          <w:numId w:val="5"/>
        </w:numPr>
        <w:spacing w:after="80"/>
      </w:pPr>
      <w:r>
        <w:rPr>
          <w:sz w:val="22"/>
          <w:szCs w:val="22"/>
        </w:rPr>
        <w:t xml:space="preserve">After the initial term, this Addendum automatically renews for successive twelve-month periods unless either Party provides written notice of non-renewal at least sixty (60) days before the end of the then-current term.</w:t>
      </w:r>
    </w:p>
    <w:p>
      <w:pPr>
        <w:pStyle w:val="ListParagraph"/>
        <w:numPr>
          <w:ilvl w:val="0"/>
          <w:numId w:val="5"/>
        </w:numPr>
        <w:spacing w:after="80"/>
      </w:pPr>
      <w:r>
        <w:rPr>
          <w:sz w:val="22"/>
          <w:szCs w:val="22"/>
        </w:rPr>
        <w:t xml:space="preserve">Either Party may terminate this Addendum for cause upon thirty (30) days’ written notice if the other Party materially breaches any obligation and fails to cure within the notice period.</w:t>
      </w:r>
    </w:p>
    <w:p>
      <w:pPr>
        <w:pStyle w:val="ListParagraph"/>
        <w:numPr>
          <w:ilvl w:val="0"/>
          <w:numId w:val="5"/>
        </w:numPr>
        <w:spacing w:after="80"/>
      </w:pPr>
      <w:r>
        <w:rPr>
          <w:sz w:val="22"/>
          <w:szCs w:val="22"/>
        </w:rPr>
        <w:t xml:space="preserve">Upon termination for any reason, Provider shall deliver the data portability package described in Section 4 within thirty (30) calendar days.</w:t>
      </w:r>
    </w:p>
    <w:p>
      <w:pPr>
        <w:pStyle w:val="ListParagraph"/>
        <w:numPr>
          <w:ilvl w:val="0"/>
          <w:numId w:val="5"/>
        </w:numPr>
        <w:spacing w:after="80"/>
      </w:pPr>
      <w:r>
        <w:rPr>
          <w:sz w:val="22"/>
          <w:szCs w:val="22"/>
        </w:rPr>
        <w:t xml:space="preserve">The license grant in SOW Section 4 survives termination of this Addendum.</w:t>
      </w:r>
    </w:p>
    <w:p>
      <w:pPr>
        <w:pStyle w:val="Heading1"/>
        <w:pageBreakBefore/>
      </w:pPr>
      <w:r>
        <w:t xml:space="preserve">9. Security &amp; Compliance</w:t>
      </w:r>
    </w:p>
    <w:p>
      <w:pPr>
        <w:pStyle w:val="ListParagraph"/>
        <w:numPr>
          <w:ilvl w:val="0"/>
          <w:numId w:val="6"/>
        </w:numPr>
        <w:spacing w:after="60"/>
      </w:pPr>
      <w:r>
        <w:rPr>
          <w:sz w:val="22"/>
          <w:szCs w:val="22"/>
        </w:rPr>
        <w:t xml:space="preserve">The Software collects zero personally identifiable information (PII). Session analytics are anonymous by design.</w:t>
      </w:r>
    </w:p>
    <w:p>
      <w:pPr>
        <w:pStyle w:val="ListParagraph"/>
        <w:numPr>
          <w:ilvl w:val="0"/>
          <w:numId w:val="6"/>
        </w:numPr>
        <w:spacing w:after="60"/>
      </w:pPr>
      <w:r>
        <w:rPr>
          <w:sz w:val="22"/>
          <w:szCs w:val="22"/>
        </w:rPr>
        <w:t xml:space="preserve">All data in transit is encrypted via TLS 1.2+. Data at rest is encrypted by the managed database provider.</w:t>
      </w:r>
    </w:p>
    <w:p>
      <w:pPr>
        <w:pStyle w:val="ListParagraph"/>
        <w:numPr>
          <w:ilvl w:val="0"/>
          <w:numId w:val="6"/>
        </w:numPr>
        <w:spacing w:after="60"/>
      </w:pPr>
      <w:r>
        <w:rPr>
          <w:sz w:val="22"/>
          <w:szCs w:val="22"/>
        </w:rPr>
        <w:t xml:space="preserve">Provider shall promptly notify Client of any security incident affecting the Software or its data.</w:t>
      </w:r>
    </w:p>
    <w:p>
      <w:pPr>
        <w:pStyle w:val="ListParagraph"/>
        <w:numPr>
          <w:ilvl w:val="0"/>
          <w:numId w:val="6"/>
        </w:numPr>
        <w:spacing w:after="60"/>
      </w:pPr>
      <w:r>
        <w:rPr>
          <w:sz w:val="22"/>
          <w:szCs w:val="22"/>
        </w:rPr>
        <w:t xml:space="preserve">The application has undergone three rounds of adversarial security review. All critical and high-priority findings have been resolved.</w:t>
      </w:r>
    </w:p>
    <w:p>
      <w:pPr>
        <w:pStyle w:val="ListParagraph"/>
        <w:numPr>
          <w:ilvl w:val="0"/>
          <w:numId w:val="6"/>
        </w:numPr>
        <w:spacing w:after="60"/>
      </w:pPr>
      <w:r>
        <w:rPr>
          <w:sz w:val="22"/>
          <w:szCs w:val="22"/>
        </w:rPr>
        <w:t xml:space="preserve">If the Software’s scope expands to include PII (e.g., SMS follow-up, EMR integration), the Parties shall execute a Business Associate Agreement (BAA) before implementation.</w:t>
      </w:r>
    </w:p>
    <w:p>
      <w:pPr>
        <w:pStyle w:val="Heading1"/>
        <w:pageBreakBefore/>
      </w:pPr>
      <w:r>
        <w:t xml:space="preserve">10. General Provisions</w:t>
      </w:r>
    </w:p>
    <w:p>
      <w:pPr>
        <w:spacing w:after="120"/>
      </w:pPr>
      <w:r>
        <w:rPr>
          <w:sz w:val="22"/>
          <w:szCs w:val="22"/>
        </w:rPr>
        <w:t xml:space="preserve">This Addendum is incorporated into and governed by the terms of the SOW. In the event of a conflict between this Addendum and the SOW, this Addendum shall control with respect to hosting services. All other terms of the SOW remain in full force and effect.</w:t>
      </w:r>
    </w:p>
    <w:p>
      <w:pPr>
        <w:spacing w:after="200"/>
      </w:pPr>
    </w:p>
    <w:p>
      <w:pPr>
        <w:spacing w:after="120"/>
      </w:pPr>
      <w:r>
        <w:rPr>
          <w:sz w:val="22"/>
          <w:szCs w:val="22"/>
        </w:rPr>
        <w:t xml:space="preserve">IN WITNESS WHEREOF, the Parties have executed this Addendum as of the date first written above.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TRAVERSE</w:t>
            </w:r>
          </w:p>
        </w:tc>
        <w:tc>
          <w:tcPr>
            <w:tcW w:type="dxa" w:w="4680"/>
            <w:tcBorders>
              <w:top w:val="single" w:color="CBD5E1" w:sz="4"/>
              <w:left w:val="single" w:color="CBD5E1" w:sz="4"/>
              <w:bottom w:val="single" w:color="CBD5E1" w:sz="4"/>
              <w:right w:val="single" w:color="CBD5E1" w:sz="4"/>
            </w:tcBorders>
            <w:shd w:fill="1B4F72" w:val="clear"/>
            <w:tcMar>
              <w:top w:type="dxa" w:w="100"/>
              <w:left w:type="dxa" w:w="140"/>
              <w:bottom w:type="dxa" w:w="100"/>
              <w:right w:type="dxa" w:w="140"/>
            </w:tcMar>
          </w:tcPr>
          <w:p>
            <w:r>
              <w:rPr>
                <w:b/>
                <w:bCs/>
                <w:color w:val="FFFFFF"/>
                <w:sz w:val="20"/>
                <w:szCs w:val="20"/>
              </w:rPr>
              <w:t xml:space="preserve">LACKEY CLINIC (Olivet Medical Ministries)</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
            </w:r>
          </w:p>
        </w:tc>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
            </w:r>
          </w:p>
        </w:tc>
      </w:tr>
      <w:tr>
        <w:tc>
          <w:tcPr>
            <w:tcW w:type="dxa" w:w="468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Signature: _________________________</w:t>
            </w:r>
          </w:p>
        </w:tc>
        <w:tc>
          <w:tcPr>
            <w:tcW w:type="dxa" w:w="468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Signature: _________________________</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Name: _________________________</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Name: _________________________</w:t>
            </w:r>
          </w:p>
        </w:tc>
      </w:tr>
      <w:tr>
        <w:tc>
          <w:tcPr>
            <w:tcW w:type="dxa" w:w="468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Title: _________________________</w:t>
            </w:r>
          </w:p>
        </w:tc>
        <w:tc>
          <w:tcPr>
            <w:tcW w:type="dxa" w:w="4680"/>
            <w:tcBorders>
              <w:top w:val="single" w:color="CBD5E1" w:sz="4"/>
              <w:left w:val="single" w:color="CBD5E1" w:sz="4"/>
              <w:bottom w:val="single" w:color="CBD5E1" w:sz="4"/>
              <w:right w:val="single" w:color="CBD5E1" w:sz="4"/>
            </w:tcBorders>
            <w:shd w:fill="F5F5F4" w:val="clear"/>
            <w:tcMar>
              <w:top w:type="dxa" w:w="100"/>
              <w:left w:type="dxa" w:w="140"/>
              <w:bottom w:type="dxa" w:w="100"/>
              <w:right w:type="dxa" w:w="140"/>
            </w:tcMar>
          </w:tcPr>
          <w:p>
            <w:r>
              <w:rPr>
                <w:sz w:val="20"/>
                <w:szCs w:val="20"/>
              </w:rPr>
              <w:t xml:space="preserve">Title: _________________________</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Date: _________________________</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20"/>
                <w:szCs w:val="20"/>
              </w:rPr>
              <w:t xml:space="preserve">Date: 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tabs>
        <w:tab w:val="right" w:pos="9026"/>
      </w:tabs>
    </w:pPr>
    <w:r>
      <w:rPr>
        <w:rFonts w:ascii="Calibri" w:cs="Calibri" w:eastAsia="Calibri" w:hAnsi="Calibri"/>
        <w:color w:val="999999"/>
        <w:sz w:val="16"/>
        <w:szCs w:val="16"/>
      </w:rPr>
      <w:t xml:space="preserve">Traverse / Lackey Clinic</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Calibri" w:cs="Calibri" w:eastAsia="Calibri" w:hAnsi="Calibri"/>
        <w:color w:val="999999"/>
        <w:sz w:val="16"/>
        <w:szCs w:val="16"/>
      </w:rPr>
      <w:t xml:space="preserve">CONFIDENTIAL</w:t>
    </w:r>
    <w:r>
      <w:rPr>
        <w:rFonts w:ascii="Calibri" w:cs="Calibri" w:eastAsia="Calibri" w:hAnsi="Calibri"/>
        <w:color w:val="999999"/>
        <w:sz w:val="16"/>
        <w:szCs w:val="16"/>
      </w:rPr>
      <w:t xml:space="preserve">	Hosting Services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2026-04-17T16:10:07.808Z</dcterms:created>
  <dcterms:modified xsi:type="dcterms:W3CDTF">2026-04-17T16:10:07.808Z</dcterms:modified>
</cp:coreProperties>
</file>

<file path=docProps/custom.xml><?xml version="1.0" encoding="utf-8"?>
<Properties xmlns="http://schemas.openxmlformats.org/officeDocument/2006/custom-properties" xmlns:vt="http://schemas.openxmlformats.org/officeDocument/2006/docPropsVTypes"/>
</file>