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Times New Roman" w:cs="Times New Roman" w:eastAsia="Times New Roman" w:hAnsi="Times New Roman"/>
          <w:b/>
          <w:bCs/>
          <w:sz w:val="32"/>
          <w:szCs w:val="32"/>
        </w:rPr>
        <w:t xml:space="preserve">Adapting Geospatial Foundation Models for Urban Socioeconomic Prediction:</w:t>
      </w:r>
    </w:p>
    <w:p>
      <w:pPr>
        <w:spacing w:before="0" w:after="160"/>
        <w:jc w:val="center"/>
      </w:pPr>
      <w:r>
        <w:rPr>
          <w:rFonts w:ascii="Times New Roman" w:cs="Times New Roman" w:eastAsia="Times New Roman" w:hAnsi="Times New Roman"/>
          <w:b/>
          <w:bCs/>
          <w:sz w:val="32"/>
          <w:szCs w:val="32"/>
        </w:rPr>
        <w:t xml:space="preserve">A Paired Multimodal Evaluation on CityLens</w:t>
      </w:r>
    </w:p>
    <w:p>
      <w:pPr>
        <w:spacing w:before="0" w:after="60"/>
        <w:jc w:val="center"/>
      </w:pPr>
      <w:r>
        <w:rPr>
          <w:rFonts w:ascii="Times New Roman" w:cs="Times New Roman" w:eastAsia="Times New Roman" w:hAnsi="Times New Roman"/>
          <w:i/>
          <w:iCs/>
          <w:sz w:val="20"/>
          <w:szCs w:val="20"/>
        </w:rPr>
        <w:t xml:space="preserve">Anonymous Authors — Under Review</w:t>
      </w:r>
    </w:p>
    <w:p>
      <w:pPr>
        <w:spacing w:before="0" w:after="200"/>
        <w:jc w:val="center"/>
      </w:pPr>
      <w:r>
        <w:rPr>
          <w:rFonts w:ascii="Times New Roman" w:cs="Times New Roman" w:eastAsia="Times New Roman" w:hAnsi="Times New Roman"/>
          <w:i/>
          <w:iCs/>
          <w:color w:val="555555"/>
          <w:sz w:val="18"/>
          <w:szCs w:val="18"/>
        </w:rPr>
        <w:t xml:space="preserve">IEEE Conference on Computer Vision and Pattern Recognition (CVPR-style)</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497D" w:sz="4"/>
              <w:left w:val="single" w:color="1F497D" w:sz="4"/>
              <w:bottom w:val="single" w:color="1F497D" w:sz="4"/>
              <w:right w:val="single" w:color="1F497D" w:sz="4"/>
            </w:tcBorders>
            <w:shd w:fill="EEF3FB" w:val="clear"/>
            <w:tcMar>
              <w:top w:type="dxa" w:w="120"/>
              <w:left w:type="dxa" w:w="200"/>
              <w:bottom w:type="dxa" w:w="120"/>
              <w:right w:type="dxa" w:w="200"/>
            </w:tcMar>
          </w:tcPr>
          <w:p>
            <w:pPr>
              <w:spacing w:before="0" w:after="80"/>
              <w:jc w:val="center"/>
            </w:pPr>
            <w:r>
              <w:rPr>
                <w:rFonts w:ascii="Times New Roman" w:cs="Times New Roman" w:eastAsia="Times New Roman" w:hAnsi="Times New Roman"/>
                <w:b/>
                <w:bCs/>
                <w:sz w:val="20"/>
                <w:szCs w:val="20"/>
              </w:rPr>
              <w:t xml:space="preserve">Abstract</w:t>
            </w:r>
          </w:p>
          <w:p>
            <w:pPr>
              <w:spacing w:before="0" w:after="0" w:line="240"/>
              <w:jc w:val="both"/>
            </w:pPr>
            <w:r>
              <w:rPr>
                <w:rFonts w:ascii="Times New Roman" w:cs="Times New Roman" w:eastAsia="Times New Roman" w:hAnsi="Times New Roman"/>
                <w:sz w:val="20"/>
                <w:szCs w:val="20"/>
              </w:rPr>
              <w:t xml:space="preserve">Predicting neighbourhood-scale socioeconomic and urban indicators from remote sensing is frequently studied with inconsistent evaluation protocols—different train/validation splits across modalities, single-seed reporting, and weak baselines—making it difficult to determine whether performance gains stem from model quality or evaluation variance. We present a paired, modality-aligned evaluation of geospatial foundation models and strong CNN/ViT baselines on CityLens global benchmarks, combining RGB-to-multispectral adaptation for Prithvi-EO-2.0 with parameter-efficient fine-tuning (LoRA). For each task and random seed, we fix a shared validation cohort on the street-available subset so that satellite-only, street-only, and fusion models are scored on identical held-out region IDs.</w:t>
            </w:r>
          </w:p>
          <w:p>
            <w:pPr>
              <w:spacing w:before="100" w:after="0" w:line="240"/>
              <w:jc w:val="both"/>
            </w:pPr>
            <w:r>
              <w:rPr>
                <w:rFonts w:ascii="Times New Roman" w:cs="Times New Roman" w:eastAsia="Times New Roman" w:hAnsi="Times New Roman"/>
                <w:sz w:val="20"/>
                <w:szCs w:val="20"/>
              </w:rPr>
              <w:t xml:space="preserve">Our seed-42 full-grid snapshot shows that prithvi_rgb_lora leads all sane satellite baselines on all four tasks (GDP, health access, building height, population), while ResNet-50 satellite catastrophically fails on GDP (R² ≈ −4.0). In the paired shared-split two-seed analysis (seeds 42 and 43): build_height fusion (Prithvi + DINOv2 late) achieves R² = 0.8495 ± 0.0324, ahead of satellite (0.8114 ± 0.0829) and street (0.3423 ± 0.1713); acc2health street outperforms satellite on average (R² = 0.3403 ± 0.3997 vs. 0.0423 ± 0.0184); GDP remains unstable across seeds (satellite 0.1917 ± 0.1948; street 0.1193 ± 0.4973). We provide a transparent evaluation protocol—shared splits, multi-seed reporting, and structured failure documentation—for benchmarking Earth-observation foundation models and generic vision encoders on spatial regression.</w:t>
            </w:r>
          </w:p>
          <w:p>
            <w:pPr>
              <w:spacing w:before="100" w:after="0"/>
              <w:jc w:val="both"/>
            </w:pPr>
            <w:r>
              <w:rPr>
                <w:rFonts w:ascii="Times New Roman" w:cs="Times New Roman" w:eastAsia="Times New Roman" w:hAnsi="Times New Roman"/>
                <w:b/>
                <w:bCs/>
                <w:i/>
                <w:iCs/>
                <w:sz w:val="18"/>
                <w:szCs w:val="18"/>
              </w:rPr>
              <w:t xml:space="preserve">Keywords: </w:t>
            </w:r>
            <w:r>
              <w:rPr>
                <w:rFonts w:ascii="Times New Roman" w:cs="Times New Roman" w:eastAsia="Times New Roman" w:hAnsi="Times New Roman"/>
                <w:i/>
                <w:iCs/>
                <w:sz w:val="18"/>
                <w:szCs w:val="18"/>
              </w:rPr>
              <w:t xml:space="preserve">geospatial foundation models, Prithvi-EO, CityLens, multimodal fusion, LoRA, urban regression, paired evaluation</w:t>
            </w:r>
          </w:p>
        </w:tc>
      </w:tr>
    </w:tbl>
    <w:p>
      <w:pPr>
        <w:spacing w:before="0" w:after="120"/>
      </w:pPr>
      <w:r>
        <w:t xml:space="preserve"/>
      </w:r>
    </w:p>
    <w:p>
      <w:pPr>
        <w:spacing w:before="200" w:after="100"/>
        <w:jc w:val="center"/>
      </w:pPr>
      <w:r>
        <w:rPr>
          <w:rFonts w:ascii="Times New Roman" w:cs="Times New Roman" w:eastAsia="Times New Roman" w:hAnsi="Times New Roman"/>
          <w:b/>
          <w:bCs/>
          <w:sz w:val="20"/>
          <w:szCs w:val="20"/>
        </w:rPr>
        <w:t xml:space="preserve">I. INTRODUCTION</w:t>
      </w:r>
    </w:p>
    <w:p>
      <w:pPr>
        <w:spacing w:before="0" w:after="100" w:line="240"/>
        <w:jc w:val="both"/>
      </w:pPr>
      <w:r>
        <w:rPr>
          <w:rFonts w:ascii="Times New Roman" w:cs="Times New Roman" w:eastAsia="Times New Roman" w:hAnsi="Times New Roman"/>
          <w:b w:val="false"/>
          <w:bCs w:val="false"/>
          <w:i w:val="false"/>
          <w:iCs w:val="false"/>
          <w:color w:val="000000"/>
          <w:sz w:val="20"/>
          <w:szCs w:val="20"/>
        </w:rPr>
        <w:t xml:space="preserve">Cities generate vast quantities of geospatial and street-level imagery. Policymakers and researchers increasingly seek scalable measurement of wealth, health access, building morphology, and population density—outcomes that are expensive or slow to measure via traditional surveys. Remote sensing and street-view machine learning promise wall-to-wall coverage where surveys are sparse, but generalisation and fair comparison across methods remain open problems.</w:t>
      </w:r>
    </w:p>
    <w:p>
      <w:pPr>
        <w:spacing w:before="0" w:after="100" w:line="240"/>
        <w:jc w:val="both"/>
      </w:pPr>
      <w:r>
        <w:rPr>
          <w:rFonts w:ascii="Times New Roman" w:cs="Times New Roman" w:eastAsia="Times New Roman" w:hAnsi="Times New Roman"/>
          <w:b w:val="false"/>
          <w:bCs w:val="false"/>
          <w:i w:val="false"/>
          <w:iCs w:val="false"/>
          <w:color w:val="000000"/>
          <w:sz w:val="20"/>
          <w:szCs w:val="20"/>
        </w:rPr>
        <w:t xml:space="preserve">Earth observation (EO) foundation models such as IBM-NASA Prithvi-EO-2.0 leverage large-scale multispectral pretraining on harmonised Landsat/Sentinel-style data. In parallel, general vision transformers—DINOv2 and CLIP—provide strong features for natural images without domain-specific inductive bias. However, regression on joint satellite and street-view benchmarks is frequently reported with modality-specific splits or single random seeds, inflating apparent differences and making reproducible comparison difficult.</w:t>
      </w:r>
    </w:p>
    <w:p>
      <w:pPr>
        <w:spacing w:before="140" w:after="60"/>
        <w:jc w:val="left"/>
      </w:pPr>
      <w:r>
        <w:rPr>
          <w:rFonts w:ascii="Times New Roman" w:cs="Times New Roman" w:eastAsia="Times New Roman" w:hAnsi="Times New Roman"/>
          <w:b/>
          <w:bCs/>
          <w:i/>
          <w:iCs/>
          <w:sz w:val="20"/>
          <w:szCs w:val="20"/>
        </w:rPr>
        <w:t xml:space="preserve">A. The Core Gap</w:t>
      </w:r>
    </w:p>
    <w:p>
      <w:pPr>
        <w:spacing w:before="0" w:after="100" w:line="240"/>
        <w:jc w:val="both"/>
      </w:pPr>
      <w:r>
        <w:rPr>
          <w:rFonts w:ascii="Times New Roman" w:cs="Times New Roman" w:eastAsia="Times New Roman" w:hAnsi="Times New Roman"/>
          <w:b w:val="false"/>
          <w:bCs w:val="false"/>
          <w:i w:val="false"/>
          <w:iCs w:val="false"/>
          <w:color w:val="000000"/>
          <w:sz w:val="20"/>
          <w:szCs w:val="20"/>
        </w:rPr>
        <w:t xml:space="preserve">Despite progress on EO model pretraining, paired comparison under identical held-out geographies and variance-aware reporting has received little attention on multi-task urban regression benchmarks. Without shared IDs, apparent modality gaps can be dominated by which cities land in the validation fold for each branch.</w:t>
      </w:r>
    </w:p>
    <w:p>
      <w:pPr>
        <w:spacing w:before="140" w:after="60"/>
        <w:jc w:val="left"/>
      </w:pPr>
      <w:r>
        <w:rPr>
          <w:rFonts w:ascii="Times New Roman" w:cs="Times New Roman" w:eastAsia="Times New Roman" w:hAnsi="Times New Roman"/>
          <w:b/>
          <w:bCs/>
          <w:i/>
          <w:iCs/>
          <w:sz w:val="20"/>
          <w:szCs w:val="20"/>
        </w:rPr>
        <w:t xml:space="preserve">B. Contributions</w:t>
      </w:r>
    </w:p>
    <w:p>
      <w:pPr>
        <w:spacing w:before="0" w:after="60" w:line="240"/>
        <w:jc w:val="both"/>
      </w:pPr>
      <w:r>
        <w:rPr>
          <w:rFonts w:ascii="Times New Roman" w:cs="Times New Roman" w:eastAsia="Times New Roman" w:hAnsi="Times New Roman"/>
          <w:b w:val="false"/>
          <w:bCs w:val="false"/>
          <w:i w:val="false"/>
          <w:iCs w:val="false"/>
          <w:color w:val="000000"/>
          <w:sz w:val="20"/>
          <w:szCs w:val="20"/>
        </w:rPr>
        <w:t xml:space="preserve">This paper makes the following contributions: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9680"/>
      </w:tblGrid>
      <w:tr>
        <w:trPr>
          <w:tblHeader/>
        </w:trPr>
        <w:tc>
          <w:tcPr>
            <w:tcW w:type="dxa" w:w="40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w:t>
            </w:r>
          </w:p>
        </w:tc>
        <w:tc>
          <w:tcPr>
            <w:tcW w:type="dxa" w:w="968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Contribution</w:t>
            </w:r>
          </w:p>
        </w:tc>
      </w:tr>
      <w:tr>
        <w:tc>
          <w:tcPr>
            <w:tcW w:type="dxa" w:w="4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C1</w:t>
            </w:r>
          </w:p>
        </w:tc>
        <w:tc>
          <w:tcPr>
            <w:tcW w:type="dxa" w:w="968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Shared-split evaluation protocol — we fix validation IDs on the street-available cohort across satellite, street, and fusion branches using explicit split JSON files, eliminating the modality-split confound.</w:t>
            </w:r>
          </w:p>
        </w:tc>
      </w:tr>
      <w:tr>
        <w:tc>
          <w:tcPr>
            <w:tcW w:type="dxa" w:w="4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C2</w:t>
            </w:r>
          </w:p>
        </w:tc>
        <w:tc>
          <w:tcPr>
            <w:tcW w:type="dxa" w:w="9680"/>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Comparative model suite — Prithvi-EO v2 with LoRA, ResNet-50 and DINOv2 satellite encoders, ResNet-50/CLIP/DINOv2 street encoders with mean or attention multi-view pooling.</w:t>
            </w:r>
          </w:p>
        </w:tc>
      </w:tr>
      <w:tr>
        <w:tc>
          <w:tcPr>
            <w:tcW w:type="dxa" w:w="4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C3</w:t>
            </w:r>
          </w:p>
        </w:tc>
        <w:tc>
          <w:tcPr>
            <w:tcW w:type="dxa" w:w="968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Full quantitative snapshot — R², RMSE, MAE for every configuration at seed 42 plus structured failure analysis (6 documented failure modes).</w:t>
            </w:r>
          </w:p>
        </w:tc>
      </w:tr>
      <w:tr>
        <w:tc>
          <w:tcPr>
            <w:tcW w:type="dxa" w:w="4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C4</w:t>
            </w:r>
          </w:p>
        </w:tc>
        <w:tc>
          <w:tcPr>
            <w:tcW w:type="dxa" w:w="9680"/>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Multi-seed paired analysis — two-seed (42, 43) paired results with mean ± std on three tasks plus build_height fusion, supporting directional claims.</w:t>
            </w:r>
          </w:p>
        </w:tc>
      </w:tr>
      <w:tr>
        <w:tc>
          <w:tcPr>
            <w:tcW w:type="dxa" w:w="4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C5</w:t>
            </w:r>
          </w:p>
        </w:tc>
        <w:tc>
          <w:tcPr>
            <w:tcW w:type="dxa" w:w="968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Lifecycle uncertainty reporting — Appendix D documents the full R² range across all run checkpoints throughout the project lifecycle, not just the best snapshot.</w:t>
            </w:r>
          </w:p>
        </w:tc>
      </w:tr>
    </w:tbl>
    <w:p>
      <w:pPr>
        <w:spacing w:before="0" w:after="80"/>
      </w:pPr>
      <w:r>
        <w:t xml:space="preserve"/>
      </w:r>
    </w:p>
    <w:p>
      <w:pPr>
        <w:spacing w:before="200" w:after="100"/>
        <w:jc w:val="center"/>
      </w:pPr>
      <w:r>
        <w:rPr>
          <w:rFonts w:ascii="Times New Roman" w:cs="Times New Roman" w:eastAsia="Times New Roman" w:hAnsi="Times New Roman"/>
          <w:b/>
          <w:bCs/>
          <w:sz w:val="20"/>
          <w:szCs w:val="20"/>
        </w:rPr>
        <w:t xml:space="preserve">II. DATASET — CITYLENS</w:t>
      </w:r>
    </w:p>
    <w:p>
      <w:pPr>
        <w:spacing w:before="0" w:after="100" w:line="240"/>
        <w:jc w:val="both"/>
      </w:pPr>
      <w:r>
        <w:rPr>
          <w:rFonts w:ascii="Times New Roman" w:cs="Times New Roman" w:eastAsia="Times New Roman" w:hAnsi="Times New Roman"/>
          <w:b w:val="false"/>
          <w:bCs w:val="false"/>
          <w:i w:val="false"/>
          <w:iCs w:val="false"/>
          <w:color w:val="000000"/>
          <w:sz w:val="20"/>
          <w:szCs w:val="20"/>
        </w:rPr>
        <w:t xml:space="preserve">CityLens [7] is a global, city-scale multi-task benchmark for evaluating machine learning models predicting urban socioeconomic and built-environment indicators from visual imagery. It is the only publicly available benchmark pairing satellite and street-view imagery for the same geographic locations across a diverse global set of cities.</w:t>
      </w:r>
    </w:p>
    <w:p>
      <w:pPr>
        <w:spacing w:before="140" w:after="60"/>
        <w:jc w:val="left"/>
      </w:pPr>
      <w:r>
        <w:rPr>
          <w:rFonts w:ascii="Times New Roman" w:cs="Times New Roman" w:eastAsia="Times New Roman" w:hAnsi="Times New Roman"/>
          <w:b/>
          <w:bCs/>
          <w:i/>
          <w:iCs/>
          <w:sz w:val="20"/>
          <w:szCs w:val="20"/>
        </w:rPr>
        <w:t xml:space="preserve">A. Structure and Provenance</w:t>
      </w:r>
    </w:p>
    <w:p>
      <w:pPr>
        <w:spacing w:before="0" w:after="100" w:line="240"/>
        <w:jc w:val="both"/>
      </w:pPr>
      <w:r>
        <w:rPr>
          <w:rFonts w:ascii="Times New Roman" w:cs="Times New Roman" w:eastAsia="Times New Roman" w:hAnsi="Times New Roman"/>
          <w:b w:val="false"/>
          <w:bCs w:val="false"/>
          <w:i w:val="false"/>
          <w:iCs w:val="false"/>
          <w:color w:val="000000"/>
          <w:sz w:val="20"/>
          <w:szCs w:val="20"/>
        </w:rPr>
        <w:t xml:space="preserve">Distributed via Hugging Face (Tianhui-Liu/CityLens-Data), the dataset contains: (i) Benchmark/—one JSON task file per target; (ii) satellite_image/—single RGB patch per location; (iii) street_view_image/—1–10 ground-level photographs per location; (iv) Dataset/—auxiliary metadata. Coverage spans Africa, Asia, Europe, North America, South America, and Oceania.</w:t>
      </w:r>
    </w:p>
    <w:p>
      <w:pPr>
        <w:spacing w:before="140" w:after="60"/>
        <w:jc w:val="left"/>
      </w:pPr>
      <w:r>
        <w:rPr>
          <w:rFonts w:ascii="Times New Roman" w:cs="Times New Roman" w:eastAsia="Times New Roman" w:hAnsi="Times New Roman"/>
          <w:b/>
          <w:bCs/>
          <w:i/>
          <w:iCs/>
          <w:sz w:val="20"/>
          <w:szCs w:val="20"/>
        </w:rPr>
        <w:t xml:space="preserve">B. Tasks and Target Variables</w:t>
      </w:r>
    </w:p>
    <w:p>
      <w:pPr>
        <w:spacing w:before="0" w:after="40"/>
      </w:pPr>
      <w:r>
        <w:t xml:space="preserve"/>
      </w:r>
    </w:p>
    <w:p>
      <w:pPr>
        <w:spacing w:before="0" w:after="40"/>
      </w:pPr>
      <w:r>
        <w:t xml:space="preserve"/>
      </w:r>
    </w:p>
    <w:p>
      <w:pPr>
        <w:spacing w:before="0" w:after="100"/>
        <w:jc w:val="center"/>
      </w:pPr>
      <w:r>
        <w:rPr>
          <w:rFonts w:ascii="Times New Roman" w:cs="Times New Roman" w:eastAsia="Times New Roman" w:hAnsi="Times New Roman"/>
          <w:i/>
          <w:iCs/>
          <w:color w:val="555555"/>
          <w:sz w:val="18"/>
          <w:szCs w:val="18"/>
        </w:rPr>
        <w:t xml:space="preserve">Table I. CityLens task definitions. *Carbon rows are not reported; add only after locking a protocol.</w:t>
      </w:r>
    </w:p>
    <w:p>
      <w:pPr>
        <w:spacing w:before="140" w:after="60"/>
        <w:jc w:val="left"/>
      </w:pPr>
      <w:r>
        <w:rPr>
          <w:rFonts w:ascii="Times New Roman" w:cs="Times New Roman" w:eastAsia="Times New Roman" w:hAnsi="Times New Roman"/>
          <w:b/>
          <w:bCs/>
          <w:i/>
          <w:iCs/>
          <w:sz w:val="20"/>
          <w:szCs w:val="20"/>
        </w:rPr>
        <w:t xml:space="preserve">C. Street-View Path Reconciliation</w:t>
      </w:r>
    </w:p>
    <w:p>
      <w:pPr>
        <w:spacing w:before="0" w:after="60" w:line="240"/>
        <w:jc w:val="both"/>
      </w:pPr>
      <w:r>
        <w:rPr>
          <w:rFonts w:ascii="Times New Roman" w:cs="Times New Roman" w:eastAsia="Times New Roman" w:hAnsi="Times New Roman"/>
          <w:b w:val="false"/>
          <w:bCs w:val="false"/>
          <w:i w:val="false"/>
          <w:iCs w:val="false"/>
          <w:color w:val="000000"/>
          <w:sz w:val="20"/>
          <w:szCs w:val="20"/>
        </w:rPr>
        <w:t xml:space="preserve">A critical data engineering step: benchmark JSON files used legacy absolute paths from a different compute environment. Zero street records loaded even when images existed on disk. Resolution: coordinate-based (lat/lon) remapping of each Benchmark/{task}_all.json. Post-reconciliation street-available subset sizes: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3080"/>
      </w:tblGrid>
      <w:tr>
        <w:trPr>
          <w:tblHeader/>
        </w:trPr>
        <w:tc>
          <w:tcPr>
            <w:tcW w:type="dxa" w:w="200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Task</w:t>
            </w:r>
          </w:p>
        </w:tc>
        <w:tc>
          <w:tcPr>
            <w:tcW w:type="dxa" w:w="250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Satellite pool</w:t>
            </w:r>
          </w:p>
        </w:tc>
        <w:tc>
          <w:tcPr>
            <w:tcW w:type="dxa" w:w="250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Street subset</w:t>
            </w:r>
          </w:p>
        </w:tc>
        <w:tc>
          <w:tcPr>
            <w:tcW w:type="dxa" w:w="308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Coverage</w:t>
            </w:r>
          </w:p>
        </w:tc>
      </w:tr>
      <w:tr>
        <w:tc>
          <w:tcPr>
            <w:tcW w:type="dxa" w:w="20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gdp</w:t>
            </w:r>
          </w:p>
        </w:tc>
        <w:tc>
          <w:tcPr>
            <w:tcW w:type="dxa" w:w="25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~497</w:t>
            </w:r>
          </w:p>
        </w:tc>
        <w:tc>
          <w:tcPr>
            <w:tcW w:type="dxa" w:w="25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429</w:t>
            </w:r>
          </w:p>
        </w:tc>
        <w:tc>
          <w:tcPr>
            <w:tcW w:type="dxa" w:w="30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86%</w:t>
            </w:r>
          </w:p>
        </w:tc>
      </w:tr>
      <w:tr>
        <w:tc>
          <w:tcPr>
            <w:tcW w:type="dxa" w:w="20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acc2health</w:t>
            </w:r>
          </w:p>
        </w:tc>
        <w:tc>
          <w:tcPr>
            <w:tcW w:type="dxa" w:w="25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~507</w:t>
            </w:r>
          </w:p>
        </w:tc>
        <w:tc>
          <w:tcPr>
            <w:tcW w:type="dxa" w:w="25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440</w:t>
            </w:r>
          </w:p>
        </w:tc>
        <w:tc>
          <w:tcPr>
            <w:tcW w:type="dxa" w:w="30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87%</w:t>
            </w:r>
          </w:p>
        </w:tc>
      </w:tr>
      <w:tr>
        <w:tc>
          <w:tcPr>
            <w:tcW w:type="dxa" w:w="20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build_height</w:t>
            </w:r>
          </w:p>
        </w:tc>
        <w:tc>
          <w:tcPr>
            <w:tcW w:type="dxa" w:w="25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~463</w:t>
            </w:r>
          </w:p>
        </w:tc>
        <w:tc>
          <w:tcPr>
            <w:tcW w:type="dxa" w:w="25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398</w:t>
            </w:r>
          </w:p>
        </w:tc>
        <w:tc>
          <w:tcPr>
            <w:tcW w:type="dxa" w:w="30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86%</w:t>
            </w:r>
          </w:p>
        </w:tc>
      </w:tr>
      <w:tr>
        <w:tc>
          <w:tcPr>
            <w:tcW w:type="dxa" w:w="20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pop</w:t>
            </w:r>
          </w:p>
        </w:tc>
        <w:tc>
          <w:tcPr>
            <w:tcW w:type="dxa" w:w="25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~470</w:t>
            </w:r>
          </w:p>
        </w:tc>
        <w:tc>
          <w:tcPr>
            <w:tcW w:type="dxa" w:w="25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402</w:t>
            </w:r>
          </w:p>
        </w:tc>
        <w:tc>
          <w:tcPr>
            <w:tcW w:type="dxa" w:w="30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86%</w:t>
            </w:r>
          </w:p>
        </w:tc>
      </w:tr>
    </w:tbl>
    <w:p>
      <w:pPr>
        <w:spacing w:before="0" w:after="60"/>
      </w:pPr>
      <w:r>
        <w:t xml:space="preserve"/>
      </w:r>
    </w:p>
    <w:p>
      <w:pPr>
        <w:spacing w:before="0" w:after="120"/>
        <w:jc w:val="center"/>
      </w:pPr>
      <w:r>
        <w:rPr>
          <w:rFonts w:ascii="Times New Roman" w:cs="Times New Roman" w:eastAsia="Times New Roman" w:hAnsi="Times New Roman"/>
          <w:i/>
          <w:iCs/>
          <w:color w:val="555555"/>
          <w:sz w:val="18"/>
          <w:szCs w:val="18"/>
        </w:rPr>
        <w:t xml:space="preserve">Table. Street-available subset sizes after lat/lon path reconciliation.</w:t>
      </w:r>
    </w:p>
    <w:p>
      <w:pPr>
        <w:spacing w:before="200" w:after="100"/>
        <w:jc w:val="center"/>
      </w:pPr>
      <w:r>
        <w:rPr>
          <w:rFonts w:ascii="Times New Roman" w:cs="Times New Roman" w:eastAsia="Times New Roman" w:hAnsi="Times New Roman"/>
          <w:b/>
          <w:bCs/>
          <w:sz w:val="20"/>
          <w:szCs w:val="20"/>
        </w:rPr>
        <w:t xml:space="preserve">III. RELATED WORK</w:t>
      </w:r>
    </w:p>
    <w:p>
      <w:pPr>
        <w:spacing w:before="140" w:after="60"/>
        <w:jc w:val="left"/>
      </w:pPr>
      <w:r>
        <w:rPr>
          <w:rFonts w:ascii="Times New Roman" w:cs="Times New Roman" w:eastAsia="Times New Roman" w:hAnsi="Times New Roman"/>
          <w:b/>
          <w:bCs/>
          <w:i/>
          <w:iCs/>
          <w:sz w:val="20"/>
          <w:szCs w:val="20"/>
        </w:rPr>
        <w:t xml:space="preserve">A. Geospatial Foundation Models</w:t>
      </w:r>
    </w:p>
    <w:p>
      <w:pPr>
        <w:spacing w:before="0" w:after="100" w:line="240"/>
        <w:jc w:val="both"/>
      </w:pPr>
      <w:r>
        <w:rPr>
          <w:rFonts w:ascii="Times New Roman" w:cs="Times New Roman" w:eastAsia="Times New Roman" w:hAnsi="Times New Roman"/>
          <w:b w:val="false"/>
          <w:bCs w:val="false"/>
          <w:i w:val="false"/>
          <w:iCs w:val="false"/>
          <w:color w:val="000000"/>
          <w:sz w:val="20"/>
          <w:szCs w:val="20"/>
        </w:rPr>
        <w:t xml:space="preserve">Prithvi-EO 2.0 (IBM, NASA) is a ViT-based model pretrained on multitemporal, multispectral EO data using 3D spatiotemporal patch embeddings and a masked autoencoder objective. Open weights are available via Hugging Face (ibm-nasageospatial/Prithvi-EO-2.0-*). Its strength lies in strong priors for land surface and seasonality; its limitation for CityLens is that only RGB is provided, requiring band alignment.</w:t>
      </w:r>
    </w:p>
    <w:p>
      <w:pPr>
        <w:spacing w:before="140" w:after="60"/>
        <w:jc w:val="left"/>
      </w:pPr>
      <w:r>
        <w:rPr>
          <w:rFonts w:ascii="Times New Roman" w:cs="Times New Roman" w:eastAsia="Times New Roman" w:hAnsi="Times New Roman"/>
          <w:b/>
          <w:bCs/>
          <w:i/>
          <w:iCs/>
          <w:sz w:val="20"/>
          <w:szCs w:val="20"/>
        </w:rPr>
        <w:t xml:space="preserve">B. Self-Supervised and Vision–Language Models</w:t>
      </w:r>
    </w:p>
    <w:p>
      <w:pPr>
        <w:spacing w:before="0" w:after="100" w:line="240"/>
        <w:jc w:val="both"/>
      </w:pPr>
      <w:r>
        <w:rPr>
          <w:rFonts w:ascii="Times New Roman" w:cs="Times New Roman" w:eastAsia="Times New Roman" w:hAnsi="Times New Roman"/>
          <w:b w:val="false"/>
          <w:bCs w:val="false"/>
          <w:i w:val="false"/>
          <w:iCs w:val="false"/>
          <w:color w:val="000000"/>
          <w:sz w:val="20"/>
          <w:szCs w:val="20"/>
        </w:rPr>
        <w:t xml:space="preserve">DINOv2 [2] learns discriminative ViT features from large curated web-scale data without labels. CLIP [3] aligns image and text towers for zero-shot transfer. Both provide strong off-the-shelf encoders for RGB patches. Their weakness in our setting is the absence of multispectral inductive bias useful for EO-specific regression tasks.</w:t>
      </w:r>
    </w:p>
    <w:p>
      <w:pPr>
        <w:spacing w:before="140" w:after="60"/>
        <w:jc w:val="left"/>
      </w:pPr>
      <w:r>
        <w:rPr>
          <w:rFonts w:ascii="Times New Roman" w:cs="Times New Roman" w:eastAsia="Times New Roman" w:hAnsi="Times New Roman"/>
          <w:b/>
          <w:bCs/>
          <w:i/>
          <w:iCs/>
          <w:sz w:val="20"/>
          <w:szCs w:val="20"/>
        </w:rPr>
        <w:t xml:space="preserve">C. Parameter-Efficient Fine-Tuning</w:t>
      </w:r>
    </w:p>
    <w:p>
      <w:pPr>
        <w:spacing w:before="0" w:after="100" w:line="240"/>
        <w:jc w:val="both"/>
      </w:pPr>
      <w:r>
        <w:rPr>
          <w:rFonts w:ascii="Times New Roman" w:cs="Times New Roman" w:eastAsia="Times New Roman" w:hAnsi="Times New Roman"/>
          <w:b w:val="false"/>
          <w:bCs w:val="false"/>
          <w:i w:val="false"/>
          <w:iCs w:val="false"/>
          <w:color w:val="000000"/>
          <w:sz w:val="20"/>
          <w:szCs w:val="20"/>
        </w:rPr>
        <w:t xml:space="preserve">LoRA [5] injects trainable low-rank matrices W' = W₀ + B·A into selected linear layers of a frozen backbone. With CityLens providing hundreds rather than millions of training examples per task, LoRA is particularly appropriate: it prevents catastrophic forgetting while adapting the large Prithvi backbone to the regression objective.</w:t>
      </w:r>
    </w:p>
    <w:p>
      <w:pPr>
        <w:spacing w:before="140" w:after="60"/>
        <w:jc w:val="left"/>
      </w:pPr>
      <w:r>
        <w:rPr>
          <w:rFonts w:ascii="Times New Roman" w:cs="Times New Roman" w:eastAsia="Times New Roman" w:hAnsi="Times New Roman"/>
          <w:b/>
          <w:bCs/>
          <w:i/>
          <w:iCs/>
          <w:sz w:val="20"/>
          <w:szCs w:val="20"/>
        </w:rPr>
        <w:t xml:space="preserve">D. Spatial Regression and Urban Remote Sensing</w:t>
      </w:r>
    </w:p>
    <w:p>
      <w:pPr>
        <w:spacing w:before="0" w:after="100" w:line="240"/>
        <w:jc w:val="both"/>
      </w:pPr>
      <w:r>
        <w:rPr>
          <w:rFonts w:ascii="Times New Roman" w:cs="Times New Roman" w:eastAsia="Times New Roman" w:hAnsi="Times New Roman"/>
          <w:b w:val="false"/>
          <w:bCs w:val="false"/>
          <w:i w:val="false"/>
          <w:iCs w:val="false"/>
          <w:color w:val="000000"/>
          <w:sz w:val="20"/>
          <w:szCs w:val="20"/>
        </w:rPr>
        <w:t xml:space="preserve">Prior work demonstrates that overhead and street-level imagery correlate with income, safety, and built form. Persistent methodological weaknesses include split leakage from spatial autocorrelation, inconsistent cohorts across modalities, and single-seed results. Our work directly addresses the modality-split and single-seed issues through a shared evaluation protocol.</w:t>
      </w:r>
    </w:p>
    <w:p>
      <w:pPr>
        <w:spacing w:before="200" w:after="100"/>
        <w:jc w:val="center"/>
      </w:pPr>
      <w:r>
        <w:rPr>
          <w:rFonts w:ascii="Times New Roman" w:cs="Times New Roman" w:eastAsia="Times New Roman" w:hAnsi="Times New Roman"/>
          <w:b/>
          <w:bCs/>
          <w:sz w:val="20"/>
          <w:szCs w:val="20"/>
        </w:rPr>
        <w:t xml:space="preserve">IV. METHODOLOGY</w:t>
      </w:r>
    </w:p>
    <w:p>
      <w:pPr>
        <w:spacing w:before="140" w:after="60"/>
        <w:jc w:val="left"/>
      </w:pPr>
      <w:r>
        <w:rPr>
          <w:rFonts w:ascii="Times New Roman" w:cs="Times New Roman" w:eastAsia="Times New Roman" w:hAnsi="Times New Roman"/>
          <w:b/>
          <w:bCs/>
          <w:i/>
          <w:iCs/>
          <w:sz w:val="20"/>
          <w:szCs w:val="20"/>
        </w:rPr>
        <w:t xml:space="preserve">A. Problem Formulation</w:t>
      </w:r>
    </w:p>
    <w:p>
      <w:pPr>
        <w:spacing w:before="0" w:after="100" w:line="240"/>
        <w:jc w:val="both"/>
      </w:pPr>
      <w:r>
        <w:rPr>
          <w:rFonts w:ascii="Times New Roman" w:cs="Times New Roman" w:eastAsia="Times New Roman" w:hAnsi="Times New Roman"/>
          <w:b w:val="false"/>
          <w:bCs w:val="false"/>
          <w:i w:val="false"/>
          <w:iCs w:val="false"/>
          <w:color w:val="000000"/>
          <w:sz w:val="20"/>
          <w:szCs w:val="20"/>
        </w:rPr>
        <w:t xml:space="preserve">For task t, let D_t = {(x_i^sat, {x_{i,v}^str}_{v=1}^{N_i}, y_i)}_{i=1}^N where y_i is the scalar regression target. A split assigns IDs to training and validation sets, shared across branches b ∈ {satellite, street, fusion}. We minimise MSE on log1p-transformed targets during training and compute R² and RMSE in the raw target space on the validation split.</w:t>
      </w:r>
    </w:p>
    <w:p>
      <w:pPr>
        <w:spacing w:before="140" w:after="60"/>
        <w:jc w:val="left"/>
      </w:pPr>
      <w:r>
        <w:rPr>
          <w:rFonts w:ascii="Times New Roman" w:cs="Times New Roman" w:eastAsia="Times New Roman" w:hAnsi="Times New Roman"/>
          <w:b/>
          <w:bCs/>
          <w:i/>
          <w:iCs/>
          <w:sz w:val="20"/>
          <w:szCs w:val="20"/>
        </w:rPr>
        <w:t xml:space="preserve">B. Prithvi-EO v2 Satellite Encoder (prithvi_rgb_lora)</w:t>
      </w:r>
    </w:p>
    <w:p>
      <w:pPr>
        <w:spacing w:before="0" w:after="100" w:line="240"/>
        <w:jc w:val="both"/>
      </w:pPr>
      <w:r>
        <w:rPr>
          <w:rFonts w:ascii="Times New Roman" w:cs="Times New Roman" w:eastAsia="Times New Roman" w:hAnsi="Times New Roman"/>
          <w:b w:val="false"/>
          <w:bCs w:val="false"/>
          <w:i w:val="false"/>
          <w:iCs w:val="false"/>
          <w:color w:val="000000"/>
          <w:sz w:val="20"/>
          <w:szCs w:val="20"/>
        </w:rPr>
        <w:t xml:space="preserve">Prithvi-EO-2.x expects 5D tensors (B, C, T, H, W) with six spectral channels. Since CityLens provides only RGB, we introduce a learnable 1×1 convolutional adapter mapping 3 input channels to 6, aligned to Prithvi's band order (Blue, Green, Red, NIR-narrow, SWIR-1, SWIR-2). A single time frame (T=1) is used for static patches. We apply PEFT LoRA to attention linear layers (fused QKV and output projection), keeping all backbone weights frozen. Only the 1×1 adapter, LoRA matrices, and MLP regression head are trained.</w:t>
      </w:r>
    </w:p>
    <w:p>
      <w:pPr>
        <w:spacing w:before="140" w:after="60"/>
        <w:jc w:val="left"/>
      </w:pPr>
      <w:r>
        <w:rPr>
          <w:rFonts w:ascii="Times New Roman" w:cs="Times New Roman" w:eastAsia="Times New Roman" w:hAnsi="Times New Roman"/>
          <w:b/>
          <w:bCs/>
          <w:i/>
          <w:iCs/>
          <w:sz w:val="20"/>
          <w:szCs w:val="20"/>
        </w:rPr>
        <w:t xml:space="preserve">C. Satellite Baseline Encoders</w:t>
      </w:r>
    </w:p>
    <w:p>
      <w:pPr>
        <w:spacing w:before="0" w:after="60" w:line="240"/>
        <w:jc w:val="both"/>
      </w:pPr>
      <w:r>
        <w:rPr>
          <w:rFonts w:ascii="Times New Roman" w:cs="Times New Roman" w:eastAsia="Times New Roman" w:hAnsi="Times New Roman"/>
          <w:b w:val="false"/>
          <w:bCs w:val="false"/>
          <w:i w:val="false"/>
          <w:iCs w:val="false"/>
          <w:color w:val="000000"/>
          <w:sz w:val="20"/>
          <w:szCs w:val="20"/>
        </w:rPr>
        <w:t xml:space="preserve">ResNet-50 (resnet50_sat): ImageNet-pretrained CNN; global average-pooled features → MLP head. No band adapter; RGB input as-is. Catastrophic failure on GDP (R² ≈ −4.0); see §VI-A.</w:t>
      </w:r>
    </w:p>
    <w:p>
      <w:pPr>
        <w:spacing w:before="0" w:after="100" w:line="240"/>
        <w:jc w:val="both"/>
      </w:pPr>
      <w:r>
        <w:rPr>
          <w:rFonts w:ascii="Times New Roman" w:cs="Times New Roman" w:eastAsia="Times New Roman" w:hAnsi="Times New Roman"/>
          <w:b w:val="false"/>
          <w:bCs w:val="false"/>
          <w:i w:val="false"/>
          <w:iCs w:val="false"/>
          <w:color w:val="000000"/>
          <w:sz w:val="20"/>
          <w:szCs w:val="20"/>
        </w:rPr>
        <w:t xml:space="preserve">DINOv2 ViT-B/14 (dinov2_sat): self-supervised ViT; CLS or mean patch token pooled via timm; no multispectral adaptation.</w:t>
      </w:r>
    </w:p>
    <w:p>
      <w:pPr>
        <w:spacing w:before="140" w:after="60"/>
        <w:jc w:val="left"/>
      </w:pPr>
      <w:r>
        <w:rPr>
          <w:rFonts w:ascii="Times New Roman" w:cs="Times New Roman" w:eastAsia="Times New Roman" w:hAnsi="Times New Roman"/>
          <w:b/>
          <w:bCs/>
          <w:i/>
          <w:iCs/>
          <w:sz w:val="20"/>
          <w:szCs w:val="20"/>
        </w:rPr>
        <w:t xml:space="preserve">D. Street Encoder and Multi-View Pooling</w:t>
      </w:r>
    </w:p>
    <w:p>
      <w:pPr>
        <w:spacing w:before="0" w:after="100" w:line="240"/>
        <w:jc w:val="both"/>
      </w:pPr>
      <w:r>
        <w:rPr>
          <w:rFonts w:ascii="Times New Roman" w:cs="Times New Roman" w:eastAsia="Times New Roman" w:hAnsi="Times New Roman"/>
          <w:b w:val="false"/>
          <w:bCs w:val="false"/>
          <w:i w:val="false"/>
          <w:iCs w:val="false"/>
          <w:color w:val="000000"/>
          <w:sz w:val="20"/>
          <w:szCs w:val="20"/>
        </w:rPr>
        <w:t xml:space="preserve">Each location provides up to 10 street-view images. All views are processed by a shared backbone (ResNet-50, CLIP ViT-B/16, or DINOv2 ViT-B/14) to produce per-view embeddings. Aggregation uses either mean pooling (average over valid views) or attention pooling (learned scalar score per view, softmax-weighted sum). A two-layer MLP (LazyLinear → ReLU → Linear) maps pooled features to the scalar prediction.</w:t>
      </w:r>
    </w:p>
    <w:p>
      <w:pPr>
        <w:spacing w:before="140" w:after="60"/>
        <w:jc w:val="left"/>
      </w:pPr>
      <w:r>
        <w:rPr>
          <w:rFonts w:ascii="Times New Roman" w:cs="Times New Roman" w:eastAsia="Times New Roman" w:hAnsi="Times New Roman"/>
          <w:b/>
          <w:bCs/>
          <w:i/>
          <w:iCs/>
          <w:sz w:val="20"/>
          <w:szCs w:val="20"/>
        </w:rPr>
        <w:t xml:space="preserve">E. Fusion Architectures</w:t>
      </w:r>
    </w:p>
    <w:p>
      <w:pPr>
        <w:spacing w:before="0" w:after="60" w:line="240"/>
        <w:jc w:val="both"/>
      </w:pPr>
      <w:r>
        <w:rPr>
          <w:rFonts w:ascii="Times New Roman" w:cs="Times New Roman" w:eastAsia="Times New Roman" w:hAnsi="Times New Roman"/>
          <w:b w:val="false"/>
          <w:bCs w:val="false"/>
          <w:i w:val="false"/>
          <w:iCs w:val="false"/>
          <w:color w:val="000000"/>
          <w:sz w:val="20"/>
          <w:szCs w:val="20"/>
        </w:rPr>
        <w:t xml:space="preserve">Late fusion: concatenate satellite and street feature vectors z = [f_sat; f_str] ∈ ℝ^{2d}; MLP regression head on z. Simple and effective—best strategy on build_height.</w:t>
      </w:r>
    </w:p>
    <w:p>
      <w:pPr>
        <w:spacing w:before="0" w:after="100" w:line="240"/>
        <w:jc w:val="both"/>
      </w:pPr>
      <w:r>
        <w:rPr>
          <w:rFonts w:ascii="Times New Roman" w:cs="Times New Roman" w:eastAsia="Times New Roman" w:hAnsi="Times New Roman"/>
          <w:b w:val="false"/>
          <w:bCs w:val="false"/>
          <w:i w:val="false"/>
          <w:iCs w:val="false"/>
          <w:color w:val="000000"/>
          <w:sz w:val="20"/>
          <w:szCs w:val="20"/>
        </w:rPr>
        <w:t xml:space="preserve">Gated fusion: pass concatenated features through a small linear gate producing two non-negative softmax weights (α, β) that blend dimension-aligned slices. When satellite and street feature dimensions differ, the minimum-width slice is used. Not universally superior to late fusion (see §VI-D).</w:t>
      </w:r>
    </w:p>
    <w:p>
      <w:pPr>
        <w:spacing w:before="140" w:after="60"/>
        <w:jc w:val="left"/>
      </w:pPr>
      <w:r>
        <w:rPr>
          <w:rFonts w:ascii="Times New Roman" w:cs="Times New Roman" w:eastAsia="Times New Roman" w:hAnsi="Times New Roman"/>
          <w:b/>
          <w:bCs/>
          <w:i/>
          <w:iCs/>
          <w:sz w:val="20"/>
          <w:szCs w:val="20"/>
        </w:rPr>
        <w:t xml:space="preserve">F. Shared Validation Splits and Multi-Seed Protocol</w:t>
      </w:r>
    </w:p>
    <w:p>
      <w:pPr>
        <w:spacing w:before="0" w:after="100" w:line="240"/>
        <w:jc w:val="both"/>
      </w:pPr>
      <w:r>
        <w:rPr>
          <w:rFonts w:ascii="Times New Roman" w:cs="Times New Roman" w:eastAsia="Times New Roman" w:hAnsi="Times New Roman"/>
          <w:b w:val="false"/>
          <w:bCs w:val="false"/>
          <w:i w:val="false"/>
          <w:iCs w:val="false"/>
          <w:color w:val="000000"/>
          <w:sz w:val="20"/>
          <w:szCs w:val="20"/>
        </w:rPr>
        <w:t xml:space="preserve">For each task t, seed s, and validation fraction v, we persist a JSON split file {task}_{split_key}_seed{s}_val{v}.json. The split key 'fusion' is used across all branches, ensuring identical validation city IDs for satellite, street, and fusion. The recommended protocol repeats runs for seeds s ∈ {42, 43, 44}; this work completes a paired two-seed package (42, 43) for GDP, health access, and building height, plus build_height fusion.</w:t>
      </w:r>
    </w:p>
    <w:p>
      <w:pPr>
        <w:spacing w:before="140" w:after="60"/>
        <w:jc w:val="left"/>
      </w:pPr>
      <w:r>
        <w:rPr>
          <w:rFonts w:ascii="Times New Roman" w:cs="Times New Roman" w:eastAsia="Times New Roman" w:hAnsi="Times New Roman"/>
          <w:b/>
          <w:bCs/>
          <w:i/>
          <w:iCs/>
          <w:sz w:val="20"/>
          <w:szCs w:val="20"/>
        </w:rPr>
        <w:t xml:space="preserve">G. Implementation Details</w:t>
      </w:r>
    </w:p>
    <w:p>
      <w:pPr>
        <w:spacing w:before="0"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rPr>
          <w:tblHeader/>
        </w:trPr>
        <w:tc>
          <w:tcPr>
            <w:tcW w:type="dxa" w:w="450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Parameter</w:t>
            </w:r>
          </w:p>
        </w:tc>
        <w:tc>
          <w:tcPr>
            <w:tcW w:type="dxa" w:w="558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Value</w:t>
            </w:r>
          </w:p>
        </w:tc>
      </w:tr>
      <w:tr>
        <w:tc>
          <w:tcPr>
            <w:tcW w:type="dxa" w:w="450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Image size</w:t>
            </w:r>
          </w:p>
        </w:tc>
        <w:tc>
          <w:tcPr>
            <w:tcW w:type="dxa" w:w="55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224 × 224 px</w:t>
            </w:r>
          </w:p>
        </w:tc>
      </w:tr>
      <w:tr>
        <w:tc>
          <w:tcPr>
            <w:tcW w:type="dxa" w:w="4500"/>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Batch size</w:t>
            </w:r>
          </w:p>
        </w:tc>
        <w:tc>
          <w:tcPr>
            <w:tcW w:type="dxa" w:w="55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8</w:t>
            </w:r>
          </w:p>
        </w:tc>
      </w:tr>
      <w:tr>
        <w:tc>
          <w:tcPr>
            <w:tcW w:type="dxa" w:w="450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Optimizer</w:t>
            </w:r>
          </w:p>
        </w:tc>
        <w:tc>
          <w:tcPr>
            <w:tcW w:type="dxa" w:w="55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AdamW</w:t>
            </w:r>
          </w:p>
        </w:tc>
      </w:tr>
      <w:tr>
        <w:tc>
          <w:tcPr>
            <w:tcW w:type="dxa" w:w="4500"/>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Learning rate (main)</w:t>
            </w:r>
          </w:p>
        </w:tc>
        <w:tc>
          <w:tcPr>
            <w:tcW w:type="dxa" w:w="55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 × 10⁻⁴</w:t>
            </w:r>
          </w:p>
        </w:tc>
      </w:tr>
      <w:tr>
        <w:tc>
          <w:tcPr>
            <w:tcW w:type="dxa" w:w="450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Backbone LR</w:t>
            </w:r>
          </w:p>
        </w:tc>
        <w:tc>
          <w:tcPr>
            <w:tcW w:type="dxa" w:w="55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 × 10⁻⁴</w:t>
            </w:r>
          </w:p>
        </w:tc>
      </w:tr>
      <w:tr>
        <w:tc>
          <w:tcPr>
            <w:tcW w:type="dxa" w:w="4500"/>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Head LR</w:t>
            </w:r>
          </w:p>
        </w:tc>
        <w:tc>
          <w:tcPr>
            <w:tcW w:type="dxa" w:w="55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 × 10⁻³</w:t>
            </w:r>
          </w:p>
        </w:tc>
      </w:tr>
      <w:tr>
        <w:tc>
          <w:tcPr>
            <w:tcW w:type="dxa" w:w="450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Weight decay</w:t>
            </w:r>
          </w:p>
        </w:tc>
        <w:tc>
          <w:tcPr>
            <w:tcW w:type="dxa" w:w="55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 × 10⁻²</w:t>
            </w:r>
          </w:p>
        </w:tc>
      </w:tr>
      <w:tr>
        <w:tc>
          <w:tcPr>
            <w:tcW w:type="dxa" w:w="4500"/>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Target transform</w:t>
            </w:r>
          </w:p>
        </w:tc>
        <w:tc>
          <w:tcPr>
            <w:tcW w:type="dxa" w:w="55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log1p (metrics in raw space)</w:t>
            </w:r>
          </w:p>
        </w:tc>
      </w:tr>
      <w:tr>
        <w:tc>
          <w:tcPr>
            <w:tcW w:type="dxa" w:w="450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Validation fraction</w:t>
            </w:r>
          </w:p>
        </w:tc>
        <w:tc>
          <w:tcPr>
            <w:tcW w:type="dxa" w:w="55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0.1</w:t>
            </w:r>
          </w:p>
        </w:tc>
      </w:tr>
      <w:tr>
        <w:tc>
          <w:tcPr>
            <w:tcW w:type="dxa" w:w="4500"/>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Reference seed(s)</w:t>
            </w:r>
          </w:p>
        </w:tc>
        <w:tc>
          <w:tcPr>
            <w:tcW w:type="dxa" w:w="55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42, 43 (paired); 42 (full grid)</w:t>
            </w:r>
          </w:p>
        </w:tc>
      </w:tr>
      <w:tr>
        <w:tc>
          <w:tcPr>
            <w:tcW w:type="dxa" w:w="450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GPU memory (satellite)</w:t>
            </w:r>
          </w:p>
        </w:tc>
        <w:tc>
          <w:tcPr>
            <w:tcW w:type="dxa" w:w="55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~3–5 GB VRAM</w:t>
            </w:r>
          </w:p>
        </w:tc>
      </w:tr>
      <w:tr>
        <w:tc>
          <w:tcPr>
            <w:tcW w:type="dxa" w:w="4500"/>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GPU memory (street)</w:t>
            </w:r>
          </w:p>
        </w:tc>
        <w:tc>
          <w:tcPr>
            <w:tcW w:type="dxa" w:w="55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~11.5 GB VRAM</w:t>
            </w:r>
          </w:p>
        </w:tc>
      </w:tr>
      <w:tr>
        <w:tc>
          <w:tcPr>
            <w:tcW w:type="dxa" w:w="450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GPU memory (fusion)</w:t>
            </w:r>
          </w:p>
        </w:tc>
        <w:tc>
          <w:tcPr>
            <w:tcW w:type="dxa" w:w="55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~24 GB VRAM</w:t>
            </w:r>
          </w:p>
        </w:tc>
      </w:tr>
      <w:tr>
        <w:tc>
          <w:tcPr>
            <w:tcW w:type="dxa" w:w="4500"/>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Frameworks</w:t>
            </w:r>
          </w:p>
        </w:tc>
        <w:tc>
          <w:tcPr>
            <w:tcW w:type="dxa" w:w="55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PyTorch, timm, TerraTorch, PEFT</w:t>
            </w:r>
          </w:p>
        </w:tc>
      </w:tr>
    </w:tbl>
    <w:p>
      <w:pPr>
        <w:spacing w:before="0" w:after="60"/>
      </w:pPr>
      <w:r>
        <w:t xml:space="preserve"/>
      </w:r>
    </w:p>
    <w:p>
      <w:pPr>
        <w:spacing w:before="0" w:after="120"/>
        <w:jc w:val="center"/>
      </w:pPr>
      <w:r>
        <w:rPr>
          <w:rFonts w:ascii="Times New Roman" w:cs="Times New Roman" w:eastAsia="Times New Roman" w:hAnsi="Times New Roman"/>
          <w:i/>
          <w:iCs/>
          <w:color w:val="555555"/>
          <w:sz w:val="18"/>
          <w:szCs w:val="18"/>
        </w:rPr>
        <w:t xml:space="preserve">Table. Implementation details. All runs use these unless noted.</w:t>
      </w:r>
    </w:p>
    <w:p>
      <w:pPr>
        <w:spacing w:before="200" w:after="100"/>
        <w:jc w:val="center"/>
      </w:pPr>
      <w:r>
        <w:rPr>
          <w:rFonts w:ascii="Times New Roman" w:cs="Times New Roman" w:eastAsia="Times New Roman" w:hAnsi="Times New Roman"/>
          <w:b/>
          <w:bCs/>
          <w:sz w:val="20"/>
          <w:szCs w:val="20"/>
        </w:rPr>
        <w:t xml:space="preserve">V. EXPERIMENTAL RESULTS</w:t>
      </w:r>
    </w:p>
    <w:p>
      <w:pPr>
        <w:spacing w:before="0" w:after="100" w:line="240"/>
        <w:jc w:val="both"/>
      </w:pPr>
      <w:r>
        <w:rPr>
          <w:rFonts w:ascii="Times New Roman" w:cs="Times New Roman" w:eastAsia="Times New Roman" w:hAnsi="Times New Roman"/>
          <w:b w:val="false"/>
          <w:bCs w:val="false"/>
          <w:i w:val="false"/>
          <w:iCs w:val="false"/>
          <w:color w:val="000000"/>
          <w:sz w:val="20"/>
          <w:szCs w:val="20"/>
        </w:rPr>
        <w:t xml:space="preserve">Tables II–V report seed-42 full-grid snapshots. Table VI reports paired shared-split two-seed aggregates (§V-D). Cross-branch claims should be based on the paired section; seed-42 cross-branch ordering is descriptive, not definitive. ★ = best R² per task among sane baselines; ⚠ = catastrophic failure.</w:t>
      </w:r>
    </w:p>
    <w:p>
      <w:pPr>
        <w:spacing w:before="140" w:after="60"/>
        <w:jc w:val="left"/>
      </w:pPr>
      <w:r>
        <w:rPr>
          <w:rFonts w:ascii="Times New Roman" w:cs="Times New Roman" w:eastAsia="Times New Roman" w:hAnsi="Times New Roman"/>
          <w:b/>
          <w:bCs/>
          <w:i/>
          <w:iCs/>
          <w:sz w:val="20"/>
          <w:szCs w:val="20"/>
        </w:rPr>
        <w:t xml:space="preserve">A. Satellite-Only Results (Seed 42)</w:t>
      </w:r>
    </w:p>
    <w:p>
      <w:pPr>
        <w:spacing w:before="0"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100"/>
        <w:gridCol w:w="1200"/>
        <w:gridCol w:w="2000"/>
        <w:gridCol w:w="1680"/>
      </w:tblGrid>
      <w:tr>
        <w:trPr>
          <w:tblHeader/>
        </w:trPr>
        <w:tc>
          <w:tcPr>
            <w:tcW w:type="dxa" w:w="160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Task</w:t>
            </w:r>
          </w:p>
        </w:tc>
        <w:tc>
          <w:tcPr>
            <w:tcW w:type="dxa" w:w="250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Model</w:t>
            </w:r>
          </w:p>
        </w:tc>
        <w:tc>
          <w:tcPr>
            <w:tcW w:type="dxa" w:w="110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Best Ep.</w:t>
            </w:r>
          </w:p>
        </w:tc>
        <w:tc>
          <w:tcPr>
            <w:tcW w:type="dxa" w:w="120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R²</w:t>
            </w:r>
          </w:p>
        </w:tc>
        <w:tc>
          <w:tcPr>
            <w:tcW w:type="dxa" w:w="200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RMSE</w:t>
            </w:r>
          </w:p>
        </w:tc>
        <w:tc>
          <w:tcPr>
            <w:tcW w:type="dxa" w:w="168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MAE</w:t>
            </w:r>
          </w:p>
        </w:tc>
      </w:tr>
      <w:tr>
        <w:tc>
          <w:tcPr>
            <w:tcW w:type="dxa" w:w="16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acc2health</w:t>
            </w:r>
          </w:p>
        </w:tc>
        <w:tc>
          <w:tcPr>
            <w:tcW w:type="dxa" w:w="25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dinov2_sat</w:t>
            </w:r>
          </w:p>
        </w:tc>
        <w:tc>
          <w:tcPr>
            <w:tcW w:type="dxa" w:w="11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20</w:t>
            </w:r>
          </w:p>
        </w:tc>
        <w:tc>
          <w:tcPr>
            <w:tcW w:type="dxa" w:w="12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0.0985</w:t>
            </w:r>
          </w:p>
        </w:tc>
        <w:tc>
          <w:tcPr>
            <w:tcW w:type="dxa" w:w="20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11.6113</w:t>
            </w:r>
          </w:p>
        </w:tc>
        <w:tc>
          <w:tcPr>
            <w:tcW w:type="dxa" w:w="16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8.7746</w:t>
            </w:r>
          </w:p>
        </w:tc>
      </w:tr>
      <w:tr>
        <w:tc>
          <w:tcPr>
            <w:tcW w:type="dxa" w:w="16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acc2health</w:t>
            </w:r>
          </w:p>
        </w:tc>
        <w:tc>
          <w:tcPr>
            <w:tcW w:type="dxa" w:w="25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000000"/>
                <w:sz w:val="17"/>
                <w:szCs w:val="17"/>
              </w:rPr>
              <w:t xml:space="preserve">prithvi_rgb_lora ★</w:t>
            </w:r>
          </w:p>
        </w:tc>
        <w:tc>
          <w:tcPr>
            <w:tcW w:type="dxa" w:w="11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9</w:t>
            </w:r>
          </w:p>
        </w:tc>
        <w:tc>
          <w:tcPr>
            <w:tcW w:type="dxa" w:w="12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1F497D"/>
                <w:sz w:val="17"/>
                <w:szCs w:val="17"/>
              </w:rPr>
              <w:t xml:space="preserve">0.3901</w:t>
            </w:r>
          </w:p>
        </w:tc>
        <w:tc>
          <w:tcPr>
            <w:tcW w:type="dxa" w:w="20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9.5502</w:t>
            </w:r>
          </w:p>
        </w:tc>
        <w:tc>
          <w:tcPr>
            <w:tcW w:type="dxa" w:w="16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7.1910</w:t>
            </w:r>
          </w:p>
        </w:tc>
      </w:tr>
      <w:tr>
        <w:tc>
          <w:tcPr>
            <w:tcW w:type="dxa" w:w="16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acc2health</w:t>
            </w:r>
          </w:p>
        </w:tc>
        <w:tc>
          <w:tcPr>
            <w:tcW w:type="dxa" w:w="25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resnet50_sat</w:t>
            </w:r>
          </w:p>
        </w:tc>
        <w:tc>
          <w:tcPr>
            <w:tcW w:type="dxa" w:w="11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12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0.2124</w:t>
            </w:r>
          </w:p>
        </w:tc>
        <w:tc>
          <w:tcPr>
            <w:tcW w:type="dxa" w:w="20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10.8529</w:t>
            </w:r>
          </w:p>
        </w:tc>
        <w:tc>
          <w:tcPr>
            <w:tcW w:type="dxa" w:w="16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7.2042</w:t>
            </w:r>
          </w:p>
        </w:tc>
      </w:tr>
      <w:tr>
        <w:tc>
          <w:tcPr>
            <w:tcW w:type="dxa" w:w="16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build_height</w:t>
            </w:r>
          </w:p>
        </w:tc>
        <w:tc>
          <w:tcPr>
            <w:tcW w:type="dxa" w:w="25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dinov2_sat</w:t>
            </w:r>
          </w:p>
        </w:tc>
        <w:tc>
          <w:tcPr>
            <w:tcW w:type="dxa" w:w="11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18</w:t>
            </w:r>
          </w:p>
        </w:tc>
        <w:tc>
          <w:tcPr>
            <w:tcW w:type="dxa" w:w="12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0.6791</w:t>
            </w:r>
          </w:p>
        </w:tc>
        <w:tc>
          <w:tcPr>
            <w:tcW w:type="dxa" w:w="20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3.9542</w:t>
            </w:r>
          </w:p>
        </w:tc>
        <w:tc>
          <w:tcPr>
            <w:tcW w:type="dxa" w:w="16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2.8124</w:t>
            </w:r>
          </w:p>
        </w:tc>
      </w:tr>
      <w:tr>
        <w:tc>
          <w:tcPr>
            <w:tcW w:type="dxa" w:w="16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build_height</w:t>
            </w:r>
          </w:p>
        </w:tc>
        <w:tc>
          <w:tcPr>
            <w:tcW w:type="dxa" w:w="25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000000"/>
                <w:sz w:val="17"/>
                <w:szCs w:val="17"/>
              </w:rPr>
              <w:t xml:space="preserve">prithvi_rgb_lora ★</w:t>
            </w:r>
          </w:p>
        </w:tc>
        <w:tc>
          <w:tcPr>
            <w:tcW w:type="dxa" w:w="11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11</w:t>
            </w:r>
          </w:p>
        </w:tc>
        <w:tc>
          <w:tcPr>
            <w:tcW w:type="dxa" w:w="12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1F497D"/>
                <w:sz w:val="17"/>
                <w:szCs w:val="17"/>
              </w:rPr>
              <w:t xml:space="preserve">0.8599</w:t>
            </w:r>
          </w:p>
        </w:tc>
        <w:tc>
          <w:tcPr>
            <w:tcW w:type="dxa" w:w="20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2.6130</w:t>
            </w:r>
          </w:p>
        </w:tc>
        <w:tc>
          <w:tcPr>
            <w:tcW w:type="dxa" w:w="16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1.9100</w:t>
            </w:r>
          </w:p>
        </w:tc>
      </w:tr>
      <w:tr>
        <w:tc>
          <w:tcPr>
            <w:tcW w:type="dxa" w:w="16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build_height</w:t>
            </w:r>
          </w:p>
        </w:tc>
        <w:tc>
          <w:tcPr>
            <w:tcW w:type="dxa" w:w="25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resnet50_sat</w:t>
            </w:r>
          </w:p>
        </w:tc>
        <w:tc>
          <w:tcPr>
            <w:tcW w:type="dxa" w:w="11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26</w:t>
            </w:r>
          </w:p>
        </w:tc>
        <w:tc>
          <w:tcPr>
            <w:tcW w:type="dxa" w:w="12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0.8004</w:t>
            </w:r>
          </w:p>
        </w:tc>
        <w:tc>
          <w:tcPr>
            <w:tcW w:type="dxa" w:w="20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3.1182</w:t>
            </w:r>
          </w:p>
        </w:tc>
        <w:tc>
          <w:tcPr>
            <w:tcW w:type="dxa" w:w="16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2.2806</w:t>
            </w:r>
          </w:p>
        </w:tc>
      </w:tr>
      <w:tr>
        <w:tc>
          <w:tcPr>
            <w:tcW w:type="dxa" w:w="16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gdp</w:t>
            </w:r>
          </w:p>
        </w:tc>
        <w:tc>
          <w:tcPr>
            <w:tcW w:type="dxa" w:w="25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dinov2_sat</w:t>
            </w:r>
          </w:p>
        </w:tc>
        <w:tc>
          <w:tcPr>
            <w:tcW w:type="dxa" w:w="11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19</w:t>
            </w:r>
          </w:p>
        </w:tc>
        <w:tc>
          <w:tcPr>
            <w:tcW w:type="dxa" w:w="12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0.4535</w:t>
            </w:r>
          </w:p>
        </w:tc>
        <w:tc>
          <w:tcPr>
            <w:tcW w:type="dxa" w:w="20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3.78 × 10⁸</w:t>
            </w:r>
          </w:p>
        </w:tc>
        <w:tc>
          <w:tcPr>
            <w:tcW w:type="dxa" w:w="16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2.33 × 10⁸</w:t>
            </w:r>
          </w:p>
        </w:tc>
      </w:tr>
      <w:tr>
        <w:tc>
          <w:tcPr>
            <w:tcW w:type="dxa" w:w="16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gdp</w:t>
            </w:r>
          </w:p>
        </w:tc>
        <w:tc>
          <w:tcPr>
            <w:tcW w:type="dxa" w:w="25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000000"/>
                <w:sz w:val="17"/>
                <w:szCs w:val="17"/>
              </w:rPr>
              <w:t xml:space="preserve">prithvi_rgb_lora ★</w:t>
            </w:r>
          </w:p>
        </w:tc>
        <w:tc>
          <w:tcPr>
            <w:tcW w:type="dxa" w:w="11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14</w:t>
            </w:r>
          </w:p>
        </w:tc>
        <w:tc>
          <w:tcPr>
            <w:tcW w:type="dxa" w:w="12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1F497D"/>
                <w:sz w:val="17"/>
                <w:szCs w:val="17"/>
              </w:rPr>
              <w:t xml:space="preserve">0.5808</w:t>
            </w:r>
          </w:p>
        </w:tc>
        <w:tc>
          <w:tcPr>
            <w:tcW w:type="dxa" w:w="20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3.31 × 10⁸</w:t>
            </w:r>
          </w:p>
        </w:tc>
        <w:tc>
          <w:tcPr>
            <w:tcW w:type="dxa" w:w="16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1.98 × 10⁸</w:t>
            </w:r>
          </w:p>
        </w:tc>
      </w:tr>
      <w:tr>
        <w:tc>
          <w:tcPr>
            <w:tcW w:type="dxa" w:w="16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gdp</w:t>
            </w:r>
          </w:p>
        </w:tc>
        <w:tc>
          <w:tcPr>
            <w:tcW w:type="dxa" w:w="25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CC0000"/>
                <w:sz w:val="17"/>
                <w:szCs w:val="17"/>
              </w:rPr>
              <w:t xml:space="preserve">resnet50_sat ⚠</w:t>
            </w:r>
          </w:p>
        </w:tc>
        <w:tc>
          <w:tcPr>
            <w:tcW w:type="dxa" w:w="11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5</w:t>
            </w:r>
          </w:p>
        </w:tc>
        <w:tc>
          <w:tcPr>
            <w:tcW w:type="dxa" w:w="12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CC0000"/>
                <w:sz w:val="17"/>
                <w:szCs w:val="17"/>
              </w:rPr>
              <w:t xml:space="preserve">−4.0046</w:t>
            </w:r>
          </w:p>
        </w:tc>
        <w:tc>
          <w:tcPr>
            <w:tcW w:type="dxa" w:w="20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1.15 × 10⁹</w:t>
            </w:r>
          </w:p>
        </w:tc>
        <w:tc>
          <w:tcPr>
            <w:tcW w:type="dxa" w:w="16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3.93 × 10⁸</w:t>
            </w:r>
          </w:p>
        </w:tc>
      </w:tr>
      <w:tr>
        <w:tc>
          <w:tcPr>
            <w:tcW w:type="dxa" w:w="16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pop</w:t>
            </w:r>
          </w:p>
        </w:tc>
        <w:tc>
          <w:tcPr>
            <w:tcW w:type="dxa" w:w="25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dinov2_sat</w:t>
            </w:r>
          </w:p>
        </w:tc>
        <w:tc>
          <w:tcPr>
            <w:tcW w:type="dxa" w:w="11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5</w:t>
            </w:r>
          </w:p>
        </w:tc>
        <w:tc>
          <w:tcPr>
            <w:tcW w:type="dxa" w:w="12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−0.1840</w:t>
            </w:r>
          </w:p>
        </w:tc>
        <w:tc>
          <w:tcPr>
            <w:tcW w:type="dxa" w:w="20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23,175.5</w:t>
            </w:r>
          </w:p>
        </w:tc>
        <w:tc>
          <w:tcPr>
            <w:tcW w:type="dxa" w:w="16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11,363.1</w:t>
            </w:r>
          </w:p>
        </w:tc>
      </w:tr>
      <w:tr>
        <w:tc>
          <w:tcPr>
            <w:tcW w:type="dxa" w:w="16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pop</w:t>
            </w:r>
          </w:p>
        </w:tc>
        <w:tc>
          <w:tcPr>
            <w:tcW w:type="dxa" w:w="25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prithvi_rgb_lora</w:t>
            </w:r>
          </w:p>
        </w:tc>
        <w:tc>
          <w:tcPr>
            <w:tcW w:type="dxa" w:w="11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w:t>
            </w:r>
          </w:p>
        </w:tc>
        <w:tc>
          <w:tcPr>
            <w:tcW w:type="dxa" w:w="12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−0.0324</w:t>
            </w:r>
          </w:p>
        </w:tc>
        <w:tc>
          <w:tcPr>
            <w:tcW w:type="dxa" w:w="20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21,641.2</w:t>
            </w:r>
          </w:p>
        </w:tc>
        <w:tc>
          <w:tcPr>
            <w:tcW w:type="dxa" w:w="16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10,020.3</w:t>
            </w:r>
          </w:p>
        </w:tc>
      </w:tr>
      <w:tr>
        <w:tc>
          <w:tcPr>
            <w:tcW w:type="dxa" w:w="16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pop</w:t>
            </w:r>
          </w:p>
        </w:tc>
        <w:tc>
          <w:tcPr>
            <w:tcW w:type="dxa" w:w="25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resnet50_sat</w:t>
            </w:r>
          </w:p>
        </w:tc>
        <w:tc>
          <w:tcPr>
            <w:tcW w:type="dxa" w:w="11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w:t>
            </w:r>
          </w:p>
        </w:tc>
        <w:tc>
          <w:tcPr>
            <w:tcW w:type="dxa" w:w="12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−0.2661</w:t>
            </w:r>
          </w:p>
        </w:tc>
        <w:tc>
          <w:tcPr>
            <w:tcW w:type="dxa" w:w="20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23,965.7</w:t>
            </w:r>
          </w:p>
        </w:tc>
        <w:tc>
          <w:tcPr>
            <w:tcW w:type="dxa" w:w="16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11,871.8</w:t>
            </w:r>
          </w:p>
        </w:tc>
      </w:tr>
    </w:tbl>
    <w:p>
      <w:pPr>
        <w:spacing w:before="0" w:after="40"/>
      </w:pPr>
      <w:r>
        <w:t xml:space="preserve"/>
      </w:r>
    </w:p>
    <w:p>
      <w:pPr>
        <w:spacing w:before="0" w:after="120"/>
        <w:jc w:val="center"/>
      </w:pPr>
      <w:r>
        <w:rPr>
          <w:rFonts w:ascii="Times New Roman" w:cs="Times New Roman" w:eastAsia="Times New Roman" w:hAnsi="Times New Roman"/>
          <w:i/>
          <w:iCs/>
          <w:color w:val="555555"/>
          <w:sz w:val="18"/>
          <w:szCs w:val="18"/>
        </w:rPr>
        <w:t xml:space="preserve">Table II. Satellite-only results, seed 42. ★ best R² per task. ⚠ catastrophic failure—exclude from comparative analysis.</w:t>
      </w:r>
    </w:p>
    <w:p>
      <w:pPr>
        <w:spacing w:before="140" w:after="60"/>
        <w:jc w:val="left"/>
      </w:pPr>
      <w:r>
        <w:rPr>
          <w:rFonts w:ascii="Times New Roman" w:cs="Times New Roman" w:eastAsia="Times New Roman" w:hAnsi="Times New Roman"/>
          <w:b/>
          <w:bCs/>
          <w:i/>
          <w:iCs/>
          <w:sz w:val="20"/>
          <w:szCs w:val="20"/>
        </w:rPr>
        <w:t xml:space="preserve">B. Street-Only Results (Seed 42, Street-Enabled Subset)</w:t>
      </w:r>
    </w:p>
    <w:p>
      <w:pPr>
        <w:spacing w:before="0"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100"/>
        <w:gridCol w:w="1200"/>
        <w:gridCol w:w="2000"/>
        <w:gridCol w:w="1980"/>
      </w:tblGrid>
      <w:tr>
        <w:trPr>
          <w:tblHeader/>
        </w:trPr>
        <w:tc>
          <w:tcPr>
            <w:tcW w:type="dxa" w:w="160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Task</w:t>
            </w:r>
          </w:p>
        </w:tc>
        <w:tc>
          <w:tcPr>
            <w:tcW w:type="dxa" w:w="220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Street Encoder</w:t>
            </w:r>
          </w:p>
        </w:tc>
        <w:tc>
          <w:tcPr>
            <w:tcW w:type="dxa" w:w="110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Best Ep.</w:t>
            </w:r>
          </w:p>
        </w:tc>
        <w:tc>
          <w:tcPr>
            <w:tcW w:type="dxa" w:w="120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R²</w:t>
            </w:r>
          </w:p>
        </w:tc>
        <w:tc>
          <w:tcPr>
            <w:tcW w:type="dxa" w:w="200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RMSE</w:t>
            </w:r>
          </w:p>
        </w:tc>
        <w:tc>
          <w:tcPr>
            <w:tcW w:type="dxa" w:w="198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MAE</w:t>
            </w:r>
          </w:p>
        </w:tc>
      </w:tr>
      <w:tr>
        <w:tc>
          <w:tcPr>
            <w:tcW w:type="dxa" w:w="16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gdp</w:t>
            </w:r>
          </w:p>
        </w:tc>
        <w:tc>
          <w:tcPr>
            <w:tcW w:type="dxa" w:w="22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000000"/>
                <w:sz w:val="17"/>
                <w:szCs w:val="17"/>
              </w:rPr>
              <w:t xml:space="preserve">resnet50 ★</w:t>
            </w:r>
          </w:p>
        </w:tc>
        <w:tc>
          <w:tcPr>
            <w:tcW w:type="dxa" w:w="11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7</w:t>
            </w:r>
          </w:p>
        </w:tc>
        <w:tc>
          <w:tcPr>
            <w:tcW w:type="dxa" w:w="12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1F497D"/>
                <w:sz w:val="17"/>
                <w:szCs w:val="17"/>
              </w:rPr>
              <w:t xml:space="preserve">0.3629</w:t>
            </w:r>
          </w:p>
        </w:tc>
        <w:tc>
          <w:tcPr>
            <w:tcW w:type="dxa" w:w="20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4.53 × 10⁸</w:t>
            </w:r>
          </w:p>
        </w:tc>
        <w:tc>
          <w:tcPr>
            <w:tcW w:type="dxa" w:w="19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3.09 × 10⁸</w:t>
            </w:r>
          </w:p>
        </w:tc>
      </w:tr>
      <w:tr>
        <w:tc>
          <w:tcPr>
            <w:tcW w:type="dxa" w:w="16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gdp</w:t>
            </w:r>
          </w:p>
        </w:tc>
        <w:tc>
          <w:tcPr>
            <w:tcW w:type="dxa" w:w="22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dinov2_vitb14</w:t>
            </w:r>
          </w:p>
        </w:tc>
        <w:tc>
          <w:tcPr>
            <w:tcW w:type="dxa" w:w="11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13</w:t>
            </w:r>
          </w:p>
        </w:tc>
        <w:tc>
          <w:tcPr>
            <w:tcW w:type="dxa" w:w="12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0.0342</w:t>
            </w:r>
          </w:p>
        </w:tc>
        <w:tc>
          <w:tcPr>
            <w:tcW w:type="dxa" w:w="20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5.57 × 10⁸</w:t>
            </w:r>
          </w:p>
        </w:tc>
        <w:tc>
          <w:tcPr>
            <w:tcW w:type="dxa" w:w="19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3.44 × 10⁸</w:t>
            </w:r>
          </w:p>
        </w:tc>
      </w:tr>
      <w:tr>
        <w:tc>
          <w:tcPr>
            <w:tcW w:type="dxa" w:w="16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gdp</w:t>
            </w:r>
          </w:p>
        </w:tc>
        <w:tc>
          <w:tcPr>
            <w:tcW w:type="dxa" w:w="22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clip_vitb16</w:t>
            </w:r>
          </w:p>
        </w:tc>
        <w:tc>
          <w:tcPr>
            <w:tcW w:type="dxa" w:w="11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19</w:t>
            </w:r>
          </w:p>
        </w:tc>
        <w:tc>
          <w:tcPr>
            <w:tcW w:type="dxa" w:w="12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−0.0287</w:t>
            </w:r>
          </w:p>
        </w:tc>
        <w:tc>
          <w:tcPr>
            <w:tcW w:type="dxa" w:w="20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5.75 × 10⁸</w:t>
            </w:r>
          </w:p>
        </w:tc>
        <w:tc>
          <w:tcPr>
            <w:tcW w:type="dxa" w:w="19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3.39 × 10⁸</w:t>
            </w:r>
          </w:p>
        </w:tc>
      </w:tr>
      <w:tr>
        <w:tc>
          <w:tcPr>
            <w:tcW w:type="dxa" w:w="16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acc2health</w:t>
            </w:r>
          </w:p>
        </w:tc>
        <w:tc>
          <w:tcPr>
            <w:tcW w:type="dxa" w:w="22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000000"/>
                <w:sz w:val="17"/>
                <w:szCs w:val="17"/>
              </w:rPr>
              <w:t xml:space="preserve">resnet50 ★</w:t>
            </w:r>
          </w:p>
        </w:tc>
        <w:tc>
          <w:tcPr>
            <w:tcW w:type="dxa" w:w="11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21</w:t>
            </w:r>
          </w:p>
        </w:tc>
        <w:tc>
          <w:tcPr>
            <w:tcW w:type="dxa" w:w="12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1F497D"/>
                <w:sz w:val="17"/>
                <w:szCs w:val="17"/>
              </w:rPr>
              <w:t xml:space="preserve">0.3299</w:t>
            </w:r>
          </w:p>
        </w:tc>
        <w:tc>
          <w:tcPr>
            <w:tcW w:type="dxa" w:w="20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8.9596</w:t>
            </w:r>
          </w:p>
        </w:tc>
        <w:tc>
          <w:tcPr>
            <w:tcW w:type="dxa" w:w="19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6.3076</w:t>
            </w:r>
          </w:p>
        </w:tc>
      </w:tr>
      <w:tr>
        <w:tc>
          <w:tcPr>
            <w:tcW w:type="dxa" w:w="16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acc2health</w:t>
            </w:r>
          </w:p>
        </w:tc>
        <w:tc>
          <w:tcPr>
            <w:tcW w:type="dxa" w:w="22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dinov2_vitb14</w:t>
            </w:r>
          </w:p>
        </w:tc>
        <w:tc>
          <w:tcPr>
            <w:tcW w:type="dxa" w:w="11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11</w:t>
            </w:r>
          </w:p>
        </w:tc>
        <w:tc>
          <w:tcPr>
            <w:tcW w:type="dxa" w:w="12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0.0100</w:t>
            </w:r>
          </w:p>
        </w:tc>
        <w:tc>
          <w:tcPr>
            <w:tcW w:type="dxa" w:w="20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10.8903</w:t>
            </w:r>
          </w:p>
        </w:tc>
        <w:tc>
          <w:tcPr>
            <w:tcW w:type="dxa" w:w="19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7.4473</w:t>
            </w:r>
          </w:p>
        </w:tc>
      </w:tr>
      <w:tr>
        <w:tc>
          <w:tcPr>
            <w:tcW w:type="dxa" w:w="16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acc2health</w:t>
            </w:r>
          </w:p>
        </w:tc>
        <w:tc>
          <w:tcPr>
            <w:tcW w:type="dxa" w:w="22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clip_vitb16</w:t>
            </w:r>
          </w:p>
        </w:tc>
        <w:tc>
          <w:tcPr>
            <w:tcW w:type="dxa" w:w="11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3</w:t>
            </w:r>
          </w:p>
        </w:tc>
        <w:tc>
          <w:tcPr>
            <w:tcW w:type="dxa" w:w="12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−0.0031</w:t>
            </w:r>
          </w:p>
        </w:tc>
        <w:tc>
          <w:tcPr>
            <w:tcW w:type="dxa" w:w="20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10.9619</w:t>
            </w:r>
          </w:p>
        </w:tc>
        <w:tc>
          <w:tcPr>
            <w:tcW w:type="dxa" w:w="19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7.3645</w:t>
            </w:r>
          </w:p>
        </w:tc>
      </w:tr>
      <w:tr>
        <w:tc>
          <w:tcPr>
            <w:tcW w:type="dxa" w:w="16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build_height</w:t>
            </w:r>
          </w:p>
        </w:tc>
        <w:tc>
          <w:tcPr>
            <w:tcW w:type="dxa" w:w="22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000000"/>
                <w:sz w:val="17"/>
                <w:szCs w:val="17"/>
              </w:rPr>
              <w:t xml:space="preserve">resnet50 ★</w:t>
            </w:r>
          </w:p>
        </w:tc>
        <w:tc>
          <w:tcPr>
            <w:tcW w:type="dxa" w:w="11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10</w:t>
            </w:r>
          </w:p>
        </w:tc>
        <w:tc>
          <w:tcPr>
            <w:tcW w:type="dxa" w:w="12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1F497D"/>
                <w:sz w:val="17"/>
                <w:szCs w:val="17"/>
              </w:rPr>
              <w:t xml:space="preserve">0.3448</w:t>
            </w:r>
          </w:p>
        </w:tc>
        <w:tc>
          <w:tcPr>
            <w:tcW w:type="dxa" w:w="20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5.7259</w:t>
            </w:r>
          </w:p>
        </w:tc>
        <w:tc>
          <w:tcPr>
            <w:tcW w:type="dxa" w:w="19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4.5244</w:t>
            </w:r>
          </w:p>
        </w:tc>
      </w:tr>
      <w:tr>
        <w:tc>
          <w:tcPr>
            <w:tcW w:type="dxa" w:w="16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build_height</w:t>
            </w:r>
          </w:p>
        </w:tc>
        <w:tc>
          <w:tcPr>
            <w:tcW w:type="dxa" w:w="22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dinov2_vitb14</w:t>
            </w:r>
          </w:p>
        </w:tc>
        <w:tc>
          <w:tcPr>
            <w:tcW w:type="dxa" w:w="11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12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0.3371</w:t>
            </w:r>
          </w:p>
        </w:tc>
        <w:tc>
          <w:tcPr>
            <w:tcW w:type="dxa" w:w="20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5.7597</w:t>
            </w:r>
          </w:p>
        </w:tc>
        <w:tc>
          <w:tcPr>
            <w:tcW w:type="dxa" w:w="19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4.6357</w:t>
            </w:r>
          </w:p>
        </w:tc>
      </w:tr>
      <w:tr>
        <w:tc>
          <w:tcPr>
            <w:tcW w:type="dxa" w:w="16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build_height</w:t>
            </w:r>
          </w:p>
        </w:tc>
        <w:tc>
          <w:tcPr>
            <w:tcW w:type="dxa" w:w="22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clip_vitb16</w:t>
            </w:r>
          </w:p>
        </w:tc>
        <w:tc>
          <w:tcPr>
            <w:tcW w:type="dxa" w:w="11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17</w:t>
            </w:r>
          </w:p>
        </w:tc>
        <w:tc>
          <w:tcPr>
            <w:tcW w:type="dxa" w:w="12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0.2338</w:t>
            </w:r>
          </w:p>
        </w:tc>
        <w:tc>
          <w:tcPr>
            <w:tcW w:type="dxa" w:w="20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6.1918</w:t>
            </w:r>
          </w:p>
        </w:tc>
        <w:tc>
          <w:tcPr>
            <w:tcW w:type="dxa" w:w="19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4.9163</w:t>
            </w:r>
          </w:p>
        </w:tc>
      </w:tr>
      <w:tr>
        <w:tc>
          <w:tcPr>
            <w:tcW w:type="dxa" w:w="16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pop</w:t>
            </w:r>
          </w:p>
        </w:tc>
        <w:tc>
          <w:tcPr>
            <w:tcW w:type="dxa" w:w="22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000000"/>
                <w:sz w:val="17"/>
                <w:szCs w:val="17"/>
              </w:rPr>
              <w:t xml:space="preserve">dinov2_vitb14 ★</w:t>
            </w:r>
          </w:p>
        </w:tc>
        <w:tc>
          <w:tcPr>
            <w:tcW w:type="dxa" w:w="11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w:t>
            </w:r>
          </w:p>
        </w:tc>
        <w:tc>
          <w:tcPr>
            <w:tcW w:type="dxa" w:w="12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1F497D"/>
                <w:sz w:val="17"/>
                <w:szCs w:val="17"/>
              </w:rPr>
              <w:t xml:space="preserve">0.0058</w:t>
            </w:r>
          </w:p>
        </w:tc>
        <w:tc>
          <w:tcPr>
            <w:tcW w:type="dxa" w:w="20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12,341.3</w:t>
            </w:r>
          </w:p>
        </w:tc>
        <w:tc>
          <w:tcPr>
            <w:tcW w:type="dxa" w:w="19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9,162.3</w:t>
            </w:r>
          </w:p>
        </w:tc>
      </w:tr>
      <w:tr>
        <w:tc>
          <w:tcPr>
            <w:tcW w:type="dxa" w:w="16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pop</w:t>
            </w:r>
          </w:p>
        </w:tc>
        <w:tc>
          <w:tcPr>
            <w:tcW w:type="dxa" w:w="22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clip_vitb16</w:t>
            </w:r>
          </w:p>
        </w:tc>
        <w:tc>
          <w:tcPr>
            <w:tcW w:type="dxa" w:w="11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5</w:t>
            </w:r>
          </w:p>
        </w:tc>
        <w:tc>
          <w:tcPr>
            <w:tcW w:type="dxa" w:w="12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−0.3057</w:t>
            </w:r>
          </w:p>
        </w:tc>
        <w:tc>
          <w:tcPr>
            <w:tcW w:type="dxa" w:w="20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14,142.8</w:t>
            </w:r>
          </w:p>
        </w:tc>
        <w:tc>
          <w:tcPr>
            <w:tcW w:type="dxa" w:w="19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9,081.8</w:t>
            </w:r>
          </w:p>
        </w:tc>
      </w:tr>
      <w:tr>
        <w:tc>
          <w:tcPr>
            <w:tcW w:type="dxa" w:w="16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pop</w:t>
            </w:r>
          </w:p>
        </w:tc>
        <w:tc>
          <w:tcPr>
            <w:tcW w:type="dxa" w:w="22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resnet50</w:t>
            </w:r>
          </w:p>
        </w:tc>
        <w:tc>
          <w:tcPr>
            <w:tcW w:type="dxa" w:w="11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w:t>
            </w:r>
          </w:p>
        </w:tc>
        <w:tc>
          <w:tcPr>
            <w:tcW w:type="dxa" w:w="12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−0.4352</w:t>
            </w:r>
          </w:p>
        </w:tc>
        <w:tc>
          <w:tcPr>
            <w:tcW w:type="dxa" w:w="20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14,827.6</w:t>
            </w:r>
          </w:p>
        </w:tc>
        <w:tc>
          <w:tcPr>
            <w:tcW w:type="dxa" w:w="19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9,242.0</w:t>
            </w:r>
          </w:p>
        </w:tc>
      </w:tr>
    </w:tbl>
    <w:p>
      <w:pPr>
        <w:spacing w:before="0" w:after="40"/>
      </w:pPr>
      <w:r>
        <w:t xml:space="preserve"/>
      </w:r>
    </w:p>
    <w:p>
      <w:pPr>
        <w:spacing w:before="0" w:after="120"/>
        <w:jc w:val="center"/>
      </w:pPr>
      <w:r>
        <w:rPr>
          <w:rFonts w:ascii="Times New Roman" w:cs="Times New Roman" w:eastAsia="Times New Roman" w:hAnsi="Times New Roman"/>
          <w:i/>
          <w:iCs/>
          <w:color w:val="555555"/>
          <w:sz w:val="18"/>
          <w:szCs w:val="18"/>
        </w:rPr>
        <w:t xml:space="preserve">Table III. Street-only results, seed 42. ★ best R² per task.</w:t>
      </w:r>
    </w:p>
    <w:p>
      <w:pPr>
        <w:spacing w:before="140" w:after="60"/>
        <w:jc w:val="left"/>
      </w:pPr>
      <w:r>
        <w:rPr>
          <w:rFonts w:ascii="Times New Roman" w:cs="Times New Roman" w:eastAsia="Times New Roman" w:hAnsi="Times New Roman"/>
          <w:b/>
          <w:bCs/>
          <w:i/>
          <w:iCs/>
          <w:sz w:val="20"/>
          <w:szCs w:val="20"/>
        </w:rPr>
        <w:t xml:space="preserve">C. Fusion Results (Prithvi + Street; Seed 42)</w:t>
      </w:r>
    </w:p>
    <w:p>
      <w:pPr>
        <w:spacing w:before="0" w:after="4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000"/>
        <w:gridCol w:w="700"/>
        <w:gridCol w:w="900"/>
        <w:gridCol w:w="1200"/>
        <w:gridCol w:w="2180"/>
      </w:tblGrid>
      <w:tr>
        <w:trPr>
          <w:tblHeader/>
        </w:trPr>
        <w:tc>
          <w:tcPr>
            <w:tcW w:type="dxa" w:w="140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Task</w:t>
            </w:r>
          </w:p>
        </w:tc>
        <w:tc>
          <w:tcPr>
            <w:tcW w:type="dxa" w:w="170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Street Enc.</w:t>
            </w:r>
          </w:p>
        </w:tc>
        <w:tc>
          <w:tcPr>
            <w:tcW w:type="dxa" w:w="100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Fusion</w:t>
            </w:r>
          </w:p>
        </w:tc>
        <w:tc>
          <w:tcPr>
            <w:tcW w:type="dxa" w:w="70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Ep.</w:t>
            </w:r>
          </w:p>
        </w:tc>
        <w:tc>
          <w:tcPr>
            <w:tcW w:type="dxa" w:w="90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Best Ep.</w:t>
            </w:r>
          </w:p>
        </w:tc>
        <w:tc>
          <w:tcPr>
            <w:tcW w:type="dxa" w:w="120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R²</w:t>
            </w:r>
          </w:p>
        </w:tc>
        <w:tc>
          <w:tcPr>
            <w:tcW w:type="dxa" w:w="218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RMSE</w:t>
            </w:r>
          </w:p>
        </w:tc>
      </w:tr>
      <w:tr>
        <w:tc>
          <w:tcPr>
            <w:tcW w:type="dxa" w:w="14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acc2health</w:t>
            </w:r>
          </w:p>
        </w:tc>
        <w:tc>
          <w:tcPr>
            <w:tcW w:type="dxa" w:w="17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clip_vitb16</w:t>
            </w:r>
          </w:p>
        </w:tc>
        <w:tc>
          <w:tcPr>
            <w:tcW w:type="dxa" w:w="10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gated</w:t>
            </w:r>
          </w:p>
        </w:tc>
        <w:tc>
          <w:tcPr>
            <w:tcW w:type="dxa" w:w="7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30</w:t>
            </w:r>
          </w:p>
        </w:tc>
        <w:tc>
          <w:tcPr>
            <w:tcW w:type="dxa" w:w="9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19</w:t>
            </w:r>
          </w:p>
        </w:tc>
        <w:tc>
          <w:tcPr>
            <w:tcW w:type="dxa" w:w="12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0.1672</w:t>
            </w:r>
          </w:p>
        </w:tc>
        <w:tc>
          <w:tcPr>
            <w:tcW w:type="dxa" w:w="21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9.9885</w:t>
            </w:r>
          </w:p>
        </w:tc>
      </w:tr>
      <w:tr>
        <w:tc>
          <w:tcPr>
            <w:tcW w:type="dxa" w:w="14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acc2health</w:t>
            </w:r>
          </w:p>
        </w:tc>
        <w:tc>
          <w:tcPr>
            <w:tcW w:type="dxa" w:w="17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clip_vitb16</w:t>
            </w:r>
          </w:p>
        </w:tc>
        <w:tc>
          <w:tcPr>
            <w:tcW w:type="dxa" w:w="10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late</w:t>
            </w:r>
          </w:p>
        </w:tc>
        <w:tc>
          <w:tcPr>
            <w:tcW w:type="dxa" w:w="7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30</w:t>
            </w:r>
          </w:p>
        </w:tc>
        <w:tc>
          <w:tcPr>
            <w:tcW w:type="dxa" w:w="9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13</w:t>
            </w:r>
          </w:p>
        </w:tc>
        <w:tc>
          <w:tcPr>
            <w:tcW w:type="dxa" w:w="12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0.1347</w:t>
            </w:r>
          </w:p>
        </w:tc>
        <w:tc>
          <w:tcPr>
            <w:tcW w:type="dxa" w:w="21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10.1811</w:t>
            </w:r>
          </w:p>
        </w:tc>
      </w:tr>
      <w:tr>
        <w:tc>
          <w:tcPr>
            <w:tcW w:type="dxa" w:w="14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acc2health</w:t>
            </w:r>
          </w:p>
        </w:tc>
        <w:tc>
          <w:tcPr>
            <w:tcW w:type="dxa" w:w="17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resnet50</w:t>
            </w:r>
          </w:p>
        </w:tc>
        <w:tc>
          <w:tcPr>
            <w:tcW w:type="dxa" w:w="10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gated</w:t>
            </w:r>
          </w:p>
        </w:tc>
        <w:tc>
          <w:tcPr>
            <w:tcW w:type="dxa" w:w="7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30</w:t>
            </w:r>
          </w:p>
        </w:tc>
        <w:tc>
          <w:tcPr>
            <w:tcW w:type="dxa" w:w="9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3</w:t>
            </w:r>
          </w:p>
        </w:tc>
        <w:tc>
          <w:tcPr>
            <w:tcW w:type="dxa" w:w="12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0.1612</w:t>
            </w:r>
          </w:p>
        </w:tc>
        <w:tc>
          <w:tcPr>
            <w:tcW w:type="dxa" w:w="21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10.0244</w:t>
            </w:r>
          </w:p>
        </w:tc>
      </w:tr>
      <w:tr>
        <w:tc>
          <w:tcPr>
            <w:tcW w:type="dxa" w:w="14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acc2health</w:t>
            </w:r>
          </w:p>
        </w:tc>
        <w:tc>
          <w:tcPr>
            <w:tcW w:type="dxa" w:w="17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000000"/>
                <w:sz w:val="17"/>
                <w:szCs w:val="17"/>
              </w:rPr>
              <w:t xml:space="preserve">resnet50 ★</w:t>
            </w:r>
          </w:p>
        </w:tc>
        <w:tc>
          <w:tcPr>
            <w:tcW w:type="dxa" w:w="10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late</w:t>
            </w:r>
          </w:p>
        </w:tc>
        <w:tc>
          <w:tcPr>
            <w:tcW w:type="dxa" w:w="7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30</w:t>
            </w:r>
          </w:p>
        </w:tc>
        <w:tc>
          <w:tcPr>
            <w:tcW w:type="dxa" w:w="9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12</w:t>
            </w:r>
          </w:p>
        </w:tc>
        <w:tc>
          <w:tcPr>
            <w:tcW w:type="dxa" w:w="12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1F497D"/>
                <w:sz w:val="17"/>
                <w:szCs w:val="17"/>
              </w:rPr>
              <w:t xml:space="preserve">0.1909</w:t>
            </w:r>
          </w:p>
        </w:tc>
        <w:tc>
          <w:tcPr>
            <w:tcW w:type="dxa" w:w="21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9.8452</w:t>
            </w:r>
          </w:p>
        </w:tc>
      </w:tr>
      <w:tr>
        <w:tc>
          <w:tcPr>
            <w:tcW w:type="dxa" w:w="14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build_height</w:t>
            </w:r>
          </w:p>
        </w:tc>
        <w:tc>
          <w:tcPr>
            <w:tcW w:type="dxa" w:w="17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dinov2_vitb14</w:t>
            </w:r>
          </w:p>
        </w:tc>
        <w:tc>
          <w:tcPr>
            <w:tcW w:type="dxa" w:w="10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gated</w:t>
            </w:r>
          </w:p>
        </w:tc>
        <w:tc>
          <w:tcPr>
            <w:tcW w:type="dxa" w:w="7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30</w:t>
            </w:r>
          </w:p>
        </w:tc>
        <w:tc>
          <w:tcPr>
            <w:tcW w:type="dxa" w:w="9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21</w:t>
            </w:r>
          </w:p>
        </w:tc>
        <w:tc>
          <w:tcPr>
            <w:tcW w:type="dxa" w:w="12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0.8653</w:t>
            </w:r>
          </w:p>
        </w:tc>
        <w:tc>
          <w:tcPr>
            <w:tcW w:type="dxa" w:w="21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2.5963</w:t>
            </w:r>
          </w:p>
        </w:tc>
      </w:tr>
      <w:tr>
        <w:tc>
          <w:tcPr>
            <w:tcW w:type="dxa" w:w="14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build_height</w:t>
            </w:r>
          </w:p>
        </w:tc>
        <w:tc>
          <w:tcPr>
            <w:tcW w:type="dxa" w:w="17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000000"/>
                <w:sz w:val="17"/>
                <w:szCs w:val="17"/>
              </w:rPr>
              <w:t xml:space="preserve">dinov2_vitb14 ★</w:t>
            </w:r>
          </w:p>
        </w:tc>
        <w:tc>
          <w:tcPr>
            <w:tcW w:type="dxa" w:w="10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000000"/>
                <w:sz w:val="17"/>
                <w:szCs w:val="17"/>
              </w:rPr>
              <w:t xml:space="preserve">late ★</w:t>
            </w:r>
          </w:p>
        </w:tc>
        <w:tc>
          <w:tcPr>
            <w:tcW w:type="dxa" w:w="7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30</w:t>
            </w:r>
          </w:p>
        </w:tc>
        <w:tc>
          <w:tcPr>
            <w:tcW w:type="dxa" w:w="9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23</w:t>
            </w:r>
          </w:p>
        </w:tc>
        <w:tc>
          <w:tcPr>
            <w:tcW w:type="dxa" w:w="12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1F497D"/>
                <w:sz w:val="17"/>
                <w:szCs w:val="17"/>
              </w:rPr>
              <w:t xml:space="preserve">0.8723</w:t>
            </w:r>
          </w:p>
        </w:tc>
        <w:tc>
          <w:tcPr>
            <w:tcW w:type="dxa" w:w="21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2.5274</w:t>
            </w:r>
          </w:p>
        </w:tc>
      </w:tr>
      <w:tr>
        <w:tc>
          <w:tcPr>
            <w:tcW w:type="dxa" w:w="14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build_height</w:t>
            </w:r>
          </w:p>
        </w:tc>
        <w:tc>
          <w:tcPr>
            <w:tcW w:type="dxa" w:w="17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resnet50</w:t>
            </w:r>
          </w:p>
        </w:tc>
        <w:tc>
          <w:tcPr>
            <w:tcW w:type="dxa" w:w="10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gated</w:t>
            </w:r>
          </w:p>
        </w:tc>
        <w:tc>
          <w:tcPr>
            <w:tcW w:type="dxa" w:w="7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30</w:t>
            </w:r>
          </w:p>
        </w:tc>
        <w:tc>
          <w:tcPr>
            <w:tcW w:type="dxa" w:w="9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28</w:t>
            </w:r>
          </w:p>
        </w:tc>
        <w:tc>
          <w:tcPr>
            <w:tcW w:type="dxa" w:w="12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0.8593</w:t>
            </w:r>
          </w:p>
        </w:tc>
        <w:tc>
          <w:tcPr>
            <w:tcW w:type="dxa" w:w="21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2.6532</w:t>
            </w:r>
          </w:p>
        </w:tc>
      </w:tr>
      <w:tr>
        <w:tc>
          <w:tcPr>
            <w:tcW w:type="dxa" w:w="14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build_height</w:t>
            </w:r>
          </w:p>
        </w:tc>
        <w:tc>
          <w:tcPr>
            <w:tcW w:type="dxa" w:w="17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resnet50</w:t>
            </w:r>
          </w:p>
        </w:tc>
        <w:tc>
          <w:tcPr>
            <w:tcW w:type="dxa" w:w="10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late</w:t>
            </w:r>
          </w:p>
        </w:tc>
        <w:tc>
          <w:tcPr>
            <w:tcW w:type="dxa" w:w="7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30</w:t>
            </w:r>
          </w:p>
        </w:tc>
        <w:tc>
          <w:tcPr>
            <w:tcW w:type="dxa" w:w="9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28</w:t>
            </w:r>
          </w:p>
        </w:tc>
        <w:tc>
          <w:tcPr>
            <w:tcW w:type="dxa" w:w="12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0.8484</w:t>
            </w:r>
          </w:p>
        </w:tc>
        <w:tc>
          <w:tcPr>
            <w:tcW w:type="dxa" w:w="21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2.7541</w:t>
            </w:r>
          </w:p>
        </w:tc>
      </w:tr>
      <w:tr>
        <w:tc>
          <w:tcPr>
            <w:tcW w:type="dxa" w:w="14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gdp</w:t>
            </w:r>
          </w:p>
        </w:tc>
        <w:tc>
          <w:tcPr>
            <w:tcW w:type="dxa" w:w="17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clip_vitb16</w:t>
            </w:r>
          </w:p>
        </w:tc>
        <w:tc>
          <w:tcPr>
            <w:tcW w:type="dxa" w:w="10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gated</w:t>
            </w:r>
          </w:p>
        </w:tc>
        <w:tc>
          <w:tcPr>
            <w:tcW w:type="dxa" w:w="7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20</w:t>
            </w:r>
          </w:p>
        </w:tc>
        <w:tc>
          <w:tcPr>
            <w:tcW w:type="dxa" w:w="9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18</w:t>
            </w:r>
          </w:p>
        </w:tc>
        <w:tc>
          <w:tcPr>
            <w:tcW w:type="dxa" w:w="12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0.0151</w:t>
            </w:r>
          </w:p>
        </w:tc>
        <w:tc>
          <w:tcPr>
            <w:tcW w:type="dxa" w:w="21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5.63 × 10⁸</w:t>
            </w:r>
          </w:p>
        </w:tc>
      </w:tr>
      <w:tr>
        <w:tc>
          <w:tcPr>
            <w:tcW w:type="dxa" w:w="14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gdp</w:t>
            </w:r>
          </w:p>
        </w:tc>
        <w:tc>
          <w:tcPr>
            <w:tcW w:type="dxa" w:w="17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clip_vitb16</w:t>
            </w:r>
          </w:p>
        </w:tc>
        <w:tc>
          <w:tcPr>
            <w:tcW w:type="dxa" w:w="10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late</w:t>
            </w:r>
          </w:p>
        </w:tc>
        <w:tc>
          <w:tcPr>
            <w:tcW w:type="dxa" w:w="7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20</w:t>
            </w:r>
          </w:p>
        </w:tc>
        <w:tc>
          <w:tcPr>
            <w:tcW w:type="dxa" w:w="9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18</w:t>
            </w:r>
          </w:p>
        </w:tc>
        <w:tc>
          <w:tcPr>
            <w:tcW w:type="dxa" w:w="12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0.3450</w:t>
            </w:r>
          </w:p>
        </w:tc>
        <w:tc>
          <w:tcPr>
            <w:tcW w:type="dxa" w:w="21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4.59 × 10⁸</w:t>
            </w:r>
          </w:p>
        </w:tc>
      </w:tr>
      <w:tr>
        <w:tc>
          <w:tcPr>
            <w:tcW w:type="dxa" w:w="14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gdp</w:t>
            </w:r>
          </w:p>
        </w:tc>
        <w:tc>
          <w:tcPr>
            <w:tcW w:type="dxa" w:w="17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dinov2_vitb14</w:t>
            </w:r>
          </w:p>
        </w:tc>
        <w:tc>
          <w:tcPr>
            <w:tcW w:type="dxa" w:w="10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gated</w:t>
            </w:r>
          </w:p>
        </w:tc>
        <w:tc>
          <w:tcPr>
            <w:tcW w:type="dxa" w:w="7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20</w:t>
            </w:r>
          </w:p>
        </w:tc>
        <w:tc>
          <w:tcPr>
            <w:tcW w:type="dxa" w:w="9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w:t>
            </w:r>
          </w:p>
        </w:tc>
        <w:tc>
          <w:tcPr>
            <w:tcW w:type="dxa" w:w="12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0.0172</w:t>
            </w:r>
          </w:p>
        </w:tc>
        <w:tc>
          <w:tcPr>
            <w:tcW w:type="dxa" w:w="21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5.62 × 10⁸</w:t>
            </w:r>
          </w:p>
        </w:tc>
      </w:tr>
      <w:tr>
        <w:tc>
          <w:tcPr>
            <w:tcW w:type="dxa" w:w="14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gdp</w:t>
            </w:r>
          </w:p>
        </w:tc>
        <w:tc>
          <w:tcPr>
            <w:tcW w:type="dxa" w:w="17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dinov2_vitb14</w:t>
            </w:r>
          </w:p>
        </w:tc>
        <w:tc>
          <w:tcPr>
            <w:tcW w:type="dxa" w:w="10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late</w:t>
            </w:r>
          </w:p>
        </w:tc>
        <w:tc>
          <w:tcPr>
            <w:tcW w:type="dxa" w:w="7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20</w:t>
            </w:r>
          </w:p>
        </w:tc>
        <w:tc>
          <w:tcPr>
            <w:tcW w:type="dxa" w:w="9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20</w:t>
            </w:r>
          </w:p>
        </w:tc>
        <w:tc>
          <w:tcPr>
            <w:tcW w:type="dxa" w:w="12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0.3966</w:t>
            </w:r>
          </w:p>
        </w:tc>
        <w:tc>
          <w:tcPr>
            <w:tcW w:type="dxa" w:w="21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4.41 × 10⁸</w:t>
            </w:r>
          </w:p>
        </w:tc>
      </w:tr>
      <w:tr>
        <w:tc>
          <w:tcPr>
            <w:tcW w:type="dxa" w:w="14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gdp</w:t>
            </w:r>
          </w:p>
        </w:tc>
        <w:tc>
          <w:tcPr>
            <w:tcW w:type="dxa" w:w="17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000000"/>
                <w:sz w:val="17"/>
                <w:szCs w:val="17"/>
              </w:rPr>
              <w:t xml:space="preserve">resnet50 ★</w:t>
            </w:r>
          </w:p>
        </w:tc>
        <w:tc>
          <w:tcPr>
            <w:tcW w:type="dxa" w:w="10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gated</w:t>
            </w:r>
          </w:p>
        </w:tc>
        <w:tc>
          <w:tcPr>
            <w:tcW w:type="dxa" w:w="7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20</w:t>
            </w:r>
          </w:p>
        </w:tc>
        <w:tc>
          <w:tcPr>
            <w:tcW w:type="dxa" w:w="9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20</w:t>
            </w:r>
          </w:p>
        </w:tc>
        <w:tc>
          <w:tcPr>
            <w:tcW w:type="dxa" w:w="12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1F497D"/>
                <w:sz w:val="17"/>
                <w:szCs w:val="17"/>
              </w:rPr>
              <w:t xml:space="preserve">0.4437</w:t>
            </w:r>
          </w:p>
        </w:tc>
        <w:tc>
          <w:tcPr>
            <w:tcW w:type="dxa" w:w="21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4.23 × 10⁸</w:t>
            </w:r>
          </w:p>
        </w:tc>
      </w:tr>
      <w:tr>
        <w:tc>
          <w:tcPr>
            <w:tcW w:type="dxa" w:w="14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gdp</w:t>
            </w:r>
          </w:p>
        </w:tc>
        <w:tc>
          <w:tcPr>
            <w:tcW w:type="dxa" w:w="17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resnet50</w:t>
            </w:r>
          </w:p>
        </w:tc>
        <w:tc>
          <w:tcPr>
            <w:tcW w:type="dxa" w:w="10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late</w:t>
            </w:r>
          </w:p>
        </w:tc>
        <w:tc>
          <w:tcPr>
            <w:tcW w:type="dxa" w:w="7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20</w:t>
            </w:r>
          </w:p>
        </w:tc>
        <w:tc>
          <w:tcPr>
            <w:tcW w:type="dxa" w:w="9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6</w:t>
            </w:r>
          </w:p>
        </w:tc>
        <w:tc>
          <w:tcPr>
            <w:tcW w:type="dxa" w:w="12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0.3713</w:t>
            </w:r>
          </w:p>
        </w:tc>
        <w:tc>
          <w:tcPr>
            <w:tcW w:type="dxa" w:w="21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4.50 × 10⁸</w:t>
            </w:r>
          </w:p>
        </w:tc>
      </w:tr>
      <w:tr>
        <w:tc>
          <w:tcPr>
            <w:tcW w:type="dxa" w:w="14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pop</w:t>
            </w:r>
          </w:p>
        </w:tc>
        <w:tc>
          <w:tcPr>
            <w:tcW w:type="dxa" w:w="17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dinov2_vitb14</w:t>
            </w:r>
          </w:p>
        </w:tc>
        <w:tc>
          <w:tcPr>
            <w:tcW w:type="dxa" w:w="10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gated</w:t>
            </w:r>
          </w:p>
        </w:tc>
        <w:tc>
          <w:tcPr>
            <w:tcW w:type="dxa" w:w="7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5</w:t>
            </w:r>
          </w:p>
        </w:tc>
        <w:tc>
          <w:tcPr>
            <w:tcW w:type="dxa" w:w="9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w:t>
            </w:r>
          </w:p>
        </w:tc>
        <w:tc>
          <w:tcPr>
            <w:tcW w:type="dxa" w:w="12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−0.3291</w:t>
            </w:r>
          </w:p>
        </w:tc>
        <w:tc>
          <w:tcPr>
            <w:tcW w:type="dxa" w:w="21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14,269</w:t>
            </w:r>
          </w:p>
        </w:tc>
      </w:tr>
      <w:tr>
        <w:tc>
          <w:tcPr>
            <w:tcW w:type="dxa" w:w="14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pop</w:t>
            </w:r>
          </w:p>
        </w:tc>
        <w:tc>
          <w:tcPr>
            <w:tcW w:type="dxa" w:w="17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dinov2_vitb14</w:t>
            </w:r>
          </w:p>
        </w:tc>
        <w:tc>
          <w:tcPr>
            <w:tcW w:type="dxa" w:w="10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late</w:t>
            </w:r>
          </w:p>
        </w:tc>
        <w:tc>
          <w:tcPr>
            <w:tcW w:type="dxa" w:w="7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5</w:t>
            </w:r>
          </w:p>
        </w:tc>
        <w:tc>
          <w:tcPr>
            <w:tcW w:type="dxa" w:w="9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5</w:t>
            </w:r>
          </w:p>
        </w:tc>
        <w:tc>
          <w:tcPr>
            <w:tcW w:type="dxa" w:w="12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−0.4849</w:t>
            </w:r>
          </w:p>
        </w:tc>
        <w:tc>
          <w:tcPr>
            <w:tcW w:type="dxa" w:w="21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15,082</w:t>
            </w:r>
          </w:p>
        </w:tc>
      </w:tr>
      <w:tr>
        <w:tc>
          <w:tcPr>
            <w:tcW w:type="dxa" w:w="14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pop</w:t>
            </w:r>
          </w:p>
        </w:tc>
        <w:tc>
          <w:tcPr>
            <w:tcW w:type="dxa" w:w="17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resnet50</w:t>
            </w:r>
          </w:p>
        </w:tc>
        <w:tc>
          <w:tcPr>
            <w:tcW w:type="dxa" w:w="10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gated</w:t>
            </w:r>
          </w:p>
        </w:tc>
        <w:tc>
          <w:tcPr>
            <w:tcW w:type="dxa" w:w="7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5</w:t>
            </w:r>
          </w:p>
        </w:tc>
        <w:tc>
          <w:tcPr>
            <w:tcW w:type="dxa" w:w="9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4</w:t>
            </w:r>
          </w:p>
        </w:tc>
        <w:tc>
          <w:tcPr>
            <w:tcW w:type="dxa" w:w="12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−0.2942</w:t>
            </w:r>
          </w:p>
        </w:tc>
        <w:tc>
          <w:tcPr>
            <w:tcW w:type="dxa" w:w="21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14,080</w:t>
            </w:r>
          </w:p>
        </w:tc>
      </w:tr>
      <w:tr>
        <w:tc>
          <w:tcPr>
            <w:tcW w:type="dxa" w:w="14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pop</w:t>
            </w:r>
          </w:p>
        </w:tc>
        <w:tc>
          <w:tcPr>
            <w:tcW w:type="dxa" w:w="17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resnet50</w:t>
            </w:r>
          </w:p>
        </w:tc>
        <w:tc>
          <w:tcPr>
            <w:tcW w:type="dxa" w:w="10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late</w:t>
            </w:r>
          </w:p>
        </w:tc>
        <w:tc>
          <w:tcPr>
            <w:tcW w:type="dxa" w:w="7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5</w:t>
            </w:r>
          </w:p>
        </w:tc>
        <w:tc>
          <w:tcPr>
            <w:tcW w:type="dxa" w:w="9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4</w:t>
            </w:r>
          </w:p>
        </w:tc>
        <w:tc>
          <w:tcPr>
            <w:tcW w:type="dxa" w:w="12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−0.3487</w:t>
            </w:r>
          </w:p>
        </w:tc>
        <w:tc>
          <w:tcPr>
            <w:tcW w:type="dxa" w:w="21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14,374</w:t>
            </w:r>
          </w:p>
        </w:tc>
      </w:tr>
    </w:tbl>
    <w:p>
      <w:pPr>
        <w:spacing w:before="0" w:after="40"/>
      </w:pPr>
      <w:r>
        <w:t xml:space="preserve"/>
      </w:r>
    </w:p>
    <w:p>
      <w:pPr>
        <w:spacing w:before="0" w:after="120"/>
        <w:jc w:val="center"/>
      </w:pPr>
      <w:r>
        <w:rPr>
          <w:rFonts w:ascii="Times New Roman" w:cs="Times New Roman" w:eastAsia="Times New Roman" w:hAnsi="Times New Roman"/>
          <w:i/>
          <w:iCs/>
          <w:color w:val="555555"/>
          <w:sz w:val="18"/>
          <w:szCs w:val="18"/>
        </w:rPr>
        <w:t xml:space="preserve">Table IV. Fusion results (Prithvi satellite + street encoder), seed 42. ★ best per task.</w:t>
      </w:r>
    </w:p>
    <w:p>
      <w:pPr>
        <w:spacing w:before="140" w:after="60"/>
        <w:jc w:val="left"/>
      </w:pPr>
      <w:r>
        <w:rPr>
          <w:rFonts w:ascii="Times New Roman" w:cs="Times New Roman" w:eastAsia="Times New Roman" w:hAnsi="Times New Roman"/>
          <w:b/>
          <w:bCs/>
          <w:i/>
          <w:iCs/>
          <w:sz w:val="20"/>
          <w:szCs w:val="20"/>
        </w:rPr>
        <w:t xml:space="preserve">D. Paired Multi-Seed Results (Seeds 42 and 43)</w:t>
      </w:r>
    </w:p>
    <w:p>
      <w:pPr>
        <w:spacing w:before="0" w:after="80" w:line="240"/>
        <w:jc w:val="both"/>
      </w:pPr>
      <w:r>
        <w:rPr>
          <w:rFonts w:ascii="Times New Roman" w:cs="Times New Roman" w:eastAsia="Times New Roman" w:hAnsi="Times New Roman"/>
          <w:b w:val="false"/>
          <w:bCs w:val="false"/>
          <w:i w:val="false"/>
          <w:iCs w:val="false"/>
          <w:color w:val="000000"/>
          <w:sz w:val="20"/>
          <w:szCs w:val="20"/>
        </w:rPr>
        <w:t xml:space="preserve">The following table reports mean ± std computed from the strict paired shared-split package (seeds 42 and 43 only, same validation IDs across branches). Legacy rows from different checkpoints are excluded from the paired means. This is the primary evidence table for cross-modal claims.</w:t>
      </w:r>
    </w:p>
    <w:p>
      <w:pPr>
        <w:spacing w:before="0"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900"/>
        <w:gridCol w:w="2000"/>
        <w:gridCol w:w="2000"/>
        <w:gridCol w:w="1180"/>
      </w:tblGrid>
      <w:tr>
        <w:trPr>
          <w:tblHeader/>
        </w:trPr>
        <w:tc>
          <w:tcPr>
            <w:tcW w:type="dxa" w:w="150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Task</w:t>
            </w:r>
          </w:p>
        </w:tc>
        <w:tc>
          <w:tcPr>
            <w:tcW w:type="dxa" w:w="250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Branch / Model</w:t>
            </w:r>
          </w:p>
        </w:tc>
        <w:tc>
          <w:tcPr>
            <w:tcW w:type="dxa" w:w="90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Seeds</w:t>
            </w:r>
          </w:p>
        </w:tc>
        <w:tc>
          <w:tcPr>
            <w:tcW w:type="dxa" w:w="200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R² mean ± std</w:t>
            </w:r>
          </w:p>
        </w:tc>
        <w:tc>
          <w:tcPr>
            <w:tcW w:type="dxa" w:w="200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RMSE mean ± std</w:t>
            </w:r>
          </w:p>
        </w:tc>
        <w:tc>
          <w:tcPr>
            <w:tcW w:type="dxa" w:w="118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Claim strength</w:t>
            </w:r>
          </w:p>
        </w:tc>
      </w:tr>
      <w:tr>
        <w:tc>
          <w:tcPr>
            <w:tcW w:type="dxa" w:w="15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000000"/>
                <w:sz w:val="17"/>
                <w:szCs w:val="17"/>
              </w:rPr>
              <w:t xml:space="preserve">build_height</w:t>
            </w:r>
          </w:p>
        </w:tc>
        <w:tc>
          <w:tcPr>
            <w:tcW w:type="dxa" w:w="25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000000"/>
                <w:sz w:val="17"/>
                <w:szCs w:val="17"/>
              </w:rPr>
              <w:t xml:space="preserve">Fusion (Prithvi + DINOv2 late)</w:t>
            </w:r>
          </w:p>
        </w:tc>
        <w:tc>
          <w:tcPr>
            <w:tcW w:type="dxa" w:w="9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42, 43</w:t>
            </w:r>
          </w:p>
        </w:tc>
        <w:tc>
          <w:tcPr>
            <w:tcW w:type="dxa" w:w="20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1F497D"/>
                <w:sz w:val="17"/>
                <w:szCs w:val="17"/>
              </w:rPr>
              <w:t xml:space="preserve">0.8495 ± 0.0324</w:t>
            </w:r>
          </w:p>
        </w:tc>
        <w:tc>
          <w:tcPr>
            <w:tcW w:type="dxa" w:w="20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000000"/>
                <w:sz w:val="17"/>
                <w:szCs w:val="17"/>
              </w:rPr>
              <w:t xml:space="preserve">2.612 ± 0.119</w:t>
            </w:r>
          </w:p>
        </w:tc>
        <w:tc>
          <w:tcPr>
            <w:tcW w:type="dxa" w:w="11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6600"/>
                <w:sz w:val="17"/>
                <w:szCs w:val="17"/>
              </w:rPr>
              <w:t xml:space="preserve">Supported ✓</w:t>
            </w:r>
          </w:p>
        </w:tc>
      </w:tr>
      <w:tr>
        <w:tc>
          <w:tcPr>
            <w:tcW w:type="dxa" w:w="15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build_height</w:t>
            </w:r>
          </w:p>
        </w:tc>
        <w:tc>
          <w:tcPr>
            <w:tcW w:type="dxa" w:w="25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Satellite (Prithvi)</w:t>
            </w:r>
          </w:p>
        </w:tc>
        <w:tc>
          <w:tcPr>
            <w:tcW w:type="dxa" w:w="9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42, 43</w:t>
            </w:r>
          </w:p>
        </w:tc>
        <w:tc>
          <w:tcPr>
            <w:tcW w:type="dxa" w:w="20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0.8114 ± 0.0829</w:t>
            </w:r>
          </w:p>
        </w:tc>
        <w:tc>
          <w:tcPr>
            <w:tcW w:type="dxa" w:w="20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2.926 ± 0.836</w:t>
            </w:r>
          </w:p>
        </w:tc>
        <w:tc>
          <w:tcPr>
            <w:tcW w:type="dxa" w:w="11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6600"/>
                <w:sz w:val="17"/>
                <w:szCs w:val="17"/>
              </w:rPr>
              <w:t xml:space="preserve">Supported ✓</w:t>
            </w:r>
          </w:p>
        </w:tc>
      </w:tr>
      <w:tr>
        <w:tc>
          <w:tcPr>
            <w:tcW w:type="dxa" w:w="15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build_height</w:t>
            </w:r>
          </w:p>
        </w:tc>
        <w:tc>
          <w:tcPr>
            <w:tcW w:type="dxa" w:w="25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Street (ResNet-50)</w:t>
            </w:r>
          </w:p>
        </w:tc>
        <w:tc>
          <w:tcPr>
            <w:tcW w:type="dxa" w:w="9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42, 43</w:t>
            </w:r>
          </w:p>
        </w:tc>
        <w:tc>
          <w:tcPr>
            <w:tcW w:type="dxa" w:w="20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0.3423 ± 0.1713</w:t>
            </w:r>
          </w:p>
        </w:tc>
        <w:tc>
          <w:tcPr>
            <w:tcW w:type="dxa" w:w="20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5.492 ± 1.061</w:t>
            </w:r>
          </w:p>
        </w:tc>
        <w:tc>
          <w:tcPr>
            <w:tcW w:type="dxa" w:w="11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6600"/>
                <w:sz w:val="17"/>
                <w:szCs w:val="17"/>
              </w:rPr>
              <w:t xml:space="preserve">Supported ✓</w:t>
            </w:r>
          </w:p>
        </w:tc>
      </w:tr>
      <w:tr>
        <w:tc>
          <w:tcPr>
            <w:tcW w:type="dxa" w:w="15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000000"/>
                <w:sz w:val="17"/>
                <w:szCs w:val="17"/>
              </w:rPr>
              <w:t xml:space="preserve">acc2health</w:t>
            </w:r>
          </w:p>
        </w:tc>
        <w:tc>
          <w:tcPr>
            <w:tcW w:type="dxa" w:w="25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000000"/>
                <w:sz w:val="17"/>
                <w:szCs w:val="17"/>
              </w:rPr>
              <w:t xml:space="preserve">Street (ResNet-50)</w:t>
            </w:r>
          </w:p>
        </w:tc>
        <w:tc>
          <w:tcPr>
            <w:tcW w:type="dxa" w:w="9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42, 43</w:t>
            </w:r>
          </w:p>
        </w:tc>
        <w:tc>
          <w:tcPr>
            <w:tcW w:type="dxa" w:w="20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1F497D"/>
                <w:sz w:val="17"/>
                <w:szCs w:val="17"/>
              </w:rPr>
              <w:t xml:space="preserve">0.3403 ± 0.3997</w:t>
            </w:r>
          </w:p>
        </w:tc>
        <w:tc>
          <w:tcPr>
            <w:tcW w:type="dxa" w:w="20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9.755 ± 4.290</w:t>
            </w:r>
          </w:p>
        </w:tc>
        <w:tc>
          <w:tcPr>
            <w:tcW w:type="dxa" w:w="11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996600"/>
                <w:sz w:val="17"/>
                <w:szCs w:val="17"/>
              </w:rPr>
              <w:t xml:space="preserve">Directional†</w:t>
            </w:r>
          </w:p>
        </w:tc>
      </w:tr>
      <w:tr>
        <w:tc>
          <w:tcPr>
            <w:tcW w:type="dxa" w:w="15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acc2health</w:t>
            </w:r>
          </w:p>
        </w:tc>
        <w:tc>
          <w:tcPr>
            <w:tcW w:type="dxa" w:w="25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Satellite (Prithvi)</w:t>
            </w:r>
          </w:p>
        </w:tc>
        <w:tc>
          <w:tcPr>
            <w:tcW w:type="dxa" w:w="9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42, 43</w:t>
            </w:r>
          </w:p>
        </w:tc>
        <w:tc>
          <w:tcPr>
            <w:tcW w:type="dxa" w:w="20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0.0423 ± 0.0184</w:t>
            </w:r>
          </w:p>
        </w:tc>
        <w:tc>
          <w:tcPr>
            <w:tcW w:type="dxa" w:w="20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11.809 ± 1.654</w:t>
            </w:r>
          </w:p>
        </w:tc>
        <w:tc>
          <w:tcPr>
            <w:tcW w:type="dxa" w:w="11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6600"/>
                <w:sz w:val="17"/>
                <w:szCs w:val="17"/>
              </w:rPr>
              <w:t xml:space="preserve">Supported ✓</w:t>
            </w:r>
          </w:p>
        </w:tc>
      </w:tr>
      <w:tr>
        <w:tc>
          <w:tcPr>
            <w:tcW w:type="dxa" w:w="15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000000"/>
                <w:sz w:val="17"/>
                <w:szCs w:val="17"/>
              </w:rPr>
              <w:t xml:space="preserve">gdp</w:t>
            </w:r>
          </w:p>
        </w:tc>
        <w:tc>
          <w:tcPr>
            <w:tcW w:type="dxa" w:w="25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Satellite (Prithvi)</w:t>
            </w:r>
          </w:p>
        </w:tc>
        <w:tc>
          <w:tcPr>
            <w:tcW w:type="dxa" w:w="9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42, 43</w:t>
            </w:r>
          </w:p>
        </w:tc>
        <w:tc>
          <w:tcPr>
            <w:tcW w:type="dxa" w:w="20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0.1917 ± 0.1948</w:t>
            </w:r>
          </w:p>
        </w:tc>
        <w:tc>
          <w:tcPr>
            <w:tcW w:type="dxa" w:w="20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4.964e8 ± 7.824e7</w:t>
            </w:r>
          </w:p>
        </w:tc>
        <w:tc>
          <w:tcPr>
            <w:tcW w:type="dxa" w:w="11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CC0000"/>
                <w:sz w:val="17"/>
                <w:szCs w:val="17"/>
              </w:rPr>
              <w:t xml:space="preserve">Unstable ‡</w:t>
            </w:r>
          </w:p>
        </w:tc>
      </w:tr>
      <w:tr>
        <w:tc>
          <w:tcPr>
            <w:tcW w:type="dxa" w:w="15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gdp</w:t>
            </w:r>
          </w:p>
        </w:tc>
        <w:tc>
          <w:tcPr>
            <w:tcW w:type="dxa" w:w="25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Street (ResNet-50)</w:t>
            </w:r>
          </w:p>
        </w:tc>
        <w:tc>
          <w:tcPr>
            <w:tcW w:type="dxa" w:w="9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42, 43</w:t>
            </w:r>
          </w:p>
        </w:tc>
        <w:tc>
          <w:tcPr>
            <w:tcW w:type="dxa" w:w="20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0.1193 ± 0.4973</w:t>
            </w:r>
          </w:p>
        </w:tc>
        <w:tc>
          <w:tcPr>
            <w:tcW w:type="dxa" w:w="20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5.053e8 ± 1.310e8</w:t>
            </w:r>
          </w:p>
        </w:tc>
        <w:tc>
          <w:tcPr>
            <w:tcW w:type="dxa" w:w="11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CC0000"/>
                <w:sz w:val="17"/>
                <w:szCs w:val="17"/>
              </w:rPr>
              <w:t xml:space="preserve">Unstable ‡</w:t>
            </w:r>
          </w:p>
        </w:tc>
      </w:tr>
      <w:tr>
        <w:tc>
          <w:tcPr>
            <w:tcW w:type="dxa" w:w="15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gdp</w:t>
            </w:r>
          </w:p>
        </w:tc>
        <w:tc>
          <w:tcPr>
            <w:tcW w:type="dxa" w:w="25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Fusion (Prithvi + DINOv2 late)</w:t>
            </w:r>
          </w:p>
        </w:tc>
        <w:tc>
          <w:tcPr>
            <w:tcW w:type="dxa" w:w="9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42 only</w:t>
            </w:r>
          </w:p>
        </w:tc>
        <w:tc>
          <w:tcPr>
            <w:tcW w:type="dxa" w:w="20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0.3966 (n=1)</w:t>
            </w:r>
          </w:p>
        </w:tc>
        <w:tc>
          <w:tcPr>
            <w:tcW w:type="dxa" w:w="20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4.406e8 (n=1)</w:t>
            </w:r>
          </w:p>
        </w:tc>
        <w:tc>
          <w:tcPr>
            <w:tcW w:type="dxa" w:w="11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996600"/>
                <w:sz w:val="17"/>
                <w:szCs w:val="17"/>
              </w:rPr>
              <w:t xml:space="preserve">Partial</w:t>
            </w:r>
          </w:p>
        </w:tc>
      </w:tr>
      <w:tr>
        <w:tc>
          <w:tcPr>
            <w:tcW w:type="dxa" w:w="15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pop</w:t>
            </w:r>
          </w:p>
        </w:tc>
        <w:tc>
          <w:tcPr>
            <w:tcW w:type="dxa" w:w="25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All branches</w:t>
            </w:r>
          </w:p>
        </w:tc>
        <w:tc>
          <w:tcPr>
            <w:tcW w:type="dxa" w:w="9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42 only</w:t>
            </w:r>
          </w:p>
        </w:tc>
        <w:tc>
          <w:tcPr>
            <w:tcW w:type="dxa" w:w="20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sat: −0.03; str: +0.006</w:t>
            </w:r>
          </w:p>
        </w:tc>
        <w:tc>
          <w:tcPr>
            <w:tcW w:type="dxa" w:w="20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11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CC0000"/>
                <w:sz w:val="17"/>
                <w:szCs w:val="17"/>
              </w:rPr>
              <w:t xml:space="preserve">No multi-seed</w:t>
            </w:r>
          </w:p>
        </w:tc>
      </w:tr>
    </w:tbl>
    <w:p>
      <w:pPr>
        <w:spacing w:before="0" w:after="40"/>
      </w:pPr>
      <w:r>
        <w:t xml:space="preserve"/>
      </w:r>
    </w:p>
    <w:p>
      <w:pPr>
        <w:spacing w:before="0" w:after="80"/>
        <w:jc w:val="center"/>
      </w:pPr>
      <w:r>
        <w:rPr>
          <w:rFonts w:ascii="Times New Roman" w:cs="Times New Roman" w:eastAsia="Times New Roman" w:hAnsi="Times New Roman"/>
          <w:i/>
          <w:iCs/>
          <w:color w:val="555555"/>
          <w:sz w:val="18"/>
          <w:szCs w:val="18"/>
        </w:rPr>
        <w:t xml:space="preserve">Table V. Paired shared-split multi-seed results. †High variance—directional only. ‡Sign flip across seeds.</w:t>
      </w:r>
    </w:p>
    <w:p>
      <w:pPr>
        <w:spacing w:before="0" w:after="100" w:line="240"/>
        <w:jc w:val="both"/>
      </w:pPr>
      <w:r>
        <w:rPr>
          <w:rFonts w:ascii="Times New Roman" w:cs="Times New Roman" w:eastAsia="Times New Roman" w:hAnsi="Times New Roman"/>
          <w:b w:val="false"/>
          <w:bCs w:val="false"/>
          <w:i w:val="false"/>
          <w:iCs w:val="false"/>
          <w:color w:val="000000"/>
          <w:sz w:val="20"/>
          <w:szCs w:val="20"/>
        </w:rPr>
        <w:t xml:space="preserve">Claim notes: build_height fusion leadership and acc2health street-over-satellite directionality are supported. GDP ranking must not be stated as robust—the confidence interval spans sign changes. Population density is outside the paired study scope.</w:t>
      </w:r>
    </w:p>
    <w:p>
      <w:pPr>
        <w:spacing w:before="140" w:after="60"/>
        <w:jc w:val="left"/>
      </w:pPr>
      <w:r>
        <w:rPr>
          <w:rFonts w:ascii="Times New Roman" w:cs="Times New Roman" w:eastAsia="Times New Roman" w:hAnsi="Times New Roman"/>
          <w:b/>
          <w:bCs/>
          <w:i/>
          <w:iCs/>
          <w:sz w:val="20"/>
          <w:szCs w:val="20"/>
        </w:rPr>
        <w:t xml:space="preserve">E. Cross-Branch Summary (Indicative, Seed 42)</w:t>
      </w:r>
    </w:p>
    <w:p>
      <w:pPr>
        <w:spacing w:before="0" w:after="40"/>
      </w:pPr>
      <w:r>
        <w:t xml:space="preserve"/>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000"/>
        <w:gridCol w:w="2080"/>
      </w:tblGrid>
      <w:tr>
        <w:trPr>
          <w:tblHeader/>
        </w:trPr>
        <w:tc>
          <w:tcPr>
            <w:tcW w:type="dxa" w:w="150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Task</w:t>
            </w:r>
          </w:p>
        </w:tc>
        <w:tc>
          <w:tcPr>
            <w:tcW w:type="dxa" w:w="200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Satellite (best R²)</w:t>
            </w:r>
          </w:p>
        </w:tc>
        <w:tc>
          <w:tcPr>
            <w:tcW w:type="dxa" w:w="200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Street (best R²)</w:t>
            </w:r>
          </w:p>
        </w:tc>
        <w:tc>
          <w:tcPr>
            <w:tcW w:type="dxa" w:w="200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Fusion (best R²)</w:t>
            </w:r>
          </w:p>
        </w:tc>
        <w:tc>
          <w:tcPr>
            <w:tcW w:type="dxa" w:w="208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Leading Modality</w:t>
            </w:r>
          </w:p>
        </w:tc>
      </w:tr>
      <w:tr>
        <w:tc>
          <w:tcPr>
            <w:tcW w:type="dxa" w:w="15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gdp</w:t>
            </w:r>
          </w:p>
        </w:tc>
        <w:tc>
          <w:tcPr>
            <w:tcW w:type="dxa" w:w="20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0.5808 (Prithvi)</w:t>
            </w:r>
          </w:p>
        </w:tc>
        <w:tc>
          <w:tcPr>
            <w:tcW w:type="dxa" w:w="20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0.3629 (ResNet-50)</w:t>
            </w:r>
          </w:p>
        </w:tc>
        <w:tc>
          <w:tcPr>
            <w:tcW w:type="dxa" w:w="20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0.4437 (ResNet gated)</w:t>
            </w:r>
          </w:p>
        </w:tc>
        <w:tc>
          <w:tcPr>
            <w:tcW w:type="dxa" w:w="20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000000"/>
                <w:sz w:val="17"/>
                <w:szCs w:val="17"/>
              </w:rPr>
              <w:t xml:space="preserve">Satellite</w:t>
            </w:r>
          </w:p>
        </w:tc>
      </w:tr>
      <w:tr>
        <w:tc>
          <w:tcPr>
            <w:tcW w:type="dxa" w:w="15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acc2health</w:t>
            </w:r>
          </w:p>
        </w:tc>
        <w:tc>
          <w:tcPr>
            <w:tcW w:type="dxa" w:w="20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0.3901 (Prithvi)</w:t>
            </w:r>
          </w:p>
        </w:tc>
        <w:tc>
          <w:tcPr>
            <w:tcW w:type="dxa" w:w="20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0.3299 (ResNet-50)</w:t>
            </w:r>
          </w:p>
        </w:tc>
        <w:tc>
          <w:tcPr>
            <w:tcW w:type="dxa" w:w="20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0.1909 (ResNet late)</w:t>
            </w:r>
          </w:p>
        </w:tc>
        <w:tc>
          <w:tcPr>
            <w:tcW w:type="dxa" w:w="20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000000"/>
                <w:sz w:val="17"/>
                <w:szCs w:val="17"/>
              </w:rPr>
              <w:t xml:space="preserve">Satellite</w:t>
            </w:r>
          </w:p>
        </w:tc>
      </w:tr>
      <w:tr>
        <w:tc>
          <w:tcPr>
            <w:tcW w:type="dxa" w:w="15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build_height</w:t>
            </w:r>
          </w:p>
        </w:tc>
        <w:tc>
          <w:tcPr>
            <w:tcW w:type="dxa" w:w="20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0.8599 (Prithvi)</w:t>
            </w:r>
          </w:p>
        </w:tc>
        <w:tc>
          <w:tcPr>
            <w:tcW w:type="dxa" w:w="20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0.3448 (ResNet-50)</w:t>
            </w:r>
          </w:p>
        </w:tc>
        <w:tc>
          <w:tcPr>
            <w:tcW w:type="dxa" w:w="20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1F497D"/>
                <w:sz w:val="17"/>
                <w:szCs w:val="17"/>
              </w:rPr>
              <w:t xml:space="preserve">0.8723 (DINOv2 late)</w:t>
            </w:r>
          </w:p>
        </w:tc>
        <w:tc>
          <w:tcPr>
            <w:tcW w:type="dxa" w:w="20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1F497D"/>
                <w:sz w:val="17"/>
                <w:szCs w:val="17"/>
              </w:rPr>
              <w:t xml:space="preserve">Fusion</w:t>
            </w:r>
          </w:p>
        </w:tc>
      </w:tr>
      <w:tr>
        <w:tc>
          <w:tcPr>
            <w:tcW w:type="dxa" w:w="15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pop</w:t>
            </w:r>
          </w:p>
        </w:tc>
        <w:tc>
          <w:tcPr>
            <w:tcW w:type="dxa" w:w="20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−0.0324 (Prithvi)</w:t>
            </w:r>
          </w:p>
        </w:tc>
        <w:tc>
          <w:tcPr>
            <w:tcW w:type="dxa" w:w="20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0.0058 (DINOv2)</w:t>
            </w:r>
          </w:p>
        </w:tc>
        <w:tc>
          <w:tcPr>
            <w:tcW w:type="dxa" w:w="20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−0.2942 (ResNet gated)</w:t>
            </w:r>
          </w:p>
        </w:tc>
        <w:tc>
          <w:tcPr>
            <w:tcW w:type="dxa" w:w="20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Street (weak)</w:t>
            </w:r>
          </w:p>
        </w:tc>
      </w:tr>
    </w:tbl>
    <w:p>
      <w:pPr>
        <w:spacing w:before="0" w:after="40"/>
      </w:pPr>
      <w:r>
        <w:t xml:space="preserve"/>
      </w:r>
    </w:p>
    <w:p>
      <w:pPr>
        <w:spacing w:before="0" w:after="100"/>
        <w:jc w:val="center"/>
      </w:pPr>
      <w:r>
        <w:rPr>
          <w:rFonts w:ascii="Times New Roman" w:cs="Times New Roman" w:eastAsia="Times New Roman" w:hAnsi="Times New Roman"/>
          <w:i/>
          <w:iCs/>
          <w:color w:val="555555"/>
          <w:sz w:val="18"/>
          <w:szCs w:val="18"/>
        </w:rPr>
        <w:t xml:space="preserve">Table VI. Cross-branch summary, seed 42. Note: satellite val IDs differ from street/fusion; treat as directional. Cross-modal ordering confirmed only where paired analysis (Table V) agrees.</w:t>
      </w:r>
    </w:p>
    <w:p>
      <w:pPr>
        <w:spacing w:before="200" w:after="100"/>
        <w:jc w:val="center"/>
      </w:pPr>
      <w:r>
        <w:rPr>
          <w:rFonts w:ascii="Times New Roman" w:cs="Times New Roman" w:eastAsia="Times New Roman" w:hAnsi="Times New Roman"/>
          <w:b/>
          <w:bCs/>
          <w:sz w:val="20"/>
          <w:szCs w:val="20"/>
        </w:rPr>
        <w:t xml:space="preserve">VI. FAILURE ANALYSIS</w:t>
      </w:r>
    </w:p>
    <w:p>
      <w:pPr>
        <w:spacing w:before="0" w:after="80" w:line="240"/>
        <w:jc w:val="both"/>
      </w:pPr>
      <w:r>
        <w:rPr>
          <w:rFonts w:ascii="Times New Roman" w:cs="Times New Roman" w:eastAsia="Times New Roman" w:hAnsi="Times New Roman"/>
          <w:b w:val="false"/>
          <w:bCs w:val="false"/>
          <w:i w:val="false"/>
          <w:iCs w:val="false"/>
          <w:color w:val="000000"/>
          <w:sz w:val="20"/>
          <w:szCs w:val="20"/>
        </w:rPr>
        <w:t xml:space="preserve">Structured analysis of failure modes is as important as peak scores for model design and scientific honesty. Six documented failure modes follow.</w:t>
      </w:r>
    </w:p>
    <w:p>
      <w:pPr>
        <w:spacing w:before="140" w:after="60"/>
        <w:jc w:val="left"/>
      </w:pPr>
      <w:r>
        <w:rPr>
          <w:rFonts w:ascii="Times New Roman" w:cs="Times New Roman" w:eastAsia="Times New Roman" w:hAnsi="Times New Roman"/>
          <w:b/>
          <w:bCs/>
          <w:i/>
          <w:iCs/>
          <w:sz w:val="20"/>
          <w:szCs w:val="20"/>
        </w:rPr>
        <w:t xml:space="preserve">F1 — Catastrophic Satellite Baseline (GDP + resnet50_sat)</w:t>
      </w:r>
    </w:p>
    <w:p>
      <w:pPr>
        <w:spacing w:before="0" w:after="80" w:line="240"/>
        <w:jc w:val="both"/>
      </w:pPr>
      <w:r>
        <w:rPr>
          <w:rFonts w:ascii="Times New Roman" w:cs="Times New Roman" w:eastAsia="Times New Roman" w:hAnsi="Times New Roman"/>
          <w:b w:val="false"/>
          <w:bCs w:val="false"/>
          <w:i w:val="false"/>
          <w:iCs w:val="false"/>
          <w:color w:val="000000"/>
          <w:sz w:val="20"/>
          <w:szCs w:val="20"/>
        </w:rPr>
        <w:t xml:space="preserve">Signal: R² ≈ −4.0, RMSE ≈ 1.15 × 10⁹ vs. Prithvi RMSE ≈ 3.31 × 10⁸. Hypotheses: optimizer/backbone mismatch under the shared LR schedule; CNN receptive-field characteristics mismatched to macro-economic proxy signal; heavy-tail GDP distribution under MSE loss. Action: exclude from comparative tables; any rerun requires ResNet-specific LR/warmup or Huber loss.</w:t>
      </w:r>
    </w:p>
    <w:p>
      <w:pPr>
        <w:spacing w:before="140" w:after="60"/>
        <w:jc w:val="left"/>
      </w:pPr>
      <w:r>
        <w:rPr>
          <w:rFonts w:ascii="Times New Roman" w:cs="Times New Roman" w:eastAsia="Times New Roman" w:hAnsi="Times New Roman"/>
          <w:b/>
          <w:bCs/>
          <w:i/>
          <w:iCs/>
          <w:sz w:val="20"/>
          <w:szCs w:val="20"/>
        </w:rPr>
        <w:t xml:space="preserve">F2 — Population Task Across All Branches</w:t>
      </w:r>
    </w:p>
    <w:p>
      <w:pPr>
        <w:spacing w:before="0" w:after="80" w:line="240"/>
        <w:jc w:val="both"/>
      </w:pPr>
      <w:r>
        <w:rPr>
          <w:rFonts w:ascii="Times New Roman" w:cs="Times New Roman" w:eastAsia="Times New Roman" w:hAnsi="Times New Roman"/>
          <w:b w:val="false"/>
          <w:bCs w:val="false"/>
          <w:i w:val="false"/>
          <w:iCs w:val="false"/>
          <w:color w:val="000000"/>
          <w:sz w:val="20"/>
          <w:szCs w:val="20"/>
        </w:rPr>
        <w:t xml:space="preserve">Signal: satellite R² ≤ 0 for all models; street barely positive (DINOv2: +0.006); all fusion values negative. Interpretation: population density is weakly observable from RGB at this spatial scale. Label noise (aggregation methodology, year mismatch) and multi-modality of population distributions may also contribute.</w:t>
      </w:r>
    </w:p>
    <w:p>
      <w:pPr>
        <w:spacing w:before="140" w:after="60"/>
        <w:jc w:val="left"/>
      </w:pPr>
      <w:r>
        <w:rPr>
          <w:rFonts w:ascii="Times New Roman" w:cs="Times New Roman" w:eastAsia="Times New Roman" w:hAnsi="Times New Roman"/>
          <w:b/>
          <w:bCs/>
          <w:i/>
          <w:iCs/>
          <w:sz w:val="20"/>
          <w:szCs w:val="20"/>
        </w:rPr>
        <w:t xml:space="preserve">F3 — Fusion Fails to Beat Satellite on GDP and Health Access</w:t>
      </w:r>
    </w:p>
    <w:p>
      <w:pPr>
        <w:spacing w:before="0" w:after="80" w:line="240"/>
        <w:jc w:val="both"/>
      </w:pPr>
      <w:r>
        <w:rPr>
          <w:rFonts w:ascii="Times New Roman" w:cs="Times New Roman" w:eastAsia="Times New Roman" w:hAnsi="Times New Roman"/>
          <w:b w:val="false"/>
          <w:bCs w:val="false"/>
          <w:i w:val="false"/>
          <w:iCs w:val="false"/>
          <w:color w:val="000000"/>
          <w:sz w:val="20"/>
          <w:szCs w:val="20"/>
        </w:rPr>
        <w:t xml:space="preserve">Signal: best fusion R² on GDP (0.44) and acc2health (0.19) are below their satellite-only Prithvi scores (0.58 and 0.39). Adding street-view features adds noise or capacity pressure without providing complementary signal on these tasks.</w:t>
      </w:r>
    </w:p>
    <w:p>
      <w:pPr>
        <w:spacing w:before="140" w:after="60"/>
        <w:jc w:val="left"/>
      </w:pPr>
      <w:r>
        <w:rPr>
          <w:rFonts w:ascii="Times New Roman" w:cs="Times New Roman" w:eastAsia="Times New Roman" w:hAnsi="Times New Roman"/>
          <w:b/>
          <w:bCs/>
          <w:i/>
          <w:iCs/>
          <w:sz w:val="20"/>
          <w:szCs w:val="20"/>
        </w:rPr>
        <w:t xml:space="preserve">F4 — Gated vs. Late Fusion on Health Access</w:t>
      </w:r>
    </w:p>
    <w:p>
      <w:pPr>
        <w:spacing w:before="0" w:after="80" w:line="240"/>
        <w:jc w:val="both"/>
      </w:pPr>
      <w:r>
        <w:rPr>
          <w:rFonts w:ascii="Times New Roman" w:cs="Times New Roman" w:eastAsia="Times New Roman" w:hAnsi="Times New Roman"/>
          <w:b w:val="false"/>
          <w:bCs w:val="false"/>
          <w:i w:val="false"/>
          <w:iCs w:val="false"/>
          <w:color w:val="000000"/>
          <w:sz w:val="20"/>
          <w:szCs w:val="20"/>
        </w:rPr>
        <w:t xml:space="preserve">Signal: ResNet-50 late (R² 0.19) &gt; ResNet-50 gated (R² 0.16); gated converges at epoch 3. Gated fusion is not universally superior and may require longer training or task-specific hyperparameter search.</w:t>
      </w:r>
    </w:p>
    <w:p>
      <w:pPr>
        <w:spacing w:before="140" w:after="60"/>
        <w:jc w:val="left"/>
      </w:pPr>
      <w:r>
        <w:rPr>
          <w:rFonts w:ascii="Times New Roman" w:cs="Times New Roman" w:eastAsia="Times New Roman" w:hAnsi="Times New Roman"/>
          <w:b/>
          <w:bCs/>
          <w:i/>
          <w:iCs/>
          <w:sz w:val="20"/>
          <w:szCs w:val="20"/>
        </w:rPr>
        <w:t xml:space="preserve">F5 — Checkpoint Hygiene</w:t>
      </w:r>
    </w:p>
    <w:p>
      <w:pPr>
        <w:spacing w:before="0" w:after="80" w:line="240"/>
        <w:jc w:val="both"/>
      </w:pPr>
      <w:r>
        <w:rPr>
          <w:rFonts w:ascii="Times New Roman" w:cs="Times New Roman" w:eastAsia="Times New Roman" w:hAnsi="Times New Roman"/>
          <w:b w:val="false"/>
          <w:bCs w:val="false"/>
          <w:i w:val="false"/>
          <w:iCs w:val="false"/>
          <w:color w:val="000000"/>
          <w:sz w:val="20"/>
          <w:szCs w:val="20"/>
        </w:rPr>
        <w:t xml:space="preserve">Some fusion runs have valid metrics.json entries but interrupted checkpoint states (acc2health ResNet gated; GDP DINOv2 gated; GDP ResNet late). Verify checkpoints/best.pt before using any checkpoint for inference or explainability.</w:t>
      </w:r>
    </w:p>
    <w:p>
      <w:pPr>
        <w:spacing w:before="140" w:after="60"/>
        <w:jc w:val="left"/>
      </w:pPr>
      <w:r>
        <w:rPr>
          <w:rFonts w:ascii="Times New Roman" w:cs="Times New Roman" w:eastAsia="Times New Roman" w:hAnsi="Times New Roman"/>
          <w:b/>
          <w:bCs/>
          <w:i/>
          <w:iCs/>
          <w:sz w:val="20"/>
          <w:szCs w:val="20"/>
        </w:rPr>
        <w:t xml:space="preserve">F6 — Cross-Branch Comparability</w:t>
      </w:r>
    </w:p>
    <w:p>
      <w:pPr>
        <w:spacing w:before="0" w:after="100" w:line="240"/>
        <w:jc w:val="both"/>
      </w:pPr>
      <w:r>
        <w:rPr>
          <w:rFonts w:ascii="Times New Roman" w:cs="Times New Roman" w:eastAsia="Times New Roman" w:hAnsi="Times New Roman"/>
          <w:b w:val="false"/>
          <w:bCs w:val="false"/>
          <w:i w:val="false"/>
          <w:iCs w:val="false"/>
          <w:color w:val="000000"/>
          <w:sz w:val="20"/>
          <w:szCs w:val="20"/>
        </w:rPr>
        <w:t xml:space="preserve">Street and fusion experiments use the remapped street-available subset; satellite-only experiments may use different (larger) validation IDs. Cross-branch comparisons are indicative until shared-split reruns complete.</w:t>
      </w:r>
    </w:p>
    <w:p>
      <w:pPr>
        <w:spacing w:before="200" w:after="100"/>
        <w:jc w:val="center"/>
      </w:pPr>
      <w:r>
        <w:rPr>
          <w:rFonts w:ascii="Times New Roman" w:cs="Times New Roman" w:eastAsia="Times New Roman" w:hAnsi="Times New Roman"/>
          <w:b/>
          <w:bCs/>
          <w:sz w:val="20"/>
          <w:szCs w:val="20"/>
        </w:rPr>
        <w:t xml:space="preserve">VII. DISCUSSION</w:t>
      </w:r>
    </w:p>
    <w:p>
      <w:pPr>
        <w:spacing w:before="140" w:after="60"/>
        <w:jc w:val="left"/>
      </w:pPr>
      <w:r>
        <w:rPr>
          <w:rFonts w:ascii="Times New Roman" w:cs="Times New Roman" w:eastAsia="Times New Roman" w:hAnsi="Times New Roman"/>
          <w:b/>
          <w:bCs/>
          <w:i/>
          <w:iCs/>
          <w:sz w:val="20"/>
          <w:szCs w:val="20"/>
        </w:rPr>
        <w:t xml:space="preserve">A. Why Prithvi Wins Despite RGB Mismatch</w:t>
      </w:r>
    </w:p>
    <w:p>
      <w:pPr>
        <w:spacing w:before="0" w:after="80" w:line="240"/>
        <w:jc w:val="both"/>
      </w:pPr>
      <w:r>
        <w:rPr>
          <w:rFonts w:ascii="Times New Roman" w:cs="Times New Roman" w:eastAsia="Times New Roman" w:hAnsi="Times New Roman"/>
          <w:b w:val="false"/>
          <w:bCs w:val="false"/>
          <w:i w:val="false"/>
          <w:iCs w:val="false"/>
          <w:color w:val="000000"/>
          <w:sz w:val="20"/>
          <w:szCs w:val="20"/>
        </w:rPr>
        <w:t xml:space="preserve">Prithvi-EO-2.0 was pretrained on six-band multispectral data; CityLens provides only RGB. Despite this domain mismatch, Prithvi + LoRA achieves the highest R² among satellite encoders on all four tasks. We attribute this to large-scale EO pretraining providing spatially meaningful low-level features (texture, geometry) that transfer through the RGB-to-6-band adapter, combined with LoRA's ability to adapt upper layers without forgetting those features.</w:t>
      </w:r>
    </w:p>
    <w:p>
      <w:pPr>
        <w:spacing w:before="140" w:after="60"/>
        <w:jc w:val="left"/>
      </w:pPr>
      <w:r>
        <w:rPr>
          <w:rFonts w:ascii="Times New Roman" w:cs="Times New Roman" w:eastAsia="Times New Roman" w:hAnsi="Times New Roman"/>
          <w:b/>
          <w:bCs/>
          <w:i/>
          <w:iCs/>
          <w:sz w:val="20"/>
          <w:szCs w:val="20"/>
        </w:rPr>
        <w:t xml:space="preserve">B. When Does Fusion Help?</w:t>
      </w:r>
    </w:p>
    <w:p>
      <w:pPr>
        <w:spacing w:before="0" w:after="80" w:line="240"/>
        <w:jc w:val="both"/>
      </w:pPr>
      <w:r>
        <w:rPr>
          <w:rFonts w:ascii="Times New Roman" w:cs="Times New Roman" w:eastAsia="Times New Roman" w:hAnsi="Times New Roman"/>
          <w:b w:val="false"/>
          <w:bCs w:val="false"/>
          <w:i w:val="false"/>
          <w:iCs w:val="false"/>
          <w:color w:val="000000"/>
          <w:sz w:val="20"/>
          <w:szCs w:val="20"/>
        </w:rPr>
        <w:t xml:space="preserve">Fusion (Prithvi + DINOv2 street, late) outperforms all single-modality baselines only on build_height (R² 0.8723 vs. 0.8599 satellite-only). Building façades, materials, and roofline geometry in street-view tiles complement overhead footprint and shadow information from satellite. GDP and health access appear dominated by macro-scale spatial patterns better captured from above. The paired evidence (Table V) confirms build_height fusion leadership is stable across seeds; acc2health street advantage is directional but high-variance.</w:t>
      </w:r>
    </w:p>
    <w:p>
      <w:pPr>
        <w:spacing w:before="140" w:after="60"/>
        <w:jc w:val="left"/>
      </w:pPr>
      <w:r>
        <w:rPr>
          <w:rFonts w:ascii="Times New Roman" w:cs="Times New Roman" w:eastAsia="Times New Roman" w:hAnsi="Times New Roman"/>
          <w:b/>
          <w:bCs/>
          <w:i/>
          <w:iCs/>
          <w:sz w:val="20"/>
          <w:szCs w:val="20"/>
        </w:rPr>
        <w:t xml:space="preserve">C. The Population Problem</w:t>
      </w:r>
    </w:p>
    <w:p>
      <w:pPr>
        <w:spacing w:before="0" w:after="80" w:line="240"/>
        <w:jc w:val="both"/>
      </w:pPr>
      <w:r>
        <w:rPr>
          <w:rFonts w:ascii="Times New Roman" w:cs="Times New Roman" w:eastAsia="Times New Roman" w:hAnsi="Times New Roman"/>
          <w:b w:val="false"/>
          <w:bCs w:val="false"/>
          <w:i w:val="false"/>
          <w:iCs w:val="false"/>
          <w:color w:val="000000"/>
          <w:sz w:val="20"/>
          <w:szCs w:val="20"/>
        </w:rPr>
        <w:t xml:space="preserve">Population density is the only task where no branch achieves a positive R² in the satellite setting. Unlike building height (directly visible from above) or GDP (correlated with urban density patterns), population density is confounded by the relationship between built form and occupancy—not directly observable from RGB at this spatial scale.</w:t>
      </w:r>
    </w:p>
    <w:p>
      <w:pPr>
        <w:spacing w:before="140" w:after="60"/>
        <w:jc w:val="left"/>
      </w:pPr>
      <w:r>
        <w:rPr>
          <w:rFonts w:ascii="Times New Roman" w:cs="Times New Roman" w:eastAsia="Times New Roman" w:hAnsi="Times New Roman"/>
          <w:b/>
          <w:bCs/>
          <w:i/>
          <w:iCs/>
          <w:sz w:val="20"/>
          <w:szCs w:val="20"/>
        </w:rPr>
        <w:t xml:space="preserve">D. Multi-Seed Stability and Honest Uncertainty</w:t>
      </w:r>
    </w:p>
    <w:p>
      <w:pPr>
        <w:spacing w:before="0" w:after="80" w:line="240"/>
        <w:jc w:val="both"/>
      </w:pPr>
      <w:r>
        <w:rPr>
          <w:rFonts w:ascii="Times New Roman" w:cs="Times New Roman" w:eastAsia="Times New Roman" w:hAnsi="Times New Roman"/>
          <w:b w:val="false"/>
          <w:bCs w:val="false"/>
          <w:i w:val="false"/>
          <w:iCs w:val="false"/>
          <w:color w:val="000000"/>
          <w:sz w:val="20"/>
          <w:szCs w:val="20"/>
        </w:rPr>
        <w:t xml:space="preserve">The paired two-seed analysis reveals substantial variability: GDP R² ranges from 0.054 to 0.567 (satellite) across checkpoints and seeds; street GDP has a sign flip (R² = −0.23 at seed 43 vs. +0.47 at seed 42). Claims must be calibrated to this instability. Build_height is the only task where the paired mean ± std cleanly separates the three branches; all other tasks require hedged language.</w:t>
      </w:r>
    </w:p>
    <w:p>
      <w:pPr>
        <w:spacing w:before="140" w:after="60"/>
        <w:jc w:val="left"/>
      </w:pPr>
      <w:r>
        <w:rPr>
          <w:rFonts w:ascii="Times New Roman" w:cs="Times New Roman" w:eastAsia="Times New Roman" w:hAnsi="Times New Roman"/>
          <w:b/>
          <w:bCs/>
          <w:i/>
          <w:iCs/>
          <w:sz w:val="20"/>
          <w:szCs w:val="20"/>
        </w:rPr>
        <w:t xml:space="preserve">E. Limitations</w:t>
      </w:r>
    </w:p>
    <w:p>
      <w:pPr>
        <w:spacing w:before="0" w:after="100" w:line="240"/>
        <w:jc w:val="both"/>
      </w:pPr>
      <w:r>
        <w:rPr>
          <w:rFonts w:ascii="Times New Roman" w:cs="Times New Roman" w:eastAsia="Times New Roman" w:hAnsi="Times New Roman"/>
          <w:b w:val="false"/>
          <w:bCs w:val="false"/>
          <w:i w:val="false"/>
          <w:iCs w:val="false"/>
          <w:color w:val="000000"/>
          <w:sz w:val="20"/>
          <w:szCs w:val="20"/>
        </w:rPr>
        <w:t xml:space="preserve">Spatial autocorrelation: random ID-based splits may allow spatially proximate training and validation records, inflating R² via label smoothness. Geographic k-fold evaluation would be more conservative. Fairness: models predicting GDP or health proxies may perform worse in cities historically underrepresented in training imagery. Data license: CityLens imagery originates from multiple sources with varying licenses.</w:t>
      </w:r>
    </w:p>
    <w:p>
      <w:pPr>
        <w:spacing w:before="200" w:after="100"/>
        <w:jc w:val="center"/>
      </w:pPr>
      <w:r>
        <w:rPr>
          <w:rFonts w:ascii="Times New Roman" w:cs="Times New Roman" w:eastAsia="Times New Roman" w:hAnsi="Times New Roman"/>
          <w:b/>
          <w:bCs/>
          <w:sz w:val="20"/>
          <w:szCs w:val="20"/>
        </w:rPr>
        <w:t xml:space="preserve">VIII. CONCLUSION</w:t>
      </w:r>
    </w:p>
    <w:p>
      <w:pPr>
        <w:spacing w:before="0" w:after="80" w:line="240"/>
        <w:jc w:val="both"/>
      </w:pPr>
      <w:r>
        <w:rPr>
          <w:rFonts w:ascii="Times New Roman" w:cs="Times New Roman" w:eastAsia="Times New Roman" w:hAnsi="Times New Roman"/>
          <w:b w:val="false"/>
          <w:bCs w:val="false"/>
          <w:i w:val="false"/>
          <w:iCs w:val="false"/>
          <w:color w:val="000000"/>
          <w:sz w:val="20"/>
          <w:szCs w:val="20"/>
        </w:rPr>
        <w:t xml:space="preserve">We present a paired multimodal evaluation of Prithvi-EO v2 and generic vision encoders on CityLens global regression tasks, using shared validation splits to enable clean cross-branch comparison. Seed-42 full-grid results establish baseline behaviour including catastrophic GDP failure for ResNet-50 satellite. Paired two-seed results show: build_height favours fusion (R² 0.8495 ± 0.0324), acc2health directionally favours street, and GDP remains variance-sensitive. A lifecycle uncertainty appendix documents the full R² range across all run checkpoints. Together, these contributions support honest, caveat-aware claims about when EO foundation models outperform generic vision encoders on urban socioeconomic prediction.</w:t>
      </w:r>
    </w:p>
    <w:p>
      <w:pPr>
        <w:spacing w:before="0" w:after="100" w:line="240"/>
        <w:jc w:val="both"/>
      </w:pPr>
      <w:r>
        <w:rPr>
          <w:rFonts w:ascii="Times New Roman" w:cs="Times New Roman" w:eastAsia="Times New Roman" w:hAnsi="Times New Roman"/>
          <w:b w:val="false"/>
          <w:bCs w:val="false"/>
          <w:i w:val="false"/>
          <w:iCs w:val="false"/>
          <w:color w:val="000000"/>
          <w:sz w:val="20"/>
          <w:szCs w:val="20"/>
        </w:rPr>
        <w:t xml:space="preserve">Future work: geographic k-fold evaluation; per-city fairness metrics; temporal Prithvi inputs; lighter student models distilled from Prithvi features; seed-44+ runs to tighten variance bounds; paired analysis for pop and carbon tasks.</w:t>
      </w:r>
    </w:p>
    <w:p>
      <w:pPr>
        <w:spacing w:before="200" w:after="100"/>
        <w:jc w:val="center"/>
      </w:pPr>
      <w:r>
        <w:rPr>
          <w:rFonts w:ascii="Times New Roman" w:cs="Times New Roman" w:eastAsia="Times New Roman" w:hAnsi="Times New Roman"/>
          <w:b/>
          <w:bCs/>
          <w:sz w:val="20"/>
          <w:szCs w:val="20"/>
        </w:rPr>
        <w:t xml:space="preserve">. REFERENCES</w:t>
      </w:r>
    </w:p>
    <w:p>
      <w:pPr>
        <w:spacing w:before="0" w:after="40" w:line="240"/>
        <w:jc w:val="both"/>
      </w:pPr>
      <w:r>
        <w:rPr>
          <w:rFonts w:ascii="Times New Roman" w:cs="Times New Roman" w:eastAsia="Times New Roman" w:hAnsi="Times New Roman"/>
          <w:b w:val="false"/>
          <w:bCs w:val="false"/>
          <w:i w:val="false"/>
          <w:iCs w:val="false"/>
          <w:color w:val="000000"/>
          <w:sz w:val="20"/>
          <w:szCs w:val="20"/>
        </w:rPr>
        <w:t xml:space="preserve">[1] IBM Research / NASA-IMPACT. Prithvi-EO 2.0: From Pixels to Predictions. AGU 2025; Hugging Face ibm-nasageospatial/Prithvi-EO-2.0-*; GitHub NASA-IMPACT/Prithvi-EO-2.0.</w:t>
      </w:r>
    </w:p>
    <w:p>
      <w:pPr>
        <w:spacing w:before="0" w:after="40" w:line="240"/>
        <w:jc w:val="both"/>
      </w:pPr>
      <w:r>
        <w:rPr>
          <w:rFonts w:ascii="Times New Roman" w:cs="Times New Roman" w:eastAsia="Times New Roman" w:hAnsi="Times New Roman"/>
          <w:b w:val="false"/>
          <w:bCs w:val="false"/>
          <w:i w:val="false"/>
          <w:iCs w:val="false"/>
          <w:color w:val="000000"/>
          <w:sz w:val="20"/>
          <w:szCs w:val="20"/>
        </w:rPr>
        <w:t xml:space="preserve">[2] M. Oquab et al., DINOv2: Learning Robust Visual Features without Supervision, arXiv:2304.07193, 2023.</w:t>
      </w:r>
    </w:p>
    <w:p>
      <w:pPr>
        <w:spacing w:before="0" w:after="40" w:line="240"/>
        <w:jc w:val="both"/>
      </w:pPr>
      <w:r>
        <w:rPr>
          <w:rFonts w:ascii="Times New Roman" w:cs="Times New Roman" w:eastAsia="Times New Roman" w:hAnsi="Times New Roman"/>
          <w:b w:val="false"/>
          <w:bCs w:val="false"/>
          <w:i w:val="false"/>
          <w:iCs w:val="false"/>
          <w:color w:val="000000"/>
          <w:sz w:val="20"/>
          <w:szCs w:val="20"/>
        </w:rPr>
        <w:t xml:space="preserve">[3] A. Radford et al., Learning Transferable Visual Models From Natural Language Supervision (CLIP), ICML 2021.</w:t>
      </w:r>
    </w:p>
    <w:p>
      <w:pPr>
        <w:spacing w:before="0" w:after="40" w:line="240"/>
        <w:jc w:val="both"/>
      </w:pPr>
      <w:r>
        <w:rPr>
          <w:rFonts w:ascii="Times New Roman" w:cs="Times New Roman" w:eastAsia="Times New Roman" w:hAnsi="Times New Roman"/>
          <w:b w:val="false"/>
          <w:bCs w:val="false"/>
          <w:i w:val="false"/>
          <w:iCs w:val="false"/>
          <w:color w:val="000000"/>
          <w:sz w:val="20"/>
          <w:szCs w:val="20"/>
        </w:rPr>
        <w:t xml:space="preserve">[4] K. He et al., Deep Residual Learning for Image Recognition, CVPR 2016.</w:t>
      </w:r>
    </w:p>
    <w:p>
      <w:pPr>
        <w:spacing w:before="0" w:after="40" w:line="240"/>
        <w:jc w:val="both"/>
      </w:pPr>
      <w:r>
        <w:rPr>
          <w:rFonts w:ascii="Times New Roman" w:cs="Times New Roman" w:eastAsia="Times New Roman" w:hAnsi="Times New Roman"/>
          <w:b w:val="false"/>
          <w:bCs w:val="false"/>
          <w:i w:val="false"/>
          <w:iCs w:val="false"/>
          <w:color w:val="000000"/>
          <w:sz w:val="20"/>
          <w:szCs w:val="20"/>
        </w:rPr>
        <w:t xml:space="preserve">[5] E.J. Hu et al., LoRA: Low-Rank Adaptation of Large Language Models, ICLR 2022.</w:t>
      </w:r>
    </w:p>
    <w:p>
      <w:pPr>
        <w:spacing w:before="0" w:after="40" w:line="240"/>
        <w:jc w:val="both"/>
      </w:pPr>
      <w:r>
        <w:rPr>
          <w:rFonts w:ascii="Times New Roman" w:cs="Times New Roman" w:eastAsia="Times New Roman" w:hAnsi="Times New Roman"/>
          <w:b w:val="false"/>
          <w:bCs w:val="false"/>
          <w:i w:val="false"/>
          <w:iCs w:val="false"/>
          <w:color w:val="000000"/>
          <w:sz w:val="20"/>
          <w:szCs w:val="20"/>
        </w:rPr>
        <w:t xml:space="preserve">[6] Hugging Face PEFT documentation. https://huggingface.co/docs/peft</w:t>
      </w:r>
    </w:p>
    <w:p>
      <w:pPr>
        <w:spacing w:before="0" w:after="40" w:line="240"/>
        <w:jc w:val="both"/>
      </w:pPr>
      <w:r>
        <w:rPr>
          <w:rFonts w:ascii="Times New Roman" w:cs="Times New Roman" w:eastAsia="Times New Roman" w:hAnsi="Times New Roman"/>
          <w:b w:val="false"/>
          <w:bCs w:val="false"/>
          <w:i w:val="false"/>
          <w:iCs w:val="false"/>
          <w:color w:val="000000"/>
          <w:sz w:val="20"/>
          <w:szCs w:val="20"/>
        </w:rPr>
        <w:t xml:space="preserve">[7] Tianhui-Liu et al., CityLens: A Benchmark for Urban Socioeconomic Prediction from Imagery, arXiv:2506.00530, 2025.</w:t>
      </w:r>
    </w:p>
    <w:p>
      <w:pPr>
        <w:spacing w:before="0" w:after="40" w:line="240"/>
        <w:jc w:val="both"/>
      </w:pPr>
      <w:r>
        <w:rPr>
          <w:rFonts w:ascii="Times New Roman" w:cs="Times New Roman" w:eastAsia="Times New Roman" w:hAnsi="Times New Roman"/>
          <w:b w:val="false"/>
          <w:bCs w:val="false"/>
          <w:i w:val="false"/>
          <w:iCs w:val="false"/>
          <w:color w:val="000000"/>
          <w:sz w:val="20"/>
          <w:szCs w:val="20"/>
        </w:rPr>
        <w:t xml:space="preserve">[8] A. Dosovitskiy et al., An Image is Worth 16×16 Words, ICLR 2021.</w:t>
      </w:r>
    </w:p>
    <w:p>
      <w:pPr>
        <w:spacing w:before="0" w:after="40" w:line="240"/>
        <w:jc w:val="both"/>
      </w:pPr>
      <w:r>
        <w:rPr>
          <w:rFonts w:ascii="Times New Roman" w:cs="Times New Roman" w:eastAsia="Times New Roman" w:hAnsi="Times New Roman"/>
          <w:b w:val="false"/>
          <w:bCs w:val="false"/>
          <w:i w:val="false"/>
          <w:iCs w:val="false"/>
          <w:color w:val="000000"/>
          <w:sz w:val="20"/>
          <w:szCs w:val="20"/>
        </w:rPr>
        <w:t xml:space="preserve">[9] R. Wightman, PyTorch Image Models (timm). GitHub, 2019.</w:t>
      </w:r>
    </w:p>
    <w:p>
      <w:pPr>
        <w:spacing w:before="0" w:after="100" w:line="240"/>
        <w:jc w:val="both"/>
      </w:pPr>
      <w:r>
        <w:rPr>
          <w:rFonts w:ascii="Times New Roman" w:cs="Times New Roman" w:eastAsia="Times New Roman" w:hAnsi="Times New Roman"/>
          <w:b w:val="false"/>
          <w:bCs w:val="false"/>
          <w:i w:val="false"/>
          <w:iCs w:val="false"/>
          <w:color w:val="000000"/>
          <w:sz w:val="20"/>
          <w:szCs w:val="20"/>
        </w:rPr>
        <w:t xml:space="preserve">[10] M. Sundararajan et al., Axiomatic Attribution for Deep Networks, ICML 2017.</w:t>
      </w:r>
    </w:p>
    <w:p>
      <w:r>
        <w:br w:type="page"/>
      </w:r>
    </w:p>
    <w:p>
      <w:pPr>
        <w:spacing w:before="200" w:after="100"/>
        <w:jc w:val="center"/>
      </w:pPr>
      <w:r>
        <w:rPr>
          <w:rFonts w:ascii="Times New Roman" w:cs="Times New Roman" w:eastAsia="Times New Roman" w:hAnsi="Times New Roman"/>
          <w:b/>
          <w:bCs/>
          <w:sz w:val="20"/>
          <w:szCs w:val="20"/>
        </w:rPr>
        <w:t xml:space="preserve">Appendix A. FULL HYPERPARAMETER TABLE</w:t>
      </w:r>
    </w:p>
    <w:p>
      <w:pPr>
        <w:spacing w:before="0"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rPr>
          <w:tblHeader/>
        </w:trPr>
        <w:tc>
          <w:tcPr>
            <w:tcW w:type="dxa" w:w="450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Parameter</w:t>
            </w:r>
          </w:p>
        </w:tc>
        <w:tc>
          <w:tcPr>
            <w:tcW w:type="dxa" w:w="558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Value</w:t>
            </w:r>
          </w:p>
        </w:tc>
      </w:tr>
      <w:tr>
        <w:tc>
          <w:tcPr>
            <w:tcW w:type="dxa" w:w="450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Image size</w:t>
            </w:r>
          </w:p>
        </w:tc>
        <w:tc>
          <w:tcPr>
            <w:tcW w:type="dxa" w:w="55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224 × 224 px</w:t>
            </w:r>
          </w:p>
        </w:tc>
      </w:tr>
      <w:tr>
        <w:tc>
          <w:tcPr>
            <w:tcW w:type="dxa" w:w="4500"/>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Batch size</w:t>
            </w:r>
          </w:p>
        </w:tc>
        <w:tc>
          <w:tcPr>
            <w:tcW w:type="dxa" w:w="55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8</w:t>
            </w:r>
          </w:p>
        </w:tc>
      </w:tr>
      <w:tr>
        <w:tc>
          <w:tcPr>
            <w:tcW w:type="dxa" w:w="450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Optimizer</w:t>
            </w:r>
          </w:p>
        </w:tc>
        <w:tc>
          <w:tcPr>
            <w:tcW w:type="dxa" w:w="55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AdamW</w:t>
            </w:r>
          </w:p>
        </w:tc>
      </w:tr>
      <w:tr>
        <w:tc>
          <w:tcPr>
            <w:tcW w:type="dxa" w:w="4500"/>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LR (main)</w:t>
            </w:r>
          </w:p>
        </w:tc>
        <w:tc>
          <w:tcPr>
            <w:tcW w:type="dxa" w:w="55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 × 10⁻⁴</w:t>
            </w:r>
          </w:p>
        </w:tc>
      </w:tr>
      <w:tr>
        <w:tc>
          <w:tcPr>
            <w:tcW w:type="dxa" w:w="450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Backbone LR</w:t>
            </w:r>
          </w:p>
        </w:tc>
        <w:tc>
          <w:tcPr>
            <w:tcW w:type="dxa" w:w="55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 × 10⁻⁴</w:t>
            </w:r>
          </w:p>
        </w:tc>
      </w:tr>
      <w:tr>
        <w:tc>
          <w:tcPr>
            <w:tcW w:type="dxa" w:w="4500"/>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Head LR</w:t>
            </w:r>
          </w:p>
        </w:tc>
        <w:tc>
          <w:tcPr>
            <w:tcW w:type="dxa" w:w="55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 × 10⁻³</w:t>
            </w:r>
          </w:p>
        </w:tc>
      </w:tr>
      <w:tr>
        <w:tc>
          <w:tcPr>
            <w:tcW w:type="dxa" w:w="450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Weight decay</w:t>
            </w:r>
          </w:p>
        </w:tc>
        <w:tc>
          <w:tcPr>
            <w:tcW w:type="dxa" w:w="55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 × 10⁻²</w:t>
            </w:r>
          </w:p>
        </w:tc>
      </w:tr>
      <w:tr>
        <w:tc>
          <w:tcPr>
            <w:tcW w:type="dxa" w:w="4500"/>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Target transform</w:t>
            </w:r>
          </w:p>
        </w:tc>
        <w:tc>
          <w:tcPr>
            <w:tcW w:type="dxa" w:w="55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log1p (metrics in raw space)</w:t>
            </w:r>
          </w:p>
        </w:tc>
      </w:tr>
      <w:tr>
        <w:tc>
          <w:tcPr>
            <w:tcW w:type="dxa" w:w="450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Val fraction</w:t>
            </w:r>
          </w:p>
        </w:tc>
        <w:tc>
          <w:tcPr>
            <w:tcW w:type="dxa" w:w="55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0.1</w:t>
            </w:r>
          </w:p>
        </w:tc>
      </w:tr>
      <w:tr>
        <w:tc>
          <w:tcPr>
            <w:tcW w:type="dxa" w:w="4500"/>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Early stopping</w:t>
            </w:r>
          </w:p>
        </w:tc>
        <w:tc>
          <w:tcPr>
            <w:tcW w:type="dxa" w:w="55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Validation R²</w:t>
            </w:r>
          </w:p>
        </w:tc>
      </w:tr>
      <w:tr>
        <w:tc>
          <w:tcPr>
            <w:tcW w:type="dxa" w:w="450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LoRA rank r</w:t>
            </w:r>
          </w:p>
        </w:tc>
        <w:tc>
          <w:tcPr>
            <w:tcW w:type="dxa" w:w="55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Reported per run</w:t>
            </w:r>
          </w:p>
        </w:tc>
      </w:tr>
      <w:tr>
        <w:tc>
          <w:tcPr>
            <w:tcW w:type="dxa" w:w="4500"/>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LoRA alpha α</w:t>
            </w:r>
          </w:p>
        </w:tc>
        <w:tc>
          <w:tcPr>
            <w:tcW w:type="dxa" w:w="55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Reported per run</w:t>
            </w:r>
          </w:p>
        </w:tc>
      </w:tr>
      <w:tr>
        <w:tc>
          <w:tcPr>
            <w:tcW w:type="dxa" w:w="450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Epoch budget (gdp)</w:t>
            </w:r>
          </w:p>
        </w:tc>
        <w:tc>
          <w:tcPr>
            <w:tcW w:type="dxa" w:w="55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20</w:t>
            </w:r>
          </w:p>
        </w:tc>
      </w:tr>
      <w:tr>
        <w:tc>
          <w:tcPr>
            <w:tcW w:type="dxa" w:w="4500"/>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Epoch budget (acc2health, build_height)</w:t>
            </w:r>
          </w:p>
        </w:tc>
        <w:tc>
          <w:tcPr>
            <w:tcW w:type="dxa" w:w="55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30</w:t>
            </w:r>
          </w:p>
        </w:tc>
      </w:tr>
      <w:tr>
        <w:tc>
          <w:tcPr>
            <w:tcW w:type="dxa" w:w="450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Epoch budget (pop)</w:t>
            </w:r>
          </w:p>
        </w:tc>
        <w:tc>
          <w:tcPr>
            <w:tcW w:type="dxa" w:w="55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5</w:t>
            </w:r>
          </w:p>
        </w:tc>
      </w:tr>
    </w:tbl>
    <w:p>
      <w:pPr>
        <w:spacing w:before="0" w:after="120"/>
      </w:pPr>
      <w:r>
        <w:t xml:space="preserve"/>
      </w:r>
    </w:p>
    <w:p>
      <w:pPr>
        <w:spacing w:before="200" w:after="100"/>
        <w:jc w:val="center"/>
      </w:pPr>
      <w:r>
        <w:rPr>
          <w:rFonts w:ascii="Times New Roman" w:cs="Times New Roman" w:eastAsia="Times New Roman" w:hAnsi="Times New Roman"/>
          <w:b/>
          <w:bCs/>
          <w:sz w:val="20"/>
          <w:szCs w:val="20"/>
        </w:rPr>
        <w:t xml:space="preserve">Appendix B. CLAIM STRENGTH REFERENCE</w:t>
      </w:r>
    </w:p>
    <w:p>
      <w:pPr>
        <w:spacing w:before="0"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3580"/>
      </w:tblGrid>
      <w:tr>
        <w:trPr>
          <w:tblHeader/>
        </w:trPr>
        <w:tc>
          <w:tcPr>
            <w:tcW w:type="dxa" w:w="400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Claim</w:t>
            </w:r>
          </w:p>
        </w:tc>
        <w:tc>
          <w:tcPr>
            <w:tcW w:type="dxa" w:w="250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Proof type</w:t>
            </w:r>
          </w:p>
        </w:tc>
        <w:tc>
          <w:tcPr>
            <w:tcW w:type="dxa" w:w="358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Strength</w:t>
            </w:r>
          </w:p>
        </w:tc>
      </w:tr>
      <w:tr>
        <w:tc>
          <w:tcPr>
            <w:tcW w:type="dxa" w:w="400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Prithvi R²/RMSE on GDP/acc2health/build_height/pop (seed 42)</w:t>
            </w:r>
          </w:p>
        </w:tc>
        <w:tc>
          <w:tcPr>
            <w:tcW w:type="dxa" w:w="250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Locked reference + PDF</w:t>
            </w:r>
          </w:p>
        </w:tc>
        <w:tc>
          <w:tcPr>
            <w:tcW w:type="dxa" w:w="35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006600"/>
                <w:sz w:val="17"/>
                <w:szCs w:val="17"/>
              </w:rPr>
              <w:t xml:space="preserve">Full — cite locked row</w:t>
            </w:r>
          </w:p>
        </w:tc>
      </w:tr>
      <w:tr>
        <w:tc>
          <w:tcPr>
            <w:tcW w:type="dxa" w:w="4000"/>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pop is hard (all R² ≤ 0)</w:t>
            </w:r>
          </w:p>
        </w:tc>
        <w:tc>
          <w:tcPr>
            <w:tcW w:type="dxa" w:w="2500"/>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Same locked file</w:t>
            </w:r>
          </w:p>
        </w:tc>
        <w:tc>
          <w:tcPr>
            <w:tcW w:type="dxa" w:w="35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006600"/>
                <w:sz w:val="17"/>
                <w:szCs w:val="17"/>
              </w:rPr>
              <w:t xml:space="preserve">Full</w:t>
            </w:r>
          </w:p>
        </w:tc>
      </w:tr>
      <w:tr>
        <w:tc>
          <w:tcPr>
            <w:tcW w:type="dxa" w:w="400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build_height fusion &gt; satellite &gt; street (paired)</w:t>
            </w:r>
          </w:p>
        </w:tc>
        <w:tc>
          <w:tcPr>
            <w:tcW w:type="dxa" w:w="250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Two-seed paired study</w:t>
            </w:r>
          </w:p>
        </w:tc>
        <w:tc>
          <w:tcPr>
            <w:tcW w:type="dxa" w:w="35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006600"/>
                <w:sz w:val="17"/>
                <w:szCs w:val="17"/>
              </w:rPr>
              <w:t xml:space="preserve">Supported ✓</w:t>
            </w:r>
          </w:p>
        </w:tc>
      </w:tr>
      <w:tr>
        <w:tc>
          <w:tcPr>
            <w:tcW w:type="dxa" w:w="4000"/>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acc2health street &gt; satellite (paired, directional)</w:t>
            </w:r>
          </w:p>
        </w:tc>
        <w:tc>
          <w:tcPr>
            <w:tcW w:type="dxa" w:w="2500"/>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Two-seed, high variance</w:t>
            </w:r>
          </w:p>
        </w:tc>
        <w:tc>
          <w:tcPr>
            <w:tcW w:type="dxa" w:w="35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996600"/>
                <w:sz w:val="17"/>
                <w:szCs w:val="17"/>
              </w:rPr>
              <w:t xml:space="preserve">Directional only</w:t>
            </w:r>
          </w:p>
        </w:tc>
      </w:tr>
      <w:tr>
        <w:tc>
          <w:tcPr>
            <w:tcW w:type="dxa" w:w="400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GDP cross-modal ordering</w:t>
            </w:r>
          </w:p>
        </w:tc>
        <w:tc>
          <w:tcPr>
            <w:tcW w:type="dxa" w:w="250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Single seed, different val IDs</w:t>
            </w:r>
          </w:p>
        </w:tc>
        <w:tc>
          <w:tcPr>
            <w:tcW w:type="dxa" w:w="35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996600"/>
                <w:sz w:val="17"/>
                <w:szCs w:val="17"/>
              </w:rPr>
              <w:t xml:space="preserve">Directional only</w:t>
            </w:r>
          </w:p>
        </w:tc>
      </w:tr>
      <w:tr>
        <w:tc>
          <w:tcPr>
            <w:tcW w:type="dxa" w:w="4000"/>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Multi-seed stability (3+ seeds)</w:t>
            </w:r>
          </w:p>
        </w:tc>
        <w:tc>
          <w:tcPr>
            <w:tcW w:type="dxa" w:w="2500"/>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Not yet run (seed 44+)</w:t>
            </w:r>
          </w:p>
        </w:tc>
        <w:tc>
          <w:tcPr>
            <w:tcW w:type="dxa" w:w="35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CC0000"/>
                <w:sz w:val="17"/>
                <w:szCs w:val="17"/>
              </w:rPr>
              <w:t xml:space="preserve">Not supported</w:t>
            </w:r>
          </w:p>
        </w:tc>
      </w:tr>
      <w:tr>
        <w:tc>
          <w:tcPr>
            <w:tcW w:type="dxa" w:w="400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Carbon task follows same story</w:t>
            </w:r>
          </w:p>
        </w:tc>
        <w:tc>
          <w:tcPr>
            <w:tcW w:type="dxa" w:w="250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No locked Prithvi row</w:t>
            </w:r>
          </w:p>
        </w:tc>
        <w:tc>
          <w:tcPr>
            <w:tcW w:type="dxa" w:w="35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CC0000"/>
                <w:sz w:val="17"/>
                <w:szCs w:val="17"/>
              </w:rPr>
              <w:t xml:space="preserve">Not supported</w:t>
            </w:r>
          </w:p>
        </w:tc>
      </w:tr>
    </w:tbl>
    <w:p>
      <w:pPr>
        <w:spacing w:before="0" w:after="120"/>
      </w:pPr>
      <w:r>
        <w:t xml:space="preserve"/>
      </w:r>
    </w:p>
    <w:p>
      <w:pPr>
        <w:spacing w:before="200" w:after="100"/>
        <w:jc w:val="center"/>
      </w:pPr>
      <w:r>
        <w:rPr>
          <w:rFonts w:ascii="Times New Roman" w:cs="Times New Roman" w:eastAsia="Times New Roman" w:hAnsi="Times New Roman"/>
          <w:b/>
          <w:bCs/>
          <w:sz w:val="20"/>
          <w:szCs w:val="20"/>
        </w:rPr>
        <w:t xml:space="preserve">Appendix C. ETHICS STATEMENT</w:t>
      </w:r>
    </w:p>
    <w:p>
      <w:pPr>
        <w:spacing w:before="0" w:after="100" w:line="240"/>
        <w:jc w:val="both"/>
      </w:pPr>
      <w:r>
        <w:rPr>
          <w:rFonts w:ascii="Times New Roman" w:cs="Times New Roman" w:eastAsia="Times New Roman" w:hAnsi="Times New Roman"/>
          <w:b w:val="false"/>
          <w:bCs w:val="false"/>
          <w:i w:val="false"/>
          <w:iCs w:val="false"/>
          <w:color w:val="000000"/>
          <w:sz w:val="20"/>
          <w:szCs w:val="20"/>
        </w:rPr>
        <w:t xml:space="preserve">Socioeconomic inference from imagery is sensitive. This work is framed as aggregate research benchmarking; high-stakes downstream use (resource allocation, loan decisions, policy targeting) requires independent fairness auditing, uncertainty quantification, and appropriate governance. Models trained to predict GDP or health proxies from imagery may systematically underperform in cities underrepresented in training data, potentially amplifying existing disparities if deployed without validation. We recommend per-city error analysis as a prerequisite for any application beyond benchmarking, and we document all negative results to support honest comparative evaluation.</w:t>
      </w:r>
    </w:p>
    <w:p>
      <w:pPr>
        <w:spacing w:before="0" w:after="40"/>
      </w:pPr>
      <w:r>
        <w:t xml:space="preserve"/>
      </w:r>
    </w:p>
    <w:p>
      <w:pPr>
        <w:spacing w:before="200" w:after="100"/>
        <w:jc w:val="center"/>
      </w:pPr>
      <w:r>
        <w:rPr>
          <w:rFonts w:ascii="Times New Roman" w:cs="Times New Roman" w:eastAsia="Times New Roman" w:hAnsi="Times New Roman"/>
          <w:b/>
          <w:bCs/>
          <w:sz w:val="20"/>
          <w:szCs w:val="20"/>
        </w:rPr>
        <w:t xml:space="preserve">Appendix D. LIFECYCLE UNCERTAINTY RANGES</w:t>
      </w:r>
    </w:p>
    <w:p>
      <w:pPr>
        <w:spacing w:before="0" w:after="80" w:line="240"/>
        <w:jc w:val="both"/>
      </w:pPr>
      <w:r>
        <w:rPr>
          <w:rFonts w:ascii="Times New Roman" w:cs="Times New Roman" w:eastAsia="Times New Roman" w:hAnsi="Times New Roman"/>
          <w:b w:val="false"/>
          <w:bCs w:val="false"/>
          <w:i w:val="false"/>
          <w:iCs w:val="false"/>
          <w:color w:val="000000"/>
          <w:sz w:val="20"/>
          <w:szCs w:val="20"/>
        </w:rPr>
        <w:t xml:space="preserve">This appendix reports uncertainty across the full run lifecycle (paired package plus legacy rows). Ranges are min-to-max over all observed runs with the same task/branch family. Paired mean ± std is computed from the strict paired subset (seeds 42 and 43). The lifecycle range provides reproducibility diagnostics and guards against cherry-picking.</w:t>
      </w:r>
    </w:p>
    <w:p>
      <w:pPr>
        <w:spacing w:before="0"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100"/>
        <w:gridCol w:w="1800"/>
        <w:gridCol w:w="1700"/>
        <w:gridCol w:w="980"/>
      </w:tblGrid>
      <w:tr>
        <w:trPr>
          <w:tblHeader/>
        </w:trPr>
        <w:tc>
          <w:tcPr>
            <w:tcW w:type="dxa" w:w="130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Task</w:t>
            </w:r>
          </w:p>
        </w:tc>
        <w:tc>
          <w:tcPr>
            <w:tcW w:type="dxa" w:w="220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Branch/Model</w:t>
            </w:r>
          </w:p>
        </w:tc>
        <w:tc>
          <w:tcPr>
            <w:tcW w:type="dxa" w:w="210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Paired R² mean±std</w:t>
            </w:r>
          </w:p>
        </w:tc>
        <w:tc>
          <w:tcPr>
            <w:tcW w:type="dxa" w:w="180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Lifecycle R² range</w:t>
            </w:r>
          </w:p>
        </w:tc>
        <w:tc>
          <w:tcPr>
            <w:tcW w:type="dxa" w:w="170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Paired RMSE mean±std</w:t>
            </w:r>
          </w:p>
        </w:tc>
        <w:tc>
          <w:tcPr>
            <w:tcW w:type="dxa" w:w="980"/>
            <w:shd w:fill="1F497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Notes</w:t>
            </w:r>
          </w:p>
        </w:tc>
      </w:tr>
      <w:tr>
        <w:tc>
          <w:tcPr>
            <w:tcW w:type="dxa" w:w="13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000000"/>
                <w:sz w:val="17"/>
                <w:szCs w:val="17"/>
              </w:rPr>
              <w:t xml:space="preserve">build_height</w:t>
            </w:r>
          </w:p>
        </w:tc>
        <w:tc>
          <w:tcPr>
            <w:tcW w:type="dxa" w:w="22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000000"/>
                <w:sz w:val="17"/>
                <w:szCs w:val="17"/>
              </w:rPr>
              <w:t xml:space="preserve">Fusion (Prithvi + DINOv2 late)</w:t>
            </w:r>
          </w:p>
        </w:tc>
        <w:tc>
          <w:tcPr>
            <w:tcW w:type="dxa" w:w="21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1F497D"/>
                <w:sz w:val="17"/>
                <w:szCs w:val="17"/>
              </w:rPr>
              <w:t xml:space="preserve">0.8495 ± 0.0324</w:t>
            </w:r>
          </w:p>
        </w:tc>
        <w:tc>
          <w:tcPr>
            <w:tcW w:type="dxa" w:w="18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0.827–0.872</w:t>
            </w:r>
          </w:p>
        </w:tc>
        <w:tc>
          <w:tcPr>
            <w:tcW w:type="dxa" w:w="17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2.612 ± 0.119</w:t>
            </w:r>
          </w:p>
        </w:tc>
        <w:tc>
          <w:tcPr>
            <w:tcW w:type="dxa" w:w="9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Best avg branch</w:t>
            </w:r>
          </w:p>
        </w:tc>
      </w:tr>
      <w:tr>
        <w:tc>
          <w:tcPr>
            <w:tcW w:type="dxa" w:w="13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build_height</w:t>
            </w:r>
          </w:p>
        </w:tc>
        <w:tc>
          <w:tcPr>
            <w:tcW w:type="dxa" w:w="22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Satellite (Prithvi)</w:t>
            </w:r>
          </w:p>
        </w:tc>
        <w:tc>
          <w:tcPr>
            <w:tcW w:type="dxa" w:w="21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0.8114 ± 0.0829</w:t>
            </w:r>
          </w:p>
        </w:tc>
        <w:tc>
          <w:tcPr>
            <w:tcW w:type="dxa" w:w="18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0.753–0.870</w:t>
            </w:r>
          </w:p>
        </w:tc>
        <w:tc>
          <w:tcPr>
            <w:tcW w:type="dxa" w:w="17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2.926 ± 0.836</w:t>
            </w:r>
          </w:p>
        </w:tc>
        <w:tc>
          <w:tcPr>
            <w:tcW w:type="dxa" w:w="9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Incl. legacy runs</w:t>
            </w:r>
          </w:p>
        </w:tc>
      </w:tr>
      <w:tr>
        <w:tc>
          <w:tcPr>
            <w:tcW w:type="dxa" w:w="13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build_height</w:t>
            </w:r>
          </w:p>
        </w:tc>
        <w:tc>
          <w:tcPr>
            <w:tcW w:type="dxa" w:w="22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Street (ResNet-50)</w:t>
            </w:r>
          </w:p>
        </w:tc>
        <w:tc>
          <w:tcPr>
            <w:tcW w:type="dxa" w:w="21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0.3423 ± 0.1713</w:t>
            </w:r>
          </w:p>
        </w:tc>
        <w:tc>
          <w:tcPr>
            <w:tcW w:type="dxa" w:w="18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0.221–0.464</w:t>
            </w:r>
          </w:p>
        </w:tc>
        <w:tc>
          <w:tcPr>
            <w:tcW w:type="dxa" w:w="17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5.492 ± 1.061</w:t>
            </w:r>
          </w:p>
        </w:tc>
        <w:tc>
          <w:tcPr>
            <w:tcW w:type="dxa" w:w="9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Clearly lower</w:t>
            </w:r>
          </w:p>
        </w:tc>
      </w:tr>
      <w:tr>
        <w:tc>
          <w:tcPr>
            <w:tcW w:type="dxa" w:w="13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000000"/>
                <w:sz w:val="17"/>
                <w:szCs w:val="17"/>
              </w:rPr>
              <w:t xml:space="preserve">acc2health</w:t>
            </w:r>
          </w:p>
        </w:tc>
        <w:tc>
          <w:tcPr>
            <w:tcW w:type="dxa" w:w="22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000000"/>
                <w:sz w:val="17"/>
                <w:szCs w:val="17"/>
              </w:rPr>
              <w:t xml:space="preserve">Street (ResNet-50)</w:t>
            </w:r>
          </w:p>
        </w:tc>
        <w:tc>
          <w:tcPr>
            <w:tcW w:type="dxa" w:w="21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996600"/>
                <w:sz w:val="17"/>
                <w:szCs w:val="17"/>
              </w:rPr>
              <w:t xml:space="preserve">0.3403 ± 0.3997</w:t>
            </w:r>
          </w:p>
        </w:tc>
        <w:tc>
          <w:tcPr>
            <w:tcW w:type="dxa" w:w="18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0.058–0.623</w:t>
            </w:r>
          </w:p>
        </w:tc>
        <w:tc>
          <w:tcPr>
            <w:tcW w:type="dxa" w:w="17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9.755 ± 4.290</w:t>
            </w:r>
          </w:p>
        </w:tc>
        <w:tc>
          <w:tcPr>
            <w:tcW w:type="dxa" w:w="9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High variance</w:t>
            </w:r>
          </w:p>
        </w:tc>
      </w:tr>
      <w:tr>
        <w:tc>
          <w:tcPr>
            <w:tcW w:type="dxa" w:w="13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acc2health</w:t>
            </w:r>
          </w:p>
        </w:tc>
        <w:tc>
          <w:tcPr>
            <w:tcW w:type="dxa" w:w="22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Satellite (Prithvi)</w:t>
            </w:r>
          </w:p>
        </w:tc>
        <w:tc>
          <w:tcPr>
            <w:tcW w:type="dxa" w:w="21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0.0423 ± 0.0184</w:t>
            </w:r>
          </w:p>
        </w:tc>
        <w:tc>
          <w:tcPr>
            <w:tcW w:type="dxa" w:w="18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0.029–0.303</w:t>
            </w:r>
          </w:p>
        </w:tc>
        <w:tc>
          <w:tcPr>
            <w:tcW w:type="dxa" w:w="17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11.809 ± 1.654</w:t>
            </w:r>
          </w:p>
        </w:tc>
        <w:tc>
          <w:tcPr>
            <w:tcW w:type="dxa" w:w="9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ep5 &gt; ep30</w:t>
            </w:r>
          </w:p>
        </w:tc>
      </w:tr>
      <w:tr>
        <w:tc>
          <w:tcPr>
            <w:tcW w:type="dxa" w:w="13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000000"/>
                <w:sz w:val="17"/>
                <w:szCs w:val="17"/>
              </w:rPr>
              <w:t xml:space="preserve">gdp</w:t>
            </w:r>
          </w:p>
        </w:tc>
        <w:tc>
          <w:tcPr>
            <w:tcW w:type="dxa" w:w="22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bCs/>
                <w:i w:val="false"/>
                <w:iCs w:val="false"/>
                <w:color w:val="000000"/>
                <w:sz w:val="17"/>
                <w:szCs w:val="17"/>
              </w:rPr>
              <w:t xml:space="preserve">Satellite (Prithvi)</w:t>
            </w:r>
          </w:p>
        </w:tc>
        <w:tc>
          <w:tcPr>
            <w:tcW w:type="dxa" w:w="21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CC0000"/>
                <w:sz w:val="17"/>
                <w:szCs w:val="17"/>
              </w:rPr>
              <w:t xml:space="preserve">0.1917 ± 0.1948</w:t>
            </w:r>
          </w:p>
        </w:tc>
        <w:tc>
          <w:tcPr>
            <w:tcW w:type="dxa" w:w="18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0.054–0.567</w:t>
            </w:r>
          </w:p>
        </w:tc>
        <w:tc>
          <w:tcPr>
            <w:tcW w:type="dxa" w:w="17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4.964e8 ± 7.824e7</w:t>
            </w:r>
          </w:p>
        </w:tc>
        <w:tc>
          <w:tcPr>
            <w:tcW w:type="dxa" w:w="9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Seed-sensitive</w:t>
            </w:r>
          </w:p>
        </w:tc>
      </w:tr>
      <w:tr>
        <w:tc>
          <w:tcPr>
            <w:tcW w:type="dxa" w:w="13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gdp</w:t>
            </w:r>
          </w:p>
        </w:tc>
        <w:tc>
          <w:tcPr>
            <w:tcW w:type="dxa" w:w="22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Street (ResNet-50)</w:t>
            </w:r>
          </w:p>
        </w:tc>
        <w:tc>
          <w:tcPr>
            <w:tcW w:type="dxa" w:w="21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CC0000"/>
                <w:sz w:val="17"/>
                <w:szCs w:val="17"/>
              </w:rPr>
              <w:t xml:space="preserve">0.1193 ± 0.4973</w:t>
            </w:r>
          </w:p>
        </w:tc>
        <w:tc>
          <w:tcPr>
            <w:tcW w:type="dxa" w:w="18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−0.232–0.471</w:t>
            </w:r>
          </w:p>
        </w:tc>
        <w:tc>
          <w:tcPr>
            <w:tcW w:type="dxa" w:w="17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5.053e8 ± 1.310e8</w:t>
            </w:r>
          </w:p>
        </w:tc>
        <w:tc>
          <w:tcPr>
            <w:tcW w:type="dxa" w:w="9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Sign flip</w:t>
            </w:r>
          </w:p>
        </w:tc>
      </w:tr>
      <w:tr>
        <w:tc>
          <w:tcPr>
            <w:tcW w:type="dxa" w:w="13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gdp</w:t>
            </w:r>
          </w:p>
        </w:tc>
        <w:tc>
          <w:tcPr>
            <w:tcW w:type="dxa" w:w="22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Fusion (single)</w:t>
            </w:r>
          </w:p>
        </w:tc>
        <w:tc>
          <w:tcPr>
            <w:tcW w:type="dxa" w:w="21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n=1 (seed 42)</w:t>
            </w:r>
          </w:p>
        </w:tc>
        <w:tc>
          <w:tcPr>
            <w:tcW w:type="dxa" w:w="18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0.397 (single)</w:t>
            </w:r>
          </w:p>
        </w:tc>
        <w:tc>
          <w:tcPr>
            <w:tcW w:type="dxa" w:w="170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4.406e8</w:t>
            </w:r>
          </w:p>
        </w:tc>
        <w:tc>
          <w:tcPr>
            <w:tcW w:type="dxa" w:w="980"/>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No paired row</w:t>
            </w:r>
          </w:p>
        </w:tc>
      </w:tr>
      <w:tr>
        <w:tc>
          <w:tcPr>
            <w:tcW w:type="dxa" w:w="13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pop</w:t>
            </w:r>
          </w:p>
        </w:tc>
        <w:tc>
          <w:tcPr>
            <w:tcW w:type="dxa" w:w="22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All branches</w:t>
            </w:r>
          </w:p>
        </w:tc>
        <w:tc>
          <w:tcPr>
            <w:tcW w:type="dxa" w:w="21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Seed-42 only</w:t>
            </w:r>
          </w:p>
        </w:tc>
        <w:tc>
          <w:tcPr>
            <w:tcW w:type="dxa" w:w="18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sat: −0.27–−0.03; str: −0.44–+0.006; fus: −0.49–−0.29</w:t>
            </w:r>
          </w:p>
        </w:tc>
        <w:tc>
          <w:tcPr>
            <w:tcW w:type="dxa" w:w="17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seed-42 only</w:t>
            </w:r>
          </w:p>
        </w:tc>
        <w:tc>
          <w:tcPr>
            <w:tcW w:type="dxa" w:w="9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No multi-seed</w:t>
            </w:r>
          </w:p>
        </w:tc>
      </w:tr>
    </w:tbl>
    <w:p>
      <w:pPr>
        <w:spacing w:before="0" w:after="80"/>
      </w:pPr>
      <w:r>
        <w:t xml:space="preserve"/>
      </w:r>
    </w:p>
    <w:p>
      <w:pPr>
        <w:spacing w:before="0" w:after="60"/>
        <w:jc w:val="center"/>
      </w:pPr>
      <w:r>
        <w:rPr>
          <w:rFonts w:ascii="Times New Roman" w:cs="Times New Roman" w:eastAsia="Times New Roman" w:hAnsi="Times New Roman"/>
          <w:i/>
          <w:iCs/>
          <w:color w:val="555555"/>
          <w:sz w:val="18"/>
          <w:szCs w:val="18"/>
        </w:rPr>
        <w:t xml:space="preserve">Table D.I. Lifecycle uncertainty. Paired mean ± std uses strict paired package only; lifecycle range spans all observed checkpoints and seeds.</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spacing w:before="80"/>
      <w:jc w:val="center"/>
    </w:pPr>
    <w:r>
      <w:rPr>
        <w:rFonts w:ascii="Times New Roman" w:cs="Times New Roman" w:eastAsia="Times New Roman" w:hAnsi="Times New Roman"/>
        <w:color w:val="666666"/>
        <w:sz w:val="16"/>
        <w:szCs w:val="16"/>
      </w:rPr>
      <w:t xml:space="preserve">Anonymous Authors — Under Review  |  Page </w:t>
    </w:r>
    <w:r>
      <w:rPr>
        <w:rFonts w:ascii="Times New Roman" w:cs="Times New Roman" w:eastAsia="Times New Roman" w:hAnsi="Times New Roman"/>
        <w:color w:val="666666"/>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1"/>
      </w:pBdr>
      <w:spacing w:after="80"/>
      <w:jc w:val="center"/>
    </w:pPr>
    <w:r>
      <w:rPr>
        <w:rFonts w:ascii="Times New Roman" w:cs="Times New Roman" w:eastAsia="Times New Roman" w:hAnsi="Times New Roman"/>
        <w:i/>
        <w:iCs/>
        <w:color w:val="666666"/>
        <w:sz w:val="16"/>
        <w:szCs w:val="16"/>
      </w:rPr>
      <w:t xml:space="preserve">ADAPTING GEOSPATIAL FOUNDATION MODELS FOR URBAN SOCIOECONOMIC PREDICTION — IEEE CONFERENCE PAPER (UNDER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line="240"/>
    </w:pPr>
    <w:rPr>
      <w:rFonts w:ascii="Times New Roman" w:cs="Times New Roman" w:eastAsia="Times New Roman" w:hAnsi="Times New Roman"/>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2026-03-23T15:01:01.735Z</dcterms:created>
  <dcterms:modified xsi:type="dcterms:W3CDTF">2026-03-23T15:01:01.736Z</dcterms:modified>
</cp:coreProperties>
</file>

<file path=docProps/custom.xml><?xml version="1.0" encoding="utf-8"?>
<Properties xmlns="http://schemas.openxmlformats.org/officeDocument/2006/custom-properties" xmlns:vt="http://schemas.openxmlformats.org/officeDocument/2006/docPropsVTypes"/>
</file>