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7BFC" w14:textId="368F9ADA" w:rsidR="00D15995" w:rsidRPr="007C47A9" w:rsidRDefault="00D15995" w:rsidP="00D41E4E">
      <w:pPr>
        <w:spacing w:after="0" w:line="240" w:lineRule="auto"/>
        <w:jc w:val="left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7C47A9">
        <w:rPr>
          <w:rFonts w:ascii="Times New Roman" w:eastAsia="PMingLiU" w:hAnsi="Times New Roman" w:cs="Times New Roman"/>
          <w:sz w:val="22"/>
          <w:szCs w:val="22"/>
          <w:lang w:eastAsia="zh-TW"/>
        </w:rPr>
        <w:t>Załącznik</w:t>
      </w:r>
      <w:r w:rsidR="000C30A8" w:rsidRPr="007C47A9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</w:t>
      </w:r>
      <w:r w:rsidRPr="007C47A9">
        <w:rPr>
          <w:rFonts w:ascii="Times New Roman" w:eastAsia="PMingLiU" w:hAnsi="Times New Roman" w:cs="Times New Roman"/>
          <w:sz w:val="22"/>
          <w:szCs w:val="22"/>
          <w:lang w:eastAsia="zh-TW"/>
        </w:rPr>
        <w:t>B.101.</w:t>
      </w:r>
    </w:p>
    <w:p w14:paraId="4B954904" w14:textId="77777777" w:rsidR="00D15995" w:rsidRPr="007C47A9" w:rsidRDefault="00D15995" w:rsidP="00D41E4E">
      <w:pPr>
        <w:spacing w:after="0" w:line="240" w:lineRule="auto"/>
        <w:jc w:val="left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p w14:paraId="047C1871" w14:textId="076184BD" w:rsidR="00A909C1" w:rsidRPr="007C47A9" w:rsidRDefault="00A909C1" w:rsidP="00D41E4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Hlk114125997"/>
      <w:r w:rsidRPr="007C47A9">
        <w:rPr>
          <w:rFonts w:ascii="Times New Roman" w:hAnsi="Times New Roman" w:cs="Times New Roman"/>
          <w:b/>
          <w:bCs/>
          <w:sz w:val="28"/>
          <w:szCs w:val="24"/>
        </w:rPr>
        <w:t>LECZENIE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PACJENTÓW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Z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ZABURZENIAMI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LIPIDOWYMI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(ICD-10</w:t>
      </w:r>
      <w:r w:rsidR="00450A45" w:rsidRPr="007C47A9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E78.01,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I21,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I22,</w:t>
      </w:r>
      <w:r w:rsidR="000C30A8" w:rsidRPr="007C47A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C47A9">
        <w:rPr>
          <w:rFonts w:ascii="Times New Roman" w:hAnsi="Times New Roman" w:cs="Times New Roman"/>
          <w:b/>
          <w:bCs/>
          <w:sz w:val="28"/>
          <w:szCs w:val="24"/>
        </w:rPr>
        <w:t>I25)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4294"/>
        <w:gridCol w:w="4295"/>
      </w:tblGrid>
      <w:tr w:rsidR="00C058A9" w:rsidRPr="007C47A9" w14:paraId="78F3F868" w14:textId="77777777" w:rsidTr="000C30A8">
        <w:trPr>
          <w:trHeight w:val="567"/>
        </w:trPr>
        <w:tc>
          <w:tcPr>
            <w:tcW w:w="15388" w:type="dxa"/>
            <w:gridSpan w:val="3"/>
            <w:vAlign w:val="center"/>
          </w:tcPr>
          <w:bookmarkEnd w:id="0"/>
          <w:p w14:paraId="71EF0086" w14:textId="64997404" w:rsidR="00C058A9" w:rsidRPr="007C47A9" w:rsidRDefault="00E1105B" w:rsidP="007B38B1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ŚWIADCZENIA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E1105B" w:rsidRPr="007C47A9" w14:paraId="6C135314" w14:textId="77777777" w:rsidTr="000C30A8">
        <w:trPr>
          <w:trHeight w:val="567"/>
        </w:trPr>
        <w:tc>
          <w:tcPr>
            <w:tcW w:w="6799" w:type="dxa"/>
            <w:vAlign w:val="center"/>
          </w:tcPr>
          <w:p w14:paraId="428DA4FE" w14:textId="77777777" w:rsidR="00E1105B" w:rsidRPr="007C47A9" w:rsidRDefault="00E1105B" w:rsidP="007B38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294" w:type="dxa"/>
            <w:vAlign w:val="center"/>
          </w:tcPr>
          <w:p w14:paraId="4EFF7DD0" w14:textId="2CC74803" w:rsidR="00E1105B" w:rsidRPr="007C47A9" w:rsidRDefault="00E1105B" w:rsidP="007B38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SCHEMAT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LEKÓW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4295" w:type="dxa"/>
            <w:vAlign w:val="center"/>
          </w:tcPr>
          <w:p w14:paraId="3A8A70BA" w14:textId="76F3CF26" w:rsidR="00E1105B" w:rsidRPr="007C47A9" w:rsidRDefault="00E1105B" w:rsidP="007B38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DIAGNOSTYCZNE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RAMACH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C058A9" w:rsidRPr="00646E8E" w14:paraId="038024C9" w14:textId="77777777" w:rsidTr="000C30A8">
        <w:trPr>
          <w:trHeight w:val="20"/>
        </w:trPr>
        <w:tc>
          <w:tcPr>
            <w:tcW w:w="6799" w:type="dxa"/>
          </w:tcPr>
          <w:p w14:paraId="67499126" w14:textId="726039FC" w:rsidR="00C754A7" w:rsidRPr="007C47A9" w:rsidRDefault="00C754A7" w:rsidP="00D41E4E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udostępnia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1310" w:rsidRPr="007C47A9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C525C2A" w14:textId="3A12A7F7" w:rsidR="00C754A7" w:rsidRPr="007C47A9" w:rsidRDefault="00C754A7" w:rsidP="00E7467A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dorosłym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pacjentom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A1AA1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heterozygotyczną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hipercholesterolemią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rodzinną:</w:t>
            </w:r>
          </w:p>
          <w:p w14:paraId="4EA66650" w14:textId="6E178398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alirokumab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60AFE799" w14:textId="66B36C10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ewolokuma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1991736A" w14:textId="50EED8AC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inklisiran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08729F01" w14:textId="645C2E22" w:rsidR="003A1AA1" w:rsidRPr="007C47A9" w:rsidRDefault="003A1AA1" w:rsidP="00E7467A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dorosłym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pacjentom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homozygotyczną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hipercholesterolemią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rodzinną:</w:t>
            </w:r>
          </w:p>
          <w:p w14:paraId="2576C9C9" w14:textId="30E14ACF" w:rsidR="00594C87" w:rsidRPr="007C47A9" w:rsidRDefault="003A1AA1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lomitapid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20B32AA1" w14:textId="3D7B27E5" w:rsidR="00146E87" w:rsidRPr="007C47A9" w:rsidRDefault="00146E87" w:rsidP="00E7467A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dorosłym pacjentom z homozygotyczną hipercholesterolemią rodzinną:</w:t>
            </w:r>
          </w:p>
          <w:p w14:paraId="240B1A16" w14:textId="3D620E8C" w:rsidR="00146E87" w:rsidRPr="007C47A9" w:rsidRDefault="00146E8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7C056991" w14:textId="293ADFF1" w:rsidR="00C754A7" w:rsidRPr="007C47A9" w:rsidRDefault="00C754A7" w:rsidP="00E7467A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dorosłym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pacjentom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bardzo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wysokim</w:t>
            </w:r>
            <w:r w:rsidR="00ED5F2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 ekstremalnym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ryzykiem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chorób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układu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sercowo-naczyniowego:</w:t>
            </w:r>
          </w:p>
          <w:p w14:paraId="76AFEB7D" w14:textId="26AC7328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alirokumab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55EA1883" w14:textId="69E5A2EA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ewolokumab</w:t>
            </w:r>
            <w:r w:rsidR="00101310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10BB4E68" w14:textId="2342515F" w:rsidR="00C754A7" w:rsidRPr="007C47A9" w:rsidRDefault="00C754A7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inklisiran</w:t>
            </w:r>
            <w:r w:rsidR="006164D4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394EC0E7" w14:textId="18DCE366" w:rsidR="002840EF" w:rsidRPr="007C47A9" w:rsidRDefault="002840EF" w:rsidP="00E7467A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pediatrycznym pacjentom z homozygotyczną lub heterozygotyczną hipercholesterolemią rodzinną:</w:t>
            </w:r>
          </w:p>
          <w:p w14:paraId="1384E564" w14:textId="5BD32481" w:rsidR="002840EF" w:rsidRPr="007C47A9" w:rsidRDefault="002840EF" w:rsidP="00E7467A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,</w:t>
            </w:r>
          </w:p>
          <w:p w14:paraId="469AF0CE" w14:textId="3DB59615" w:rsidR="00937E65" w:rsidRPr="007C47A9" w:rsidRDefault="00581C43" w:rsidP="00937E65">
            <w:pPr>
              <w:pStyle w:val="Akapitzlist"/>
              <w:numPr>
                <w:ilvl w:val="3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pediatrycznym pacjentom z heterozygotyczną hipercholesterolemią rodzinną:</w:t>
            </w:r>
          </w:p>
          <w:p w14:paraId="0EA115A9" w14:textId="7515140A" w:rsidR="00581C43" w:rsidRPr="007C47A9" w:rsidRDefault="00581C43" w:rsidP="00581C43">
            <w:pPr>
              <w:pStyle w:val="Akapitzlist"/>
              <w:numPr>
                <w:ilvl w:val="4"/>
                <w:numId w:val="20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0760F33" w14:textId="5261BECD" w:rsidR="00C754A7" w:rsidRPr="007C47A9" w:rsidRDefault="00C754A7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wskazanymi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opisie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warunkami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kryteriami.</w:t>
            </w:r>
          </w:p>
          <w:p w14:paraId="34DB3234" w14:textId="77777777" w:rsidR="00C7285E" w:rsidRPr="007C47A9" w:rsidRDefault="00C7285E" w:rsidP="00D41E4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8513E40" w14:textId="0CD93883" w:rsidR="00C7285E" w:rsidRPr="007C47A9" w:rsidRDefault="00C7285E" w:rsidP="00E7467A">
            <w:pPr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5FCE0E77" w14:textId="4D6D1A7A" w:rsidR="00C7285E" w:rsidRPr="007C47A9" w:rsidRDefault="00C7285E" w:rsidP="00E7467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(1.1.)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szczegółowe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(1.2.1.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1.2.2.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1.2.3.</w:t>
            </w:r>
            <w:r w:rsidR="002840EF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1.2.4.</w:t>
            </w:r>
            <w:r w:rsidR="00146E87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1.2.5.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poszczególnych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</w:p>
          <w:p w14:paraId="7F0DD6C0" w14:textId="058CE5CF" w:rsidR="00C7285E" w:rsidRPr="007C47A9" w:rsidRDefault="00C7285E" w:rsidP="00E7467A">
            <w:pPr>
              <w:numPr>
                <w:ilvl w:val="1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Ogólne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50F476B0" w14:textId="16A716F4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wiek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lat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powyże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2840EF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 wyjątkiem pacjentów spełniających kryteria włączenia do programu lekowego wymienione w podpunkcie 1.2.</w:t>
            </w:r>
            <w:r w:rsidR="00B5343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D7A305A" w14:textId="0EE365C7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hiperlipidemii</w:t>
            </w:r>
            <w:proofErr w:type="spellEnd"/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wtórnej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wyjątkiem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spełniających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włączenia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wymienione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podpunkcie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1.2.</w:t>
            </w:r>
            <w:r w:rsidR="00B5343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.;</w:t>
            </w:r>
          </w:p>
          <w:p w14:paraId="639DD48B" w14:textId="251243DE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homozygotycznej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postaci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hipercholesterolemii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rodzinnej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wyjątkiem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spełniających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włączenia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wymienione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podpunkcie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1.2.2.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B788E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  <w:r w:rsidR="00B5343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1.2.3. </w:t>
            </w:r>
            <w:r w:rsidR="00DB788E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1.2.</w:t>
            </w:r>
            <w:r w:rsidR="00B5343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8EFCF42" w14:textId="2F5C9DC5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wykluczenie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ciąży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okresu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karmienia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piersią</w:t>
            </w:r>
            <w:r w:rsidR="002840EF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dotyczy kobiet w wieku rozrodczym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2EEECFE" w14:textId="08FEA9A3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przeciwwskazań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stosowania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aktualną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Charakterystyką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Produktu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Leczniczego;</w:t>
            </w:r>
          </w:p>
          <w:p w14:paraId="3421D58C" w14:textId="479B97F1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nieobecność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istotnych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schorzeń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współistniejących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F5866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F5866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stanów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F5866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klinicznych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stanowiących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przeciwwskazanie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stwierdzonych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prowadzącego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oparciu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odpowiednie,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aktualne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Charakterystyki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Produktu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Leczniczego;</w:t>
            </w:r>
          </w:p>
          <w:p w14:paraId="110A3D59" w14:textId="2C8A2F95" w:rsidR="00C7285E" w:rsidRPr="007C47A9" w:rsidRDefault="00C7285E" w:rsidP="00E7467A">
            <w:pPr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adekwatna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wydolność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narządowa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określona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podstawie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wyników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badań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laboratoryjnych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krwi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umożliwiająca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opinii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prowadzącego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bezpieczne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rozpoczęcie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terapii.</w:t>
            </w:r>
          </w:p>
          <w:p w14:paraId="1FC8851B" w14:textId="77777777" w:rsidR="00D74048" w:rsidRPr="007C47A9" w:rsidRDefault="00D74048" w:rsidP="00E7467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5BE756" w14:textId="3D7FE70B" w:rsidR="00A5475A" w:rsidRPr="007C47A9" w:rsidRDefault="00A5475A" w:rsidP="005E234D">
            <w:pPr>
              <w:pStyle w:val="Akapitzlist"/>
              <w:numPr>
                <w:ilvl w:val="1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Szczegółowe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24C67907" w14:textId="393BFEE8" w:rsidR="00A5475A" w:rsidRPr="007C47A9" w:rsidRDefault="00A5475A" w:rsidP="005E234D">
            <w:pPr>
              <w:pStyle w:val="Akapitzlist"/>
              <w:numPr>
                <w:ilvl w:val="2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dorosłych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heterozygotyczną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hipercholesterolemią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rodzinną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alirokumabem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ewolokumabem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inklisiranem</w:t>
            </w:r>
            <w:proofErr w:type="spellEnd"/>
          </w:p>
          <w:p w14:paraId="6D1DD084" w14:textId="075EE287" w:rsidR="00A5475A" w:rsidRPr="007C47A9" w:rsidRDefault="00A5475A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diagnoza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rodzinnej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heterozygotycznej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hipercholesterolemii,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punktów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Dutch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Lipid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Clinic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r w:rsidR="00C96AAB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(rekomendowane </w:t>
            </w:r>
            <w:r w:rsidR="00C96AAB"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wykonanie badania genetycznego z diagnostyką kaskadową członków rodziny);</w:t>
            </w:r>
          </w:p>
          <w:p w14:paraId="6D8BA24B" w14:textId="4FCCF094" w:rsidR="00A43723" w:rsidRPr="007C47A9" w:rsidRDefault="00A5475A" w:rsidP="005E234D">
            <w:pPr>
              <w:pStyle w:val="Akapitzlist"/>
              <w:numPr>
                <w:ilvl w:val="3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35BE" w:rsidRPr="007C47A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mg/dl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A35BE" w:rsidRPr="007C47A9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F652C6" w14:textId="5874D72E" w:rsidR="001A35BE" w:rsidRPr="007C47A9" w:rsidRDefault="001A35BE" w:rsidP="005E234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5D0574A" w14:textId="04364C83" w:rsidR="00AC4ECE" w:rsidRPr="007C47A9" w:rsidRDefault="001A35BE" w:rsidP="005E234D">
            <w:pPr>
              <w:pStyle w:val="Akapitzlis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LDL-C &gt;55 mg/dl (1,4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 w przypadku współistnienia innego</w:t>
            </w:r>
            <w:r w:rsidR="009364C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poważnego czynnika ryzyka tj.:</w:t>
            </w:r>
            <w:r w:rsidR="0053215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nadciśnienie tętnicze, otyłość (BMI ≥30 kg/m² lub obwód talii ≥ 80 cm</w:t>
            </w:r>
            <w:r w:rsidR="0053215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 kobiet i ≥94 cm u mężczyzn)</w:t>
            </w:r>
            <w:r w:rsidR="009364C5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lipoproteina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(a) &gt; 50 mg/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364C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/l), cukrzyca typu 2 z poważnym uszkodzeniem narządowym,</w:t>
            </w:r>
            <w:r w:rsidR="009364C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przewlekła choroba nerek z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r w:rsidR="003C2F4A"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0 ml/min/1,73 m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065352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24363" w:rsidRPr="007C47A9">
              <w:rPr>
                <w:rFonts w:ascii="Times New Roman" w:hAnsi="Times New Roman" w:cs="Times New Roman"/>
                <w:sz w:val="20"/>
                <w:szCs w:val="20"/>
              </w:rPr>
              <w:t>przebyty zabieg naczyniowy w obrębie tętnic wieńcowych, szyjnych, dogłowowych i obwodowych z powodu choroby miażdżycowej</w:t>
            </w:r>
            <w:r w:rsidR="00D46BC1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BD54307" w14:textId="0E328F1D" w:rsidR="00A5475A" w:rsidRPr="007C47A9" w:rsidRDefault="00AC4ECE" w:rsidP="005E234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diety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i:</w:t>
            </w:r>
          </w:p>
          <w:p w14:paraId="011724C7" w14:textId="23979062" w:rsidR="00905810" w:rsidRPr="007C47A9" w:rsidRDefault="00A5475A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intensywnego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maksymalnych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tolerowanych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dawkach</w:t>
            </w:r>
            <w:r w:rsidR="00DC499B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629F"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F2629F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2B6C" w:rsidRPr="007C47A9">
              <w:rPr>
                <w:rFonts w:ascii="Times New Roman" w:hAnsi="Times New Roman" w:cs="Times New Roman"/>
                <w:sz w:val="20"/>
                <w:szCs w:val="20"/>
              </w:rPr>
              <w:t>(łączny czas leczenia co najmniej 6-8 tygodni, w tym leczenia skojarzonego minimum 1 miesiąc</w:t>
            </w:r>
            <w:r w:rsidR="00C31BED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0581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natychmiastowe</w:t>
            </w:r>
            <w:r w:rsidR="0090581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stosowanie</w:t>
            </w:r>
            <w:r w:rsidR="00C31BED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terapii</w:t>
            </w:r>
            <w:r w:rsidR="00FF2267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2565"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72256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="00722565"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FF2267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5810" w:rsidRPr="007C47A9">
              <w:rPr>
                <w:rFonts w:ascii="Times New Roman" w:hAnsi="Times New Roman" w:cs="Times New Roman"/>
                <w:sz w:val="20"/>
                <w:szCs w:val="20"/>
              </w:rPr>
              <w:t>w pierwszym rzucie leczenia (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łączny czas leczenia co najmniej 6-8 tygodni</w:t>
            </w:r>
            <w:r w:rsidR="00905810" w:rsidRPr="007C47A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2F792CC0" w14:textId="1AA5A161" w:rsidR="00A5475A" w:rsidRPr="007C47A9" w:rsidRDefault="00905810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Konieczne jest </w:t>
            </w:r>
            <w:r w:rsidR="00B13139" w:rsidRPr="007C47A9">
              <w:rPr>
                <w:rFonts w:ascii="Times New Roman" w:hAnsi="Times New Roman" w:cs="Times New Roman"/>
                <w:sz w:val="20"/>
                <w:szCs w:val="20"/>
              </w:rPr>
              <w:t>udokumentowan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B13139" w:rsidRPr="007C47A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zachowania prawidłowego </w:t>
            </w:r>
            <w:proofErr w:type="spellStart"/>
            <w:r w:rsidRPr="007C47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compliance</w:t>
            </w:r>
            <w:proofErr w:type="spellEnd"/>
            <w:r w:rsidR="00B13139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</w:t>
            </w:r>
            <w:r w:rsidR="00E948A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w </w:t>
            </w:r>
            <w:r w:rsidR="00B13139" w:rsidRPr="007C47A9">
              <w:rPr>
                <w:rFonts w:ascii="Times New Roman" w:hAnsi="Times New Roman" w:cs="Times New Roman"/>
                <w:sz w:val="20"/>
                <w:szCs w:val="20"/>
              </w:rPr>
              <w:t>IKP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6B686FC" w14:textId="77777777" w:rsidR="00A5475A" w:rsidRPr="007C47A9" w:rsidRDefault="00A5475A" w:rsidP="005E234D">
            <w:pPr>
              <w:pStyle w:val="Akapitzlist"/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4CCE12C" w14:textId="5F2CC40D" w:rsidR="00517E64" w:rsidRPr="007C47A9" w:rsidRDefault="00A5475A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całkowitą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nietolerancją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definiowaną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obowiązujących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wytycznych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towarzystw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naukowych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diagnostyki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lipidowych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(PTL/KLRWP/PTK/PTDL/PTD/PTNT),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tolerancji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najmniejszej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początkowej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dowolnej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dostępnej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(okres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ustalony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krótszy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miesiące)</w:t>
            </w:r>
            <w:r w:rsidR="00B21994" w:rsidRPr="007C47A9">
              <w:rPr>
                <w:rFonts w:ascii="Times New Roman" w:hAnsi="Times New Roman" w:cs="Times New Roman"/>
                <w:sz w:val="20"/>
                <w:szCs w:val="20"/>
              </w:rPr>
              <w:t>, w przypadku objawów mięśniowych potwierdzony wynikiem w skali SAMS (9–11</w:t>
            </w:r>
            <w:r w:rsidR="009D4A94" w:rsidRPr="007C47A9">
              <w:rPr>
                <w:rFonts w:ascii="Times New Roman" w:hAnsi="Times New Roman" w:cs="Times New Roman"/>
                <w:sz w:val="20"/>
                <w:szCs w:val="20"/>
              </w:rPr>
              <w:t>pkt.);</w:t>
            </w:r>
          </w:p>
          <w:p w14:paraId="13CF7510" w14:textId="2469FA1A" w:rsidR="00517E64" w:rsidRPr="007C47A9" w:rsidRDefault="00517E64" w:rsidP="005E234D">
            <w:pPr>
              <w:pStyle w:val="Akapitzlist"/>
              <w:spacing w:line="276" w:lineRule="auto"/>
              <w:ind w:left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albo</w:t>
            </w:r>
          </w:p>
          <w:p w14:paraId="33654518" w14:textId="4E1317AD" w:rsidR="00A5475A" w:rsidRPr="007C47A9" w:rsidRDefault="00517E64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pacjenci, z heterozygotyczną hipercholesterolemią rodzinną</w:t>
            </w:r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leczeni </w:t>
            </w:r>
            <w:proofErr w:type="spellStart"/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="000B4D21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="000B4D21" w:rsidRPr="007C47A9">
              <w:rPr>
                <w:rFonts w:ascii="Times New Roman" w:hAnsi="Times New Roman" w:cs="Times New Roman"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zakwalifikowani do programu lekowego zgodnie z podpunktem 1.2.</w:t>
            </w:r>
            <w:r w:rsidR="00C20183" w:rsidRPr="007C47A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. po osiągnięciu pełnoletniości</w:t>
            </w:r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>, którzy podlegają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przeniesieniu leczenia do ośrodka dla dorosłych</w:t>
            </w:r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bez konieczności spełnienia kryteriów </w:t>
            </w:r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ogólnych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79112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(1.1.).</w:t>
            </w:r>
          </w:p>
          <w:p w14:paraId="4F187180" w14:textId="6CE0A363" w:rsidR="00A5475A" w:rsidRPr="007C47A9" w:rsidRDefault="006E6AF2" w:rsidP="005E234D">
            <w:pPr>
              <w:pStyle w:val="Akapitzlist"/>
              <w:numPr>
                <w:ilvl w:val="2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dorosłych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homozygotyczną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hipercholesterolemią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rodzinną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lomitapidem</w:t>
            </w:r>
            <w:proofErr w:type="spellEnd"/>
          </w:p>
          <w:p w14:paraId="29D55A62" w14:textId="5C46F0EB" w:rsidR="006E6AF2" w:rsidRPr="007C47A9" w:rsidRDefault="006E6AF2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diagnoza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homozygotycznej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hipercholesterolemii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rodzinnej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HoFH</w:t>
            </w:r>
            <w:proofErr w:type="spellEnd"/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03CC" w:rsidRPr="007C47A9">
              <w:rPr>
                <w:rFonts w:ascii="Times New Roman" w:hAnsi="Times New Roman" w:cs="Times New Roman"/>
                <w:sz w:val="20"/>
                <w:szCs w:val="20"/>
              </w:rPr>
              <w:t>genetycznego;</w:t>
            </w:r>
          </w:p>
          <w:p w14:paraId="228455E5" w14:textId="4D890E5A" w:rsidR="00C94FB4" w:rsidRPr="007C47A9" w:rsidRDefault="00C94FB4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postaci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hipercholesterolemii;</w:t>
            </w:r>
          </w:p>
          <w:p w14:paraId="40F623B5" w14:textId="5B78BE0F" w:rsidR="006E6AF2" w:rsidRPr="007C47A9" w:rsidRDefault="005903CC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aferezą,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już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leczonych,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rozpoczynania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aferezą;</w:t>
            </w:r>
          </w:p>
          <w:p w14:paraId="6A0D5620" w14:textId="577E8E2D" w:rsidR="00B64A42" w:rsidRPr="007C47A9" w:rsidRDefault="00B64A42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zgoda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antykoncepcji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odpowiednią,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716FE8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8562DA" w14:textId="462C418A" w:rsidR="005903CC" w:rsidRPr="00387D60" w:rsidRDefault="005903CC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aferezą: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mg/dl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(2,5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diety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i:</w:t>
            </w:r>
          </w:p>
          <w:p w14:paraId="60385561" w14:textId="5413061D" w:rsidR="006875D7" w:rsidRPr="006875D7" w:rsidRDefault="005903CC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intensywnego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maksymalnych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tolerowanych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dawkach</w:t>
            </w:r>
            <w:r w:rsidR="00387D60">
              <w:t xml:space="preserve"> </w:t>
            </w:r>
            <w:r w:rsidR="00387D60" w:rsidRPr="00387D60">
              <w:rPr>
                <w:rFonts w:ascii="Times New Roman" w:hAnsi="Times New Roman" w:cs="Times New Roman"/>
                <w:sz w:val="20"/>
                <w:szCs w:val="20"/>
              </w:rPr>
              <w:t xml:space="preserve">oraz </w:t>
            </w:r>
            <w:proofErr w:type="spellStart"/>
            <w:r w:rsidR="00387D60" w:rsidRPr="00387D60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387D60" w:rsidRPr="00387D60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75D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>łączny czas leczenia co najmniej 6-8 tygodni, w tym leczenia skojarzonego minimum 1 miesiąc</w:t>
            </w:r>
            <w:r w:rsidR="006875D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 xml:space="preserve">albo natychmiastowe stosowanie terapii </w:t>
            </w:r>
            <w:proofErr w:type="spellStart"/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6875D7" w:rsidRPr="006875D7">
              <w:rPr>
                <w:rFonts w:ascii="Times New Roman" w:hAnsi="Times New Roman" w:cs="Times New Roman"/>
                <w:sz w:val="20"/>
                <w:szCs w:val="20"/>
              </w:rPr>
              <w:t xml:space="preserve"> w pierwszym rzucie leczenia (łączny czas leczenia co najmniej 6-8 tygodni).</w:t>
            </w:r>
          </w:p>
          <w:p w14:paraId="757EF03C" w14:textId="1C6E10E6" w:rsidR="00387D60" w:rsidRPr="006A13C2" w:rsidRDefault="006875D7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6875D7">
              <w:rPr>
                <w:rFonts w:ascii="Times New Roman" w:hAnsi="Times New Roman" w:cs="Times New Roman"/>
                <w:sz w:val="20"/>
                <w:szCs w:val="20"/>
              </w:rPr>
              <w:t xml:space="preserve">Konieczne jest udokumentowanie zachowania prawidłowego </w:t>
            </w:r>
            <w:proofErr w:type="spellStart"/>
            <w:r w:rsidRPr="006875D7">
              <w:rPr>
                <w:rFonts w:ascii="Times New Roman" w:hAnsi="Times New Roman" w:cs="Times New Roman"/>
                <w:sz w:val="20"/>
                <w:szCs w:val="20"/>
              </w:rPr>
              <w:t>compliance</w:t>
            </w:r>
            <w:proofErr w:type="spellEnd"/>
            <w:r w:rsidRPr="006875D7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w IKP.</w:t>
            </w:r>
          </w:p>
          <w:p w14:paraId="69AE0736" w14:textId="2F353566" w:rsidR="006E08AC" w:rsidRPr="007C47A9" w:rsidRDefault="006E08AC" w:rsidP="005E234D">
            <w:pPr>
              <w:pStyle w:val="Akapitzlist"/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DFDCC7A" w14:textId="3A29E19F" w:rsidR="006E08AC" w:rsidRPr="007C47A9" w:rsidRDefault="006E08AC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całkowitą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nietolerancją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definiowaną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obowiązujących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wytycznych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towarzystw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naukowych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diagnostyki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lipidowych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(PTL/KLRWP/PTK/PTDL/PTD/PTNT),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tolerancji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najmniejszej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początkowej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dowolnej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dostępnej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(okres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ustalony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krótszy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miesiące)</w:t>
            </w:r>
            <w:r w:rsidR="0070062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0062D" w:rsidRPr="0070062D">
              <w:rPr>
                <w:rFonts w:ascii="Times New Roman" w:hAnsi="Times New Roman" w:cs="Times New Roman"/>
                <w:sz w:val="20"/>
                <w:szCs w:val="20"/>
              </w:rPr>
              <w:t>w przypadku objawów mięśniowych potwierdzony wynikiem w skali SAMS (9–11pkt.)</w:t>
            </w:r>
            <w:r w:rsidR="002153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082093" w14:textId="6600C738" w:rsidR="00B53438" w:rsidRPr="007C47A9" w:rsidRDefault="00B53438" w:rsidP="005E234D">
            <w:pPr>
              <w:pStyle w:val="Akapitzlist"/>
              <w:numPr>
                <w:ilvl w:val="2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dorosłych pacjentów z homozygotyczną hipercholesterolemią rodzinną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ewolokumabem</w:t>
            </w:r>
            <w:proofErr w:type="spellEnd"/>
          </w:p>
          <w:p w14:paraId="4339AF8E" w14:textId="465D93FD" w:rsidR="00B53438" w:rsidRPr="007C47A9" w:rsidRDefault="00B53438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potwierdzona diagnoza homozygotycznej hipercholesterolemii rodzinnej </w:t>
            </w:r>
            <w:r w:rsidR="005B7E77"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5B7E77" w:rsidRPr="007C47A9">
              <w:rPr>
                <w:rFonts w:ascii="Times New Roman" w:hAnsi="Times New Roman" w:cs="Times New Roman"/>
                <w:sz w:val="20"/>
                <w:szCs w:val="20"/>
              </w:rPr>
              <w:t>HoFH</w:t>
            </w:r>
            <w:proofErr w:type="spellEnd"/>
            <w:r w:rsidR="005B7E77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na podstawie </w:t>
            </w:r>
            <w:r w:rsidR="005B7E77" w:rsidRPr="007C47A9">
              <w:rPr>
                <w:rFonts w:ascii="Times New Roman" w:hAnsi="Times New Roman" w:cs="Times New Roman"/>
                <w:sz w:val="20"/>
                <w:szCs w:val="20"/>
              </w:rPr>
              <w:t>badania genetycznego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A7E8DA" w14:textId="1A7738D1" w:rsidR="00B53438" w:rsidRPr="007C47A9" w:rsidRDefault="00B53438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LDL-C &gt; 100 mg/dl (2,5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 pomimo stosowania diety i:</w:t>
            </w:r>
          </w:p>
          <w:p w14:paraId="40B89451" w14:textId="77777777" w:rsidR="0072578B" w:rsidRPr="0072578B" w:rsidRDefault="0072578B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intensywnego leczenia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oraz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(łączny czas leczenia co najmniej 6-8 tygodni, w tym leczenia skojarzonego minimum 1 miesiąc) albo natychmiastowe stosowanie terapii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w pierwszym rzucie leczenia (łączny czas leczenia co najmniej 6-8 tygodni).</w:t>
            </w:r>
          </w:p>
          <w:p w14:paraId="35434C86" w14:textId="4739635D" w:rsidR="00B53438" w:rsidRPr="007C47A9" w:rsidRDefault="0072578B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Konieczne jest udokumentowanie zachowania prawidłowego </w:t>
            </w:r>
            <w:proofErr w:type="spellStart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>compliance</w:t>
            </w:r>
            <w:proofErr w:type="spellEnd"/>
            <w:r w:rsidRPr="0072578B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w IKP</w:t>
            </w:r>
            <w:r w:rsidR="00B53438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1068FA9" w14:textId="4F94B06C" w:rsidR="00B53438" w:rsidRPr="007C47A9" w:rsidRDefault="00B53438" w:rsidP="005E234D">
            <w:pPr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F37D5AF" w14:textId="02147E59" w:rsidR="00B53438" w:rsidRPr="007C47A9" w:rsidRDefault="00B53438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pacjenci z całkowitą nietolerancją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, definiowaną według obowiązujących wytycznych towarzystw naukowych w zakresie diagnostyki i leczenia zaburzeń lipidowych (PTL/KLRWP/PTK/PTDL/PTD/PTNT), jako udokumentowany brak tolerancji co najmniej 2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– jednej w najmniejszej początkowej dawce na dobę i drugiej w dowolnej dostępnej dawce (okres leczenia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ustalony przez lekarza prowadzącego, ale nie krótszy niż przez 3 miesiące)</w:t>
            </w:r>
            <w:r w:rsidR="002C3C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C3CF5">
              <w:t xml:space="preserve"> </w:t>
            </w:r>
            <w:r w:rsidR="002C3CF5" w:rsidRPr="002C3CF5">
              <w:rPr>
                <w:rFonts w:ascii="Times New Roman" w:hAnsi="Times New Roman" w:cs="Times New Roman"/>
                <w:sz w:val="20"/>
                <w:szCs w:val="20"/>
              </w:rPr>
              <w:t>w przypadku objawów mięśniowych potwierdzony wynikiem w skali SAMS (9–11pkt.).</w:t>
            </w:r>
          </w:p>
          <w:p w14:paraId="405E622C" w14:textId="39F10F9C" w:rsidR="00B53438" w:rsidRPr="007C47A9" w:rsidRDefault="00B53438" w:rsidP="005E234D">
            <w:pPr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16239DA7" w14:textId="7F9568CC" w:rsidR="00B53438" w:rsidRPr="007C47A9" w:rsidRDefault="00B53438" w:rsidP="005E234D">
            <w:pPr>
              <w:pStyle w:val="Akapitzlist"/>
              <w:numPr>
                <w:ilvl w:val="3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pacjenci, z homozygotyczną hipercholesterolemią rodzinną leczeni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zakwalifikowani do programu lekowego zgodnie z podpunktem 1.2.5. po osiągnięciu pełnoletniości, którzy podlegają przeniesieniu leczenia do ośrodka dla dorosłych bez konieczności spełnienia kryteriów ogólnych kwalifikacji (1.1.).</w:t>
            </w:r>
          </w:p>
          <w:p w14:paraId="6C4D2E89" w14:textId="3223FE43" w:rsidR="00A5475A" w:rsidRPr="007C47A9" w:rsidRDefault="00A5475A" w:rsidP="005E234D">
            <w:pPr>
              <w:pStyle w:val="Akapitzlist"/>
              <w:numPr>
                <w:ilvl w:val="2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dorosłych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588CBC6" w14:textId="0B0C8EA4" w:rsidR="00110B4F" w:rsidRPr="007C47A9" w:rsidRDefault="00762DAE" w:rsidP="005E234D">
            <w:pPr>
              <w:pStyle w:val="Akapitzlist"/>
              <w:numPr>
                <w:ilvl w:val="4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z ekstremalnym ryzykiem chorób układu sercowo-naczyniowego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inklisiranem</w:t>
            </w:r>
            <w:proofErr w:type="spellEnd"/>
          </w:p>
          <w:p w14:paraId="67FF3DF8" w14:textId="383FE7FA" w:rsidR="00A5475A" w:rsidRPr="007C47A9" w:rsidRDefault="00A5475A" w:rsidP="005E234D">
            <w:pPr>
              <w:pStyle w:val="Akapitzlist"/>
              <w:numPr>
                <w:ilvl w:val="3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23B10" w:rsidRPr="007C47A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mg/dl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94C87" w:rsidRPr="007C47A9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F23B10" w:rsidRPr="007C47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diety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i:</w:t>
            </w:r>
          </w:p>
          <w:p w14:paraId="66DD6BD0" w14:textId="4E662BEB" w:rsidR="00936EC9" w:rsidRPr="007C47A9" w:rsidRDefault="00A5475A" w:rsidP="005E234D">
            <w:pPr>
              <w:pStyle w:val="Akapitzlist"/>
              <w:numPr>
                <w:ilvl w:val="4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intensywnego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maksymalnych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tolerowanych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dawkach</w:t>
            </w:r>
            <w:r w:rsidR="00105A36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maksymalnych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tolerowanych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5D79B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(łączny czas leczenia co najmniej 6-8 tygodni, w tym leczenia skojarzonego minimum 1 miesiąc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>) albo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natychmiastowe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stosowanie terapii </w:t>
            </w:r>
            <w:proofErr w:type="spellStart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>w pierwszym rzucie leczenia (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łączny czas leczenia co najmniej 6-8 tygodni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45F94B34" w14:textId="444BDEF3" w:rsidR="00A5475A" w:rsidRPr="007C47A9" w:rsidRDefault="00936EC9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Konieczne jest udokumentowanie zachowania prawidłowego </w:t>
            </w:r>
            <w:proofErr w:type="spellStart"/>
            <w:r w:rsidRPr="007C47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compliance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w IKP.</w:t>
            </w:r>
          </w:p>
          <w:p w14:paraId="07C6EA41" w14:textId="77777777" w:rsidR="00A5475A" w:rsidRPr="007C47A9" w:rsidRDefault="00A5475A" w:rsidP="005E234D">
            <w:pPr>
              <w:pStyle w:val="Akapitzlist"/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515635A" w14:textId="3B8F3E78" w:rsidR="00A5475A" w:rsidRPr="007C47A9" w:rsidRDefault="00A5475A" w:rsidP="005E234D">
            <w:pPr>
              <w:pStyle w:val="Akapitzlist"/>
              <w:numPr>
                <w:ilvl w:val="4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całkowitą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nietolerancją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definiowaną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obowiązujących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wytycznych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towarzystw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naukowych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diagnostyki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lipidowych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(PTL/KLRWP/PTK/PTDL/PTD/PTNT),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tolerancji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najmniejszej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początkowej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dowolnej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dostępnej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(okres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ustalony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krótszy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miesiące)</w:t>
            </w:r>
            <w:r w:rsidR="00237C47" w:rsidRPr="007C47A9">
              <w:rPr>
                <w:rFonts w:ascii="Times New Roman" w:hAnsi="Times New Roman" w:cs="Times New Roman"/>
                <w:sz w:val="20"/>
                <w:szCs w:val="20"/>
              </w:rPr>
              <w:t>, w przypadku objawów mięśniowych potwierdzony wynikiem w skali SAMS (9–11 pkt.)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091662F" w14:textId="2DB4D9EF" w:rsidR="00A5475A" w:rsidRPr="007C47A9" w:rsidRDefault="00D74048" w:rsidP="005E234D">
            <w:pPr>
              <w:pStyle w:val="Akapitzlist"/>
              <w:numPr>
                <w:ilvl w:val="3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rzebyty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zawał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udokumentowaną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koronarografii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tomografii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miażdżycą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wieńcowych</w:t>
            </w:r>
            <w:r w:rsidR="00A5475A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wystąpił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775" w:rsidRPr="007C47A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włączeniem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dodatkowym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jednym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zdarzeniem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sercowo-naczyniowym</w:t>
            </w:r>
            <w:r w:rsidR="00B81A5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lub stanem chorobowym/</w:t>
            </w:r>
            <w:r w:rsidR="004A49D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1A5C" w:rsidRPr="007C47A9">
              <w:rPr>
                <w:rFonts w:ascii="Times New Roman" w:hAnsi="Times New Roman" w:cs="Times New Roman"/>
                <w:sz w:val="20"/>
                <w:szCs w:val="20"/>
              </w:rPr>
              <w:t>czynnikiem ryzyka</w:t>
            </w:r>
            <w:r w:rsidR="00A5475A"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50A07E4" w14:textId="77777777" w:rsidR="00A5475A" w:rsidRPr="007C47A9" w:rsidRDefault="00A5475A" w:rsidP="005E234D">
            <w:pPr>
              <w:pStyle w:val="Akapitzlist"/>
              <w:numPr>
                <w:ilvl w:val="4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wieńcowym:</w:t>
            </w:r>
          </w:p>
          <w:p w14:paraId="1CDDA879" w14:textId="0D18B301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przebytym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zawałem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wywiadzie</w:t>
            </w:r>
          </w:p>
          <w:p w14:paraId="7E94DA22" w14:textId="77777777" w:rsidR="00A5475A" w:rsidRPr="007C47A9" w:rsidRDefault="00A5475A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F8142B0" w14:textId="21F6BB64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wielonaczyniową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wieńcową,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zdefiniowaną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zwężenie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światła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naczynia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naczyniach</w:t>
            </w:r>
          </w:p>
          <w:p w14:paraId="0CE828FE" w14:textId="77777777" w:rsidR="00A5475A" w:rsidRPr="007C47A9" w:rsidRDefault="00A5475A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1793D97" w14:textId="49E05C39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wiekiem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zawału,</w:t>
            </w:r>
          </w:p>
          <w:p w14:paraId="633C8EDD" w14:textId="77777777" w:rsidR="00A5475A" w:rsidRPr="007C47A9" w:rsidRDefault="00A5475A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541994A" w14:textId="12BEE41A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wykonanym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CABG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wielonaczyniowej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wieńcowej,</w:t>
            </w:r>
          </w:p>
          <w:p w14:paraId="60A28007" w14:textId="310A9307" w:rsidR="00A5475A" w:rsidRPr="007C47A9" w:rsidRDefault="00A5475A" w:rsidP="005E234D">
            <w:pPr>
              <w:pStyle w:val="Akapitzlist"/>
              <w:numPr>
                <w:ilvl w:val="4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miażdżycową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wieńcowe,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rozumianą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jako:</w:t>
            </w:r>
          </w:p>
          <w:p w14:paraId="551665B5" w14:textId="5CCABA3E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obwodowych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(PAD),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tj.:</w:t>
            </w:r>
          </w:p>
          <w:p w14:paraId="5748B070" w14:textId="45CBE43B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chromanie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przestankowe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wskaźnikiem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kostka-ramię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(ABI)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&lt;0,85</w:t>
            </w:r>
          </w:p>
          <w:p w14:paraId="1AA590CE" w14:textId="77777777" w:rsidR="00A5475A" w:rsidRPr="007C47A9" w:rsidRDefault="00A5475A" w:rsidP="005E234D">
            <w:pPr>
              <w:pStyle w:val="Akapitzlist"/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CB0F9B0" w14:textId="6648414E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przebyta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rewaskularyzacja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obwodowych</w:t>
            </w:r>
          </w:p>
          <w:p w14:paraId="0C67C063" w14:textId="77777777" w:rsidR="00A5475A" w:rsidRPr="007C47A9" w:rsidRDefault="00A5475A" w:rsidP="005E234D">
            <w:pPr>
              <w:pStyle w:val="Akapitzlist"/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34C5B94" w14:textId="6BC75DAD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amputacja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kończyny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miażdżycowej</w:t>
            </w:r>
          </w:p>
          <w:p w14:paraId="2361E66E" w14:textId="77777777" w:rsidR="00A5475A" w:rsidRPr="007C47A9" w:rsidRDefault="00A5475A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DD1BD23" w14:textId="30B5DBF9" w:rsidR="00A5475A" w:rsidRPr="007C47A9" w:rsidRDefault="00A5475A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mózgowych,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tj.:</w:t>
            </w:r>
          </w:p>
          <w:p w14:paraId="7251DAE0" w14:textId="509AE766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przebyty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udar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mózgu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niedokrwienny</w:t>
            </w:r>
          </w:p>
          <w:p w14:paraId="4946CA9F" w14:textId="77777777" w:rsidR="00A5475A" w:rsidRPr="007C47A9" w:rsidRDefault="00A5475A" w:rsidP="005E234D">
            <w:pPr>
              <w:pStyle w:val="Akapitzlist"/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BD80A5B" w14:textId="0A797245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przemijający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atak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niedokrwienny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(TIA)</w:t>
            </w:r>
          </w:p>
          <w:p w14:paraId="6A1221AB" w14:textId="77777777" w:rsidR="00A5475A" w:rsidRPr="007C47A9" w:rsidRDefault="00A5475A" w:rsidP="005E234D">
            <w:pPr>
              <w:pStyle w:val="Akapitzlist"/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4A28A71" w14:textId="0E196E82" w:rsidR="00A5475A" w:rsidRPr="007C47A9" w:rsidRDefault="00A5475A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przebyta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rewaskularyzacja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tętnic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dogłowowych</w:t>
            </w:r>
            <w:r w:rsidR="00871276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5CD454A" w14:textId="2C0ADBBA" w:rsidR="00871276" w:rsidRPr="007C47A9" w:rsidRDefault="003367A5" w:rsidP="005E234D">
            <w:pPr>
              <w:pStyle w:val="Akapitzlist"/>
              <w:numPr>
                <w:ilvl w:val="4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inne stany chorobowe:</w:t>
            </w:r>
          </w:p>
          <w:p w14:paraId="76A6E41D" w14:textId="655475E9" w:rsidR="003367A5" w:rsidRPr="007C47A9" w:rsidRDefault="005F5C55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cukrzyca typu 2 z poważnym uszkodzeniem narządowym definiowanym jako:</w:t>
            </w:r>
          </w:p>
          <w:p w14:paraId="6102E286" w14:textId="055AF57B" w:rsidR="00E1472F" w:rsidRPr="007C47A9" w:rsidRDefault="00442410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&lt;45 ml/min/1</w:t>
            </w:r>
            <w:r w:rsidR="006E6A91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73 m2 niezależnie od albuminurii</w:t>
            </w:r>
          </w:p>
          <w:p w14:paraId="4A2E28D8" w14:textId="21BC6A8F" w:rsidR="006E6A91" w:rsidRPr="007C47A9" w:rsidRDefault="006E6A91" w:rsidP="005E234D">
            <w:pPr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E0B9A50" w14:textId="23FE3807" w:rsidR="00442410" w:rsidRPr="007C47A9" w:rsidRDefault="00442410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45–59 ml/min/1</w:t>
            </w:r>
            <w:r w:rsidR="006E6A91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73 m2 oraz albuminuria (UACR 30–300 mg/g; stadium A2)</w:t>
            </w:r>
          </w:p>
          <w:p w14:paraId="05E60AC8" w14:textId="562CA294" w:rsidR="00996B8C" w:rsidRPr="007C47A9" w:rsidRDefault="00996B8C" w:rsidP="005E234D">
            <w:pPr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795A652" w14:textId="570B8CCF" w:rsidR="00E1472F" w:rsidRPr="007C47A9" w:rsidRDefault="00442410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białkomocz (UACR &gt;300 mg/g; stadium A3)</w:t>
            </w:r>
          </w:p>
          <w:p w14:paraId="765AFF9D" w14:textId="302ED213" w:rsidR="0025559A" w:rsidRPr="007C47A9" w:rsidRDefault="0025559A" w:rsidP="005E234D">
            <w:pPr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3F3C52A" w14:textId="462DAFC9" w:rsidR="00B97EC5" w:rsidRPr="007C47A9" w:rsidRDefault="005F5C55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obecność choroby mikronaczyniowej w przynajmniej trzech różnych miejscach, np. albuminuria (stadium A2) </w:t>
            </w:r>
            <w:r w:rsidR="00AE253F"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retinopatia </w:t>
            </w:r>
            <w:r w:rsidR="00AE253F"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neuropatia</w:t>
            </w:r>
          </w:p>
          <w:p w14:paraId="7BAFD318" w14:textId="685CA39D" w:rsidR="00B97EC5" w:rsidRPr="007C47A9" w:rsidRDefault="00B97EC5" w:rsidP="005E234D">
            <w:pPr>
              <w:spacing w:line="276" w:lineRule="auto"/>
              <w:ind w:left="907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D4CA6DD" w14:textId="6CEF6E32" w:rsidR="009634FF" w:rsidRPr="007C47A9" w:rsidRDefault="00B97EC5" w:rsidP="005E234D">
            <w:pPr>
              <w:pStyle w:val="Akapitzlist"/>
              <w:numPr>
                <w:ilvl w:val="6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10-letnie ryzyko sercowo-naczyniowe &gt; 20% według kalkulatora SCORE2-Diabetes</w:t>
            </w:r>
          </w:p>
          <w:p w14:paraId="321AB302" w14:textId="3BE41B82" w:rsidR="009634FF" w:rsidRPr="007C47A9" w:rsidRDefault="0055358B" w:rsidP="005E234D">
            <w:pPr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AABDAD3" w14:textId="1F5726BF" w:rsidR="009634FF" w:rsidRPr="007C47A9" w:rsidRDefault="0055358B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przewlekła choroba nerek z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r w:rsidR="003C2F4A"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0 ml/min/1,73 m</w:t>
            </w:r>
            <w:r w:rsidRPr="007C47A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  <w:p w14:paraId="5564990A" w14:textId="57EC18C2" w:rsidR="00F05239" w:rsidRPr="007C47A9" w:rsidRDefault="00F05239" w:rsidP="005E234D">
            <w:pPr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33017F4" w14:textId="00B12C0D" w:rsidR="009634FF" w:rsidRPr="007C47A9" w:rsidRDefault="00F05239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lipoproteina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(a) &gt; 50 mg/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</w:t>
            </w:r>
          </w:p>
          <w:p w14:paraId="04653686" w14:textId="4425F599" w:rsidR="009C7DA8" w:rsidRPr="007C47A9" w:rsidRDefault="009C7DA8" w:rsidP="005E234D">
            <w:pPr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2FDAB89" w14:textId="1B6CCB8F" w:rsidR="00F05239" w:rsidRPr="007C47A9" w:rsidRDefault="00F05239" w:rsidP="005E234D">
            <w:pPr>
              <w:pStyle w:val="Akapitzlist"/>
              <w:numPr>
                <w:ilvl w:val="5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potwierdzona diagnoza rodzinnej heterozygotycznej</w:t>
            </w:r>
            <w:r w:rsidR="009C7D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hipercholesterolemii, tj. &gt; 8 punktów w skali Dutch Lipid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Clinic</w:t>
            </w:r>
            <w:proofErr w:type="spellEnd"/>
            <w:r w:rsidR="009C7D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r w:rsidR="009C7DA8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E5F3B8C" w14:textId="1606C818" w:rsidR="00065352" w:rsidRPr="007C47A9" w:rsidRDefault="00065352" w:rsidP="005E234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F5B1EA2" w14:textId="52AA2CD2" w:rsidR="00762DAE" w:rsidRPr="007C47A9" w:rsidRDefault="00762DAE" w:rsidP="005E234D">
            <w:pPr>
              <w:pStyle w:val="Akapitzlist"/>
              <w:numPr>
                <w:ilvl w:val="4"/>
                <w:numId w:val="2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z bardzo wysokim ryzykiem chorób układu sercowo-naczyniowego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inklisiranem</w:t>
            </w:r>
            <w:proofErr w:type="spellEnd"/>
          </w:p>
          <w:p w14:paraId="611C66FB" w14:textId="118C9D82" w:rsidR="00B96034" w:rsidRPr="007C47A9" w:rsidRDefault="00B96034" w:rsidP="005E234D">
            <w:pPr>
              <w:pStyle w:val="Akapitzlist"/>
              <w:numPr>
                <w:ilvl w:val="3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 &gt;</w:t>
            </w:r>
            <w:r w:rsidR="00B92FED" w:rsidRPr="007C47A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mg/dl (1,</w:t>
            </w:r>
            <w:r w:rsidR="000B45EC" w:rsidRPr="007C47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 pomimo stosowania diety i:</w:t>
            </w:r>
          </w:p>
          <w:p w14:paraId="2BAD5408" w14:textId="40AFBF92" w:rsidR="00936EC9" w:rsidRPr="007C47A9" w:rsidRDefault="00B96034" w:rsidP="005E234D">
            <w:pPr>
              <w:pStyle w:val="Akapitzlist"/>
              <w:numPr>
                <w:ilvl w:val="4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intensywnego leczenia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</w:t>
            </w:r>
            <w:r w:rsidR="001E6A22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oraz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skojarzeniu z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(łączny czas leczenia co najmniej 6-8 tygodni, w tym leczenia skojarzonego minimum 1 miesiąc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) albo 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natychmiastowe 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stosowanie terapii </w:t>
            </w:r>
            <w:proofErr w:type="spellStart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maksymalnych tolerowanych dawkach w skojarzeniu z </w:t>
            </w:r>
            <w:proofErr w:type="spellStart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>ezetymibem</w:t>
            </w:r>
            <w:proofErr w:type="spellEnd"/>
            <w:r w:rsidR="00724A4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>w pierwszym rzucie leczenia (</w:t>
            </w:r>
            <w:r w:rsidR="00321040" w:rsidRPr="007C47A9">
              <w:rPr>
                <w:rFonts w:ascii="Times New Roman" w:hAnsi="Times New Roman" w:cs="Times New Roman"/>
                <w:sz w:val="20"/>
                <w:szCs w:val="20"/>
              </w:rPr>
              <w:t>łączny czas leczenia co najmniej 6-8 tygodni</w:t>
            </w:r>
            <w:r w:rsidR="00936EC9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19A7980F" w14:textId="32D18A24" w:rsidR="00B96034" w:rsidRPr="007C47A9" w:rsidRDefault="00936EC9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Konieczne jest udokumentowanie zachowania prawidłowego </w:t>
            </w:r>
            <w:proofErr w:type="spellStart"/>
            <w:r w:rsidRPr="007C47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compliance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w IKP.</w:t>
            </w:r>
          </w:p>
          <w:p w14:paraId="4D812801" w14:textId="77777777" w:rsidR="00B96034" w:rsidRPr="007C47A9" w:rsidRDefault="00B96034" w:rsidP="005E234D">
            <w:pPr>
              <w:pStyle w:val="Akapitzlist"/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EE87CD0" w14:textId="31552A3E" w:rsidR="00B96034" w:rsidRPr="007C47A9" w:rsidRDefault="00B96034" w:rsidP="005E234D">
            <w:pPr>
              <w:pStyle w:val="Akapitzlist"/>
              <w:numPr>
                <w:ilvl w:val="4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pacjenci z całkowitą nietolerancją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, definiowaną według obowiązujących wytycznych towarzystw naukowych w zakresie diagnostyki i leczenia zaburzeń lipidowych (PTL/KLRWP/PTK/PTDL/PTD/PTNT), jako udokumentowany brak tolerancji co najmniej 2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– jednej w najmniejszej początkowej dawce na dobę i drugiej w dowolnej dostępnej dawce (okres leczenia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ustalony przez lekarza prowadzącego, ale nie krótszy niż przez 3 miesiące), w przypadku objawów mięśniowych potwierdzony wynikiem w skali SAMS (9–11 pkt.).</w:t>
            </w:r>
          </w:p>
          <w:p w14:paraId="68091838" w14:textId="03D7CE13" w:rsidR="00B96034" w:rsidRPr="007C47A9" w:rsidRDefault="00B96034" w:rsidP="005E234D">
            <w:pPr>
              <w:pStyle w:val="Akapitzlist"/>
              <w:numPr>
                <w:ilvl w:val="3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przebyty zawał serca z udokumentowaną w koronarografii lub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tomografii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miażdżycą tętnic wieńcowych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który wystąpił do 24 miesięcy przed włączeniem do programu lekowego</w:t>
            </w:r>
            <w:r w:rsidR="001B1B6F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FA299CC" w14:textId="77777777" w:rsidR="000A3E4F" w:rsidRPr="007C47A9" w:rsidRDefault="000A3E4F" w:rsidP="005E234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F9F3D6F" w14:textId="5419EA1A" w:rsidR="005D7B98" w:rsidRPr="007C47A9" w:rsidRDefault="005D7B98" w:rsidP="005E234D">
            <w:pPr>
              <w:pStyle w:val="Akapitzlist"/>
              <w:numPr>
                <w:ilvl w:val="2"/>
                <w:numId w:val="29"/>
              </w:numPr>
              <w:spacing w:line="276" w:lineRule="auto"/>
              <w:ind w:left="454" w:hanging="45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pediatrycznych pacjentów z homozygotyczną lub heterozygotyczną hipercholesterolemią rodzinną </w:t>
            </w:r>
            <w:proofErr w:type="spellStart"/>
            <w:r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ewolokumabem</w:t>
            </w:r>
            <w:proofErr w:type="spellEnd"/>
            <w:r w:rsidR="00A7007A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r w:rsidR="001D30E6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pediatrycznych pacjentów </w:t>
            </w:r>
            <w:r w:rsidR="00A7007A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z heterozygotyczną </w:t>
            </w:r>
            <w:r w:rsidR="001D30E6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hipercholesterolemią</w:t>
            </w:r>
            <w:r w:rsidR="00A7007A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rodzinną </w:t>
            </w:r>
            <w:proofErr w:type="spellStart"/>
            <w:r w:rsidR="001D30E6" w:rsidRPr="007C47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alirokumabem</w:t>
            </w:r>
            <w:proofErr w:type="spellEnd"/>
          </w:p>
          <w:p w14:paraId="5A8FDD16" w14:textId="1F1A4C0F" w:rsidR="005D7B98" w:rsidRPr="007C47A9" w:rsidRDefault="005D7B98" w:rsidP="005E234D">
            <w:pPr>
              <w:pStyle w:val="Akapitzlist"/>
              <w:numPr>
                <w:ilvl w:val="3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wiek 10 – 18 lat</w:t>
            </w:r>
            <w:r w:rsidR="0006617C" w:rsidRPr="007C47A9">
              <w:t xml:space="preserve"> </w:t>
            </w:r>
            <w:r w:rsidR="0006617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dla </w:t>
            </w:r>
            <w:proofErr w:type="spellStart"/>
            <w:r w:rsidR="0006617C" w:rsidRPr="007C47A9">
              <w:rPr>
                <w:rFonts w:ascii="Times New Roman" w:hAnsi="Times New Roman" w:cs="Times New Roman"/>
                <w:sz w:val="20"/>
                <w:szCs w:val="20"/>
              </w:rPr>
              <w:t>ewolokumabu</w:t>
            </w:r>
            <w:proofErr w:type="spellEnd"/>
            <w:r w:rsidR="0006617C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lub 8-18 lat dla </w:t>
            </w:r>
            <w:proofErr w:type="spellStart"/>
            <w:r w:rsidR="0006617C" w:rsidRPr="007C47A9">
              <w:rPr>
                <w:rFonts w:ascii="Times New Roman" w:hAnsi="Times New Roman" w:cs="Times New Roman"/>
                <w:sz w:val="20"/>
                <w:szCs w:val="20"/>
              </w:rPr>
              <w:t>alirokumabu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577865" w14:textId="480616E3" w:rsidR="005D7B98" w:rsidRPr="007C47A9" w:rsidRDefault="005D7B98" w:rsidP="005E234D">
            <w:pPr>
              <w:pStyle w:val="Akapitzlist"/>
              <w:numPr>
                <w:ilvl w:val="3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potwierdzona diagnoza hipercholesterolemii rodzinnej na podstawie wyniku: skali Dutch Lipid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Clinic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Network</w:t>
            </w:r>
            <w:r w:rsidR="006351CC" w:rsidRPr="007C47A9">
              <w:rPr>
                <w:rFonts w:ascii="Times New Roman" w:hAnsi="Times New Roman" w:cs="Times New Roman"/>
                <w:sz w:val="20"/>
                <w:szCs w:val="20"/>
              </w:rPr>
              <w:t>, tj. &gt;8 punktów</w:t>
            </w:r>
            <w:r w:rsidR="00DB788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przypadku </w:t>
            </w:r>
            <w:r w:rsidR="0074365C" w:rsidRPr="007C47A9">
              <w:rPr>
                <w:rFonts w:ascii="Times New Roman" w:hAnsi="Times New Roman" w:cs="Times New Roman"/>
                <w:sz w:val="20"/>
                <w:szCs w:val="20"/>
              </w:rPr>
              <w:t>heterozygotycznej hipercholesterolemii rodzinnej (</w:t>
            </w:r>
            <w:proofErr w:type="spellStart"/>
            <w:r w:rsidR="00DB788E" w:rsidRPr="007C47A9">
              <w:rPr>
                <w:rFonts w:ascii="Times New Roman" w:hAnsi="Times New Roman" w:cs="Times New Roman"/>
                <w:sz w:val="20"/>
                <w:szCs w:val="20"/>
              </w:rPr>
              <w:t>HeFH</w:t>
            </w:r>
            <w:proofErr w:type="spellEnd"/>
            <w:r w:rsidR="0074365C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B788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na podstawie badania genetycznego w przypadku </w:t>
            </w:r>
            <w:r w:rsidR="0074365C" w:rsidRPr="007C47A9">
              <w:rPr>
                <w:rFonts w:ascii="Times New Roman" w:hAnsi="Times New Roman" w:cs="Times New Roman"/>
                <w:sz w:val="20"/>
                <w:szCs w:val="20"/>
              </w:rPr>
              <w:t>homozygotycznej hipercholesterolemii rodzinnej (</w:t>
            </w:r>
            <w:proofErr w:type="spellStart"/>
            <w:r w:rsidR="00DB788E" w:rsidRPr="007C47A9">
              <w:rPr>
                <w:rFonts w:ascii="Times New Roman" w:hAnsi="Times New Roman" w:cs="Times New Roman"/>
                <w:sz w:val="20"/>
                <w:szCs w:val="20"/>
              </w:rPr>
              <w:t>HoFH</w:t>
            </w:r>
            <w:proofErr w:type="spellEnd"/>
            <w:r w:rsidR="0074365C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6617C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DE6B06" w14:textId="55E2B10C" w:rsidR="005D7B98" w:rsidRPr="007C47A9" w:rsidRDefault="00206B6D" w:rsidP="005E234D">
            <w:pPr>
              <w:pStyle w:val="Akapitzlist"/>
              <w:numPr>
                <w:ilvl w:val="3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LDL-C &gt; 100 mg/dl (2,5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/l) pomimo stosowania diety i:</w:t>
            </w:r>
          </w:p>
          <w:p w14:paraId="2DF499F1" w14:textId="77777777" w:rsidR="00220DAE" w:rsidRPr="007C47A9" w:rsidRDefault="00206B6D" w:rsidP="005E234D">
            <w:pPr>
              <w:pStyle w:val="Akapitzlist"/>
              <w:numPr>
                <w:ilvl w:val="4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zoptymalizowanego leczenia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hipolipemizującego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zgodnie z obowiązującymi wytycznymi towarzystw naukowych w zakresie diagnostyki i leczenia zaburzeń lipidowych (PTL/KLRWP/PTK/PTDL/PTD/PTNT) (stosowanego nie krócej niż 3 miesiące</w:t>
            </w:r>
            <w:r w:rsidR="00A37894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20DAE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317DE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C40978" w14:textId="2CA8D1F7" w:rsidR="00206B6D" w:rsidRPr="007C47A9" w:rsidRDefault="00A37894" w:rsidP="005E234D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Konieczne jest udokumentowanie zachowania prawidłowego </w:t>
            </w:r>
            <w:proofErr w:type="spellStart"/>
            <w:r w:rsidRPr="007C47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compliance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na podstawie realizacji recept w IKP.</w:t>
            </w:r>
          </w:p>
          <w:p w14:paraId="62C83144" w14:textId="1972DB87" w:rsidR="00206B6D" w:rsidRPr="007C47A9" w:rsidRDefault="00206B6D" w:rsidP="005E234D">
            <w:pPr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E3C601E" w14:textId="1C014FC4" w:rsidR="00206B6D" w:rsidRPr="007C47A9" w:rsidRDefault="00206B6D" w:rsidP="005E234D">
            <w:pPr>
              <w:pStyle w:val="Akapitzlist"/>
              <w:numPr>
                <w:ilvl w:val="4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pacjenci z całkowitą nietolerancją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, definiowaną według obowiązujących wytycznych towarzystw naukowych w zakresie diagnostyki i leczenia zaburzeń lipidowych (PTL/KLRWP/PTK/PTDL/PTD/PTNT), jako udokumentowany brak tolerancji co najmniej 2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– jednej w najmniejszej początkowej dawce na dobę i drugiej w dowolnej dostępnej dawce (okres leczenia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statynami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ustalony przez lekarza prowadzącego, ale nie krótszy niż przez 3 miesiące).</w:t>
            </w:r>
          </w:p>
          <w:p w14:paraId="1407131D" w14:textId="77777777" w:rsidR="000E428C" w:rsidRPr="007C47A9" w:rsidRDefault="000E428C" w:rsidP="005E234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EF5E2" w14:textId="4F36E635" w:rsidR="00A5475A" w:rsidRPr="007C47A9" w:rsidRDefault="00A5475A" w:rsidP="005E234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4422062A" w14:textId="77777777" w:rsidR="008A1B15" w:rsidRPr="007C47A9" w:rsidRDefault="008A1B15" w:rsidP="005E234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2AC8E" w14:textId="78DB3A94" w:rsidR="00FE1A6A" w:rsidRPr="007C47A9" w:rsidRDefault="00A84DD1" w:rsidP="007C47A9">
            <w:pPr>
              <w:pStyle w:val="Akapitzlist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Określenie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czasu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  <w:p w14:paraId="03D0742D" w14:textId="58BE60F4" w:rsidR="00C058A9" w:rsidRPr="007C47A9" w:rsidRDefault="00804BF5" w:rsidP="00D41E4E">
            <w:pPr>
              <w:spacing w:line="276" w:lineRule="auto"/>
              <w:rPr>
                <w:rFonts w:ascii="Times New Roman" w:hAnsi="Times New Roman"/>
                <w:sz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kontynuować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momentu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r w:rsidR="00E04754"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udziału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przedstawionymi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DD1" w:rsidRPr="007C47A9">
              <w:rPr>
                <w:rFonts w:ascii="Times New Roman" w:hAnsi="Times New Roman" w:cs="Times New Roman"/>
                <w:sz w:val="20"/>
                <w:szCs w:val="20"/>
              </w:rPr>
              <w:t>punkcie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0D35" w:rsidRPr="007C47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058A9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AF37AF" w14:textId="506DA632" w:rsidR="004C05E9" w:rsidRPr="007C47A9" w:rsidRDefault="0079112E" w:rsidP="0079112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Dla pacjentów zakwalifikowanych zgodnie z punktem 1.2.</w:t>
            </w:r>
            <w:r w:rsidR="00C20183" w:rsidRPr="007C47A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543F5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terapia może być kontynuowana </w:t>
            </w:r>
            <w:r w:rsidR="00C20183"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ukończeni</w:t>
            </w:r>
            <w:r w:rsidR="00C20183"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przez pacjenta 18 roku życia, </w:t>
            </w:r>
            <w:r w:rsidR="00C20183" w:rsidRPr="007C47A9">
              <w:rPr>
                <w:rFonts w:ascii="Times New Roman" w:hAnsi="Times New Roman" w:cs="Times New Roman"/>
                <w:sz w:val="20"/>
                <w:szCs w:val="20"/>
              </w:rPr>
              <w:t>pod warunkiem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p</w:t>
            </w:r>
            <w:r w:rsidR="00E157D5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rzeniesieni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E157D5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E157D5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do ośrodka dla dorosłych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zgodnie z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ppkt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 1.2.1.3.</w:t>
            </w:r>
            <w:r w:rsidR="00C20183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albo 1.2.3.3.</w:t>
            </w:r>
            <w:r w:rsidR="004C05E9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059B97" w14:textId="77777777" w:rsidR="00D7797F" w:rsidRPr="007C47A9" w:rsidRDefault="00D7797F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15667" w14:textId="4E160540" w:rsidR="00302FEF" w:rsidRPr="007C47A9" w:rsidRDefault="00302FEF" w:rsidP="007C47A9">
            <w:pPr>
              <w:pStyle w:val="Akapitzlist"/>
              <w:keepNext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Zamiana</w:t>
            </w:r>
            <w:r w:rsidR="000C30A8" w:rsidRPr="007C47A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leków</w:t>
            </w:r>
          </w:p>
          <w:p w14:paraId="546ACDF1" w14:textId="72EB6A88" w:rsidR="00AA134E" w:rsidRPr="007C47A9" w:rsidRDefault="00A0733C" w:rsidP="00D41E4E">
            <w:pPr>
              <w:keepNext/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D7B9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wystąpienia u pacjentów w wieku 18 lat i powyżej,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objawów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niepożądanych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okoliczności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wskazanych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pkt.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4.2.,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względu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bezpieczeństwo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pacjenta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dopuszcza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się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możliwość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zamiany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leków</w:t>
            </w:r>
            <w:r w:rsidR="00AA134E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4ED8099" w14:textId="31B23F2A" w:rsidR="00AA134E" w:rsidRPr="007C47A9" w:rsidRDefault="00C62DE2" w:rsidP="007C47A9">
            <w:pPr>
              <w:pStyle w:val="Akapitzlist"/>
              <w:keepNext/>
              <w:numPr>
                <w:ilvl w:val="4"/>
                <w:numId w:val="27"/>
              </w:numPr>
              <w:spacing w:line="276" w:lineRule="auto"/>
              <w:ind w:left="454" w:hanging="22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302FEF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lirokumab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02FEF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ewolokumab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02FEF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02FEF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inklisiran</w:t>
            </w:r>
            <w:proofErr w:type="spellEnd"/>
            <w:r w:rsidR="00F46FCF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1F05EF3E" w14:textId="2FB13AB3" w:rsidR="00AA134E" w:rsidRPr="007C47A9" w:rsidRDefault="00302FEF" w:rsidP="00A57CFD">
            <w:pPr>
              <w:pStyle w:val="Akapitzlist"/>
              <w:keepNext/>
              <w:spacing w:line="276" w:lineRule="auto"/>
              <w:ind w:left="454" w:hanging="22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lub</w:t>
            </w:r>
          </w:p>
          <w:p w14:paraId="22492944" w14:textId="65263543" w:rsidR="00AA134E" w:rsidRPr="007C47A9" w:rsidRDefault="00302FEF" w:rsidP="007C47A9">
            <w:pPr>
              <w:pStyle w:val="Akapitzlist"/>
              <w:keepNext/>
              <w:numPr>
                <w:ilvl w:val="4"/>
                <w:numId w:val="27"/>
              </w:numPr>
              <w:spacing w:line="276" w:lineRule="auto"/>
              <w:ind w:left="454" w:hanging="22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inklisiran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alirokumab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ewolokumab</w:t>
            </w:r>
            <w:proofErr w:type="spellEnd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93FAEF2" w14:textId="4F43578E" w:rsidR="00302FEF" w:rsidRPr="007C47A9" w:rsidRDefault="00302FEF" w:rsidP="00D41E4E">
            <w:pPr>
              <w:keepNext/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Niedopuszczalna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jest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zamiana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leków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obrębie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tej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samej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grupy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farmakoterapeutycznej,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rozumiana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zamiana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alirokumabem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ewolokumab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ewolokumabem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alirokumab</w:t>
            </w:r>
            <w:proofErr w:type="spellEnd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2ABB7C1" w14:textId="3E8D6D87" w:rsidR="007D5B00" w:rsidRPr="007C47A9" w:rsidRDefault="007D5B00" w:rsidP="00D41E4E">
            <w:pPr>
              <w:keepNext/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Powyższe nie dotyczy pacjentów z homozygotyczną hipercholesterolemią rodzinną.</w:t>
            </w:r>
          </w:p>
          <w:p w14:paraId="66BAC23E" w14:textId="77777777" w:rsidR="00302FEF" w:rsidRPr="007C47A9" w:rsidRDefault="00302FEF" w:rsidP="00D41E4E">
            <w:pPr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C44B30C" w14:textId="55A85AAA" w:rsidR="00F51A5F" w:rsidRPr="007C47A9" w:rsidRDefault="00F51A5F" w:rsidP="007C47A9">
            <w:pPr>
              <w:pStyle w:val="Akapitzlist"/>
              <w:keepNext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" w:name="_Hlk161174266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wyłączenia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6C10098C" w14:textId="48FC18FE" w:rsidR="00F51A5F" w:rsidRPr="007C47A9" w:rsidRDefault="00F51A5F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ciężkich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reakcji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alergicznych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podaniu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leku;</w:t>
            </w:r>
          </w:p>
          <w:p w14:paraId="6AB2AAD5" w14:textId="77D11262" w:rsidR="00D87CBA" w:rsidRPr="007C47A9" w:rsidRDefault="00D87CBA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A171B"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E020CE1" w14:textId="586AFACD" w:rsidR="00D41E4E" w:rsidRPr="007C47A9" w:rsidRDefault="000060BA" w:rsidP="007C47A9">
            <w:pPr>
              <w:pStyle w:val="Akapitzlist"/>
              <w:numPr>
                <w:ilvl w:val="4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alirokumabem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="00926A15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(dotyczy pacjentów </w:t>
            </w:r>
            <w:r w:rsidR="00530286" w:rsidRPr="007C47A9">
              <w:rPr>
                <w:rFonts w:ascii="Times New Roman" w:hAnsi="Times New Roman" w:cs="Times New Roman"/>
                <w:sz w:val="20"/>
                <w:szCs w:val="20"/>
              </w:rPr>
              <w:t>dorosłych</w:t>
            </w:r>
            <w:r w:rsidR="00926A15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rozumiany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redukcja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inklisiranem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rozumiany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redukcja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5BE16DA" w14:textId="4F67039A" w:rsidR="00D87CBA" w:rsidRPr="007C47A9" w:rsidRDefault="000060BA" w:rsidP="00D41E4E">
            <w:pPr>
              <w:pStyle w:val="Akapitzlist"/>
              <w:spacing w:line="276" w:lineRule="auto"/>
              <w:ind w:left="680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pomiarach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3134"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</w:t>
            </w:r>
            <w:r w:rsidR="00523134" w:rsidRPr="007C47A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(wykonanych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47CD" w:rsidRPr="007C47A9">
              <w:rPr>
                <w:rFonts w:ascii="Times New Roman" w:hAnsi="Times New Roman" w:cs="Times New Roman"/>
                <w:sz w:val="20"/>
                <w:szCs w:val="20"/>
              </w:rPr>
              <w:t>odstępie 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miesiąca),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wyjściowej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określonej:</w:t>
            </w:r>
          </w:p>
          <w:p w14:paraId="5F743F0A" w14:textId="06F1B002" w:rsidR="00D87CBA" w:rsidRPr="007C47A9" w:rsidRDefault="00D87CBA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lekowego,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włączonych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podpunktami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1.2.1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120A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1.2.3. albo</w:t>
            </w:r>
            <w:r w:rsidR="00530286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1.2.</w:t>
            </w:r>
            <w:r w:rsidR="003D0EA0" w:rsidRPr="007C47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120A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albo 1.2.5.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D2A"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zamiany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opisanej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3),</w:t>
            </w:r>
          </w:p>
          <w:p w14:paraId="5DBC6B32" w14:textId="20852DD9" w:rsidR="00D87CBA" w:rsidRPr="007C47A9" w:rsidRDefault="00D87CBA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714B44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4B44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którzy byli leczeni substancjami czynnymi finansowanymi w programie lekowym w ramach innego sposobu finansowania terapii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zamiany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opisanej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3);</w:t>
            </w:r>
          </w:p>
          <w:p w14:paraId="35F03741" w14:textId="72383CC7" w:rsidR="007E495D" w:rsidRPr="007C47A9" w:rsidRDefault="00D87CBA" w:rsidP="007C47A9">
            <w:pPr>
              <w:pStyle w:val="Akapitzlist"/>
              <w:numPr>
                <w:ilvl w:val="4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lomitapidem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95D" w:rsidRPr="007C47A9">
              <w:rPr>
                <w:rFonts w:ascii="Times New Roman" w:hAnsi="Times New Roman" w:cs="Times New Roman"/>
                <w:sz w:val="20"/>
                <w:szCs w:val="20"/>
              </w:rPr>
              <w:t>rozumiany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495D" w:rsidRPr="007C47A9">
              <w:rPr>
                <w:rFonts w:ascii="Times New Roman" w:hAnsi="Times New Roman" w:cs="Times New Roman"/>
                <w:sz w:val="20"/>
                <w:szCs w:val="20"/>
              </w:rPr>
              <w:t>jako:</w:t>
            </w:r>
          </w:p>
          <w:p w14:paraId="3595A191" w14:textId="654DFB84" w:rsidR="007E495D" w:rsidRPr="007C47A9" w:rsidRDefault="007E495D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redukcja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40%,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40%,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wyższe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/L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mniejszej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4A42"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wyjściowej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określonej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B64A42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32967" w:rsidRPr="007C47A9">
              <w:rPr>
                <w:rFonts w:ascii="Times New Roman" w:hAnsi="Times New Roman" w:cs="Times New Roman"/>
                <w:sz w:val="20"/>
                <w:szCs w:val="20"/>
              </w:rPr>
              <w:t>, potwierdzona w dwóch kolejnych pomiarach stężenia LDL-C (wykonanych w odstępie do maksymalnie 1 miesiąca)</w:t>
            </w:r>
            <w:r w:rsidR="000A171B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aferezą;</w:t>
            </w:r>
          </w:p>
          <w:p w14:paraId="558596AA" w14:textId="08B8B097" w:rsidR="00032967" w:rsidRPr="007C47A9" w:rsidRDefault="00C0274C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redukcja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&lt;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40%,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przynajmniej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40%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mniej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50%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liczby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wymaganych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zabiegów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aferezy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albo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wyższe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2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mmol</w:t>
            </w:r>
            <w:proofErr w:type="spellEnd"/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/L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mniejszej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40%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LDL-C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o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mniej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niż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50%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liczby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wymaganych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zabiegów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aferezy</w:t>
            </w:r>
            <w:r w:rsidR="000C30A8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4A42" w:rsidRPr="007C47A9">
              <w:rPr>
                <w:rStyle w:val="cf01"/>
                <w:rFonts w:ascii="Times New Roman" w:hAnsi="Times New Roman" w:cs="Times New Roman"/>
                <w:sz w:val="20"/>
                <w:szCs w:val="20"/>
              </w:rPr>
              <w:t>(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wyjściowej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określonej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procedury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aferezy</w:t>
            </w:r>
            <w:r w:rsidR="00B64A42"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171B" w:rsidRPr="007C47A9">
              <w:rPr>
                <w:rFonts w:ascii="Times New Roman" w:hAnsi="Times New Roman" w:cs="Times New Roman"/>
                <w:sz w:val="20"/>
                <w:szCs w:val="20"/>
              </w:rPr>
              <w:t>, potwierdzona w dwóch kolejnych pomiarach stężenia LDL-C (wykonanych w odstępie do maksymalnie 1 miesiąca) -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była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stosowana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</w:t>
            </w:r>
            <w:r w:rsidR="00B64A42" w:rsidRPr="007C47A9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7CBA" w:rsidRPr="007C47A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716FE8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FA08F25" w14:textId="6D1B298C" w:rsidR="003E6A94" w:rsidRPr="007C47A9" w:rsidRDefault="003E6A94" w:rsidP="007C47A9">
            <w:pPr>
              <w:pStyle w:val="Akapitzlist"/>
              <w:numPr>
                <w:ilvl w:val="4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w przypadku leczenia </w:t>
            </w:r>
            <w:proofErr w:type="spellStart"/>
            <w:r w:rsidR="004F1AC0" w:rsidRPr="007C47A9">
              <w:rPr>
                <w:rFonts w:ascii="Times New Roman" w:hAnsi="Times New Roman" w:cs="Times New Roman"/>
                <w:sz w:val="20"/>
                <w:szCs w:val="20"/>
              </w:rPr>
              <w:t>alirokumabem</w:t>
            </w:r>
            <w:proofErr w:type="spellEnd"/>
            <w:r w:rsidR="004F1AC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023B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(dotyczy pacjentów</w:t>
            </w:r>
            <w:r w:rsidR="00EA280B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pediatrycznych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): rozumiany jako redukcja stężenia LDL-C o &lt; 5 %, po pierwszych 3 miesiącach leczenia, a następnie po każdych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kolejnych 6 miesiącach leczenia, potwierdzona w dwóch kolejnych pomiarach stężenia LDL-C (wykonanych w odstępie do maksymalnie 1 miesiąca), w stosunku do wartości wyjściowej określonej:</w:t>
            </w:r>
          </w:p>
          <w:p w14:paraId="7DA065C4" w14:textId="170DA792" w:rsidR="003E6A94" w:rsidRPr="007C47A9" w:rsidRDefault="003E6A94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 momencie włączenia do programu lekowego, w przypadku pacjentów włączonych do programu zgodnie z podpunkt</w:t>
            </w:r>
            <w:r w:rsidR="009120A0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em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1.2.5.,</w:t>
            </w:r>
          </w:p>
          <w:p w14:paraId="68957018" w14:textId="51E8625E" w:rsidR="007D5310" w:rsidRPr="007C47A9" w:rsidRDefault="003E6A94" w:rsidP="007C47A9">
            <w:pPr>
              <w:pStyle w:val="Akapitzlist"/>
              <w:numPr>
                <w:ilvl w:val="5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 momencie rozpoczęcia terapii, w przypadku pacjentów, którzy byli leczeni substancjami czynnymi finansowanymi w programie lekowym w ramach innego sposobu finansowania terapii;</w:t>
            </w:r>
          </w:p>
          <w:p w14:paraId="29321C18" w14:textId="7A10989B" w:rsidR="00185508" w:rsidRPr="007C47A9" w:rsidRDefault="00185508" w:rsidP="005B44E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 przypadku pacjentów, u których przed ukończeniem 18 r.ż. nie przeprowadzono oceny skuteczności po pierwszych 3 miesiącach leczenia, ocena taka przeprowadzana jest w ośrodku dla dorosłych</w:t>
            </w:r>
            <w:r w:rsidR="00181866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a brak skuteczności leczenia rozumiany jest jako: redukcja stężenia LDL-C o &lt; </w:t>
            </w:r>
            <w:r w:rsidR="009120A0" w:rsidRPr="007C47A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% po pierwszych 3 miesiącach leczenia </w:t>
            </w:r>
            <w:r w:rsidR="00181866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a następnie po każdych kolejnych 12 miesiącach leczenia,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potwierdzona w dwóch kolejnych pomiarach stężenia LDL-C (wykonanych w odstępie do maksymalnie 1 miesiąca), w stosunku do wartości wyjściowej określonej jak powyżej.</w:t>
            </w:r>
            <w:bookmarkEnd w:id="1"/>
          </w:p>
          <w:p w14:paraId="0FF808BB" w14:textId="44DB4597" w:rsidR="00F51A5F" w:rsidRPr="007C47A9" w:rsidRDefault="00F51A5F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leku,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3973A468" w14:textId="19906064" w:rsidR="00F51A5F" w:rsidRPr="007C47A9" w:rsidRDefault="00D14D85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A5F" w:rsidRPr="007C47A9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A5F"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A5F" w:rsidRPr="007C47A9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A5F" w:rsidRPr="007C47A9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47705A5" w14:textId="65383EAF" w:rsidR="00F51A5F" w:rsidRPr="007C47A9" w:rsidRDefault="00F51A5F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76395506" w14:textId="57EBDA3E" w:rsidR="00933128" w:rsidRPr="007C47A9" w:rsidRDefault="00933128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toksyczności,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postępowania;</w:t>
            </w:r>
          </w:p>
          <w:p w14:paraId="7523EBCD" w14:textId="5E8426B3" w:rsidR="004E3DEC" w:rsidRPr="007C47A9" w:rsidRDefault="00F51A5F" w:rsidP="007C47A9">
            <w:pPr>
              <w:pStyle w:val="Akapitzlist"/>
              <w:numPr>
                <w:ilvl w:val="3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świadczeniobiorc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opiekun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prawn</w:t>
            </w:r>
            <w:r w:rsidR="00D14D85" w:rsidRPr="007C47A9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06E655" w14:textId="689A339E" w:rsidR="000E428C" w:rsidRPr="007C47A9" w:rsidRDefault="000E428C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dxa"/>
          </w:tcPr>
          <w:p w14:paraId="7CA86006" w14:textId="7F3DC397" w:rsidR="00C0349D" w:rsidRPr="007C47A9" w:rsidRDefault="00C0349D" w:rsidP="00A57CFD">
            <w:pPr>
              <w:pStyle w:val="Akapitzlist"/>
              <w:numPr>
                <w:ilvl w:val="0"/>
                <w:numId w:val="22"/>
              </w:numPr>
              <w:spacing w:before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Dawkowanie</w:t>
            </w:r>
          </w:p>
          <w:p w14:paraId="6278B79F" w14:textId="77777777" w:rsidR="00C0349D" w:rsidRPr="007C47A9" w:rsidRDefault="00C0349D" w:rsidP="00A57CFD">
            <w:pPr>
              <w:pStyle w:val="Akapitzlist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Alirokumab</w:t>
            </w:r>
            <w:proofErr w:type="spellEnd"/>
          </w:p>
          <w:p w14:paraId="62B231F1" w14:textId="33E3ECD3" w:rsidR="00B528C4" w:rsidRPr="007C47A9" w:rsidRDefault="00050CCF" w:rsidP="00B528C4">
            <w:pPr>
              <w:pStyle w:val="Akapitzlist"/>
              <w:numPr>
                <w:ilvl w:val="3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dorośli pacjenci</w:t>
            </w:r>
          </w:p>
          <w:p w14:paraId="7398F765" w14:textId="493F1B31" w:rsidR="00050CCF" w:rsidRPr="007C47A9" w:rsidRDefault="006E5CC0" w:rsidP="007C47A9">
            <w:pPr>
              <w:spacing w:line="276" w:lineRule="auto"/>
              <w:ind w:left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150 mg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alirokumabu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podawane co 2 tygodnie lub 300 mg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alirokumabu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podawane co 4 tygodnie (miesięcznie),</w:t>
            </w:r>
          </w:p>
          <w:p w14:paraId="53092C66" w14:textId="27F07EE3" w:rsidR="00050CCF" w:rsidRPr="007C47A9" w:rsidRDefault="00050CCF" w:rsidP="00B528C4">
            <w:pPr>
              <w:pStyle w:val="Akapitzlist"/>
              <w:numPr>
                <w:ilvl w:val="3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pediatryczni pacjenci</w:t>
            </w:r>
          </w:p>
          <w:p w14:paraId="1F2E1039" w14:textId="3ABA2830" w:rsidR="006E5CC0" w:rsidRPr="007C47A9" w:rsidRDefault="006E5CC0" w:rsidP="006E5CC0">
            <w:pPr>
              <w:pStyle w:val="Akapitzlist"/>
              <w:numPr>
                <w:ilvl w:val="4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masa ciała poniżej 50 kg</w:t>
            </w:r>
          </w:p>
          <w:p w14:paraId="44917BA8" w14:textId="45038717" w:rsidR="00D73C18" w:rsidRPr="007C47A9" w:rsidRDefault="00D73C18" w:rsidP="007C47A9">
            <w:pPr>
              <w:spacing w:line="276" w:lineRule="auto"/>
              <w:ind w:left="45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150 mg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alirokumabu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podawane co 4 tygodnie</w:t>
            </w:r>
          </w:p>
          <w:p w14:paraId="1F4C5F51" w14:textId="0218CEEC" w:rsidR="00D73C18" w:rsidRPr="007C47A9" w:rsidRDefault="006E5CC0" w:rsidP="007C47A9">
            <w:pPr>
              <w:pStyle w:val="Akapitzlist"/>
              <w:numPr>
                <w:ilvl w:val="4"/>
                <w:numId w:val="22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masa ciała 50 kg lub więcej</w:t>
            </w:r>
          </w:p>
          <w:p w14:paraId="0A74921C" w14:textId="01E25640" w:rsidR="00050CCF" w:rsidRPr="007C47A9" w:rsidRDefault="00C0349D" w:rsidP="007C47A9">
            <w:pPr>
              <w:spacing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alirokumabu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tygodnie</w:t>
            </w:r>
            <w:r w:rsidR="004616A1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002F56" w14:textId="77777777" w:rsidR="001105A8" w:rsidRPr="007C47A9" w:rsidRDefault="001105A8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12ED19" w14:textId="77777777" w:rsidR="00C0349D" w:rsidRPr="007C47A9" w:rsidRDefault="00C0349D" w:rsidP="00A57CFD">
            <w:pPr>
              <w:pStyle w:val="Akapitzlist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Ewolokumab</w:t>
            </w:r>
            <w:proofErr w:type="spellEnd"/>
          </w:p>
          <w:p w14:paraId="1AA8DFF7" w14:textId="6DF33C3E" w:rsidR="00751641" w:rsidRPr="007C47A9" w:rsidRDefault="0046175B" w:rsidP="00A57CFD">
            <w:pPr>
              <w:pStyle w:val="Akapitzlist"/>
              <w:numPr>
                <w:ilvl w:val="3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</w:t>
            </w:r>
            <w:r w:rsidR="00C955E7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eterozygotyczna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955E7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postać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955E7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hipercholesterolemii rodzinnej:</w:t>
            </w:r>
          </w:p>
          <w:p w14:paraId="36D2976B" w14:textId="7B4D7D1F" w:rsidR="00C0349D" w:rsidRPr="007C47A9" w:rsidRDefault="00C0349D" w:rsidP="00A57CFD">
            <w:pPr>
              <w:pStyle w:val="Akapitzlist"/>
              <w:numPr>
                <w:ilvl w:val="4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ewolokumabu</w:t>
            </w:r>
            <w:proofErr w:type="spellEnd"/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podawane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tygodnie</w:t>
            </w:r>
            <w:r w:rsidR="00751641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54349EDC" w14:textId="0157991E" w:rsidR="00751641" w:rsidRPr="007C47A9" w:rsidRDefault="00C955E7" w:rsidP="00A57CFD">
            <w:pPr>
              <w:pStyle w:val="Akapitzlist"/>
              <w:numPr>
                <w:ilvl w:val="3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bardzo wysokie ryzyko chorób układu sercowo-naczyniowego:</w:t>
            </w:r>
          </w:p>
          <w:p w14:paraId="6FEEC17A" w14:textId="2EF74B41" w:rsidR="00C955E7" w:rsidRPr="007C47A9" w:rsidRDefault="00C955E7" w:rsidP="00A57CFD">
            <w:pPr>
              <w:pStyle w:val="Akapitzlist"/>
              <w:numPr>
                <w:ilvl w:val="4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140 mg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ewolokumabu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podawane co 2 tygodnie,</w:t>
            </w:r>
          </w:p>
          <w:p w14:paraId="6E545D9E" w14:textId="64948757" w:rsidR="00C955E7" w:rsidRPr="007C47A9" w:rsidRDefault="00C955E7" w:rsidP="00A57CFD">
            <w:pPr>
              <w:pStyle w:val="Akapitzlist"/>
              <w:numPr>
                <w:ilvl w:val="3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homozygotyczna postać hipercholesterolemii rodzinnej:</w:t>
            </w:r>
          </w:p>
          <w:p w14:paraId="10A5DF26" w14:textId="4EEB4B41" w:rsidR="00C955E7" w:rsidRPr="007C47A9" w:rsidRDefault="00C955E7" w:rsidP="00A57CFD">
            <w:pPr>
              <w:pStyle w:val="Akapitzlist"/>
              <w:numPr>
                <w:ilvl w:val="4"/>
                <w:numId w:val="22"/>
              </w:numPr>
              <w:spacing w:line="276" w:lineRule="auto"/>
              <w:rPr>
                <w:rFonts w:ascii="Times New Roman" w:hAnsi="Times New Roman"/>
                <w:b/>
                <w:sz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zalecana dawka początkowa to 420 mg raz w miesiącu. Po 12 tygodniach leczenia, częstość dawkowania może być stopniowo zwiększana do 420 mg raz na 2 tygodnie, jeśli nie została uzyskana odpowiedź istotna klinicznie. U pacjentów, u których wykonywana jest afereza, można rozpocząć leczenie dawką 420 mg podawaną raz na dwa tygodnie w taki sposób, aby schemat dawkowania dopasować do harmonogramu zabiegów aferezy.</w:t>
            </w:r>
          </w:p>
          <w:p w14:paraId="5FDA8627" w14:textId="77777777" w:rsidR="001105A8" w:rsidRPr="007C47A9" w:rsidRDefault="001105A8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7C7E6" w14:textId="77777777" w:rsidR="00C0349D" w:rsidRPr="007C47A9" w:rsidRDefault="00C0349D" w:rsidP="00A57CFD">
            <w:pPr>
              <w:pStyle w:val="Akapitzlist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Inklisiran</w:t>
            </w:r>
            <w:proofErr w:type="spellEnd"/>
          </w:p>
          <w:p w14:paraId="6D8CAF33" w14:textId="1B91405A" w:rsidR="00C0349D" w:rsidRPr="007C47A9" w:rsidRDefault="00C0349D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inklisiranu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pojedynczym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wstrzyknięciu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podskórnym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podawanym: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ponownie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miesiącach,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</w:p>
          <w:p w14:paraId="492A1FE7" w14:textId="78FF0E46" w:rsidR="00C0349D" w:rsidRPr="007C47A9" w:rsidRDefault="00C0349D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pominięte:</w:t>
            </w:r>
          </w:p>
          <w:p w14:paraId="7016BBCE" w14:textId="4D64E642" w:rsidR="00C0349D" w:rsidRPr="007C47A9" w:rsidRDefault="00C0349D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Jeśli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doszło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pominięcia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zaplanowanej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okresie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krótszym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niż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3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miesiące,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należy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podać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inklisiran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kontynuować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podawanie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leku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z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pierwotnym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harmonogramem.</w:t>
            </w:r>
          </w:p>
          <w:p w14:paraId="0611AEC6" w14:textId="7FDF5712" w:rsidR="00C0349D" w:rsidRPr="007C47A9" w:rsidRDefault="00C0349D" w:rsidP="00D41E4E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</w:pP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Jeśli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doszło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pominięcia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zaplanowanej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w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okresie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przekraczającym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3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miesiące,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należy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rozpocząć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nowy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schemat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dawkowania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–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inklisiran</w:t>
            </w:r>
            <w:proofErr w:type="spellEnd"/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lastRenderedPageBreak/>
              <w:t>należy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podać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raz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pierwszy,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ponownie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po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3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miesiącach,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a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co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6</w:t>
            </w:r>
            <w:r w:rsidR="000C30A8"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 </w:t>
            </w:r>
            <w:r w:rsidRPr="007C47A9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miesięcy.</w:t>
            </w:r>
          </w:p>
          <w:p w14:paraId="49E47177" w14:textId="77777777" w:rsidR="001105A8" w:rsidRPr="007C47A9" w:rsidRDefault="001105A8" w:rsidP="00D41E4E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</w:pPr>
          </w:p>
          <w:p w14:paraId="3634BBEB" w14:textId="77777777" w:rsidR="008D2DF1" w:rsidRPr="007C47A9" w:rsidRDefault="00C0349D" w:rsidP="00A57CFD">
            <w:pPr>
              <w:pStyle w:val="Akapitzlist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Lomitapid</w:t>
            </w:r>
            <w:proofErr w:type="spellEnd"/>
          </w:p>
          <w:p w14:paraId="5BD8F25A" w14:textId="70FB1386" w:rsidR="006326F7" w:rsidRPr="007C47A9" w:rsidRDefault="006326F7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Zalecana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dawka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początkowa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wynosi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raz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dobę.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tygodniach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dawkę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można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zwiększyć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zależnie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akceptowalnego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poziomu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bezpieczeństwa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tolerancji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pacjenta,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następnie,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odstępach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minimum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tygodni,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maksymalnej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zalecanej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60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mg.</w:t>
            </w:r>
          </w:p>
          <w:p w14:paraId="0EA49E37" w14:textId="77777777" w:rsidR="000E428C" w:rsidRPr="007C47A9" w:rsidRDefault="000E428C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FBC520E" w14:textId="1CC170F5" w:rsidR="006326F7" w:rsidRPr="007C47A9" w:rsidRDefault="006326F7" w:rsidP="00A57CFD">
            <w:pPr>
              <w:pStyle w:val="Akapitzlis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dawkowania</w:t>
            </w:r>
          </w:p>
          <w:p w14:paraId="1B0E20DD" w14:textId="1806509E" w:rsidR="006326F7" w:rsidRPr="007C47A9" w:rsidRDefault="006326F7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Szczegóły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dotyczące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sposobu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podawania,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ewentualnego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czasowego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wstrzymania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oraz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ewentualnego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zmniejszania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aktualną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Charakterystyką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Produktu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Leczniczego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odpowiedniego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leku.</w:t>
            </w:r>
          </w:p>
        </w:tc>
        <w:tc>
          <w:tcPr>
            <w:tcW w:w="4295" w:type="dxa"/>
          </w:tcPr>
          <w:p w14:paraId="080F76B6" w14:textId="650473ED" w:rsidR="00C058A9" w:rsidRPr="007C47A9" w:rsidRDefault="00AA134E" w:rsidP="00D41E4E">
            <w:pPr>
              <w:pStyle w:val="Akapitzlist"/>
              <w:numPr>
                <w:ilvl w:val="0"/>
                <w:numId w:val="21"/>
              </w:numPr>
              <w:spacing w:before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</w:t>
            </w:r>
            <w:r w:rsidR="003644A9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ada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nia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4A9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4A9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76AB1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76AB1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3ED8D3D6" w14:textId="144B6AF1" w:rsidR="00C07A27" w:rsidRPr="007C47A9" w:rsidRDefault="004F1297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36004269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lipidogram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proofErr w:type="spellEnd"/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FBD7AB" w14:textId="252654F2" w:rsidR="00C07A27" w:rsidRPr="007C47A9" w:rsidRDefault="0099311E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7F54" w:rsidRPr="007C47A9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alaninow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87CF4F2" w14:textId="10ED38BD" w:rsidR="00CF2D49" w:rsidRPr="007C47A9" w:rsidRDefault="00CF2D49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rozrodczym);</w:t>
            </w:r>
          </w:p>
          <w:p w14:paraId="763077BA" w14:textId="7AFBF552" w:rsidR="003B23D1" w:rsidRPr="007C47A9" w:rsidRDefault="003B23D1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inklisiranem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4CDA6D" w14:textId="429ECB99" w:rsidR="003B23D1" w:rsidRPr="007C47A9" w:rsidRDefault="003B23D1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5D916FD" w14:textId="60F5776F" w:rsidR="003B23D1" w:rsidRPr="007C47A9" w:rsidRDefault="003B23D1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kinazy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kreatynowej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(CK)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0117C0" w14:textId="6706C968" w:rsidR="00CF2D49" w:rsidRPr="007C47A9" w:rsidRDefault="00101310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odatkowo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lomitapidem</w:t>
            </w:r>
            <w:proofErr w:type="spellEnd"/>
            <w:r w:rsidR="0099311E"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1D2E75" w14:textId="43F3C8C5" w:rsidR="0099311E" w:rsidRPr="007C47A9" w:rsidRDefault="0099311E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genetycznego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potwierdzającego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występowanie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HoFH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wywiadzie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B66FD91" w14:textId="53629328" w:rsidR="0099311E" w:rsidRPr="007C47A9" w:rsidRDefault="0099311E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7F54" w:rsidRPr="007C47A9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asparaginowej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fosfatazy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alkalicznej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(ALP)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D0C579A" w14:textId="07B43F13" w:rsidR="0099311E" w:rsidRPr="007C47A9" w:rsidRDefault="00F17F54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F6EB05D" w14:textId="28E471B4" w:rsidR="00F17F54" w:rsidRPr="007C47A9" w:rsidRDefault="00F17F54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albumin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547F0B6" w14:textId="5EEAC9E6" w:rsidR="0099311E" w:rsidRPr="007C47A9" w:rsidRDefault="00F17F54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transpeptydazy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gamma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glutamylowej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(GGTP)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B90EE42" w14:textId="4F486A1E" w:rsidR="0099311E" w:rsidRPr="007C47A9" w:rsidRDefault="0099311E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wykrycia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stłuszczeniowego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zwłóknienia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926A15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35A1E5" w14:textId="7B429EEB" w:rsidR="00926A15" w:rsidRPr="007C47A9" w:rsidRDefault="00926A15" w:rsidP="00926A15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dodatkowo w przypadku terapii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ewolokumabem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pacjentów </w:t>
            </w:r>
            <w:r w:rsidR="005B7E77" w:rsidRPr="007C47A9">
              <w:rPr>
                <w:rFonts w:ascii="Times New Roman" w:hAnsi="Times New Roman" w:cs="Times New Roman"/>
                <w:sz w:val="20"/>
                <w:szCs w:val="20"/>
              </w:rPr>
              <w:t>z homozygotyczną hipercholesterolemią rodzinną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DF857D3" w14:textId="35C80719" w:rsidR="00926A15" w:rsidRPr="007C47A9" w:rsidRDefault="00926A15" w:rsidP="00926A15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wynik badania genetycznego potwierdzającego występowanie </w:t>
            </w:r>
            <w:proofErr w:type="spellStart"/>
            <w:r w:rsidR="0074365C" w:rsidRPr="007C47A9">
              <w:rPr>
                <w:rFonts w:ascii="Times New Roman" w:hAnsi="Times New Roman" w:cs="Times New Roman"/>
                <w:sz w:val="20"/>
                <w:szCs w:val="20"/>
              </w:rPr>
              <w:t>Ho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FH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w wywiadzie.</w:t>
            </w:r>
          </w:p>
          <w:bookmarkEnd w:id="2"/>
          <w:p w14:paraId="2B1ABA5C" w14:textId="77777777" w:rsidR="00C058A9" w:rsidRPr="007C47A9" w:rsidRDefault="00C058A9" w:rsidP="00D41E4E">
            <w:pPr>
              <w:pStyle w:val="Akapitzlist"/>
              <w:spacing w:line="276" w:lineRule="auto"/>
              <w:ind w:left="22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FF6DD" w14:textId="48755ADC" w:rsidR="00C07A27" w:rsidRPr="007C47A9" w:rsidRDefault="00C058A9" w:rsidP="00D41E4E">
            <w:pPr>
              <w:pStyle w:val="Akapitzlis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A2EA6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18918D9D" w14:textId="03F454DF" w:rsidR="00C07A27" w:rsidRPr="007C47A9" w:rsidRDefault="004E3DEC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onitorowanie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bezpieczeństwa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579C" w:rsidRPr="007C47A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27" w:rsidRPr="007C47A9">
              <w:rPr>
                <w:rFonts w:ascii="Times New Roman" w:hAnsi="Times New Roman" w:cs="Times New Roman"/>
                <w:sz w:val="20"/>
                <w:szCs w:val="20"/>
              </w:rPr>
              <w:t>wizycie</w:t>
            </w:r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655F889" w14:textId="6DBD5867" w:rsidR="00DB5469" w:rsidRPr="007C47A9" w:rsidRDefault="000E428C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odatkowo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lomitapidem</w:t>
            </w:r>
            <w:proofErr w:type="spellEnd"/>
            <w:r w:rsidR="00DB5469" w:rsidRPr="007C47A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14C89D9" w14:textId="13F547C7" w:rsidR="00DB5469" w:rsidRPr="007C47A9" w:rsidRDefault="00DB5469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cholesterolu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trójglicerydów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zwiększeniem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wybierając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częstszą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opcji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DBC01BD" w14:textId="43CF678C" w:rsidR="00DB5469" w:rsidRPr="007C47A9" w:rsidRDefault="00DB5469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wykonywać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(przynajmniej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zwiększeniem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wybierając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częstszą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opcji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EEC988" w14:textId="06C43FED" w:rsidR="00DB5469" w:rsidRPr="007C47A9" w:rsidRDefault="00DB5469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wykonywać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przynajmniej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zwiększeniem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0E428C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44DB2AB" w14:textId="72E6DD9B" w:rsidR="00DB5469" w:rsidRPr="007C47A9" w:rsidRDefault="00DB5469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wykrycia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stłuszczeniowego</w:t>
            </w:r>
            <w:proofErr w:type="spellEnd"/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zwłóknienia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roku)</w:t>
            </w:r>
            <w:r w:rsidR="001D0D4B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7E2D8C" w14:textId="77777777" w:rsidR="00BA2FC5" w:rsidRPr="007C47A9" w:rsidRDefault="00BA2FC5" w:rsidP="00D41E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A62AA1" w14:textId="5A56ED40" w:rsidR="00C058A9" w:rsidRPr="007C47A9" w:rsidRDefault="00C058A9" w:rsidP="00D41E4E">
            <w:pPr>
              <w:pStyle w:val="Akapitzlis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skuteczności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220D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5F7BC3E7" w14:textId="366FB7EF" w:rsidR="000A58AD" w:rsidRPr="007C47A9" w:rsidRDefault="00041175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lipidogramu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5531D8BF" w14:textId="50510BD9" w:rsidR="000A58AD" w:rsidRPr="007C47A9" w:rsidRDefault="000A58AD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Ocena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powinna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być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przeprowadzona,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miarę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możliwości,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wykorzystaniem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tego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samego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rodzaju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badań,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który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był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zastosowany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podczas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kwalifikowania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pacjenta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leczenia.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Wykonane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badania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muszą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pozwolić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obiektywną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ocenę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leczenie.</w:t>
            </w:r>
          </w:p>
          <w:p w14:paraId="0EA851D8" w14:textId="31D52750" w:rsidR="00284FB8" w:rsidRPr="007C47A9" w:rsidRDefault="001D0D4B" w:rsidP="00D41E4E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3" w:name="_Hlk142517982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przypadku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F250C" w14:textId="3E8AEA02" w:rsidR="001D0D4B" w:rsidRPr="007C47A9" w:rsidRDefault="001D0D4B" w:rsidP="00A57CFD">
            <w:pPr>
              <w:pStyle w:val="Akapitzlist"/>
              <w:numPr>
                <w:ilvl w:val="4"/>
                <w:numId w:val="21"/>
              </w:numPr>
              <w:spacing w:line="276" w:lineRule="auto"/>
              <w:ind w:left="454" w:hanging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i/>
                <w:sz w:val="20"/>
                <w:szCs w:val="20"/>
              </w:rPr>
              <w:t>alirokumabem</w:t>
            </w:r>
            <w:proofErr w:type="spellEnd"/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i/>
                <w:sz w:val="20"/>
                <w:szCs w:val="20"/>
              </w:rPr>
              <w:t>ewolokumabem</w:t>
            </w:r>
            <w:proofErr w:type="spellEnd"/>
            <w:r w:rsidR="00751641" w:rsidRPr="007C47A9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751641" w:rsidRPr="007C47A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(dotyczy pacjentów </w:t>
            </w:r>
            <w:r w:rsidR="00315D2B" w:rsidRPr="007C47A9">
              <w:rPr>
                <w:rFonts w:ascii="Times New Roman" w:hAnsi="Times New Roman" w:cs="Times New Roman"/>
                <w:iCs/>
                <w:sz w:val="20"/>
                <w:szCs w:val="20"/>
              </w:rPr>
              <w:t>dorosłych</w:t>
            </w:r>
            <w:r w:rsidR="00751641" w:rsidRPr="007C47A9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badani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lipidogramu</w:t>
            </w:r>
            <w:proofErr w:type="spellEnd"/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wykonuje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miesiącach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leczenia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87476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następnie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0C30A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miesięcy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2686A573" w14:textId="3FD9C3CA" w:rsidR="00751641" w:rsidRPr="007C47A9" w:rsidRDefault="00A80F6E" w:rsidP="00A57CFD">
            <w:pPr>
              <w:pStyle w:val="Akapitzlist"/>
              <w:numPr>
                <w:ilvl w:val="4"/>
                <w:numId w:val="21"/>
              </w:numPr>
              <w:spacing w:line="276" w:lineRule="auto"/>
              <w:ind w:left="454" w:hanging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alirokumabem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lub</w:t>
            </w:r>
            <w:r w:rsidRPr="007C47A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751641" w:rsidRPr="007C47A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ewolokumabem</w:t>
            </w:r>
            <w:proofErr w:type="spellEnd"/>
            <w:r w:rsidR="00751641" w:rsidRPr="007C47A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751641" w:rsidRPr="007C47A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(dotyczy pacjentów </w:t>
            </w:r>
            <w:r w:rsidR="00315D2B" w:rsidRPr="007C47A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pediatrycznych</w:t>
            </w:r>
            <w:r w:rsidR="00751641" w:rsidRPr="007C47A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)</w:t>
            </w:r>
            <w:r w:rsidR="00751641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badanie </w:t>
            </w:r>
            <w:proofErr w:type="spellStart"/>
            <w:r w:rsidR="00751641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lipidogramu</w:t>
            </w:r>
            <w:proofErr w:type="spellEnd"/>
            <w:r w:rsidR="00751641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wykonuje się po 3 miesiącach leczenia, a następnie co 6 miesięcy,</w:t>
            </w:r>
          </w:p>
          <w:p w14:paraId="717FFF7F" w14:textId="47EFDAF1" w:rsidR="003547CD" w:rsidRPr="007C47A9" w:rsidRDefault="003547CD" w:rsidP="00A57CFD">
            <w:pPr>
              <w:pStyle w:val="Akapitzlist"/>
              <w:numPr>
                <w:ilvl w:val="4"/>
                <w:numId w:val="21"/>
              </w:numPr>
              <w:spacing w:line="276" w:lineRule="auto"/>
              <w:ind w:left="454" w:hanging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inklisiranem</w:t>
            </w:r>
            <w:proofErr w:type="spellEnd"/>
            <w:r w:rsidR="00032967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="00032967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032967" w:rsidRPr="007C47A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32967" w:rsidRPr="007C47A9">
              <w:rPr>
                <w:rFonts w:ascii="Times New Roman" w:hAnsi="Times New Roman" w:cs="Times New Roman"/>
                <w:i/>
                <w:sz w:val="20"/>
                <w:szCs w:val="20"/>
              </w:rPr>
              <w:t>lomitapidem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badani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lipidogramu</w:t>
            </w:r>
            <w:proofErr w:type="spellEnd"/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wykonuje się po 6 miesiącach</w:t>
            </w:r>
            <w:r w:rsidR="00284FB8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leczenia</w:t>
            </w:r>
            <w:r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, a następnie co 12 miesięcy</w:t>
            </w:r>
            <w:r w:rsidR="00032967" w:rsidRPr="007C47A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bookmarkEnd w:id="3"/>
          <w:p w14:paraId="7C073519" w14:textId="77777777" w:rsidR="000A58AD" w:rsidRPr="007C47A9" w:rsidRDefault="000A58AD" w:rsidP="00D41E4E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C6CC4E" w14:textId="74E64DE0" w:rsidR="00CF2D49" w:rsidRPr="007C47A9" w:rsidRDefault="00CF2D49" w:rsidP="00D41E4E">
            <w:pPr>
              <w:pStyle w:val="Akapitzlis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C30A8"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0CBE2301" w14:textId="79C18FA6" w:rsidR="00792185" w:rsidRPr="007C47A9" w:rsidRDefault="004E3DEC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leczenia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70C5" w:rsidRPr="007C47A9">
              <w:rPr>
                <w:rFonts w:ascii="Times New Roman" w:hAnsi="Times New Roman" w:cs="Times New Roman"/>
                <w:sz w:val="20"/>
                <w:szCs w:val="20"/>
              </w:rPr>
              <w:t>ż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ądanie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C67E16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D8FBF14" w14:textId="6A677586" w:rsidR="00CF2D49" w:rsidRPr="007C47A9" w:rsidRDefault="004E3DEC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zupełni</w:t>
            </w:r>
            <w:r w:rsidR="00C67E16" w:rsidRPr="007C47A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34E" w:rsidRPr="007C47A9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pacjenta,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D49" w:rsidRPr="007C47A9">
              <w:rPr>
                <w:rFonts w:ascii="Times New Roman" w:hAnsi="Times New Roman" w:cs="Times New Roman"/>
                <w:sz w:val="20"/>
                <w:szCs w:val="20"/>
              </w:rPr>
              <w:t>spośród:</w:t>
            </w:r>
          </w:p>
          <w:p w14:paraId="5EA20E79" w14:textId="59C39CA5" w:rsidR="00CF2D49" w:rsidRPr="007C47A9" w:rsidRDefault="00BF3313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LDL-C</w:t>
            </w:r>
            <w:r w:rsidR="00D76E16" w:rsidRPr="007C47A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A12183E" w14:textId="6C2502A2" w:rsidR="00CF2D49" w:rsidRPr="007C47A9" w:rsidRDefault="00D76E16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TC;</w:t>
            </w:r>
          </w:p>
          <w:p w14:paraId="2D3B075F" w14:textId="2A213CC2" w:rsidR="00D76E16" w:rsidRPr="007C47A9" w:rsidRDefault="00D76E16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HDL;</w:t>
            </w:r>
          </w:p>
          <w:p w14:paraId="4DF86FE4" w14:textId="5EE75D16" w:rsidR="00D76E16" w:rsidRPr="007C47A9" w:rsidRDefault="00D76E16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trójglicerydów;</w:t>
            </w:r>
          </w:p>
          <w:p w14:paraId="70288E22" w14:textId="6BDC6325" w:rsidR="00BF3313" w:rsidRPr="007C47A9" w:rsidRDefault="00BF3313" w:rsidP="00D41E4E">
            <w:pPr>
              <w:pStyle w:val="Akapitzlist"/>
              <w:numPr>
                <w:ilvl w:val="4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procentowy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spadek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liczby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zabiegów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aferezy.</w:t>
            </w:r>
          </w:p>
          <w:p w14:paraId="57701FC8" w14:textId="04BDAB9F" w:rsidR="00C07A27" w:rsidRPr="007C47A9" w:rsidRDefault="004E3DEC" w:rsidP="00D41E4E">
            <w:pPr>
              <w:pStyle w:val="Akapitzlist"/>
              <w:numPr>
                <w:ilvl w:val="3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rzekazywanie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C30A8" w:rsidRPr="007C47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47A9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792185" w:rsidRPr="007C47A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660FE06D" w14:textId="77777777" w:rsidR="00B74B92" w:rsidRPr="002D071E" w:rsidRDefault="00B74B92" w:rsidP="004037EE">
      <w:pPr>
        <w:spacing w:after="200" w:line="276" w:lineRule="auto"/>
        <w:jc w:val="left"/>
        <w:rPr>
          <w:rFonts w:ascii="Times New Roman" w:hAnsi="Times New Roman" w:cs="Times New Roman"/>
          <w:sz w:val="4"/>
          <w:szCs w:val="4"/>
        </w:rPr>
      </w:pPr>
    </w:p>
    <w:sectPr w:rsidR="00B74B92" w:rsidRPr="002D071E" w:rsidSect="00E7467A">
      <w:headerReference w:type="default" r:id="rId9"/>
      <w:footerReference w:type="default" r:id="rId10"/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BDDE8" w14:textId="77777777" w:rsidR="003D3FB0" w:rsidRDefault="003D3FB0" w:rsidP="00ED0E55">
      <w:pPr>
        <w:spacing w:line="240" w:lineRule="auto"/>
      </w:pPr>
      <w:r>
        <w:separator/>
      </w:r>
    </w:p>
  </w:endnote>
  <w:endnote w:type="continuationSeparator" w:id="0">
    <w:p w14:paraId="0E3441DD" w14:textId="77777777" w:rsidR="003D3FB0" w:rsidRDefault="003D3FB0" w:rsidP="00ED0E55">
      <w:pPr>
        <w:spacing w:line="240" w:lineRule="auto"/>
      </w:pPr>
      <w:r>
        <w:continuationSeparator/>
      </w:r>
    </w:p>
  </w:endnote>
  <w:endnote w:type="continuationNotice" w:id="1">
    <w:p w14:paraId="03D8A97F" w14:textId="77777777" w:rsidR="003D3FB0" w:rsidRDefault="003D3F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9655" w14:textId="77777777" w:rsidR="00ED0E55" w:rsidRDefault="00ED0E55">
    <w:pPr>
      <w:pStyle w:val="Stopka"/>
      <w:jc w:val="center"/>
    </w:pPr>
  </w:p>
  <w:p w14:paraId="0E21F82C" w14:textId="77777777" w:rsidR="00ED0E55" w:rsidRDefault="00ED0E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2353F" w14:textId="77777777" w:rsidR="003D3FB0" w:rsidRDefault="003D3FB0" w:rsidP="00ED0E55">
      <w:pPr>
        <w:spacing w:line="240" w:lineRule="auto"/>
      </w:pPr>
      <w:r>
        <w:separator/>
      </w:r>
    </w:p>
  </w:footnote>
  <w:footnote w:type="continuationSeparator" w:id="0">
    <w:p w14:paraId="370BFAA6" w14:textId="77777777" w:rsidR="003D3FB0" w:rsidRDefault="003D3FB0" w:rsidP="00ED0E55">
      <w:pPr>
        <w:spacing w:line="240" w:lineRule="auto"/>
      </w:pPr>
      <w:r>
        <w:continuationSeparator/>
      </w:r>
    </w:p>
  </w:footnote>
  <w:footnote w:type="continuationNotice" w:id="1">
    <w:p w14:paraId="281CD073" w14:textId="77777777" w:rsidR="003D3FB0" w:rsidRDefault="003D3F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5B97D" w14:textId="77777777" w:rsidR="00A519C4" w:rsidRDefault="00A519C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60A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79920CE"/>
    <w:multiLevelType w:val="multilevel"/>
    <w:tmpl w:val="0C7072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2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2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CB24C02"/>
    <w:multiLevelType w:val="multilevel"/>
    <w:tmpl w:val="62524A4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CED123D"/>
    <w:multiLevelType w:val="multilevel"/>
    <w:tmpl w:val="F4F4DB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0EC4E32"/>
    <w:multiLevelType w:val="multilevel"/>
    <w:tmpl w:val="8048D3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1E658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4F0901"/>
    <w:multiLevelType w:val="multilevel"/>
    <w:tmpl w:val="112E69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3F1455C"/>
    <w:multiLevelType w:val="multilevel"/>
    <w:tmpl w:val="5E78A8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20713590"/>
    <w:multiLevelType w:val="multilevel"/>
    <w:tmpl w:val="BC2C5E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2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2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68B607B"/>
    <w:multiLevelType w:val="multilevel"/>
    <w:tmpl w:val="2834A2C4"/>
    <w:lvl w:ilvl="0">
      <w:start w:val="4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2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36313321"/>
    <w:multiLevelType w:val="multilevel"/>
    <w:tmpl w:val="ACC80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E8B27E0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4039089A"/>
    <w:multiLevelType w:val="hybridMultilevel"/>
    <w:tmpl w:val="7AC8A7AA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2BD1B4B"/>
    <w:multiLevelType w:val="hybridMultilevel"/>
    <w:tmpl w:val="0FF8E482"/>
    <w:lvl w:ilvl="0" w:tplc="E7B2179C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446650F6"/>
    <w:multiLevelType w:val="multilevel"/>
    <w:tmpl w:val="85B6FCEA"/>
    <w:styleLink w:val="Lista41"/>
    <w:lvl w:ilvl="0">
      <w:start w:val="1"/>
      <w:numFmt w:val="decimal"/>
      <w:lvlText w:val="%1."/>
      <w:lvlJc w:val="left"/>
      <w:rPr>
        <w:position w:val="0"/>
        <w:shd w:val="clear" w:color="auto" w:fill="FFFF0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00"/>
      </w:rPr>
    </w:lvl>
    <w:lvl w:ilvl="2">
      <w:start w:val="1"/>
      <w:numFmt w:val="decimal"/>
      <w:lvlText w:val="%3)"/>
      <w:lvlJc w:val="left"/>
      <w:rPr>
        <w:position w:val="0"/>
        <w:shd w:val="clear" w:color="auto" w:fill="FFFF00"/>
      </w:rPr>
    </w:lvl>
    <w:lvl w:ilvl="3">
      <w:start w:val="3"/>
      <w:numFmt w:val="lowerLetter"/>
      <w:lvlText w:val="%4)"/>
      <w:lvlJc w:val="left"/>
      <w:rPr>
        <w:position w:val="0"/>
        <w:shd w:val="clear" w:color="auto" w:fill="FFFF00"/>
      </w:rPr>
    </w:lvl>
    <w:lvl w:ilvl="4">
      <w:start w:val="1"/>
      <w:numFmt w:val="bullet"/>
      <w:lvlText w:val="−"/>
      <w:lvlJc w:val="left"/>
      <w:rPr>
        <w:position w:val="0"/>
        <w:shd w:val="clear" w:color="auto" w:fill="FFFF00"/>
      </w:rPr>
    </w:lvl>
    <w:lvl w:ilvl="5">
      <w:start w:val="1"/>
      <w:numFmt w:val="lowerRoman"/>
      <w:lvlText w:val="%6."/>
      <w:lvlJc w:val="left"/>
      <w:rPr>
        <w:position w:val="0"/>
        <w:shd w:val="clear" w:color="auto" w:fill="FFFF0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0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0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00"/>
      </w:rPr>
    </w:lvl>
  </w:abstractNum>
  <w:abstractNum w:abstractNumId="15" w15:restartNumberingAfterBreak="0">
    <w:nsid w:val="4DF43EEC"/>
    <w:multiLevelType w:val="multilevel"/>
    <w:tmpl w:val="66CC00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5752377C"/>
    <w:multiLevelType w:val="multilevel"/>
    <w:tmpl w:val="7400BDD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59155088"/>
    <w:multiLevelType w:val="multilevel"/>
    <w:tmpl w:val="5B2658E6"/>
    <w:styleLink w:val="List16"/>
    <w:lvl w:ilvl="0">
      <w:start w:val="1"/>
      <w:numFmt w:val="decimal"/>
      <w:lvlText w:val="%1."/>
      <w:lvlJc w:val="left"/>
      <w:pPr>
        <w:tabs>
          <w:tab w:val="num" w:pos="85"/>
        </w:tabs>
        <w:ind w:left="85" w:hanging="85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9"/>
        </w:tabs>
        <w:ind w:left="189" w:hanging="189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416"/>
        </w:tabs>
        <w:ind w:left="416" w:hanging="189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42"/>
        </w:tabs>
        <w:ind w:left="642" w:hanging="188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−"/>
      <w:lvlJc w:val="left"/>
      <w:pPr>
        <w:tabs>
          <w:tab w:val="num" w:pos="869"/>
        </w:tabs>
        <w:ind w:left="869" w:hanging="189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1096"/>
        </w:tabs>
        <w:ind w:left="1096" w:hanging="189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66"/>
        </w:tabs>
        <w:ind w:left="3266" w:hanging="90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746"/>
        </w:tabs>
        <w:ind w:left="3746" w:hanging="102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4286"/>
        </w:tabs>
        <w:ind w:left="4286" w:hanging="120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</w:rPr>
    </w:lvl>
  </w:abstractNum>
  <w:abstractNum w:abstractNumId="18" w15:restartNumberingAfterBreak="0">
    <w:nsid w:val="598471A2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5ABA5463"/>
    <w:multiLevelType w:val="multilevel"/>
    <w:tmpl w:val="F4F4DB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64A601D9"/>
    <w:multiLevelType w:val="hybridMultilevel"/>
    <w:tmpl w:val="949E19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72917"/>
    <w:multiLevelType w:val="multilevel"/>
    <w:tmpl w:val="F4F4DB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68D924B0"/>
    <w:multiLevelType w:val="multilevel"/>
    <w:tmpl w:val="2F6246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2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3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691510CB"/>
    <w:multiLevelType w:val="multilevel"/>
    <w:tmpl w:val="3BAA582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5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6EB721D5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ECB3598"/>
    <w:multiLevelType w:val="multilevel"/>
    <w:tmpl w:val="66CC00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758F4C44"/>
    <w:multiLevelType w:val="hybridMultilevel"/>
    <w:tmpl w:val="198EA8CA"/>
    <w:lvl w:ilvl="0" w:tplc="0415001B">
      <w:start w:val="1"/>
      <w:numFmt w:val="lowerRoman"/>
      <w:lvlText w:val="%1."/>
      <w:lvlJc w:val="right"/>
      <w:pPr>
        <w:ind w:left="1627" w:hanging="360"/>
      </w:pPr>
    </w:lvl>
    <w:lvl w:ilvl="1" w:tplc="04150019">
      <w:start w:val="1"/>
      <w:numFmt w:val="lowerLetter"/>
      <w:lvlText w:val="%2."/>
      <w:lvlJc w:val="left"/>
      <w:pPr>
        <w:ind w:left="2347" w:hanging="360"/>
      </w:pPr>
    </w:lvl>
    <w:lvl w:ilvl="2" w:tplc="0415001B" w:tentative="1">
      <w:start w:val="1"/>
      <w:numFmt w:val="lowerRoman"/>
      <w:lvlText w:val="%3."/>
      <w:lvlJc w:val="right"/>
      <w:pPr>
        <w:ind w:left="3067" w:hanging="180"/>
      </w:pPr>
    </w:lvl>
    <w:lvl w:ilvl="3" w:tplc="0415000F" w:tentative="1">
      <w:start w:val="1"/>
      <w:numFmt w:val="decimal"/>
      <w:lvlText w:val="%4."/>
      <w:lvlJc w:val="left"/>
      <w:pPr>
        <w:ind w:left="3787" w:hanging="360"/>
      </w:pPr>
    </w:lvl>
    <w:lvl w:ilvl="4" w:tplc="04150019" w:tentative="1">
      <w:start w:val="1"/>
      <w:numFmt w:val="lowerLetter"/>
      <w:lvlText w:val="%5."/>
      <w:lvlJc w:val="left"/>
      <w:pPr>
        <w:ind w:left="4507" w:hanging="360"/>
      </w:pPr>
    </w:lvl>
    <w:lvl w:ilvl="5" w:tplc="0415001B" w:tentative="1">
      <w:start w:val="1"/>
      <w:numFmt w:val="lowerRoman"/>
      <w:lvlText w:val="%6."/>
      <w:lvlJc w:val="right"/>
      <w:pPr>
        <w:ind w:left="5227" w:hanging="180"/>
      </w:pPr>
    </w:lvl>
    <w:lvl w:ilvl="6" w:tplc="0415000F" w:tentative="1">
      <w:start w:val="1"/>
      <w:numFmt w:val="decimal"/>
      <w:lvlText w:val="%7."/>
      <w:lvlJc w:val="left"/>
      <w:pPr>
        <w:ind w:left="5947" w:hanging="360"/>
      </w:pPr>
    </w:lvl>
    <w:lvl w:ilvl="7" w:tplc="04150019" w:tentative="1">
      <w:start w:val="1"/>
      <w:numFmt w:val="lowerLetter"/>
      <w:lvlText w:val="%8."/>
      <w:lvlJc w:val="left"/>
      <w:pPr>
        <w:ind w:left="6667" w:hanging="360"/>
      </w:pPr>
    </w:lvl>
    <w:lvl w:ilvl="8" w:tplc="0415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7" w15:restartNumberingAfterBreak="0">
    <w:nsid w:val="789D6080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7CBF6CFC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7D7F472F"/>
    <w:multiLevelType w:val="multilevel"/>
    <w:tmpl w:val="BC2C5E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2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2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suff w:val="space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286502857">
    <w:abstractNumId w:val="16"/>
  </w:num>
  <w:num w:numId="2" w16cid:durableId="982274386">
    <w:abstractNumId w:val="11"/>
  </w:num>
  <w:num w:numId="3" w16cid:durableId="1217861473">
    <w:abstractNumId w:val="0"/>
  </w:num>
  <w:num w:numId="4" w16cid:durableId="1673989846">
    <w:abstractNumId w:val="17"/>
  </w:num>
  <w:num w:numId="5" w16cid:durableId="1015502135">
    <w:abstractNumId w:val="14"/>
  </w:num>
  <w:num w:numId="6" w16cid:durableId="1604873791">
    <w:abstractNumId w:val="20"/>
  </w:num>
  <w:num w:numId="7" w16cid:durableId="141384956">
    <w:abstractNumId w:val="13"/>
  </w:num>
  <w:num w:numId="8" w16cid:durableId="128325367">
    <w:abstractNumId w:val="26"/>
  </w:num>
  <w:num w:numId="9" w16cid:durableId="465659613">
    <w:abstractNumId w:val="28"/>
  </w:num>
  <w:num w:numId="10" w16cid:durableId="564341592">
    <w:abstractNumId w:val="5"/>
  </w:num>
  <w:num w:numId="11" w16cid:durableId="815486362">
    <w:abstractNumId w:val="12"/>
  </w:num>
  <w:num w:numId="12" w16cid:durableId="2055612789">
    <w:abstractNumId w:val="24"/>
  </w:num>
  <w:num w:numId="13" w16cid:durableId="2080054240">
    <w:abstractNumId w:val="27"/>
  </w:num>
  <w:num w:numId="14" w16cid:durableId="1050417770">
    <w:abstractNumId w:val="18"/>
  </w:num>
  <w:num w:numId="15" w16cid:durableId="1519657103">
    <w:abstractNumId w:val="23"/>
  </w:num>
  <w:num w:numId="16" w16cid:durableId="1755004845">
    <w:abstractNumId w:val="4"/>
  </w:num>
  <w:num w:numId="17" w16cid:durableId="1122841249">
    <w:abstractNumId w:val="6"/>
  </w:num>
  <w:num w:numId="18" w16cid:durableId="575436295">
    <w:abstractNumId w:val="2"/>
  </w:num>
  <w:num w:numId="19" w16cid:durableId="653919497">
    <w:abstractNumId w:val="7"/>
  </w:num>
  <w:num w:numId="20" w16cid:durableId="1632709868">
    <w:abstractNumId w:val="19"/>
  </w:num>
  <w:num w:numId="21" w16cid:durableId="1250580558">
    <w:abstractNumId w:val="3"/>
  </w:num>
  <w:num w:numId="22" w16cid:durableId="570890214">
    <w:abstractNumId w:val="21"/>
  </w:num>
  <w:num w:numId="23" w16cid:durableId="1422946920">
    <w:abstractNumId w:val="25"/>
  </w:num>
  <w:num w:numId="24" w16cid:durableId="1051228015">
    <w:abstractNumId w:val="8"/>
  </w:num>
  <w:num w:numId="25" w16cid:durableId="317615400">
    <w:abstractNumId w:val="15"/>
  </w:num>
  <w:num w:numId="26" w16cid:durableId="1435711868">
    <w:abstractNumId w:val="1"/>
  </w:num>
  <w:num w:numId="27" w16cid:durableId="2015255757">
    <w:abstractNumId w:val="22"/>
  </w:num>
  <w:num w:numId="28" w16cid:durableId="552082518">
    <w:abstractNumId w:val="29"/>
  </w:num>
  <w:num w:numId="29" w16cid:durableId="651524227">
    <w:abstractNumId w:val="10"/>
  </w:num>
  <w:num w:numId="30" w16cid:durableId="18872525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08"/>
  <w:hyphenationZone w:val="425"/>
  <w:doNotHyphenateCaps/>
  <w:drawingGridHorizontalSpacing w:val="90"/>
  <w:displayHorizont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92"/>
    <w:rsid w:val="00001AEF"/>
    <w:rsid w:val="00001F53"/>
    <w:rsid w:val="00006039"/>
    <w:rsid w:val="000060BA"/>
    <w:rsid w:val="00007C52"/>
    <w:rsid w:val="0001297C"/>
    <w:rsid w:val="0001360B"/>
    <w:rsid w:val="00014A56"/>
    <w:rsid w:val="0002336F"/>
    <w:rsid w:val="00024E60"/>
    <w:rsid w:val="000308CC"/>
    <w:rsid w:val="000309AA"/>
    <w:rsid w:val="00030E0C"/>
    <w:rsid w:val="000314CB"/>
    <w:rsid w:val="00032967"/>
    <w:rsid w:val="00034608"/>
    <w:rsid w:val="00041175"/>
    <w:rsid w:val="00044978"/>
    <w:rsid w:val="00050CCF"/>
    <w:rsid w:val="000517B9"/>
    <w:rsid w:val="000543F5"/>
    <w:rsid w:val="00054BC5"/>
    <w:rsid w:val="00055EBA"/>
    <w:rsid w:val="00065352"/>
    <w:rsid w:val="0006617C"/>
    <w:rsid w:val="00067205"/>
    <w:rsid w:val="00073349"/>
    <w:rsid w:val="000757B0"/>
    <w:rsid w:val="00076F2E"/>
    <w:rsid w:val="0008220D"/>
    <w:rsid w:val="00084E48"/>
    <w:rsid w:val="00085769"/>
    <w:rsid w:val="00086D62"/>
    <w:rsid w:val="00086EB1"/>
    <w:rsid w:val="000950B8"/>
    <w:rsid w:val="000952E5"/>
    <w:rsid w:val="00096979"/>
    <w:rsid w:val="0009774A"/>
    <w:rsid w:val="000A171B"/>
    <w:rsid w:val="000A3790"/>
    <w:rsid w:val="000A3CC2"/>
    <w:rsid w:val="000A3E4F"/>
    <w:rsid w:val="000A58AD"/>
    <w:rsid w:val="000B2D26"/>
    <w:rsid w:val="000B45EC"/>
    <w:rsid w:val="000B4D21"/>
    <w:rsid w:val="000C10B5"/>
    <w:rsid w:val="000C1A54"/>
    <w:rsid w:val="000C30A8"/>
    <w:rsid w:val="000D1B31"/>
    <w:rsid w:val="000D6485"/>
    <w:rsid w:val="000E0D35"/>
    <w:rsid w:val="000E1DF8"/>
    <w:rsid w:val="000E428C"/>
    <w:rsid w:val="000E772A"/>
    <w:rsid w:val="000E7BBA"/>
    <w:rsid w:val="000F120D"/>
    <w:rsid w:val="000F3A70"/>
    <w:rsid w:val="000F60A5"/>
    <w:rsid w:val="000F6719"/>
    <w:rsid w:val="000F7EA1"/>
    <w:rsid w:val="00101310"/>
    <w:rsid w:val="00101CA3"/>
    <w:rsid w:val="00105A36"/>
    <w:rsid w:val="001105A8"/>
    <w:rsid w:val="00110B4F"/>
    <w:rsid w:val="0011300D"/>
    <w:rsid w:val="00113E6C"/>
    <w:rsid w:val="00120882"/>
    <w:rsid w:val="00123DBC"/>
    <w:rsid w:val="00124A62"/>
    <w:rsid w:val="001269B1"/>
    <w:rsid w:val="00131661"/>
    <w:rsid w:val="0013608C"/>
    <w:rsid w:val="001379E8"/>
    <w:rsid w:val="00141AF5"/>
    <w:rsid w:val="00142CF6"/>
    <w:rsid w:val="00146E87"/>
    <w:rsid w:val="00146FE7"/>
    <w:rsid w:val="0014742D"/>
    <w:rsid w:val="0015017E"/>
    <w:rsid w:val="00151B5D"/>
    <w:rsid w:val="001530A0"/>
    <w:rsid w:val="00155881"/>
    <w:rsid w:val="001634F3"/>
    <w:rsid w:val="00163F27"/>
    <w:rsid w:val="00164594"/>
    <w:rsid w:val="00165082"/>
    <w:rsid w:val="00166CFE"/>
    <w:rsid w:val="00167C41"/>
    <w:rsid w:val="00170125"/>
    <w:rsid w:val="0017349D"/>
    <w:rsid w:val="00176059"/>
    <w:rsid w:val="00180E43"/>
    <w:rsid w:val="00181176"/>
    <w:rsid w:val="00181866"/>
    <w:rsid w:val="00182AB0"/>
    <w:rsid w:val="00184035"/>
    <w:rsid w:val="00185508"/>
    <w:rsid w:val="0019123C"/>
    <w:rsid w:val="0019187F"/>
    <w:rsid w:val="001931DE"/>
    <w:rsid w:val="00194CEF"/>
    <w:rsid w:val="00195992"/>
    <w:rsid w:val="001A0D04"/>
    <w:rsid w:val="001A18DF"/>
    <w:rsid w:val="001A2728"/>
    <w:rsid w:val="001A35BE"/>
    <w:rsid w:val="001A3BB4"/>
    <w:rsid w:val="001A7B03"/>
    <w:rsid w:val="001B1B6F"/>
    <w:rsid w:val="001B349A"/>
    <w:rsid w:val="001B4FAA"/>
    <w:rsid w:val="001B52E1"/>
    <w:rsid w:val="001C35E9"/>
    <w:rsid w:val="001C7ABD"/>
    <w:rsid w:val="001D0D4B"/>
    <w:rsid w:val="001D121A"/>
    <w:rsid w:val="001D2347"/>
    <w:rsid w:val="001D2E91"/>
    <w:rsid w:val="001D30E6"/>
    <w:rsid w:val="001D5319"/>
    <w:rsid w:val="001D54BB"/>
    <w:rsid w:val="001E06A4"/>
    <w:rsid w:val="001E0CD3"/>
    <w:rsid w:val="001E14A1"/>
    <w:rsid w:val="001E1695"/>
    <w:rsid w:val="001E34BE"/>
    <w:rsid w:val="001E39C8"/>
    <w:rsid w:val="001E6A22"/>
    <w:rsid w:val="001E73C0"/>
    <w:rsid w:val="001F1ABF"/>
    <w:rsid w:val="002010CB"/>
    <w:rsid w:val="00205971"/>
    <w:rsid w:val="00206B6D"/>
    <w:rsid w:val="00210588"/>
    <w:rsid w:val="002107C6"/>
    <w:rsid w:val="002114A0"/>
    <w:rsid w:val="00212710"/>
    <w:rsid w:val="00212D46"/>
    <w:rsid w:val="00214996"/>
    <w:rsid w:val="002153DE"/>
    <w:rsid w:val="00217471"/>
    <w:rsid w:val="0021761C"/>
    <w:rsid w:val="00220DAE"/>
    <w:rsid w:val="00221B1E"/>
    <w:rsid w:val="00223235"/>
    <w:rsid w:val="002241C8"/>
    <w:rsid w:val="00237755"/>
    <w:rsid w:val="00237857"/>
    <w:rsid w:val="0023794E"/>
    <w:rsid w:val="00237A15"/>
    <w:rsid w:val="00237C47"/>
    <w:rsid w:val="0024503E"/>
    <w:rsid w:val="0024507B"/>
    <w:rsid w:val="00245D56"/>
    <w:rsid w:val="0024717E"/>
    <w:rsid w:val="00251A9D"/>
    <w:rsid w:val="00254647"/>
    <w:rsid w:val="0025559A"/>
    <w:rsid w:val="00260750"/>
    <w:rsid w:val="00267A6B"/>
    <w:rsid w:val="00270DC9"/>
    <w:rsid w:val="00270F35"/>
    <w:rsid w:val="00271422"/>
    <w:rsid w:val="00271D85"/>
    <w:rsid w:val="00275872"/>
    <w:rsid w:val="00277151"/>
    <w:rsid w:val="00282E91"/>
    <w:rsid w:val="002836CD"/>
    <w:rsid w:val="002840EF"/>
    <w:rsid w:val="00284FB8"/>
    <w:rsid w:val="00285FA1"/>
    <w:rsid w:val="00286C51"/>
    <w:rsid w:val="0029218B"/>
    <w:rsid w:val="002922D8"/>
    <w:rsid w:val="00292CD1"/>
    <w:rsid w:val="00292E81"/>
    <w:rsid w:val="0029498F"/>
    <w:rsid w:val="00295312"/>
    <w:rsid w:val="00296C8F"/>
    <w:rsid w:val="002A04DC"/>
    <w:rsid w:val="002A2B15"/>
    <w:rsid w:val="002A2F63"/>
    <w:rsid w:val="002B0390"/>
    <w:rsid w:val="002B39A9"/>
    <w:rsid w:val="002B5BC1"/>
    <w:rsid w:val="002B6BF8"/>
    <w:rsid w:val="002B75FF"/>
    <w:rsid w:val="002B7EEF"/>
    <w:rsid w:val="002C3A3A"/>
    <w:rsid w:val="002C3CF5"/>
    <w:rsid w:val="002C69D8"/>
    <w:rsid w:val="002D071E"/>
    <w:rsid w:val="002D6BA6"/>
    <w:rsid w:val="002E32C0"/>
    <w:rsid w:val="002F073D"/>
    <w:rsid w:val="002F2AAD"/>
    <w:rsid w:val="002F3A96"/>
    <w:rsid w:val="002F4444"/>
    <w:rsid w:val="002F6DB5"/>
    <w:rsid w:val="00300D6D"/>
    <w:rsid w:val="00301791"/>
    <w:rsid w:val="00302065"/>
    <w:rsid w:val="00302FEF"/>
    <w:rsid w:val="003059C6"/>
    <w:rsid w:val="00313156"/>
    <w:rsid w:val="00315D2B"/>
    <w:rsid w:val="00321040"/>
    <w:rsid w:val="0032156B"/>
    <w:rsid w:val="00324363"/>
    <w:rsid w:val="003367A5"/>
    <w:rsid w:val="00344445"/>
    <w:rsid w:val="00347AFC"/>
    <w:rsid w:val="00350C8D"/>
    <w:rsid w:val="00353ADD"/>
    <w:rsid w:val="003547CD"/>
    <w:rsid w:val="00360450"/>
    <w:rsid w:val="0036239C"/>
    <w:rsid w:val="003644A9"/>
    <w:rsid w:val="00365895"/>
    <w:rsid w:val="0036757D"/>
    <w:rsid w:val="003709C4"/>
    <w:rsid w:val="003715DD"/>
    <w:rsid w:val="00371F5E"/>
    <w:rsid w:val="00372949"/>
    <w:rsid w:val="00374819"/>
    <w:rsid w:val="00374E0E"/>
    <w:rsid w:val="0037672E"/>
    <w:rsid w:val="003775C1"/>
    <w:rsid w:val="003809B0"/>
    <w:rsid w:val="0038102F"/>
    <w:rsid w:val="003826C3"/>
    <w:rsid w:val="00383241"/>
    <w:rsid w:val="003835DA"/>
    <w:rsid w:val="003848C5"/>
    <w:rsid w:val="003879C7"/>
    <w:rsid w:val="00387D60"/>
    <w:rsid w:val="00394F76"/>
    <w:rsid w:val="003954D4"/>
    <w:rsid w:val="003A1597"/>
    <w:rsid w:val="003A1AA1"/>
    <w:rsid w:val="003A1D1B"/>
    <w:rsid w:val="003A52CC"/>
    <w:rsid w:val="003A797A"/>
    <w:rsid w:val="003B1B4C"/>
    <w:rsid w:val="003B23D1"/>
    <w:rsid w:val="003B6447"/>
    <w:rsid w:val="003C0BFB"/>
    <w:rsid w:val="003C287A"/>
    <w:rsid w:val="003C2F4A"/>
    <w:rsid w:val="003D0EA0"/>
    <w:rsid w:val="003D2130"/>
    <w:rsid w:val="003D3FB0"/>
    <w:rsid w:val="003D5D68"/>
    <w:rsid w:val="003D6A10"/>
    <w:rsid w:val="003E0F45"/>
    <w:rsid w:val="003E19BE"/>
    <w:rsid w:val="003E4A70"/>
    <w:rsid w:val="003E6A94"/>
    <w:rsid w:val="003F49D9"/>
    <w:rsid w:val="003F4BC2"/>
    <w:rsid w:val="003F4C2B"/>
    <w:rsid w:val="00401A0D"/>
    <w:rsid w:val="004037EE"/>
    <w:rsid w:val="00406832"/>
    <w:rsid w:val="00413B94"/>
    <w:rsid w:val="00432A6D"/>
    <w:rsid w:val="0043408A"/>
    <w:rsid w:val="00436321"/>
    <w:rsid w:val="004400BE"/>
    <w:rsid w:val="00442410"/>
    <w:rsid w:val="00444044"/>
    <w:rsid w:val="004467A6"/>
    <w:rsid w:val="00450A45"/>
    <w:rsid w:val="004521AB"/>
    <w:rsid w:val="004570C2"/>
    <w:rsid w:val="004616A1"/>
    <w:rsid w:val="0046175B"/>
    <w:rsid w:val="004626BF"/>
    <w:rsid w:val="00464F74"/>
    <w:rsid w:val="00465377"/>
    <w:rsid w:val="004654DE"/>
    <w:rsid w:val="0046662B"/>
    <w:rsid w:val="00470471"/>
    <w:rsid w:val="00473B51"/>
    <w:rsid w:val="00477515"/>
    <w:rsid w:val="00477D7E"/>
    <w:rsid w:val="00482102"/>
    <w:rsid w:val="0048328A"/>
    <w:rsid w:val="00483342"/>
    <w:rsid w:val="00483FD1"/>
    <w:rsid w:val="00491D0B"/>
    <w:rsid w:val="00493C9C"/>
    <w:rsid w:val="004A4516"/>
    <w:rsid w:val="004A49D5"/>
    <w:rsid w:val="004A6C43"/>
    <w:rsid w:val="004B0580"/>
    <w:rsid w:val="004B66F3"/>
    <w:rsid w:val="004B6A68"/>
    <w:rsid w:val="004B6FBD"/>
    <w:rsid w:val="004C031E"/>
    <w:rsid w:val="004C05E9"/>
    <w:rsid w:val="004C3330"/>
    <w:rsid w:val="004C7012"/>
    <w:rsid w:val="004D0997"/>
    <w:rsid w:val="004D1C2F"/>
    <w:rsid w:val="004D1CD2"/>
    <w:rsid w:val="004D358A"/>
    <w:rsid w:val="004D5926"/>
    <w:rsid w:val="004D62BE"/>
    <w:rsid w:val="004E1E10"/>
    <w:rsid w:val="004E26FE"/>
    <w:rsid w:val="004E3669"/>
    <w:rsid w:val="004E3DEC"/>
    <w:rsid w:val="004E472C"/>
    <w:rsid w:val="004E4EE2"/>
    <w:rsid w:val="004E5FFF"/>
    <w:rsid w:val="004E6CFD"/>
    <w:rsid w:val="004E6E78"/>
    <w:rsid w:val="004E769B"/>
    <w:rsid w:val="004F068F"/>
    <w:rsid w:val="004F1290"/>
    <w:rsid w:val="004F1297"/>
    <w:rsid w:val="004F1AC0"/>
    <w:rsid w:val="004F232B"/>
    <w:rsid w:val="004F3044"/>
    <w:rsid w:val="0050023B"/>
    <w:rsid w:val="0050285F"/>
    <w:rsid w:val="0051255F"/>
    <w:rsid w:val="00513064"/>
    <w:rsid w:val="00513AE4"/>
    <w:rsid w:val="00515C88"/>
    <w:rsid w:val="00517E64"/>
    <w:rsid w:val="0052102F"/>
    <w:rsid w:val="00521205"/>
    <w:rsid w:val="00522F59"/>
    <w:rsid w:val="00523134"/>
    <w:rsid w:val="00526EB6"/>
    <w:rsid w:val="00530286"/>
    <w:rsid w:val="00530F30"/>
    <w:rsid w:val="0053215C"/>
    <w:rsid w:val="005352E1"/>
    <w:rsid w:val="0053739C"/>
    <w:rsid w:val="0053741B"/>
    <w:rsid w:val="0055358B"/>
    <w:rsid w:val="00553B2D"/>
    <w:rsid w:val="0055599A"/>
    <w:rsid w:val="00560EC5"/>
    <w:rsid w:val="00563707"/>
    <w:rsid w:val="00565E8A"/>
    <w:rsid w:val="00566DCF"/>
    <w:rsid w:val="005723D5"/>
    <w:rsid w:val="0057386C"/>
    <w:rsid w:val="005757C3"/>
    <w:rsid w:val="00581C43"/>
    <w:rsid w:val="005847E4"/>
    <w:rsid w:val="005903CC"/>
    <w:rsid w:val="00590CAC"/>
    <w:rsid w:val="00591EC7"/>
    <w:rsid w:val="00594A41"/>
    <w:rsid w:val="00594C87"/>
    <w:rsid w:val="00596248"/>
    <w:rsid w:val="00597A1E"/>
    <w:rsid w:val="005A1889"/>
    <w:rsid w:val="005A37D1"/>
    <w:rsid w:val="005A536F"/>
    <w:rsid w:val="005A53EE"/>
    <w:rsid w:val="005A63CA"/>
    <w:rsid w:val="005A65B6"/>
    <w:rsid w:val="005A78F1"/>
    <w:rsid w:val="005B44E0"/>
    <w:rsid w:val="005B7E77"/>
    <w:rsid w:val="005C2D7D"/>
    <w:rsid w:val="005C590D"/>
    <w:rsid w:val="005D3546"/>
    <w:rsid w:val="005D79BC"/>
    <w:rsid w:val="005D7B98"/>
    <w:rsid w:val="005E03DC"/>
    <w:rsid w:val="005E234D"/>
    <w:rsid w:val="005E70CF"/>
    <w:rsid w:val="005E7C1C"/>
    <w:rsid w:val="005F0760"/>
    <w:rsid w:val="005F13AE"/>
    <w:rsid w:val="005F5C55"/>
    <w:rsid w:val="005F63D0"/>
    <w:rsid w:val="00601645"/>
    <w:rsid w:val="00601C54"/>
    <w:rsid w:val="00602925"/>
    <w:rsid w:val="0061408A"/>
    <w:rsid w:val="006164D4"/>
    <w:rsid w:val="0062321D"/>
    <w:rsid w:val="00623D28"/>
    <w:rsid w:val="006272F2"/>
    <w:rsid w:val="00631A00"/>
    <w:rsid w:val="006326F7"/>
    <w:rsid w:val="006351CC"/>
    <w:rsid w:val="0063586B"/>
    <w:rsid w:val="00637B7B"/>
    <w:rsid w:val="00642689"/>
    <w:rsid w:val="006450FC"/>
    <w:rsid w:val="00646767"/>
    <w:rsid w:val="00646E8E"/>
    <w:rsid w:val="00653A42"/>
    <w:rsid w:val="00655AF7"/>
    <w:rsid w:val="00662B0F"/>
    <w:rsid w:val="006669FC"/>
    <w:rsid w:val="0067434C"/>
    <w:rsid w:val="00674D38"/>
    <w:rsid w:val="00677AE6"/>
    <w:rsid w:val="00680C86"/>
    <w:rsid w:val="00682E80"/>
    <w:rsid w:val="00683AD7"/>
    <w:rsid w:val="00684153"/>
    <w:rsid w:val="00686728"/>
    <w:rsid w:val="006875D7"/>
    <w:rsid w:val="00687A90"/>
    <w:rsid w:val="00690BA9"/>
    <w:rsid w:val="00691224"/>
    <w:rsid w:val="00691701"/>
    <w:rsid w:val="0069220E"/>
    <w:rsid w:val="006930DD"/>
    <w:rsid w:val="006963B3"/>
    <w:rsid w:val="006A13C2"/>
    <w:rsid w:val="006A54F8"/>
    <w:rsid w:val="006A66A7"/>
    <w:rsid w:val="006A7D4F"/>
    <w:rsid w:val="006B68EA"/>
    <w:rsid w:val="006B7A80"/>
    <w:rsid w:val="006C3D7D"/>
    <w:rsid w:val="006D05AD"/>
    <w:rsid w:val="006D3AEF"/>
    <w:rsid w:val="006D52A1"/>
    <w:rsid w:val="006D67B9"/>
    <w:rsid w:val="006E033C"/>
    <w:rsid w:val="006E08AC"/>
    <w:rsid w:val="006E5CC0"/>
    <w:rsid w:val="006E6A91"/>
    <w:rsid w:val="006E6AF2"/>
    <w:rsid w:val="006F023E"/>
    <w:rsid w:val="006F1CE9"/>
    <w:rsid w:val="006F2ED6"/>
    <w:rsid w:val="006F5ED7"/>
    <w:rsid w:val="0070062D"/>
    <w:rsid w:val="0070174C"/>
    <w:rsid w:val="007070EB"/>
    <w:rsid w:val="00707334"/>
    <w:rsid w:val="00712270"/>
    <w:rsid w:val="007144F6"/>
    <w:rsid w:val="00714B44"/>
    <w:rsid w:val="00714DE1"/>
    <w:rsid w:val="00716FE8"/>
    <w:rsid w:val="00721B73"/>
    <w:rsid w:val="00722436"/>
    <w:rsid w:val="00722565"/>
    <w:rsid w:val="00724753"/>
    <w:rsid w:val="00724A4C"/>
    <w:rsid w:val="0072578B"/>
    <w:rsid w:val="00726D0A"/>
    <w:rsid w:val="00735170"/>
    <w:rsid w:val="007358B9"/>
    <w:rsid w:val="00735C74"/>
    <w:rsid w:val="0073740E"/>
    <w:rsid w:val="0074031C"/>
    <w:rsid w:val="00740CF7"/>
    <w:rsid w:val="00741AE0"/>
    <w:rsid w:val="0074365C"/>
    <w:rsid w:val="00746232"/>
    <w:rsid w:val="0075059E"/>
    <w:rsid w:val="00751641"/>
    <w:rsid w:val="007516D7"/>
    <w:rsid w:val="007577BA"/>
    <w:rsid w:val="007577D9"/>
    <w:rsid w:val="00757B92"/>
    <w:rsid w:val="00760B6D"/>
    <w:rsid w:val="007613FA"/>
    <w:rsid w:val="00762427"/>
    <w:rsid w:val="00762DAE"/>
    <w:rsid w:val="0076328D"/>
    <w:rsid w:val="0076682E"/>
    <w:rsid w:val="007707B0"/>
    <w:rsid w:val="00771603"/>
    <w:rsid w:val="0077712F"/>
    <w:rsid w:val="007779C3"/>
    <w:rsid w:val="0078245E"/>
    <w:rsid w:val="00782C0A"/>
    <w:rsid w:val="00782CE1"/>
    <w:rsid w:val="00782DBC"/>
    <w:rsid w:val="00782E52"/>
    <w:rsid w:val="00786B1B"/>
    <w:rsid w:val="0079112E"/>
    <w:rsid w:val="00792185"/>
    <w:rsid w:val="0079379B"/>
    <w:rsid w:val="00793B55"/>
    <w:rsid w:val="007A1CB2"/>
    <w:rsid w:val="007A23E0"/>
    <w:rsid w:val="007A29FD"/>
    <w:rsid w:val="007A2EA6"/>
    <w:rsid w:val="007A44BE"/>
    <w:rsid w:val="007A6AA3"/>
    <w:rsid w:val="007A6DEE"/>
    <w:rsid w:val="007A7080"/>
    <w:rsid w:val="007B159C"/>
    <w:rsid w:val="007B38B1"/>
    <w:rsid w:val="007B42D6"/>
    <w:rsid w:val="007B5FEB"/>
    <w:rsid w:val="007B6411"/>
    <w:rsid w:val="007C0150"/>
    <w:rsid w:val="007C47A9"/>
    <w:rsid w:val="007C7A2D"/>
    <w:rsid w:val="007D04A4"/>
    <w:rsid w:val="007D3F04"/>
    <w:rsid w:val="007D5310"/>
    <w:rsid w:val="007D5B00"/>
    <w:rsid w:val="007D5F72"/>
    <w:rsid w:val="007D7F3F"/>
    <w:rsid w:val="007E344A"/>
    <w:rsid w:val="007E495D"/>
    <w:rsid w:val="007E4F5A"/>
    <w:rsid w:val="007E595E"/>
    <w:rsid w:val="007F096D"/>
    <w:rsid w:val="007F5571"/>
    <w:rsid w:val="007F6713"/>
    <w:rsid w:val="00800D03"/>
    <w:rsid w:val="00804BF5"/>
    <w:rsid w:val="00804E65"/>
    <w:rsid w:val="0080535B"/>
    <w:rsid w:val="00806BE4"/>
    <w:rsid w:val="0080750F"/>
    <w:rsid w:val="00811845"/>
    <w:rsid w:val="00814241"/>
    <w:rsid w:val="00823953"/>
    <w:rsid w:val="00823A9B"/>
    <w:rsid w:val="00830E8F"/>
    <w:rsid w:val="00831EFB"/>
    <w:rsid w:val="008326C8"/>
    <w:rsid w:val="00834919"/>
    <w:rsid w:val="008371AA"/>
    <w:rsid w:val="008405D5"/>
    <w:rsid w:val="0084222D"/>
    <w:rsid w:val="008440E6"/>
    <w:rsid w:val="0084561D"/>
    <w:rsid w:val="00845E2D"/>
    <w:rsid w:val="00845EBE"/>
    <w:rsid w:val="00847B16"/>
    <w:rsid w:val="008532C0"/>
    <w:rsid w:val="00853A73"/>
    <w:rsid w:val="00856222"/>
    <w:rsid w:val="00857941"/>
    <w:rsid w:val="00863391"/>
    <w:rsid w:val="00863528"/>
    <w:rsid w:val="0086562C"/>
    <w:rsid w:val="00865E90"/>
    <w:rsid w:val="00866E75"/>
    <w:rsid w:val="008676C3"/>
    <w:rsid w:val="0087056E"/>
    <w:rsid w:val="00871276"/>
    <w:rsid w:val="00872388"/>
    <w:rsid w:val="008746BF"/>
    <w:rsid w:val="0087605B"/>
    <w:rsid w:val="00877095"/>
    <w:rsid w:val="0088101B"/>
    <w:rsid w:val="008825C6"/>
    <w:rsid w:val="00883D2A"/>
    <w:rsid w:val="008846B3"/>
    <w:rsid w:val="00884A68"/>
    <w:rsid w:val="00890DC3"/>
    <w:rsid w:val="008956F1"/>
    <w:rsid w:val="0089579C"/>
    <w:rsid w:val="008A08C9"/>
    <w:rsid w:val="008A16E5"/>
    <w:rsid w:val="008A173B"/>
    <w:rsid w:val="008A1B15"/>
    <w:rsid w:val="008A68B8"/>
    <w:rsid w:val="008B0374"/>
    <w:rsid w:val="008B4C93"/>
    <w:rsid w:val="008B604E"/>
    <w:rsid w:val="008B72D2"/>
    <w:rsid w:val="008C219E"/>
    <w:rsid w:val="008C510A"/>
    <w:rsid w:val="008D2DF1"/>
    <w:rsid w:val="008D400B"/>
    <w:rsid w:val="008E0FD9"/>
    <w:rsid w:val="008E1667"/>
    <w:rsid w:val="008E27C2"/>
    <w:rsid w:val="008E378C"/>
    <w:rsid w:val="008E58D5"/>
    <w:rsid w:val="008E7F1D"/>
    <w:rsid w:val="008F16B7"/>
    <w:rsid w:val="00900EC1"/>
    <w:rsid w:val="00902F3D"/>
    <w:rsid w:val="00905810"/>
    <w:rsid w:val="009059D8"/>
    <w:rsid w:val="0090723D"/>
    <w:rsid w:val="00911DBF"/>
    <w:rsid w:val="009120A0"/>
    <w:rsid w:val="00914E35"/>
    <w:rsid w:val="00914E46"/>
    <w:rsid w:val="00915078"/>
    <w:rsid w:val="00916F36"/>
    <w:rsid w:val="00924751"/>
    <w:rsid w:val="009263CA"/>
    <w:rsid w:val="00926A15"/>
    <w:rsid w:val="00931276"/>
    <w:rsid w:val="009317DE"/>
    <w:rsid w:val="00933128"/>
    <w:rsid w:val="009364C5"/>
    <w:rsid w:val="00936EC9"/>
    <w:rsid w:val="00937162"/>
    <w:rsid w:val="00937B3C"/>
    <w:rsid w:val="00937E65"/>
    <w:rsid w:val="0095000A"/>
    <w:rsid w:val="009517BE"/>
    <w:rsid w:val="00955EED"/>
    <w:rsid w:val="0096125A"/>
    <w:rsid w:val="009615AC"/>
    <w:rsid w:val="00962795"/>
    <w:rsid w:val="009634FF"/>
    <w:rsid w:val="009660FA"/>
    <w:rsid w:val="009666D2"/>
    <w:rsid w:val="009676A5"/>
    <w:rsid w:val="009711F4"/>
    <w:rsid w:val="00973EEC"/>
    <w:rsid w:val="00977CA4"/>
    <w:rsid w:val="00981C33"/>
    <w:rsid w:val="00985D83"/>
    <w:rsid w:val="00986322"/>
    <w:rsid w:val="00986DE7"/>
    <w:rsid w:val="0099311E"/>
    <w:rsid w:val="00994A77"/>
    <w:rsid w:val="00994F6B"/>
    <w:rsid w:val="009957C9"/>
    <w:rsid w:val="00995F64"/>
    <w:rsid w:val="00996B8C"/>
    <w:rsid w:val="009A1BA4"/>
    <w:rsid w:val="009A27A9"/>
    <w:rsid w:val="009B2766"/>
    <w:rsid w:val="009B4692"/>
    <w:rsid w:val="009B6E3A"/>
    <w:rsid w:val="009B70C5"/>
    <w:rsid w:val="009B7147"/>
    <w:rsid w:val="009C1F64"/>
    <w:rsid w:val="009C61DC"/>
    <w:rsid w:val="009C7DA8"/>
    <w:rsid w:val="009D1E4A"/>
    <w:rsid w:val="009D20F3"/>
    <w:rsid w:val="009D2326"/>
    <w:rsid w:val="009D2585"/>
    <w:rsid w:val="009D4A94"/>
    <w:rsid w:val="009D625A"/>
    <w:rsid w:val="009E0618"/>
    <w:rsid w:val="009E0A5E"/>
    <w:rsid w:val="009E2B6C"/>
    <w:rsid w:val="009E3CCF"/>
    <w:rsid w:val="009E742B"/>
    <w:rsid w:val="009F085A"/>
    <w:rsid w:val="009F110E"/>
    <w:rsid w:val="009F11B8"/>
    <w:rsid w:val="009F2329"/>
    <w:rsid w:val="00A00CA5"/>
    <w:rsid w:val="00A01CD1"/>
    <w:rsid w:val="00A0293C"/>
    <w:rsid w:val="00A0711F"/>
    <w:rsid w:val="00A0733C"/>
    <w:rsid w:val="00A07368"/>
    <w:rsid w:val="00A11E1D"/>
    <w:rsid w:val="00A141F9"/>
    <w:rsid w:val="00A14D58"/>
    <w:rsid w:val="00A216B9"/>
    <w:rsid w:val="00A24EFD"/>
    <w:rsid w:val="00A25283"/>
    <w:rsid w:val="00A3034D"/>
    <w:rsid w:val="00A31C67"/>
    <w:rsid w:val="00A32F59"/>
    <w:rsid w:val="00A33A19"/>
    <w:rsid w:val="00A35F7D"/>
    <w:rsid w:val="00A363B9"/>
    <w:rsid w:val="00A37894"/>
    <w:rsid w:val="00A43723"/>
    <w:rsid w:val="00A43AB5"/>
    <w:rsid w:val="00A43AEA"/>
    <w:rsid w:val="00A460EC"/>
    <w:rsid w:val="00A46415"/>
    <w:rsid w:val="00A519C4"/>
    <w:rsid w:val="00A519EB"/>
    <w:rsid w:val="00A54051"/>
    <w:rsid w:val="00A545F9"/>
    <w:rsid w:val="00A5475A"/>
    <w:rsid w:val="00A57CFD"/>
    <w:rsid w:val="00A60369"/>
    <w:rsid w:val="00A63436"/>
    <w:rsid w:val="00A6505C"/>
    <w:rsid w:val="00A674A2"/>
    <w:rsid w:val="00A7007A"/>
    <w:rsid w:val="00A707F0"/>
    <w:rsid w:val="00A72CDE"/>
    <w:rsid w:val="00A74CA8"/>
    <w:rsid w:val="00A80F6E"/>
    <w:rsid w:val="00A820AC"/>
    <w:rsid w:val="00A822B5"/>
    <w:rsid w:val="00A822BB"/>
    <w:rsid w:val="00A84688"/>
    <w:rsid w:val="00A84DD1"/>
    <w:rsid w:val="00A8590C"/>
    <w:rsid w:val="00A86842"/>
    <w:rsid w:val="00A909C1"/>
    <w:rsid w:val="00A909E7"/>
    <w:rsid w:val="00A93404"/>
    <w:rsid w:val="00A93F34"/>
    <w:rsid w:val="00A9402C"/>
    <w:rsid w:val="00A95BC5"/>
    <w:rsid w:val="00A96BDB"/>
    <w:rsid w:val="00AA0D6C"/>
    <w:rsid w:val="00AA134E"/>
    <w:rsid w:val="00AA1E10"/>
    <w:rsid w:val="00AA471F"/>
    <w:rsid w:val="00AA728D"/>
    <w:rsid w:val="00AB3F04"/>
    <w:rsid w:val="00AB7BD6"/>
    <w:rsid w:val="00AC117A"/>
    <w:rsid w:val="00AC28E6"/>
    <w:rsid w:val="00AC4ECE"/>
    <w:rsid w:val="00AC5858"/>
    <w:rsid w:val="00AC6818"/>
    <w:rsid w:val="00AD1441"/>
    <w:rsid w:val="00AD67B9"/>
    <w:rsid w:val="00AE029C"/>
    <w:rsid w:val="00AE253F"/>
    <w:rsid w:val="00AE4B3B"/>
    <w:rsid w:val="00AE570B"/>
    <w:rsid w:val="00AF064C"/>
    <w:rsid w:val="00AF288A"/>
    <w:rsid w:val="00AF3A1A"/>
    <w:rsid w:val="00AF42E1"/>
    <w:rsid w:val="00AF4DB2"/>
    <w:rsid w:val="00AF6F60"/>
    <w:rsid w:val="00B03EB2"/>
    <w:rsid w:val="00B04397"/>
    <w:rsid w:val="00B04CF3"/>
    <w:rsid w:val="00B05750"/>
    <w:rsid w:val="00B11184"/>
    <w:rsid w:val="00B13139"/>
    <w:rsid w:val="00B17697"/>
    <w:rsid w:val="00B20332"/>
    <w:rsid w:val="00B21775"/>
    <w:rsid w:val="00B21994"/>
    <w:rsid w:val="00B25D0D"/>
    <w:rsid w:val="00B3378F"/>
    <w:rsid w:val="00B34A42"/>
    <w:rsid w:val="00B34D02"/>
    <w:rsid w:val="00B35CAC"/>
    <w:rsid w:val="00B430CD"/>
    <w:rsid w:val="00B46CE6"/>
    <w:rsid w:val="00B47453"/>
    <w:rsid w:val="00B528C4"/>
    <w:rsid w:val="00B53438"/>
    <w:rsid w:val="00B54B83"/>
    <w:rsid w:val="00B626D0"/>
    <w:rsid w:val="00B64A42"/>
    <w:rsid w:val="00B678E4"/>
    <w:rsid w:val="00B73328"/>
    <w:rsid w:val="00B74B92"/>
    <w:rsid w:val="00B7576D"/>
    <w:rsid w:val="00B779B3"/>
    <w:rsid w:val="00B779FC"/>
    <w:rsid w:val="00B81A5C"/>
    <w:rsid w:val="00B843C5"/>
    <w:rsid w:val="00B877C9"/>
    <w:rsid w:val="00B91794"/>
    <w:rsid w:val="00B920CD"/>
    <w:rsid w:val="00B92FED"/>
    <w:rsid w:val="00B94842"/>
    <w:rsid w:val="00B95DD1"/>
    <w:rsid w:val="00B96034"/>
    <w:rsid w:val="00B96A6D"/>
    <w:rsid w:val="00B97EC5"/>
    <w:rsid w:val="00BA0FB3"/>
    <w:rsid w:val="00BA2FC5"/>
    <w:rsid w:val="00BB5229"/>
    <w:rsid w:val="00BC0A89"/>
    <w:rsid w:val="00BC1828"/>
    <w:rsid w:val="00BC4203"/>
    <w:rsid w:val="00BC6083"/>
    <w:rsid w:val="00BC63D1"/>
    <w:rsid w:val="00BC74A2"/>
    <w:rsid w:val="00BD0D8D"/>
    <w:rsid w:val="00BD254E"/>
    <w:rsid w:val="00BD5303"/>
    <w:rsid w:val="00BD72EF"/>
    <w:rsid w:val="00BE76FA"/>
    <w:rsid w:val="00BF00B8"/>
    <w:rsid w:val="00BF28BB"/>
    <w:rsid w:val="00BF3152"/>
    <w:rsid w:val="00BF3313"/>
    <w:rsid w:val="00BF3BA6"/>
    <w:rsid w:val="00BF4089"/>
    <w:rsid w:val="00BF458F"/>
    <w:rsid w:val="00BF4706"/>
    <w:rsid w:val="00C00F66"/>
    <w:rsid w:val="00C0274C"/>
    <w:rsid w:val="00C0349D"/>
    <w:rsid w:val="00C058A9"/>
    <w:rsid w:val="00C07237"/>
    <w:rsid w:val="00C075CB"/>
    <w:rsid w:val="00C078F6"/>
    <w:rsid w:val="00C07A27"/>
    <w:rsid w:val="00C11AB2"/>
    <w:rsid w:val="00C153A1"/>
    <w:rsid w:val="00C15A9E"/>
    <w:rsid w:val="00C16DE9"/>
    <w:rsid w:val="00C20183"/>
    <w:rsid w:val="00C202D5"/>
    <w:rsid w:val="00C23FEE"/>
    <w:rsid w:val="00C2642D"/>
    <w:rsid w:val="00C272DB"/>
    <w:rsid w:val="00C30FBD"/>
    <w:rsid w:val="00C31BED"/>
    <w:rsid w:val="00C32847"/>
    <w:rsid w:val="00C41385"/>
    <w:rsid w:val="00C42752"/>
    <w:rsid w:val="00C521D7"/>
    <w:rsid w:val="00C56EBD"/>
    <w:rsid w:val="00C62DE2"/>
    <w:rsid w:val="00C664D9"/>
    <w:rsid w:val="00C67E16"/>
    <w:rsid w:val="00C7285E"/>
    <w:rsid w:val="00C72D63"/>
    <w:rsid w:val="00C754A7"/>
    <w:rsid w:val="00C7637F"/>
    <w:rsid w:val="00C76AB1"/>
    <w:rsid w:val="00C81A90"/>
    <w:rsid w:val="00C94FB4"/>
    <w:rsid w:val="00C955E7"/>
    <w:rsid w:val="00C96AAB"/>
    <w:rsid w:val="00CA2415"/>
    <w:rsid w:val="00CA46DD"/>
    <w:rsid w:val="00CA5DCF"/>
    <w:rsid w:val="00CA7C22"/>
    <w:rsid w:val="00CB30F9"/>
    <w:rsid w:val="00CC3A9A"/>
    <w:rsid w:val="00CC6F9D"/>
    <w:rsid w:val="00CD11EF"/>
    <w:rsid w:val="00CD17AD"/>
    <w:rsid w:val="00CD44C5"/>
    <w:rsid w:val="00CD4620"/>
    <w:rsid w:val="00CD46AE"/>
    <w:rsid w:val="00CD7C8E"/>
    <w:rsid w:val="00CE414C"/>
    <w:rsid w:val="00CE5745"/>
    <w:rsid w:val="00CE6596"/>
    <w:rsid w:val="00CF2D49"/>
    <w:rsid w:val="00CF4EB5"/>
    <w:rsid w:val="00CF4FE7"/>
    <w:rsid w:val="00D014F3"/>
    <w:rsid w:val="00D040AB"/>
    <w:rsid w:val="00D0413F"/>
    <w:rsid w:val="00D05BA1"/>
    <w:rsid w:val="00D06B4E"/>
    <w:rsid w:val="00D076BF"/>
    <w:rsid w:val="00D103F3"/>
    <w:rsid w:val="00D133C5"/>
    <w:rsid w:val="00D14D85"/>
    <w:rsid w:val="00D15995"/>
    <w:rsid w:val="00D16A9F"/>
    <w:rsid w:val="00D20B64"/>
    <w:rsid w:val="00D20FE8"/>
    <w:rsid w:val="00D2178F"/>
    <w:rsid w:val="00D24A06"/>
    <w:rsid w:val="00D2654A"/>
    <w:rsid w:val="00D3439D"/>
    <w:rsid w:val="00D4080A"/>
    <w:rsid w:val="00D41E4E"/>
    <w:rsid w:val="00D46BC1"/>
    <w:rsid w:val="00D50793"/>
    <w:rsid w:val="00D52BBE"/>
    <w:rsid w:val="00D5513A"/>
    <w:rsid w:val="00D55CB4"/>
    <w:rsid w:val="00D566FA"/>
    <w:rsid w:val="00D56F54"/>
    <w:rsid w:val="00D66DE3"/>
    <w:rsid w:val="00D73C18"/>
    <w:rsid w:val="00D73F62"/>
    <w:rsid w:val="00D74048"/>
    <w:rsid w:val="00D76E16"/>
    <w:rsid w:val="00D7797F"/>
    <w:rsid w:val="00D80601"/>
    <w:rsid w:val="00D83760"/>
    <w:rsid w:val="00D85B13"/>
    <w:rsid w:val="00D87CBA"/>
    <w:rsid w:val="00D92649"/>
    <w:rsid w:val="00D927AC"/>
    <w:rsid w:val="00D942D7"/>
    <w:rsid w:val="00DA1A9F"/>
    <w:rsid w:val="00DA21B0"/>
    <w:rsid w:val="00DA247C"/>
    <w:rsid w:val="00DA2AF2"/>
    <w:rsid w:val="00DA7B98"/>
    <w:rsid w:val="00DB0189"/>
    <w:rsid w:val="00DB0811"/>
    <w:rsid w:val="00DB314D"/>
    <w:rsid w:val="00DB3CB3"/>
    <w:rsid w:val="00DB5469"/>
    <w:rsid w:val="00DB788E"/>
    <w:rsid w:val="00DC1DF9"/>
    <w:rsid w:val="00DC3160"/>
    <w:rsid w:val="00DC499B"/>
    <w:rsid w:val="00DD0F8C"/>
    <w:rsid w:val="00DD3A3C"/>
    <w:rsid w:val="00DE09A8"/>
    <w:rsid w:val="00DE0F3F"/>
    <w:rsid w:val="00DF5866"/>
    <w:rsid w:val="00DF5BB0"/>
    <w:rsid w:val="00E01E4A"/>
    <w:rsid w:val="00E04754"/>
    <w:rsid w:val="00E065C0"/>
    <w:rsid w:val="00E1105B"/>
    <w:rsid w:val="00E1472F"/>
    <w:rsid w:val="00E157D5"/>
    <w:rsid w:val="00E2160E"/>
    <w:rsid w:val="00E26B10"/>
    <w:rsid w:val="00E33421"/>
    <w:rsid w:val="00E37397"/>
    <w:rsid w:val="00E439C8"/>
    <w:rsid w:val="00E53D2E"/>
    <w:rsid w:val="00E53EF1"/>
    <w:rsid w:val="00E5656E"/>
    <w:rsid w:val="00E6124B"/>
    <w:rsid w:val="00E61BFD"/>
    <w:rsid w:val="00E63906"/>
    <w:rsid w:val="00E710C5"/>
    <w:rsid w:val="00E71482"/>
    <w:rsid w:val="00E71F5D"/>
    <w:rsid w:val="00E72B8A"/>
    <w:rsid w:val="00E73105"/>
    <w:rsid w:val="00E7467A"/>
    <w:rsid w:val="00E76183"/>
    <w:rsid w:val="00E7790C"/>
    <w:rsid w:val="00E82004"/>
    <w:rsid w:val="00E8718D"/>
    <w:rsid w:val="00E900C9"/>
    <w:rsid w:val="00E946B1"/>
    <w:rsid w:val="00E948A5"/>
    <w:rsid w:val="00E96775"/>
    <w:rsid w:val="00E96EE0"/>
    <w:rsid w:val="00E97D0F"/>
    <w:rsid w:val="00EA280B"/>
    <w:rsid w:val="00EA4D34"/>
    <w:rsid w:val="00EA69FA"/>
    <w:rsid w:val="00EB28D4"/>
    <w:rsid w:val="00EB7753"/>
    <w:rsid w:val="00EC2508"/>
    <w:rsid w:val="00EC52D9"/>
    <w:rsid w:val="00EC6A3C"/>
    <w:rsid w:val="00EC7949"/>
    <w:rsid w:val="00ED0E55"/>
    <w:rsid w:val="00ED5F28"/>
    <w:rsid w:val="00ED78FD"/>
    <w:rsid w:val="00EE2990"/>
    <w:rsid w:val="00EF234D"/>
    <w:rsid w:val="00EF3D94"/>
    <w:rsid w:val="00EF6AEB"/>
    <w:rsid w:val="00F024E9"/>
    <w:rsid w:val="00F048E0"/>
    <w:rsid w:val="00F049A2"/>
    <w:rsid w:val="00F05239"/>
    <w:rsid w:val="00F07B27"/>
    <w:rsid w:val="00F10661"/>
    <w:rsid w:val="00F117E0"/>
    <w:rsid w:val="00F14878"/>
    <w:rsid w:val="00F15DB7"/>
    <w:rsid w:val="00F161DE"/>
    <w:rsid w:val="00F1706F"/>
    <w:rsid w:val="00F17F54"/>
    <w:rsid w:val="00F20B69"/>
    <w:rsid w:val="00F23B10"/>
    <w:rsid w:val="00F2629F"/>
    <w:rsid w:val="00F2733F"/>
    <w:rsid w:val="00F27B3F"/>
    <w:rsid w:val="00F31BDD"/>
    <w:rsid w:val="00F3284E"/>
    <w:rsid w:val="00F408DA"/>
    <w:rsid w:val="00F438C9"/>
    <w:rsid w:val="00F45570"/>
    <w:rsid w:val="00F46FCF"/>
    <w:rsid w:val="00F50C30"/>
    <w:rsid w:val="00F51A5F"/>
    <w:rsid w:val="00F52099"/>
    <w:rsid w:val="00F55394"/>
    <w:rsid w:val="00F555F8"/>
    <w:rsid w:val="00F564EA"/>
    <w:rsid w:val="00F577CC"/>
    <w:rsid w:val="00F60507"/>
    <w:rsid w:val="00F61B6F"/>
    <w:rsid w:val="00F63545"/>
    <w:rsid w:val="00F63D66"/>
    <w:rsid w:val="00F64275"/>
    <w:rsid w:val="00F67845"/>
    <w:rsid w:val="00F702B7"/>
    <w:rsid w:val="00F71E7A"/>
    <w:rsid w:val="00F74D72"/>
    <w:rsid w:val="00F772FD"/>
    <w:rsid w:val="00F8201A"/>
    <w:rsid w:val="00F8326C"/>
    <w:rsid w:val="00F87476"/>
    <w:rsid w:val="00F94921"/>
    <w:rsid w:val="00F96380"/>
    <w:rsid w:val="00FA0D41"/>
    <w:rsid w:val="00FA1B45"/>
    <w:rsid w:val="00FA1EBF"/>
    <w:rsid w:val="00FA5404"/>
    <w:rsid w:val="00FB0B7A"/>
    <w:rsid w:val="00FB0E09"/>
    <w:rsid w:val="00FB1348"/>
    <w:rsid w:val="00FB3B5B"/>
    <w:rsid w:val="00FB4468"/>
    <w:rsid w:val="00FC1E15"/>
    <w:rsid w:val="00FC7A81"/>
    <w:rsid w:val="00FD0774"/>
    <w:rsid w:val="00FD69E4"/>
    <w:rsid w:val="00FE0468"/>
    <w:rsid w:val="00FE1A6A"/>
    <w:rsid w:val="00FE7DE9"/>
    <w:rsid w:val="00FF1575"/>
    <w:rsid w:val="00FF2267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1CB955"/>
  <w15:docId w15:val="{CB8C5396-A9EE-42BF-8A84-62FF7AC0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libri" w:hAnsi="Cambria" w:cs="Times New Roman"/>
        <w:sz w:val="22"/>
        <w:szCs w:val="22"/>
        <w:lang w:val="pl-PL" w:eastAsia="pl-PL" w:bidi="ar-SA"/>
      </w:rPr>
    </w:rPrDefault>
    <w:pPrDefault>
      <w:pPr>
        <w:spacing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0997"/>
    <w:rPr>
      <w:rFonts w:ascii="Verdana" w:eastAsia="Times New Roman" w:hAnsi="Verdana" w:cs="Verdana"/>
      <w:sz w:val="18"/>
      <w:szCs w:val="18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655AF7"/>
    <w:pPr>
      <w:keepNext/>
      <w:spacing w:before="24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655AF7"/>
    <w:rPr>
      <w:rFonts w:ascii="Cambria" w:hAnsi="Cambria" w:cs="Cambria"/>
      <w:b/>
      <w:bCs/>
      <w:kern w:val="32"/>
      <w:sz w:val="32"/>
      <w:szCs w:val="32"/>
      <w:lang w:eastAsia="pl-PL"/>
    </w:rPr>
  </w:style>
  <w:style w:type="table" w:styleId="Tabela-Siatka">
    <w:name w:val="Table Grid"/>
    <w:basedOn w:val="Standardowy"/>
    <w:uiPriority w:val="59"/>
    <w:rsid w:val="00195992"/>
    <w:rPr>
      <w:rFonts w:cs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kapit z listą11,podpunkt ankietyy"/>
    <w:basedOn w:val="Normalny"/>
    <w:link w:val="AkapitzlistZnak"/>
    <w:uiPriority w:val="34"/>
    <w:qFormat/>
    <w:rsid w:val="00182AB0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rsid w:val="00B96A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B96A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B96A6D"/>
    <w:rPr>
      <w:rFonts w:ascii="Verdana" w:hAnsi="Verdana" w:cs="Verdan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B96A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B96A6D"/>
    <w:rPr>
      <w:rFonts w:ascii="Verdana" w:hAnsi="Verdana" w:cs="Verdana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B96A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B96A6D"/>
    <w:rPr>
      <w:rFonts w:ascii="Tahoma" w:hAnsi="Tahoma" w:cs="Tahoma"/>
      <w:sz w:val="16"/>
      <w:szCs w:val="16"/>
      <w:lang w:eastAsia="pl-PL"/>
    </w:rPr>
  </w:style>
  <w:style w:type="paragraph" w:customStyle="1" w:styleId="Default">
    <w:name w:val="Default"/>
    <w:rsid w:val="006963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A84688"/>
    <w:rPr>
      <w:rFonts w:ascii="Verdana" w:eastAsia="Times New Roman" w:hAnsi="Verdana" w:cs="Verdana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ED0E5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0E55"/>
    <w:rPr>
      <w:rFonts w:ascii="Verdana" w:eastAsia="Times New Roman" w:hAnsi="Verdana" w:cs="Verdana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ED0E5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0E55"/>
    <w:rPr>
      <w:rFonts w:ascii="Verdana" w:eastAsia="Times New Roman" w:hAnsi="Verdana" w:cs="Verdana"/>
      <w:sz w:val="18"/>
      <w:szCs w:val="18"/>
    </w:rPr>
  </w:style>
  <w:style w:type="character" w:customStyle="1" w:styleId="shorttext">
    <w:name w:val="short_text"/>
    <w:basedOn w:val="Domylnaczcionkaakapitu"/>
    <w:rsid w:val="001F1ABF"/>
  </w:style>
  <w:style w:type="character" w:customStyle="1" w:styleId="hps">
    <w:name w:val="hps"/>
    <w:basedOn w:val="Domylnaczcionkaakapitu"/>
    <w:rsid w:val="001F1ABF"/>
  </w:style>
  <w:style w:type="paragraph" w:styleId="Tekstpodstawowy">
    <w:name w:val="Body Text"/>
    <w:basedOn w:val="Normalny"/>
    <w:link w:val="TekstpodstawowyZnak"/>
    <w:unhideWhenUsed/>
    <w:rsid w:val="00B74B92"/>
    <w:pPr>
      <w:spacing w:before="240" w:line="240" w:lineRule="exact"/>
    </w:pPr>
    <w:rPr>
      <w:rFonts w:ascii="Calibri Light" w:eastAsiaTheme="minorEastAsia" w:hAnsi="Calibri Light" w:cstheme="minorBidi"/>
      <w:sz w:val="20"/>
      <w:szCs w:val="24"/>
      <w:lang w:val="nl-BE" w:eastAsia="nl-NL"/>
    </w:rPr>
  </w:style>
  <w:style w:type="character" w:customStyle="1" w:styleId="TekstpodstawowyZnak">
    <w:name w:val="Tekst podstawowy Znak"/>
    <w:basedOn w:val="Domylnaczcionkaakapitu"/>
    <w:link w:val="Tekstpodstawowy"/>
    <w:rsid w:val="00B74B92"/>
    <w:rPr>
      <w:rFonts w:ascii="Calibri Light" w:eastAsiaTheme="minorEastAsia" w:hAnsi="Calibri Light" w:cstheme="minorBidi"/>
      <w:sz w:val="20"/>
      <w:szCs w:val="24"/>
      <w:lang w:val="nl-BE" w:eastAsia="nl-NL"/>
    </w:rPr>
  </w:style>
  <w:style w:type="character" w:styleId="Hipercze">
    <w:name w:val="Hyperlink"/>
    <w:basedOn w:val="Domylnaczcionkaakapitu"/>
    <w:uiPriority w:val="99"/>
    <w:unhideWhenUsed/>
    <w:rsid w:val="00B74B92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35CA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35CAC"/>
    <w:rPr>
      <w:rFonts w:ascii="Verdana" w:eastAsia="Times New Roman" w:hAnsi="Verdana" w:cs="Verdan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35CAC"/>
    <w:rPr>
      <w:vertAlign w:val="superscript"/>
    </w:rPr>
  </w:style>
  <w:style w:type="character" w:customStyle="1" w:styleId="s2">
    <w:name w:val="s2"/>
    <w:basedOn w:val="Domylnaczcionkaakapitu"/>
    <w:rsid w:val="007A29FD"/>
  </w:style>
  <w:style w:type="table" w:customStyle="1" w:styleId="TableNormal">
    <w:name w:val="Table Normal"/>
    <w:rsid w:val="00BC182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kapitzlistZnak">
    <w:name w:val="Akapit z listą Znak"/>
    <w:aliases w:val="Styl moj Znak,Akapit z listą11 Znak,podpunkt ankietyy Znak"/>
    <w:basedOn w:val="Domylnaczcionkaakapitu"/>
    <w:link w:val="Akapitzlist"/>
    <w:uiPriority w:val="34"/>
    <w:locked/>
    <w:rsid w:val="00BC1828"/>
    <w:rPr>
      <w:rFonts w:ascii="Verdana" w:eastAsia="Times New Roman" w:hAnsi="Verdana" w:cs="Verdana"/>
      <w:sz w:val="18"/>
      <w:szCs w:val="18"/>
    </w:rPr>
  </w:style>
  <w:style w:type="paragraph" w:customStyle="1" w:styleId="Domylne">
    <w:name w:val="Domyślne"/>
    <w:rsid w:val="00937B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numbering" w:customStyle="1" w:styleId="List16">
    <w:name w:val="List 16"/>
    <w:basedOn w:val="Bezlisty"/>
    <w:rsid w:val="00937B3C"/>
    <w:pPr>
      <w:numPr>
        <w:numId w:val="4"/>
      </w:numPr>
    </w:pPr>
  </w:style>
  <w:style w:type="numbering" w:customStyle="1" w:styleId="Lista41">
    <w:name w:val="Lista 41"/>
    <w:basedOn w:val="Bezlisty"/>
    <w:rsid w:val="00937B3C"/>
    <w:pPr>
      <w:numPr>
        <w:numId w:val="5"/>
      </w:numPr>
    </w:pPr>
  </w:style>
  <w:style w:type="character" w:customStyle="1" w:styleId="cf01">
    <w:name w:val="cf01"/>
    <w:basedOn w:val="Domylnaczcionkaakapitu"/>
    <w:rsid w:val="00A822B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C0274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0274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68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644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409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8490d18d-1e1f-4ae2-adbe-3f6683173bee" value=""/>
  <element uid="03e9b10b-a1f9-4a88-9630-476473f62285" value=""/>
  <element uid="7349a702-6462-4442-88eb-c64cd513835c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011C-7A1C-407A-916C-B61F8100BE1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9F9DEB3-5AA8-C84D-BEB0-75D96F58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3262</Words>
  <Characters>21442</Characters>
  <Application>Microsoft Office Word</Application>
  <DocSecurity>0</DocSecurity>
  <Lines>178</Lines>
  <Paragraphs>49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P.Wojciechowski</dc:creator>
  <cp:keywords>*$%PUB-*$%GenBus</cp:keywords>
  <cp:lastModifiedBy>Wilk Justyna</cp:lastModifiedBy>
  <cp:revision>3</cp:revision>
  <cp:lastPrinted>2022-09-19T12:21:00Z</cp:lastPrinted>
  <dcterms:created xsi:type="dcterms:W3CDTF">2025-09-15T07:20:00Z</dcterms:created>
  <dcterms:modified xsi:type="dcterms:W3CDTF">2025-09-15T07:29:00Z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a53d5511-c46c-444c-8c85-9ae3397a31b9</vt:lpwstr>
  </property>
  <property fmtid="{D5CDD505-2E9C-101B-9397-08002B2CF9AE}" pid="4" name="bjSaver">
    <vt:lpwstr>gvOuDYKqgnC+Ol8ZjbLxz0roa12XtkNn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6" name="bjDocumentLabelXML-0">
    <vt:lpwstr>ames.com/2008/01/sie/internal/label"&gt;&lt;element uid="8490d18d-1e1f-4ae2-adbe-3f6683173bee" value="" /&gt;&lt;element uid="03e9b10b-a1f9-4a88-9630-476473f62285" value="" /&gt;&lt;element uid="7349a702-6462-4442-88eb-c64cd513835c" value="" /&gt;&lt;/sisl&gt;</vt:lpwstr>
  </property>
  <property fmtid="{D5CDD505-2E9C-101B-9397-08002B2CF9AE}" pid="7" name="bjDocumentSecurityLabel">
    <vt:lpwstr>Public - General Business</vt:lpwstr>
  </property>
</Properties>
</file>