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FEE2" w14:textId="1D32DEF9" w:rsidR="008F2F84" w:rsidRPr="008F2F84" w:rsidRDefault="008F2F84" w:rsidP="0049285A">
      <w:pPr>
        <w:spacing w:line="240" w:lineRule="auto"/>
        <w:rPr>
          <w:rFonts w:ascii="Times New Roman" w:eastAsia="PMingLiU" w:hAnsi="Times New Roman" w:cs="Times New Roman"/>
          <w:sz w:val="22"/>
          <w:lang w:eastAsia="zh-TW"/>
        </w:rPr>
      </w:pPr>
      <w:r w:rsidRPr="008F2F84">
        <w:rPr>
          <w:rFonts w:ascii="Times New Roman" w:eastAsia="PMingLiU" w:hAnsi="Times New Roman" w:cs="Times New Roman"/>
          <w:sz w:val="22"/>
          <w:lang w:eastAsia="zh-TW"/>
        </w:rPr>
        <w:t>Załącznik</w:t>
      </w:r>
      <w:r w:rsidR="0049285A">
        <w:rPr>
          <w:rFonts w:ascii="Times New Roman" w:eastAsia="PMingLiU" w:hAnsi="Times New Roman" w:cs="Times New Roman"/>
          <w:sz w:val="22"/>
          <w:lang w:eastAsia="zh-TW"/>
        </w:rPr>
        <w:t xml:space="preserve"> </w:t>
      </w:r>
      <w:r w:rsidRPr="008F2F84">
        <w:rPr>
          <w:rFonts w:ascii="Times New Roman" w:eastAsia="PMingLiU" w:hAnsi="Times New Roman" w:cs="Times New Roman"/>
          <w:sz w:val="22"/>
          <w:lang w:eastAsia="zh-TW"/>
        </w:rPr>
        <w:t>B.105.</w:t>
      </w:r>
    </w:p>
    <w:p w14:paraId="3861FA6B" w14:textId="77777777" w:rsidR="008F2F84" w:rsidRPr="008F2F84" w:rsidRDefault="008F2F84" w:rsidP="008F2F84">
      <w:pPr>
        <w:spacing w:line="240" w:lineRule="auto"/>
        <w:rPr>
          <w:rFonts w:ascii="Times New Roman" w:eastAsia="PMingLiU" w:hAnsi="Times New Roman" w:cs="Times New Roman"/>
          <w:sz w:val="22"/>
          <w:lang w:eastAsia="zh-TW"/>
        </w:rPr>
      </w:pPr>
      <w:r w:rsidRPr="008F2F84">
        <w:rPr>
          <w:rFonts w:ascii="Times New Roman" w:eastAsia="PMingLiU" w:hAnsi="Times New Roman" w:cs="Times New Roman"/>
          <w:sz w:val="22"/>
          <w:lang w:eastAsia="zh-TW"/>
        </w:rPr>
        <w:fldChar w:fldCharType="begin"/>
      </w:r>
      <w:r w:rsidRPr="008F2F84">
        <w:rPr>
          <w:rFonts w:ascii="Times New Roman" w:eastAsia="PMingLiU" w:hAnsi="Times New Roman" w:cs="Times New Roman"/>
          <w:sz w:val="22"/>
          <w:lang w:eastAsia="zh-TW"/>
        </w:rPr>
        <w:instrText xml:space="preserve"> FILENAME   \* MERGEFORMAT </w:instrText>
      </w:r>
      <w:r w:rsidRPr="008F2F84">
        <w:rPr>
          <w:rFonts w:ascii="Times New Roman" w:eastAsia="PMingLiU" w:hAnsi="Times New Roman" w:cs="Times New Roman"/>
          <w:sz w:val="22"/>
          <w:lang w:eastAsia="zh-TW"/>
        </w:rPr>
        <w:fldChar w:fldCharType="end"/>
      </w:r>
    </w:p>
    <w:p w14:paraId="44C8B0A2" w14:textId="564A9E07" w:rsidR="00362CCD" w:rsidRPr="008F2F84" w:rsidRDefault="00362CCD" w:rsidP="00362CC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ZAPALENIE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BŁONY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NACZYNIOWEJ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OKA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(ZBN)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H20.0,</w:t>
      </w:r>
      <w:r w:rsidR="0049285A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8F2F8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H30.0)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362CCD" w:rsidRPr="005E170F" w14:paraId="789808EE" w14:textId="77777777" w:rsidTr="00E00524">
        <w:trPr>
          <w:trHeight w:val="567"/>
        </w:trPr>
        <w:tc>
          <w:tcPr>
            <w:tcW w:w="5000" w:type="pct"/>
            <w:gridSpan w:val="3"/>
            <w:vAlign w:val="center"/>
            <w:hideMark/>
          </w:tcPr>
          <w:p w14:paraId="622D22AC" w14:textId="4D97CF36" w:rsidR="00362CCD" w:rsidRPr="005E170F" w:rsidRDefault="00362CC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ZAKRES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ŚWIADCZENIA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GWARANTOWANEGO</w:t>
            </w:r>
          </w:p>
        </w:tc>
      </w:tr>
      <w:tr w:rsidR="00362CCD" w:rsidRPr="005E170F" w14:paraId="70CC682C" w14:textId="77777777" w:rsidTr="00E00524">
        <w:trPr>
          <w:trHeight w:val="567"/>
        </w:trPr>
        <w:tc>
          <w:tcPr>
            <w:tcW w:w="1841" w:type="pct"/>
            <w:vAlign w:val="center"/>
            <w:hideMark/>
          </w:tcPr>
          <w:p w14:paraId="7B9B9A9A" w14:textId="77777777" w:rsidR="00362CCD" w:rsidRPr="005E170F" w:rsidRDefault="00362CC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ŚWIADCZENIOBIORCY</w:t>
            </w:r>
          </w:p>
        </w:tc>
        <w:tc>
          <w:tcPr>
            <w:tcW w:w="1335" w:type="pct"/>
            <w:vAlign w:val="center"/>
            <w:hideMark/>
          </w:tcPr>
          <w:p w14:paraId="1B8707CC" w14:textId="29ACC62F" w:rsidR="00362CCD" w:rsidRPr="005E170F" w:rsidRDefault="00362CC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SCHEMAT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DAWKOWANIA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LEKÓW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="00E00524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br/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W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PROGRAMIE</w:t>
            </w:r>
          </w:p>
        </w:tc>
        <w:tc>
          <w:tcPr>
            <w:tcW w:w="1823" w:type="pct"/>
            <w:vAlign w:val="center"/>
            <w:hideMark/>
          </w:tcPr>
          <w:p w14:paraId="2642EEB5" w14:textId="643BC5CD" w:rsidR="00362CCD" w:rsidRPr="005E170F" w:rsidRDefault="00362CC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BADANIA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DIAGNOSTYCZNE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WYKONYWANE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="00E00524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br/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W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RAMACH</w:t>
            </w:r>
            <w:r w:rsid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5E170F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PROGRAMU</w:t>
            </w:r>
          </w:p>
        </w:tc>
      </w:tr>
      <w:tr w:rsidR="00362CCD" w:rsidRPr="005E170F" w14:paraId="3256BAD8" w14:textId="77777777" w:rsidTr="00E00524">
        <w:trPr>
          <w:trHeight w:val="20"/>
        </w:trPr>
        <w:tc>
          <w:tcPr>
            <w:tcW w:w="1841" w:type="pct"/>
          </w:tcPr>
          <w:p w14:paraId="6CC558B1" w14:textId="51C46327" w:rsidR="00362CCD" w:rsidRPr="0049285A" w:rsidRDefault="00362CCD" w:rsidP="0049285A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świadczeniobiorców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przeprowadzana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Zespół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Koordynacyjny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ds.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Błony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powoływany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Prezesa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Narodowego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Funduszu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Zdrowia.</w:t>
            </w:r>
          </w:p>
          <w:p w14:paraId="69E8701D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5220572" w14:textId="3A4ADFD5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finansuje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się:</w:t>
            </w:r>
          </w:p>
          <w:p w14:paraId="55379205" w14:textId="10028E40" w:rsidR="00362CCD" w:rsidRPr="0049285A" w:rsidRDefault="00362CCD" w:rsidP="0049285A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systemowe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immunologiczne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adalimumabem;</w:t>
            </w:r>
          </w:p>
          <w:p w14:paraId="4FE9BF14" w14:textId="2497A03C" w:rsidR="00362CCD" w:rsidRPr="0049285A" w:rsidRDefault="00362CCD" w:rsidP="0049285A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miejscowe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deksametazonem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postaci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implantu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doszklistkowego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.</w:t>
            </w:r>
          </w:p>
          <w:p w14:paraId="1D1C77C4" w14:textId="0BC7B83E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klinicznego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stosowane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opisane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standaryzacji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nomenklatury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zapaleń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błony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naczyniowej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(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Standarization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of</w:t>
            </w:r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Uveitis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Nomenclature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  <w:t>).</w:t>
            </w:r>
          </w:p>
          <w:p w14:paraId="682B5817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61DF6BE8" w14:textId="2E886524" w:rsidR="00362CCD" w:rsidRPr="0049285A" w:rsidRDefault="00362CCD" w:rsidP="0049285A">
            <w:pPr>
              <w:pStyle w:val="Akapitzlist"/>
              <w:numPr>
                <w:ilvl w:val="0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Kryteria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kwalifikacji</w:t>
            </w:r>
          </w:p>
          <w:p w14:paraId="2C8F3C2F" w14:textId="0CD8F502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Muszą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zostać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spełnione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łącznie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ogólne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(1.1)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oraz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szczegółowe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(1.2.)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dla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poszczególnych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terapii.</w:t>
            </w:r>
          </w:p>
          <w:p w14:paraId="0E04AC0C" w14:textId="727E388B" w:rsidR="00362CCD" w:rsidRPr="0049285A" w:rsidRDefault="00362CCD" w:rsidP="0049285A">
            <w:pPr>
              <w:pStyle w:val="Akapitzlist"/>
              <w:numPr>
                <w:ilvl w:val="1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Ogólne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kryteria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kwalifikacji</w:t>
            </w:r>
          </w:p>
          <w:p w14:paraId="6448FB15" w14:textId="237B0345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wiek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18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lat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powyżej;</w:t>
            </w:r>
          </w:p>
          <w:p w14:paraId="5ED553B5" w14:textId="0AF6CB9A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potwierdzenie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niezakaźnego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przewlekłego,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przetrwałego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nawrotowego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błony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(ZBN)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części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pośredniej,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odcinka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tylnego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całej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błony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naczyniowej;</w:t>
            </w:r>
          </w:p>
          <w:p w14:paraId="48C034C0" w14:textId="54AAAB2C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adekwatna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wydolność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narządowa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określona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podstawie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wyników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laboratoryjnych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umożliwiająca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opinii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prowadzącego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bezpieczne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rozpoczęcie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terapii;</w:t>
            </w:r>
          </w:p>
          <w:p w14:paraId="10B498B9" w14:textId="01197AAF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nieobecność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istotnych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schorzeń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współistniejących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klinicznych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stanowiących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przeciwwskazanie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stwierdzonych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prowadzącego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oparciu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aktualną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Charakterystykę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Produktu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Leczniczego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(ChPL)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aktualną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wiedzę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medyczną;</w:t>
            </w:r>
          </w:p>
          <w:p w14:paraId="7B53A50E" w14:textId="624EB0EC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antykoncepcji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aktualną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ChPL;</w:t>
            </w:r>
          </w:p>
          <w:p w14:paraId="52EFFE99" w14:textId="7F6F0494" w:rsidR="00362CCD" w:rsidRPr="0049285A" w:rsidRDefault="00362CCD" w:rsidP="0049285A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wykluczenie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ciąży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okresu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karmienia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piersią.</w:t>
            </w:r>
          </w:p>
          <w:p w14:paraId="5C071ECE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8359BE8" w14:textId="08ABAD37" w:rsidR="00362CCD" w:rsidRPr="0049285A" w:rsidRDefault="00362CCD" w:rsidP="0049285A">
            <w:pPr>
              <w:pStyle w:val="Akapitzlist"/>
              <w:numPr>
                <w:ilvl w:val="1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Szczegółowe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kwalifikacji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terapii</w:t>
            </w:r>
          </w:p>
          <w:p w14:paraId="5BAAC94E" w14:textId="77777777" w:rsidR="00362CCD" w:rsidRPr="0049285A" w:rsidRDefault="00362CCD" w:rsidP="0049285A">
            <w:pPr>
              <w:pStyle w:val="Akapitzlist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Adalimumabem</w:t>
            </w:r>
          </w:p>
          <w:p w14:paraId="41F98DC0" w14:textId="1F5BD7AD" w:rsidR="00362CCD" w:rsidRPr="0049285A" w:rsidRDefault="00362CCD" w:rsidP="0049285A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niemożliwe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osiągnięcia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stadium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nieaktywne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choroby:</w:t>
            </w:r>
          </w:p>
          <w:p w14:paraId="1DBFE57B" w14:textId="2A39809E" w:rsidR="00362CCD" w:rsidRPr="0049285A" w:rsidRDefault="00362CCD" w:rsidP="0049285A">
            <w:pPr>
              <w:pStyle w:val="Akapitzlist"/>
              <w:numPr>
                <w:ilvl w:val="5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dawce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≤10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prednizolonu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dawce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równoważnej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innego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sterydowego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65D35448" w14:textId="0B2A3321" w:rsidR="00362CCD" w:rsidRPr="0049285A" w:rsidRDefault="00362CCD" w:rsidP="0049285A">
            <w:pPr>
              <w:pStyle w:val="Akapitzlist"/>
              <w:numPr>
                <w:ilvl w:val="5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immunosupresyjnymi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77553BA0" w14:textId="5A4E8C01" w:rsidR="00362CCD" w:rsidRPr="0049285A" w:rsidRDefault="00362CCD" w:rsidP="0049285A">
            <w:pPr>
              <w:pStyle w:val="Akapitzlist"/>
              <w:numPr>
                <w:ilvl w:val="5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kombinacji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powyższymi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terapiami</w:t>
            </w:r>
          </w:p>
          <w:p w14:paraId="1BDD516D" w14:textId="4DCEA222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kursie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trwającym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tygodni</w:t>
            </w:r>
          </w:p>
          <w:p w14:paraId="14899672" w14:textId="77777777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i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7D5D50B4" w14:textId="1650C557" w:rsidR="00362CCD" w:rsidRPr="0049285A" w:rsidRDefault="00362CCD" w:rsidP="0049285A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konieczność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kortykosteroidów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odstawienia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immunosupresyjnego,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nieaktywną,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udokumentowano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zaostrzenie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występujące:</w:t>
            </w:r>
          </w:p>
          <w:p w14:paraId="7FEDF98E" w14:textId="3E4D95F7" w:rsidR="00362CCD" w:rsidRPr="0049285A" w:rsidRDefault="00362CCD" w:rsidP="0049285A">
            <w:pPr>
              <w:pStyle w:val="Akapitzlist"/>
              <w:numPr>
                <w:ilvl w:val="5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rozpoczęcia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kortykosteroidów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678BB9A4" w14:textId="1128B8C6" w:rsidR="00362CCD" w:rsidRPr="0049285A" w:rsidRDefault="00362CCD" w:rsidP="0049285A">
            <w:pPr>
              <w:pStyle w:val="Akapitzlist"/>
              <w:numPr>
                <w:ilvl w:val="5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czasie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stabilizacji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odstawieniu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typów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leków,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trwającej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krócej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miesiące</w:t>
            </w:r>
          </w:p>
          <w:p w14:paraId="765DA88F" w14:textId="77777777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lub</w:t>
            </w:r>
          </w:p>
          <w:p w14:paraId="021869F1" w14:textId="3DD261C9" w:rsidR="00362CCD" w:rsidRPr="0049285A" w:rsidRDefault="00362CCD" w:rsidP="0049285A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występowanie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przeciwwskazań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nietolerancji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zastosowaniem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kortykosteroidów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immunosupresyjnych.</w:t>
            </w:r>
          </w:p>
          <w:p w14:paraId="3D87B052" w14:textId="7DD1EC73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nieaktywna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definiowana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jako:</w:t>
            </w:r>
          </w:p>
          <w:p w14:paraId="19840864" w14:textId="0B94C22E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siatkówki;</w:t>
            </w:r>
          </w:p>
          <w:p w14:paraId="7942AC8E" w14:textId="2270B9E7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stopień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nacieków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komórkowych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komorze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0,5+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SUN;</w:t>
            </w:r>
          </w:p>
          <w:p w14:paraId="0DE2C7B0" w14:textId="742D2261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stopień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przymglenia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ciała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szklistego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0,5+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SUN.</w:t>
            </w:r>
          </w:p>
          <w:p w14:paraId="50136767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372CAAA" w14:textId="4BE18D5E" w:rsidR="00362CCD" w:rsidRPr="0049285A" w:rsidRDefault="00362CCD" w:rsidP="0049285A">
            <w:pPr>
              <w:pStyle w:val="Akapitzlist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</w:pPr>
            <w:proofErr w:type="spellStart"/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Deksametazonem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postaci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implantu</w:t>
            </w:r>
          </w:p>
          <w:p w14:paraId="35D592FB" w14:textId="31EF17FA" w:rsidR="00362CCD" w:rsidRPr="0049285A" w:rsidRDefault="00362CCD" w:rsidP="0049285A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obecność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klinicznie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znamiennego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obrzęku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przebiegu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ZBN;</w:t>
            </w:r>
          </w:p>
          <w:p w14:paraId="5D747C00" w14:textId="0D500BED" w:rsidR="00362CCD" w:rsidRPr="0049285A" w:rsidRDefault="00362CCD" w:rsidP="0049285A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najlepsza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skorygowana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(BCVA)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leczonym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zakresie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0,1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0,8,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określona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ETDRS.</w:t>
            </w:r>
          </w:p>
          <w:p w14:paraId="58C5FD84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3E9B91E9" w14:textId="66FA4F01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Ponadto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kwalifikowani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również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wymagający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kontynuacji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byli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substancjami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czynnymi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finansowanymi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lekowym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ramach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innego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sposobu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finansowania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wyjątkiem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trwających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klinicznych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leków),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warunkiem,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że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chwili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rozpoczęcia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spełniali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lekowego.</w:t>
            </w:r>
          </w:p>
          <w:p w14:paraId="71397321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4402B0E0" w14:textId="28CA25E0" w:rsidR="00362CCD" w:rsidRPr="0049285A" w:rsidRDefault="00362CCD" w:rsidP="0049285A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Określenie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czasu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leczenia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w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programie</w:t>
            </w:r>
          </w:p>
          <w:p w14:paraId="36484CD4" w14:textId="7784013C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czasu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podjęcia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Zespół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Koordynacyjny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prowadzącego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decyzji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wyłączeniu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świadczeniobiorcy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wyłączenia.</w:t>
            </w:r>
          </w:p>
          <w:p w14:paraId="0EB8377C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4C355B0D" w14:textId="686EF8DA" w:rsidR="00362CCD" w:rsidRPr="0049285A" w:rsidRDefault="00362CCD" w:rsidP="0049285A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Czas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leczenia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w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adalimumabem</w:t>
            </w:r>
          </w:p>
          <w:p w14:paraId="35F2D4BF" w14:textId="67E8E798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powikłań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powinno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być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prowadzone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24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miesiące.</w:t>
            </w:r>
          </w:p>
          <w:p w14:paraId="3FD860C1" w14:textId="1EC89974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remisję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należy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uznać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choroby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trwający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dłużej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miesiące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odstawieniu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leczenia.</w:t>
            </w:r>
          </w:p>
          <w:p w14:paraId="2D3298BA" w14:textId="77777777" w:rsidR="0049285A" w:rsidRPr="0049285A" w:rsidRDefault="0049285A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6B049CE2" w14:textId="2108EDFF" w:rsidR="00362CCD" w:rsidRPr="0049285A" w:rsidRDefault="00362CCD" w:rsidP="0049285A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Czas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leczenia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w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deksametazonem</w:t>
            </w:r>
            <w:proofErr w:type="spellEnd"/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w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postaci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implantu</w:t>
            </w:r>
          </w:p>
          <w:p w14:paraId="73923F37" w14:textId="4ABC308A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kolejnego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implantu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stwierdza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obrzęku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zostaje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wyłączony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programu.</w:t>
            </w:r>
          </w:p>
          <w:p w14:paraId="4C901678" w14:textId="5F13C249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nawrotów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obrzęku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takiego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pacjenta,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może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być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ponownie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włączony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kwalifikacji.</w:t>
            </w:r>
          </w:p>
          <w:p w14:paraId="4EBACC3D" w14:textId="366AD81E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ramach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może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otrzymać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maksymalnie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deksametazonu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jednego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oka.</w:t>
            </w:r>
          </w:p>
          <w:p w14:paraId="6F3A2769" w14:textId="00F878C3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utrzymującego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obrzęku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wykładników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powinno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być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kontynuowane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łącznej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jednego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oka.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nawrotu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obrzęku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deksametazonu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powinno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być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kontynuowane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względu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skuteczności.</w:t>
            </w:r>
          </w:p>
          <w:p w14:paraId="42A59525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6557786B" w14:textId="07F6F0BA" w:rsidR="00362CCD" w:rsidRPr="0049285A" w:rsidRDefault="00362CCD" w:rsidP="0049285A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Kryteria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wyłączenia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z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programu</w:t>
            </w:r>
          </w:p>
          <w:p w14:paraId="67B381C0" w14:textId="0600BD65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wystąpienie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jednym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oku,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czasie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tygodni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rozpoczęcia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adalimumabem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poddanym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E276A6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E276A6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E276A6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miesiącach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rozpoczęcia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deksametazonem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jednej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poniższych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zmian:</w:t>
            </w:r>
          </w:p>
          <w:p w14:paraId="115B8A42" w14:textId="4942E376" w:rsidR="0049285A" w:rsidRPr="0049285A" w:rsidRDefault="00362CCD" w:rsidP="0049285A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14:paraId="6C859DA1" w14:textId="495D0A28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lub</w:t>
            </w:r>
          </w:p>
          <w:p w14:paraId="1FAB4D53" w14:textId="1DA9DF25" w:rsidR="0049285A" w:rsidRPr="0049285A" w:rsidRDefault="00362CCD" w:rsidP="0049285A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pogorszenie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najlepszej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skorygowanej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dali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względem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wartości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początkowej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liter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14:paraId="5CFD257E" w14:textId="21D2664D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76944449" w14:textId="58F79587" w:rsidR="00362CCD" w:rsidRPr="0049285A" w:rsidRDefault="00362CCD" w:rsidP="0049285A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zwiększenie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nacieków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komórkowych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komorze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oraz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przymglenia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ciała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szklistego:</w:t>
            </w:r>
          </w:p>
          <w:p w14:paraId="310CABD7" w14:textId="48494951" w:rsidR="00362CCD" w:rsidRPr="0049285A" w:rsidRDefault="00362CCD" w:rsidP="0049285A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0,5+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dla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pacjentów,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osiągnęli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stopień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4E2932BE" w14:textId="4804B1C2" w:rsidR="00362CCD" w:rsidRPr="0049285A" w:rsidRDefault="00362CCD" w:rsidP="0049285A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zwiększenie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+3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+4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dla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pozostałych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pacjentów;</w:t>
            </w:r>
          </w:p>
          <w:p w14:paraId="1D8C827C" w14:textId="48AEAF48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wystąpienie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nieakceptowalnej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zagrażającej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życiu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toksyczności,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pomimo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zastosowania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adekwatnego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postępowania;</w:t>
            </w:r>
          </w:p>
          <w:p w14:paraId="32769242" w14:textId="434FEC1E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wystąpienie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objawów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nadwrażliwości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którąkolwiek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substancję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czynną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substancję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pomocniczą;</w:t>
            </w:r>
          </w:p>
          <w:p w14:paraId="09D5C532" w14:textId="5232D939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wystąpienie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chorób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stanów,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które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opinii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prowadzącego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uniemożliwiają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monitorowanie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przebiegu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dalsze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prowadzenie;</w:t>
            </w:r>
          </w:p>
          <w:p w14:paraId="68FAD31F" w14:textId="2EF586D3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okres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ciąży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karmienia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piersią;</w:t>
            </w:r>
          </w:p>
          <w:p w14:paraId="78B4086E" w14:textId="2CCD8396" w:rsidR="00362CCD" w:rsidRPr="0049285A" w:rsidRDefault="00362CCD" w:rsidP="0049285A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współpracy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nieprzestrzeganie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zaleceń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lekarskich,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zwłaszcza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dotyczących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okresowych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kontrolnych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oceniających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skuteczność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bezpieczeństwo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strony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świadczeniobiorcy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prawnych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opiekunów.</w:t>
            </w:r>
          </w:p>
          <w:p w14:paraId="798242CC" w14:textId="77777777" w:rsidR="0049285A" w:rsidRPr="0049285A" w:rsidRDefault="0049285A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</w:tc>
        <w:tc>
          <w:tcPr>
            <w:tcW w:w="1335" w:type="pct"/>
          </w:tcPr>
          <w:p w14:paraId="15497397" w14:textId="77777777" w:rsidR="00362CCD" w:rsidRPr="0049285A" w:rsidRDefault="00362CCD" w:rsidP="0049285A">
            <w:pPr>
              <w:pStyle w:val="Akapitzlist"/>
              <w:numPr>
                <w:ilvl w:val="0"/>
                <w:numId w:val="42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Dawkowanie</w:t>
            </w:r>
          </w:p>
          <w:p w14:paraId="3DE4157D" w14:textId="212CE6B9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Szczegóły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dotyczące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sposobu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podawania,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ewentualnego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czasowego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wstrzymania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oraz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ewentualnego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prowadzone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aktualną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Charakterystyką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Produktu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Leczniczego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odpowiedniego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leku.</w:t>
            </w:r>
          </w:p>
          <w:p w14:paraId="721927A3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4A128024" w14:textId="48AA292F" w:rsidR="00362CCD" w:rsidRPr="0049285A" w:rsidRDefault="00362CCD" w:rsidP="0049285A">
            <w:pPr>
              <w:pStyle w:val="Akapitzlist"/>
              <w:numPr>
                <w:ilvl w:val="1"/>
                <w:numId w:val="4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Dawkowanie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adalimumabu</w:t>
            </w:r>
            <w:proofErr w:type="spellEnd"/>
          </w:p>
          <w:p w14:paraId="42CABC85" w14:textId="5EE3DD50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początkowo,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podskórnie</w:t>
            </w:r>
            <w:r w:rsidR="00CF1B7B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.</w:t>
            </w:r>
          </w:p>
          <w:p w14:paraId="76AF132E" w14:textId="1C5F0E61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Następnie,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tygodniu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początkowej,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podskórnie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tygodnie.</w:t>
            </w:r>
          </w:p>
          <w:p w14:paraId="357FB5E3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7F7187C6" w14:textId="65462424" w:rsidR="00362CCD" w:rsidRPr="0049285A" w:rsidRDefault="00362CCD" w:rsidP="0049285A">
            <w:pPr>
              <w:pStyle w:val="Akapitzlist"/>
              <w:numPr>
                <w:ilvl w:val="1"/>
                <w:numId w:val="4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Dawkowanie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deksametazonu</w:t>
            </w:r>
            <w:proofErr w:type="spellEnd"/>
          </w:p>
          <w:p w14:paraId="4172AD9E" w14:textId="64636544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Jeden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implant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doszklistkowo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częściej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miesięcy.</w:t>
            </w:r>
          </w:p>
        </w:tc>
        <w:tc>
          <w:tcPr>
            <w:tcW w:w="1823" w:type="pct"/>
          </w:tcPr>
          <w:p w14:paraId="677B5572" w14:textId="77445C2E" w:rsidR="00362CCD" w:rsidRPr="0049285A" w:rsidRDefault="00362CCD" w:rsidP="0049285A">
            <w:pPr>
              <w:pStyle w:val="Akapitzlist"/>
              <w:numPr>
                <w:ilvl w:val="0"/>
                <w:numId w:val="4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Badania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przy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kwalifikacji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do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programu</w:t>
            </w:r>
          </w:p>
          <w:p w14:paraId="0189E876" w14:textId="26680621" w:rsidR="00362CCD" w:rsidRPr="0049285A" w:rsidRDefault="00362CCD" w:rsidP="0049285A">
            <w:pPr>
              <w:spacing w:after="60"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49285A">
              <w:rPr>
                <w:rFonts w:ascii="Times New Roman" w:hAnsi="Times New Roman" w:cs="Times New Roman"/>
                <w:szCs w:val="20"/>
              </w:rPr>
              <w:t>Muszą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zostać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wykonane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badanie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ogólne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(1.1.)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oraz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badania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szczegółowe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(1.2.)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dla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poszczególnych</w:t>
            </w:r>
            <w:r w:rsidR="0049285A" w:rsidRPr="0049285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szCs w:val="20"/>
              </w:rPr>
              <w:t>terapii.</w:t>
            </w:r>
          </w:p>
          <w:p w14:paraId="22A79584" w14:textId="77777777" w:rsidR="00362CCD" w:rsidRPr="0049285A" w:rsidRDefault="00362CCD" w:rsidP="0049285A">
            <w:pPr>
              <w:spacing w:after="60"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121FA799" w14:textId="7D540B92" w:rsidR="00362CCD" w:rsidRPr="0049285A" w:rsidRDefault="00362CCD" w:rsidP="0049285A">
            <w:pPr>
              <w:pStyle w:val="Akapitzlist"/>
              <w:numPr>
                <w:ilvl w:val="1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Badania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ogólne</w:t>
            </w:r>
          </w:p>
          <w:p w14:paraId="636D51DD" w14:textId="78973C60" w:rsidR="00362CCD" w:rsidRPr="0049285A" w:rsidRDefault="0049285A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</w:t>
            </w:r>
            <w:r w:rsidR="00362CCD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adanie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362CCD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okulistyczne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362CCD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obejmujące:</w:t>
            </w:r>
          </w:p>
          <w:p w14:paraId="73EA7318" w14:textId="1DBF95F7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najlepszej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skorygowanej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(BCVA)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</w:p>
          <w:p w14:paraId="044E6625" w14:textId="36940BB7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pomiar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ciśnienia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wewnątrzgałkowego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</w:p>
          <w:p w14:paraId="4EB147D2" w14:textId="0C0E2C1F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żółtej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optycznej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koherentnej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tomografii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(OCT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angio-OCT)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</w:p>
          <w:p w14:paraId="021D2DD7" w14:textId="1D5AE759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ultrasonograficzne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(typ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gałki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</w:p>
          <w:p w14:paraId="34744FD2" w14:textId="551EF969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nacieków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komórkowych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komorze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,</w:t>
            </w:r>
          </w:p>
          <w:p w14:paraId="6D270667" w14:textId="071CE427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stopnia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przymglenia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ciała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szklistego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SUN.</w:t>
            </w:r>
          </w:p>
          <w:p w14:paraId="0D2D8978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26FF7160" w14:textId="4DB23243" w:rsidR="00362CCD" w:rsidRPr="0049285A" w:rsidRDefault="00362CCD" w:rsidP="0049285A">
            <w:pPr>
              <w:pStyle w:val="Akapitzlist"/>
              <w:numPr>
                <w:ilvl w:val="1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Szczegółowe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b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adania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przy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kwalifikacji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do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terapii</w:t>
            </w:r>
          </w:p>
          <w:p w14:paraId="30AD2CDE" w14:textId="77777777" w:rsidR="00362CCD" w:rsidRPr="0049285A" w:rsidRDefault="00362CCD" w:rsidP="0049285A">
            <w:pPr>
              <w:pStyle w:val="Akapitzlist"/>
              <w:numPr>
                <w:ilvl w:val="2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Adalimumabem</w:t>
            </w:r>
          </w:p>
          <w:p w14:paraId="7E9F14F0" w14:textId="29002359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morfologia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rozmazem;</w:t>
            </w:r>
          </w:p>
          <w:p w14:paraId="37F348A7" w14:textId="195CCF65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poziomu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płytek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(PLT);</w:t>
            </w:r>
          </w:p>
          <w:p w14:paraId="0B37061D" w14:textId="765D8003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odczyn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Biernackiego;</w:t>
            </w:r>
          </w:p>
          <w:p w14:paraId="58F23909" w14:textId="4FAF8EAA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aminotransferazy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alaninowej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krwi;</w:t>
            </w:r>
          </w:p>
          <w:p w14:paraId="5F82F871" w14:textId="6EEB25EF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aminotransferazy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asparaginianowej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krwi;</w:t>
            </w:r>
          </w:p>
          <w:p w14:paraId="3E81EFA7" w14:textId="6EF775AB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stężenia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kreatyniny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surowicy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krwi;</w:t>
            </w:r>
          </w:p>
          <w:p w14:paraId="19D3A307" w14:textId="57832827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poziomu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białka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C-reaktywnego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(CRP);</w:t>
            </w:r>
          </w:p>
          <w:p w14:paraId="6721F059" w14:textId="3DC34562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stężenia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elektrolitów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surowicy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krwi;</w:t>
            </w:r>
          </w:p>
          <w:p w14:paraId="1C0E7800" w14:textId="31AE3AC7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ogólne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moczu;</w:t>
            </w:r>
          </w:p>
          <w:p w14:paraId="721E6087" w14:textId="21FB9C30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próba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tuberkulinowa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Quantiferon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;</w:t>
            </w:r>
          </w:p>
          <w:p w14:paraId="126A14A8" w14:textId="489EB3A8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kiłę;</w:t>
            </w:r>
          </w:p>
          <w:p w14:paraId="0AA71D05" w14:textId="5BCA7C25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boreliozę;</w:t>
            </w:r>
          </w:p>
          <w:p w14:paraId="4810EDD5" w14:textId="64B13CFC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obecności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antygenu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HBs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;</w:t>
            </w:r>
          </w:p>
          <w:p w14:paraId="4C80D3E1" w14:textId="30E46FD8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przeciwciał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anty-HCV;</w:t>
            </w:r>
          </w:p>
          <w:p w14:paraId="054D2DDE" w14:textId="75C821D8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obecności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antygenu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wirusa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HIV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(HIV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Ag/Ab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Combo);</w:t>
            </w:r>
          </w:p>
          <w:p w14:paraId="7CE549ED" w14:textId="03D3B261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RTG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klatki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piersiowej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miesięcy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programu);</w:t>
            </w:r>
          </w:p>
          <w:p w14:paraId="035216B7" w14:textId="1750FAC5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elektrokardiogram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(EKG);</w:t>
            </w:r>
          </w:p>
          <w:p w14:paraId="7F3E29A4" w14:textId="2428EF7C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konsultacja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neurologiczna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ewentualnym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MRI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decyzji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konsultującego;</w:t>
            </w:r>
          </w:p>
          <w:p w14:paraId="0ED07D82" w14:textId="45B56E41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rezonans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magnetyczny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razie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wskazań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klinicznych;</w:t>
            </w:r>
          </w:p>
          <w:p w14:paraId="6F6B9142" w14:textId="11C822BD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ciążowy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kobiet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wieku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rozrodczym).</w:t>
            </w:r>
          </w:p>
          <w:p w14:paraId="0CB07130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67F2FA9A" w14:textId="0C448F8B" w:rsidR="00362CCD" w:rsidRPr="0049285A" w:rsidRDefault="00362CCD" w:rsidP="0049285A">
            <w:pPr>
              <w:pStyle w:val="Akapitzlist"/>
              <w:numPr>
                <w:ilvl w:val="2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proofErr w:type="spellStart"/>
            <w:r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Deksametazonem</w:t>
            </w:r>
            <w:proofErr w:type="spellEnd"/>
            <w:r w:rsidR="0049285A"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w</w:t>
            </w:r>
            <w:r w:rsidR="0049285A"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postaci</w:t>
            </w:r>
            <w:r w:rsidR="0049285A"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implantu</w:t>
            </w:r>
          </w:p>
          <w:p w14:paraId="6F84E0AD" w14:textId="302FCC41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angiografia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fluoresceinowa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angio-OCT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trudnych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diagnostycznego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punktu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widzenia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angiografia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indocyjaninowa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-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opcjonalnie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prośbę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Zespołu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Koordynacynego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.</w:t>
            </w:r>
          </w:p>
          <w:p w14:paraId="57AC3AEB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055D1CC5" w14:textId="1D5F37A8" w:rsidR="00362CCD" w:rsidRPr="0049285A" w:rsidRDefault="00362CCD" w:rsidP="0049285A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Monitorowanie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leczenia</w:t>
            </w:r>
          </w:p>
          <w:p w14:paraId="60256B69" w14:textId="62ADFF42" w:rsidR="00362CCD" w:rsidRPr="0049285A" w:rsidRDefault="00362CCD" w:rsidP="0049285A">
            <w:pPr>
              <w:pStyle w:val="Akapitzlist"/>
              <w:numPr>
                <w:ilvl w:val="1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Monitorowanie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bezpieczeństwa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leczenia</w:t>
            </w:r>
          </w:p>
          <w:p w14:paraId="16967DAE" w14:textId="77777777" w:rsidR="00362CCD" w:rsidRPr="0049285A" w:rsidRDefault="00362CCD" w:rsidP="0049285A">
            <w:pPr>
              <w:pStyle w:val="Akapitzlist"/>
              <w:numPr>
                <w:ilvl w:val="2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Adalimumabem</w:t>
            </w:r>
          </w:p>
          <w:p w14:paraId="26602A38" w14:textId="33C2CC46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morfologia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krwi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rozmazem;</w:t>
            </w:r>
          </w:p>
          <w:p w14:paraId="52406E0D" w14:textId="77777777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CRP;</w:t>
            </w:r>
          </w:p>
          <w:p w14:paraId="0CCABC0C" w14:textId="0FC560DE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odczyn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Biernackiego;</w:t>
            </w:r>
          </w:p>
          <w:p w14:paraId="589CCB3C" w14:textId="2B6EF863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aminotransferazy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alaninowej;</w:t>
            </w:r>
          </w:p>
          <w:p w14:paraId="122DA374" w14:textId="28FA0E9C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oznaczenie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aminotransferazy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asparaginianowej;</w:t>
            </w:r>
          </w:p>
          <w:p w14:paraId="7BE446C5" w14:textId="41F272B0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Quantiferon</w:t>
            </w:r>
            <w:proofErr w:type="spellEnd"/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próba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tuberkulinowa;</w:t>
            </w:r>
          </w:p>
          <w:p w14:paraId="7F7BE527" w14:textId="6BD93124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konsultacja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neurologiczna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ewentualnym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MRI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decyzji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konsultującego).</w:t>
            </w:r>
          </w:p>
          <w:p w14:paraId="4F131775" w14:textId="6EB494BC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pkt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wykonuje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podaniem:</w:t>
            </w:r>
          </w:p>
          <w:p w14:paraId="2A77BAF2" w14:textId="7A209281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leku;</w:t>
            </w:r>
          </w:p>
          <w:p w14:paraId="4E4BAEC7" w14:textId="6F532D70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leku;</w:t>
            </w:r>
          </w:p>
          <w:p w14:paraId="487CF277" w14:textId="0B1347C3" w:rsidR="00362CCD" w:rsidRPr="0049285A" w:rsidRDefault="00362CCD" w:rsidP="0049285A">
            <w:pPr>
              <w:pStyle w:val="Akapitzlist"/>
              <w:numPr>
                <w:ilvl w:val="4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każdej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kolejnej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decyzji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lekarza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prowadzącego.</w:t>
            </w:r>
          </w:p>
          <w:p w14:paraId="050CB0A0" w14:textId="591B2615" w:rsidR="0049285A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pkt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wykonuje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miesięcy.</w:t>
            </w:r>
          </w:p>
          <w:p w14:paraId="28C6AEC8" w14:textId="77777777" w:rsidR="0049285A" w:rsidRPr="0049285A" w:rsidRDefault="0049285A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3C295FBC" w14:textId="77777777" w:rsidR="00362CCD" w:rsidRPr="0049285A" w:rsidRDefault="00362CCD" w:rsidP="0049285A">
            <w:pPr>
              <w:pStyle w:val="Akapitzlist"/>
              <w:numPr>
                <w:ilvl w:val="2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</w:pPr>
            <w:proofErr w:type="spellStart"/>
            <w:r w:rsidRPr="0049285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0"/>
                <w:lang w:eastAsia="pl-PL"/>
              </w:rPr>
              <w:t>Deksametazonem</w:t>
            </w:r>
            <w:proofErr w:type="spellEnd"/>
          </w:p>
          <w:p w14:paraId="377EE0C5" w14:textId="1368E747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</w:t>
            </w:r>
            <w:r w:rsidR="002D31C2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najlepszej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skorygowanej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(BCVA)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ETDRS;</w:t>
            </w:r>
          </w:p>
          <w:p w14:paraId="1981A9FB" w14:textId="6C01DAB0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pomiar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ciśnienia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wewnątrzgałkowego;</w:t>
            </w:r>
          </w:p>
          <w:p w14:paraId="1E62AF71" w14:textId="32264713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</w:t>
            </w:r>
            <w:r w:rsidR="002D31C2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żółtej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optycznej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koherentnej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tomografii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(OCT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angio-OCT);</w:t>
            </w:r>
          </w:p>
          <w:p w14:paraId="4AF150CD" w14:textId="05AC4671" w:rsidR="00362CCD" w:rsidRPr="0049285A" w:rsidRDefault="002D31C2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wykonuje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każdym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leku.</w:t>
            </w:r>
          </w:p>
          <w:p w14:paraId="689BE3DE" w14:textId="77777777" w:rsidR="0049285A" w:rsidRPr="0049285A" w:rsidRDefault="0049285A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26B59EA4" w14:textId="10ECCF29" w:rsidR="00362CCD" w:rsidRPr="0049285A" w:rsidRDefault="00362CCD" w:rsidP="0049285A">
            <w:pPr>
              <w:pStyle w:val="Akapitzlist"/>
              <w:numPr>
                <w:ilvl w:val="1"/>
                <w:numId w:val="43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Monitorowanie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leczenia</w:t>
            </w:r>
          </w:p>
          <w:p w14:paraId="2093CF13" w14:textId="500E2CE5" w:rsidR="00362CCD" w:rsidRPr="0049285A" w:rsidRDefault="00362CCD" w:rsidP="0049285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Ocena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odbywa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porównaniem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wartości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uzyskanych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programu.</w:t>
            </w:r>
          </w:p>
          <w:p w14:paraId="617BC90B" w14:textId="304E1995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celu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wykonuje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badanie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okulistyczne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obejmujące:</w:t>
            </w:r>
          </w:p>
          <w:p w14:paraId="64DC8D3A" w14:textId="1626A8B5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najlepszej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skorygowanej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(BCVA)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ETDRS;</w:t>
            </w:r>
          </w:p>
          <w:p w14:paraId="7C22C8ED" w14:textId="1805C51A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pomiar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ciśnienia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wewnątrzgałkowego;</w:t>
            </w:r>
          </w:p>
          <w:p w14:paraId="5D832AA6" w14:textId="792F9C1A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przedniego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odcinka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oka;</w:t>
            </w:r>
          </w:p>
          <w:p w14:paraId="0C081A91" w14:textId="6BFDEB21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plamki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pomocą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optycznej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koherentnej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tomografii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(OCT);</w:t>
            </w:r>
          </w:p>
          <w:p w14:paraId="2DEFF49C" w14:textId="4BD8B702" w:rsidR="00362CCD" w:rsidRPr="0049285A" w:rsidRDefault="00362CCD" w:rsidP="0049285A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opcjonalnie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angiografia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fluoresceinowa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angio-OCT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dla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wykazania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zaistniałych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przebiegu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przypadkach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trudnych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diagnostycznego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punktu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widzenia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angiografia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indocyjaninowa)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–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dla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deksametazonem</w:t>
            </w:r>
            <w:proofErr w:type="spellEnd"/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.</w:t>
            </w:r>
          </w:p>
          <w:p w14:paraId="6987C688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8D842A6" w14:textId="501BA11C" w:rsidR="00362CCD" w:rsidRPr="0049285A" w:rsidRDefault="00362CCD" w:rsidP="0049285A">
            <w:pPr>
              <w:pStyle w:val="Akapitzlist"/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oceny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adalimumabem</w:t>
            </w:r>
          </w:p>
          <w:p w14:paraId="3B819BB8" w14:textId="04D9873A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odbywa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każdej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kolejnej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leku.</w:t>
            </w:r>
          </w:p>
          <w:p w14:paraId="763FAB45" w14:textId="7327ACD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Poprawa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definiowana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jako:</w:t>
            </w:r>
          </w:p>
          <w:p w14:paraId="039A7693" w14:textId="632AAE0C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liczby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komórek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komorze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przymglenia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ciała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szklistego,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według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SUN:</w:t>
            </w:r>
          </w:p>
          <w:p w14:paraId="57C3864B" w14:textId="27DCC1E0" w:rsidR="00362CCD" w:rsidRPr="0049285A" w:rsidRDefault="00362CCD" w:rsidP="0049285A">
            <w:pPr>
              <w:pStyle w:val="Akapitzlist"/>
              <w:numPr>
                <w:ilvl w:val="4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≤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początkowym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większym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równym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2;</w:t>
            </w:r>
          </w:p>
          <w:p w14:paraId="0303E17D" w14:textId="2833B298" w:rsidR="00362CCD" w:rsidRPr="0049285A" w:rsidRDefault="00362CCD" w:rsidP="0049285A">
            <w:pPr>
              <w:pStyle w:val="Akapitzlist"/>
              <w:numPr>
                <w:ilvl w:val="4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poziomu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początkowym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mniejszym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2;</w:t>
            </w:r>
          </w:p>
          <w:p w14:paraId="46EE1DA6" w14:textId="77777777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6CF0FFD5" w14:textId="4B8FDAE2" w:rsidR="0049285A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aktywnych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zapalnych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naczyniówki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naczyń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14:paraId="37F44DB6" w14:textId="7F940782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5AB248CF" w14:textId="0B6C224D" w:rsidR="0049285A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poprawa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BCVA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linie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liter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14:paraId="325618E2" w14:textId="74938716" w:rsidR="00362CCD" w:rsidRPr="0049285A" w:rsidRDefault="00362CCD" w:rsidP="0049285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</w:p>
          <w:p w14:paraId="2C0560CE" w14:textId="7AAD80CE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stabilizacja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ostrości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wzroku.</w:t>
            </w:r>
          </w:p>
          <w:p w14:paraId="655F9C58" w14:textId="77777777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FFDD02F" w14:textId="1D44BE9A" w:rsidR="00362CCD" w:rsidRPr="0049285A" w:rsidRDefault="00362CCD" w:rsidP="0049285A">
            <w:pPr>
              <w:pStyle w:val="Akapitzlist"/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Kryteria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oceny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 xml:space="preserve"> </w:t>
            </w:r>
            <w:proofErr w:type="spellStart"/>
            <w:r w:rsidRPr="0049285A">
              <w:rPr>
                <w:rFonts w:ascii="Times New Roman" w:eastAsia="Times New Roman" w:hAnsi="Times New Roman" w:cs="Times New Roman"/>
                <w:b/>
                <w:bCs/>
                <w:szCs w:val="20"/>
                <w:lang w:eastAsia="pl-PL"/>
              </w:rPr>
              <w:t>deksametazonem</w:t>
            </w:r>
            <w:proofErr w:type="spellEnd"/>
          </w:p>
          <w:p w14:paraId="6B19DBCA" w14:textId="0C29E7FE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miesiącach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pierwszego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implantu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(+/-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dni)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dokonuje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oceny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kątem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wystąpienia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zmian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opisanych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podpunkcie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kryteriów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wyłączenia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programu.</w:t>
            </w:r>
          </w:p>
          <w:p w14:paraId="76357158" w14:textId="692A5D4D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odbywa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każdego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kolejnego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implantu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dniu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terminie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podaniem),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rzadziej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niż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miesięcy.</w:t>
            </w:r>
          </w:p>
          <w:p w14:paraId="1484B8EB" w14:textId="6CE68AFD" w:rsidR="00362CCD" w:rsidRPr="0049285A" w:rsidRDefault="00362CCD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Poprawa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umożliwiająca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dalsze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definiowana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jest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jako:</w:t>
            </w:r>
          </w:p>
          <w:p w14:paraId="42B6C804" w14:textId="02BB2E7A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zmniejszenie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grubości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siatkówki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≥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10%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&gt;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µm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stosunku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wartości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pierwszym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centralnym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polu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OCT);</w:t>
            </w:r>
          </w:p>
          <w:p w14:paraId="79242794" w14:textId="6DCF07CE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poprawa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BCVA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najmniej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linię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tablicach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Snellena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ETDRS.</w:t>
            </w:r>
          </w:p>
          <w:p w14:paraId="25BA61A7" w14:textId="177B04D8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Brak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spełnienia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warunków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łącznie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wizycie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podaniem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kolejnego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implantu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uniemożliwia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dalsze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ponowną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kwalifikację.</w:t>
            </w:r>
          </w:p>
          <w:p w14:paraId="330EB1C9" w14:textId="77777777" w:rsidR="00E276A6" w:rsidRPr="0049285A" w:rsidRDefault="00E276A6" w:rsidP="0049285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  <w:p w14:paraId="14652FFB" w14:textId="6C7D3A18" w:rsidR="00362CCD" w:rsidRPr="0049285A" w:rsidRDefault="00362CCD" w:rsidP="0049285A">
            <w:pPr>
              <w:pStyle w:val="Akapitzlist"/>
              <w:numPr>
                <w:ilvl w:val="0"/>
                <w:numId w:val="4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Monitorowanie</w:t>
            </w:r>
            <w:r w:rsidR="0049285A" w:rsidRPr="0049285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49285A">
              <w:rPr>
                <w:rFonts w:ascii="Times New Roman" w:hAnsi="Times New Roman" w:cs="Times New Roman"/>
                <w:b/>
                <w:bCs/>
                <w:szCs w:val="20"/>
              </w:rPr>
              <w:t>programu</w:t>
            </w:r>
          </w:p>
          <w:p w14:paraId="08EE7D23" w14:textId="12195303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gromadzenie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dokumentacji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medycznej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dotyczących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monitorowania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każdorazowe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przedstawianie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żądanie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kontrolerów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Narodowego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Funduszu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Zdrowia;</w:t>
            </w:r>
          </w:p>
          <w:p w14:paraId="40437019" w14:textId="63ACA09D" w:rsidR="00362CCD" w:rsidRPr="0049285A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uzupełnianie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zawartych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elektronicznym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systemie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monitorowania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lekowych,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przekazywanie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danych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dotyczących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wskaźników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skuteczności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terapii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zawartych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pkt.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dostępnym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pomocą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aplikacji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lastRenderedPageBreak/>
              <w:t>internetowej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udostępnionej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NFZ,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częstotliwością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zgodną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opisem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programu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oraz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na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zakończenie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leczenia;</w:t>
            </w:r>
          </w:p>
          <w:p w14:paraId="4C2C4B98" w14:textId="77777777" w:rsidR="00362CCD" w:rsidRDefault="00362CCD" w:rsidP="0049285A">
            <w:pPr>
              <w:pStyle w:val="Akapitzlist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przekazywanie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informacji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sprawozdawczo-rozliczeniowych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NFZ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(informacje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przekazuje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się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do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NFZ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formie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papierowej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lub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formie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elektronicznej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zgodnie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wymaganiami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opublikowanymi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przez</w:t>
            </w:r>
            <w:r w:rsidR="0049285A"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Pr="004928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NFZ).</w:t>
            </w:r>
          </w:p>
          <w:p w14:paraId="76303463" w14:textId="435C5418" w:rsidR="00E00524" w:rsidRPr="00E00524" w:rsidRDefault="00E00524" w:rsidP="00E0052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</w:tc>
      </w:tr>
    </w:tbl>
    <w:p w14:paraId="444AB421" w14:textId="77777777" w:rsidR="00362CCD" w:rsidRDefault="00362CCD" w:rsidP="00362CCD"/>
    <w:p w14:paraId="49D2D09D" w14:textId="77777777" w:rsidR="001A3266" w:rsidRDefault="001A3266" w:rsidP="001A3266"/>
    <w:sectPr w:rsidR="001A3266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47E"/>
    <w:multiLevelType w:val="hybridMultilevel"/>
    <w:tmpl w:val="6A825888"/>
    <w:lvl w:ilvl="0" w:tplc="141CE510">
      <w:start w:val="1"/>
      <w:numFmt w:val="decimal"/>
      <w:lvlText w:val="%1)"/>
      <w:lvlJc w:val="left"/>
      <w:pPr>
        <w:ind w:left="720" w:hanging="72"/>
      </w:pPr>
      <w:rPr>
        <w:rFonts w:ascii="Times New Roman" w:hAnsi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13BC"/>
    <w:multiLevelType w:val="multilevel"/>
    <w:tmpl w:val="1CCE6A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1E55946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3051245"/>
    <w:multiLevelType w:val="multilevel"/>
    <w:tmpl w:val="24F05A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3E10406"/>
    <w:multiLevelType w:val="multilevel"/>
    <w:tmpl w:val="19E84A4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701" w:hanging="51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3F32522"/>
    <w:multiLevelType w:val="multilevel"/>
    <w:tmpl w:val="2166A3B2"/>
    <w:numStyleLink w:val="Programylekowe"/>
  </w:abstractNum>
  <w:abstractNum w:abstractNumId="6" w15:restartNumberingAfterBreak="0">
    <w:nsid w:val="0BBC4F7E"/>
    <w:multiLevelType w:val="multilevel"/>
    <w:tmpl w:val="3F7617B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40" w:hanging="340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0E0204D0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02D2E66"/>
    <w:multiLevelType w:val="multilevel"/>
    <w:tmpl w:val="DF6485D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567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4B93CE7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80B20D6"/>
    <w:multiLevelType w:val="hybridMultilevel"/>
    <w:tmpl w:val="F66089AA"/>
    <w:lvl w:ilvl="0" w:tplc="E5881CC0">
      <w:start w:val="1"/>
      <w:numFmt w:val="decimal"/>
      <w:lvlText w:val="%1)"/>
      <w:lvlJc w:val="left"/>
      <w:pPr>
        <w:ind w:left="720" w:hanging="72"/>
      </w:pPr>
      <w:rPr>
        <w:rFonts w:ascii="Times New Roman" w:hAnsi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B4C"/>
    <w:multiLevelType w:val="multilevel"/>
    <w:tmpl w:val="D172B3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CC91464"/>
    <w:multiLevelType w:val="multilevel"/>
    <w:tmpl w:val="2166A3B2"/>
    <w:styleLink w:val="Programylekowe"/>
    <w:lvl w:ilvl="0">
      <w:start w:val="1"/>
      <w:numFmt w:val="ordinal"/>
      <w:lvlText w:val="%1"/>
      <w:lvlJc w:val="left"/>
      <w:pPr>
        <w:ind w:left="340" w:hanging="340"/>
      </w:pPr>
      <w:rPr>
        <w:rFonts w:ascii="Times New Roman" w:hAnsi="Times New Roman" w:hint="default"/>
        <w:b/>
        <w:sz w:val="20"/>
      </w:rPr>
    </w:lvl>
    <w:lvl w:ilvl="1">
      <w:start w:val="1"/>
      <w:numFmt w:val="decimal"/>
      <w:lvlText w:val="%1%2."/>
      <w:lvlJc w:val="left"/>
      <w:pPr>
        <w:ind w:left="624" w:hanging="624"/>
      </w:pPr>
      <w:rPr>
        <w:rFonts w:ascii="Times New Roman" w:hAnsi="Times New Roman" w:hint="default"/>
        <w:b/>
        <w:sz w:val="20"/>
      </w:rPr>
    </w:lvl>
    <w:lvl w:ilvl="2">
      <w:start w:val="1"/>
      <w:numFmt w:val="decimal"/>
      <w:lvlText w:val="%3)"/>
      <w:lvlJc w:val="left"/>
      <w:pPr>
        <w:ind w:left="624" w:hanging="567"/>
      </w:pPr>
      <w:rPr>
        <w:rFonts w:ascii="Times New Roman" w:hAnsi="Times New Roman" w:hint="default"/>
        <w:sz w:val="20"/>
      </w:rPr>
    </w:lvl>
    <w:lvl w:ilvl="3">
      <w:start w:val="1"/>
      <w:numFmt w:val="none"/>
      <w:lvlText w:val="a)"/>
      <w:lvlJc w:val="center"/>
      <w:pPr>
        <w:ind w:left="964" w:hanging="284"/>
      </w:pPr>
      <w:rPr>
        <w:rFonts w:ascii="Times New Roman" w:hAnsi="Times New Roman" w:hint="default"/>
        <w:sz w:val="20"/>
      </w:rPr>
    </w:lvl>
    <w:lvl w:ilvl="4">
      <w:start w:val="1"/>
      <w:numFmt w:val="bullet"/>
      <w:lvlText w:val=""/>
      <w:lvlJc w:val="left"/>
      <w:pPr>
        <w:ind w:left="1021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13" w15:restartNumberingAfterBreak="0">
    <w:nsid w:val="21CE1FE0"/>
    <w:multiLevelType w:val="multilevel"/>
    <w:tmpl w:val="1CCE6A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2955F28"/>
    <w:multiLevelType w:val="multilevel"/>
    <w:tmpl w:val="C5889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271F027F"/>
    <w:multiLevelType w:val="multilevel"/>
    <w:tmpl w:val="3F7617B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40" w:hanging="340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B785B75"/>
    <w:multiLevelType w:val="multilevel"/>
    <w:tmpl w:val="C5889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2E273B7B"/>
    <w:multiLevelType w:val="multilevel"/>
    <w:tmpl w:val="DF6485D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567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2EC73446"/>
    <w:multiLevelType w:val="multilevel"/>
    <w:tmpl w:val="3F7617B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40" w:hanging="340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2EF07A7F"/>
    <w:multiLevelType w:val="multilevel"/>
    <w:tmpl w:val="2166A3B2"/>
    <w:numStyleLink w:val="Programylekowe"/>
  </w:abstractNum>
  <w:abstractNum w:abstractNumId="20" w15:restartNumberingAfterBreak="0">
    <w:nsid w:val="39E12172"/>
    <w:multiLevelType w:val="multilevel"/>
    <w:tmpl w:val="C5889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3A33020C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E3C414B"/>
    <w:multiLevelType w:val="multilevel"/>
    <w:tmpl w:val="24F05A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EBD11F4"/>
    <w:multiLevelType w:val="multilevel"/>
    <w:tmpl w:val="D172B3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43293B74"/>
    <w:multiLevelType w:val="multilevel"/>
    <w:tmpl w:val="F2FA1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9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A57D08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7171330"/>
    <w:multiLevelType w:val="multilevel"/>
    <w:tmpl w:val="DF6485D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567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47DC7CA2"/>
    <w:multiLevelType w:val="multilevel"/>
    <w:tmpl w:val="C5889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8" w15:restartNumberingAfterBreak="0">
    <w:nsid w:val="48006C9C"/>
    <w:multiLevelType w:val="multilevel"/>
    <w:tmpl w:val="DF6485D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567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4E280AF5"/>
    <w:multiLevelType w:val="multilevel"/>
    <w:tmpl w:val="2166A3B2"/>
    <w:numStyleLink w:val="Programylekowe"/>
  </w:abstractNum>
  <w:abstractNum w:abstractNumId="30" w15:restartNumberingAfterBreak="0">
    <w:nsid w:val="522049FA"/>
    <w:multiLevelType w:val="hybridMultilevel"/>
    <w:tmpl w:val="1624B1A2"/>
    <w:lvl w:ilvl="0" w:tplc="51E8CC02">
      <w:start w:val="1"/>
      <w:numFmt w:val="lowerLetter"/>
      <w:suff w:val="space"/>
      <w:lvlText w:val="%1)"/>
      <w:lvlJc w:val="left"/>
      <w:pPr>
        <w:ind w:left="879" w:hanging="17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4E3066"/>
    <w:multiLevelType w:val="multilevel"/>
    <w:tmpl w:val="1CCE6A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54190B49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546A411D"/>
    <w:multiLevelType w:val="multilevel"/>
    <w:tmpl w:val="19E84A4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701" w:hanging="51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6AE09CF"/>
    <w:multiLevelType w:val="multilevel"/>
    <w:tmpl w:val="D172B3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5A9C6886"/>
    <w:multiLevelType w:val="multilevel"/>
    <w:tmpl w:val="D172B39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6553720A"/>
    <w:multiLevelType w:val="hybridMultilevel"/>
    <w:tmpl w:val="B65A18FE"/>
    <w:lvl w:ilvl="0" w:tplc="1FDA45D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81307"/>
    <w:multiLevelType w:val="multilevel"/>
    <w:tmpl w:val="2166A3B2"/>
    <w:numStyleLink w:val="Programylekowe"/>
  </w:abstractNum>
  <w:abstractNum w:abstractNumId="38" w15:restartNumberingAfterBreak="0">
    <w:nsid w:val="797E1891"/>
    <w:multiLevelType w:val="multilevel"/>
    <w:tmpl w:val="0F7078C0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7C731618"/>
    <w:multiLevelType w:val="hybridMultilevel"/>
    <w:tmpl w:val="4CC8F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F4755"/>
    <w:multiLevelType w:val="multilevel"/>
    <w:tmpl w:val="9FA4D3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/>
      </w:rPr>
    </w:lvl>
    <w:lvl w:ilvl="2">
      <w:start w:val="1"/>
      <w:numFmt w:val="decimal"/>
      <w:lvlText w:val="%3)"/>
      <w:lvlJc w:val="center"/>
      <w:pPr>
        <w:ind w:left="360" w:hanging="72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7F121B57"/>
    <w:multiLevelType w:val="multilevel"/>
    <w:tmpl w:val="C5889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2" w15:restartNumberingAfterBreak="0">
    <w:nsid w:val="7FCE6593"/>
    <w:multiLevelType w:val="multilevel"/>
    <w:tmpl w:val="1CCE6A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2123301097">
    <w:abstractNumId w:val="39"/>
  </w:num>
  <w:num w:numId="2" w16cid:durableId="1768191100">
    <w:abstractNumId w:val="40"/>
  </w:num>
  <w:num w:numId="3" w16cid:durableId="578641061">
    <w:abstractNumId w:val="0"/>
  </w:num>
  <w:num w:numId="4" w16cid:durableId="502546036">
    <w:abstractNumId w:val="10"/>
  </w:num>
  <w:num w:numId="5" w16cid:durableId="400835733">
    <w:abstractNumId w:val="24"/>
  </w:num>
  <w:num w:numId="6" w16cid:durableId="1337617245">
    <w:abstractNumId w:val="12"/>
  </w:num>
  <w:num w:numId="7" w16cid:durableId="369653979">
    <w:abstractNumId w:val="29"/>
  </w:num>
  <w:num w:numId="8" w16cid:durableId="1582445695">
    <w:abstractNumId w:val="19"/>
  </w:num>
  <w:num w:numId="9" w16cid:durableId="1956715998">
    <w:abstractNumId w:val="37"/>
  </w:num>
  <w:num w:numId="10" w16cid:durableId="1683319274">
    <w:abstractNumId w:val="5"/>
  </w:num>
  <w:num w:numId="11" w16cid:durableId="131796460">
    <w:abstractNumId w:val="36"/>
  </w:num>
  <w:num w:numId="12" w16cid:durableId="1251620561">
    <w:abstractNumId w:val="32"/>
  </w:num>
  <w:num w:numId="13" w16cid:durableId="932587840">
    <w:abstractNumId w:val="21"/>
  </w:num>
  <w:num w:numId="14" w16cid:durableId="960263620">
    <w:abstractNumId w:val="13"/>
  </w:num>
  <w:num w:numId="15" w16cid:durableId="625426233">
    <w:abstractNumId w:val="31"/>
  </w:num>
  <w:num w:numId="16" w16cid:durableId="1056589089">
    <w:abstractNumId w:val="33"/>
  </w:num>
  <w:num w:numId="17" w16cid:durableId="913665278">
    <w:abstractNumId w:val="4"/>
  </w:num>
  <w:num w:numId="18" w16cid:durableId="285428537">
    <w:abstractNumId w:val="30"/>
  </w:num>
  <w:num w:numId="19" w16cid:durableId="471097654">
    <w:abstractNumId w:val="42"/>
  </w:num>
  <w:num w:numId="20" w16cid:durableId="358047777">
    <w:abstractNumId w:val="2"/>
  </w:num>
  <w:num w:numId="21" w16cid:durableId="195428532">
    <w:abstractNumId w:val="1"/>
  </w:num>
  <w:num w:numId="22" w16cid:durableId="377048908">
    <w:abstractNumId w:val="25"/>
  </w:num>
  <w:num w:numId="23" w16cid:durableId="1835341326">
    <w:abstractNumId w:val="9"/>
  </w:num>
  <w:num w:numId="24" w16cid:durableId="1022170164">
    <w:abstractNumId w:val="7"/>
  </w:num>
  <w:num w:numId="25" w16cid:durableId="1068307236">
    <w:abstractNumId w:val="18"/>
  </w:num>
  <w:num w:numId="26" w16cid:durableId="299848727">
    <w:abstractNumId w:val="17"/>
  </w:num>
  <w:num w:numId="27" w16cid:durableId="628440282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357" w:hanging="357"/>
        </w:pPr>
        <w:rPr>
          <w:rFonts w:ascii="Times New Roman" w:eastAsia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357"/>
        </w:pPr>
        <w:rPr>
          <w:rFonts w:ascii="Times New Roman" w:hAnsi="Times New Roman" w:hint="default"/>
          <w:b/>
          <w:bCs w:val="0"/>
          <w:i w:val="0"/>
          <w:sz w:val="2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454" w:hanging="454"/>
        </w:pPr>
        <w:rPr>
          <w:rFonts w:ascii="Times New Roman" w:hAnsi="Times New Roman" w:hint="default"/>
          <w:b/>
          <w:bCs/>
          <w:i w:val="0"/>
          <w:iCs w:val="0"/>
          <w:sz w:val="20"/>
        </w:rPr>
      </w:lvl>
    </w:lvlOverride>
    <w:lvlOverride w:ilvl="3">
      <w:lvl w:ilvl="3">
        <w:start w:val="1"/>
        <w:numFmt w:val="decimal"/>
        <w:suff w:val="space"/>
        <w:lvlText w:val="%4)"/>
        <w:lvlJc w:val="left"/>
        <w:pPr>
          <w:ind w:left="227" w:hanging="227"/>
        </w:pPr>
        <w:rPr>
          <w:rFonts w:ascii="Times New Roman" w:hAnsi="Times New Roman" w:hint="default"/>
          <w:sz w:val="20"/>
        </w:rPr>
      </w:lvl>
    </w:lvlOverride>
    <w:lvlOverride w:ilvl="4">
      <w:lvl w:ilvl="4">
        <w:start w:val="1"/>
        <w:numFmt w:val="lowerLetter"/>
        <w:suff w:val="space"/>
        <w:lvlText w:val="%5)"/>
        <w:lvlJc w:val="left"/>
        <w:pPr>
          <w:ind w:left="878" w:hanging="17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28" w16cid:durableId="1136528829">
    <w:abstractNumId w:val="22"/>
  </w:num>
  <w:num w:numId="29" w16cid:durableId="842357813">
    <w:abstractNumId w:val="26"/>
  </w:num>
  <w:num w:numId="30" w16cid:durableId="387849225">
    <w:abstractNumId w:val="34"/>
  </w:num>
  <w:num w:numId="31" w16cid:durableId="833951491">
    <w:abstractNumId w:val="11"/>
  </w:num>
  <w:num w:numId="32" w16cid:durableId="2100826133">
    <w:abstractNumId w:val="28"/>
  </w:num>
  <w:num w:numId="33" w16cid:durableId="898444272">
    <w:abstractNumId w:val="35"/>
  </w:num>
  <w:num w:numId="34" w16cid:durableId="1047148915">
    <w:abstractNumId w:val="23"/>
  </w:num>
  <w:num w:numId="35" w16cid:durableId="620647279">
    <w:abstractNumId w:val="6"/>
  </w:num>
  <w:num w:numId="36" w16cid:durableId="81145434">
    <w:abstractNumId w:val="15"/>
  </w:num>
  <w:num w:numId="37" w16cid:durableId="1775176223">
    <w:abstractNumId w:val="8"/>
  </w:num>
  <w:num w:numId="38" w16cid:durableId="522937341">
    <w:abstractNumId w:val="3"/>
  </w:num>
  <w:num w:numId="39" w16cid:durableId="7408488">
    <w:abstractNumId w:val="27"/>
  </w:num>
  <w:num w:numId="40" w16cid:durableId="2111848454">
    <w:abstractNumId w:val="41"/>
  </w:num>
  <w:num w:numId="41" w16cid:durableId="1756900408">
    <w:abstractNumId w:val="16"/>
  </w:num>
  <w:num w:numId="42" w16cid:durableId="1297643383">
    <w:abstractNumId w:val="20"/>
  </w:num>
  <w:num w:numId="43" w16cid:durableId="1073628608">
    <w:abstractNumId w:val="14"/>
  </w:num>
  <w:num w:numId="44" w16cid:durableId="16515932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6"/>
    <w:rsid w:val="00012D2F"/>
    <w:rsid w:val="001171FA"/>
    <w:rsid w:val="00161B6A"/>
    <w:rsid w:val="001A3266"/>
    <w:rsid w:val="00277B2B"/>
    <w:rsid w:val="002848D9"/>
    <w:rsid w:val="002D31C2"/>
    <w:rsid w:val="00327379"/>
    <w:rsid w:val="00362CCD"/>
    <w:rsid w:val="00396B33"/>
    <w:rsid w:val="0049285A"/>
    <w:rsid w:val="00494757"/>
    <w:rsid w:val="004C1E8C"/>
    <w:rsid w:val="00594AAE"/>
    <w:rsid w:val="00620B4A"/>
    <w:rsid w:val="0066256A"/>
    <w:rsid w:val="007431D7"/>
    <w:rsid w:val="008F2F84"/>
    <w:rsid w:val="009900DE"/>
    <w:rsid w:val="009E5BF1"/>
    <w:rsid w:val="00A3072F"/>
    <w:rsid w:val="00A30F8F"/>
    <w:rsid w:val="00BB39CF"/>
    <w:rsid w:val="00CA0AB3"/>
    <w:rsid w:val="00CF1B7B"/>
    <w:rsid w:val="00DE66F8"/>
    <w:rsid w:val="00E00524"/>
    <w:rsid w:val="00E07810"/>
    <w:rsid w:val="00E276A6"/>
    <w:rsid w:val="00E63F3E"/>
    <w:rsid w:val="00F0000C"/>
    <w:rsid w:val="00FA52EC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0D2A"/>
  <w15:docId w15:val="{0F9ABAD1-2170-4C19-AFCA-3DE2F19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2CCD"/>
    <w:pPr>
      <w:spacing w:after="0" w:line="360" w:lineRule="auto"/>
    </w:pPr>
    <w:rPr>
      <w:rFonts w:ascii="Lato" w:hAnsi="Lato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012D2F"/>
    <w:pPr>
      <w:contextualSpacing/>
    </w:pPr>
    <w:rPr>
      <w:rFonts w:eastAsia="Calibri" w:cs="Times New Roman"/>
    </w:rPr>
  </w:style>
  <w:style w:type="character" w:customStyle="1" w:styleId="pismamzZnak">
    <w:name w:val="pisma_mz Znak"/>
    <w:link w:val="pismamz"/>
    <w:rsid w:val="00012D2F"/>
    <w:rPr>
      <w:rFonts w:ascii="Lato" w:eastAsia="Calibri" w:hAnsi="Lato" w:cs="Times New Roman"/>
      <w:sz w:val="20"/>
    </w:rPr>
  </w:style>
  <w:style w:type="paragraph" w:styleId="Akapitzlist">
    <w:name w:val="List Paragraph"/>
    <w:aliases w:val="Styl moj,Bullet1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1A3266"/>
    <w:pPr>
      <w:ind w:left="720"/>
      <w:contextualSpacing/>
    </w:pPr>
  </w:style>
  <w:style w:type="numbering" w:customStyle="1" w:styleId="Programylekowe">
    <w:name w:val="Programy lekowe"/>
    <w:uiPriority w:val="99"/>
    <w:rsid w:val="00CA0AB3"/>
    <w:pPr>
      <w:numPr>
        <w:numId w:val="6"/>
      </w:numPr>
    </w:pPr>
  </w:style>
  <w:style w:type="character" w:customStyle="1" w:styleId="AkapitzlistZnak">
    <w:name w:val="Akapit z listą Znak"/>
    <w:aliases w:val="Styl moj Znak,Bullet1 Znak,aotm_załączniki Znak,Akapit z listą11 Znak,Table Legend Znak,Dot pt Znak,F5 List Paragraph Znak,List Paragraph1 Znak,No Spacing1 Znak,List Paragraph Char Char Char Znak,Indicator Text Znak,Bullet 1 Znak"/>
    <w:link w:val="Akapitzlist"/>
    <w:uiPriority w:val="34"/>
    <w:qFormat/>
    <w:locked/>
    <w:rsid w:val="00362CCD"/>
    <w:rPr>
      <w:rFonts w:ascii="Lato" w:hAnsi="Lato"/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62CC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62CCD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62CCD"/>
    <w:rPr>
      <w:rFonts w:ascii="Lato" w:hAnsi="Lato"/>
      <w:sz w:val="20"/>
      <w:szCs w:val="20"/>
    </w:rPr>
  </w:style>
  <w:style w:type="paragraph" w:styleId="Poprawka">
    <w:name w:val="Revision"/>
    <w:hidden/>
    <w:uiPriority w:val="99"/>
    <w:semiHidden/>
    <w:rsid w:val="00CF1B7B"/>
    <w:pPr>
      <w:spacing w:after="0" w:line="240" w:lineRule="auto"/>
    </w:pPr>
    <w:rPr>
      <w:rFonts w:ascii="Lato" w:hAnsi="Lato"/>
      <w:sz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07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072F"/>
    <w:rPr>
      <w:rFonts w:ascii="Lato" w:hAnsi="La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1668</Words>
  <Characters>10014</Characters>
  <Application>Microsoft Office Word</Application>
  <DocSecurity>4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Biernat Ewa</dc:creator>
  <cp:keywords/>
  <dc:description/>
  <cp:lastModifiedBy>Klimkowska Katarzyna</cp:lastModifiedBy>
  <cp:revision>2</cp:revision>
  <dcterms:created xsi:type="dcterms:W3CDTF">2023-08-14T07:25:00Z</dcterms:created>
  <dcterms:modified xsi:type="dcterms:W3CDTF">2023-08-14T07:25:00Z</dcterms:modified>
</cp:coreProperties>
</file>