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13039" w14:textId="1AD29588" w:rsidR="002B5365" w:rsidRPr="00D15995" w:rsidRDefault="002B5365" w:rsidP="002B5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D15995">
        <w:rPr>
          <w:rFonts w:ascii="Times New Roman" w:hAnsi="Times New Roman" w:cs="Times New Roman"/>
          <w:szCs w:val="28"/>
        </w:rPr>
        <w:t>Załącznik</w:t>
      </w:r>
      <w:r w:rsidR="00C8677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B.106.</w:t>
      </w:r>
    </w:p>
    <w:p w14:paraId="5E33F404" w14:textId="77777777" w:rsidR="002B5365" w:rsidRPr="00D15995" w:rsidRDefault="002B5365" w:rsidP="002B5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14:paraId="3DACAB39" w14:textId="500EDCA4" w:rsidR="002B5365" w:rsidRPr="006A32C7" w:rsidRDefault="002B5365" w:rsidP="002B5365">
      <w:pPr>
        <w:spacing w:after="2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A32C7">
        <w:rPr>
          <w:rFonts w:ascii="Times New Roman" w:hAnsi="Times New Roman" w:cs="Times New Roman"/>
          <w:b/>
          <w:sz w:val="28"/>
          <w:szCs w:val="20"/>
        </w:rPr>
        <w:t>PROFILAKTYKA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REAKTYWACJI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WIRUSOWEGO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ZAPALENIA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WĄTRO</w:t>
      </w: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BY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TYPU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B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U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ŚWIADCZENIOBIORCÓW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PO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PRZESZCZEPACH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LUB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U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ŚWIADCZENIOBIORCÓW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OTRZYMUJĄCYCH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LECZENIE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ZWIĄZANE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Z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RYZYKIEM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REAKTYWACJI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HBV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(ICD-10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B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18.0,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B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18.1,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B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18.9,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B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19.0,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B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19.9,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C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22.0,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C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82,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C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83,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C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85,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0D0897">
        <w:rPr>
          <w:rFonts w:ascii="Times New Roman" w:hAnsi="Times New Roman" w:cs="Times New Roman"/>
          <w:b/>
          <w:sz w:val="28"/>
          <w:szCs w:val="20"/>
        </w:rPr>
        <w:t>C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0D0897">
        <w:rPr>
          <w:rFonts w:ascii="Times New Roman" w:hAnsi="Times New Roman" w:cs="Times New Roman"/>
          <w:b/>
          <w:sz w:val="28"/>
          <w:szCs w:val="20"/>
        </w:rPr>
        <w:t>90.0,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C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91,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C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92,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D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45,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D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47,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D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75,</w:t>
      </w:r>
      <w:r w:rsidR="00C8677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sz w:val="28"/>
          <w:szCs w:val="20"/>
        </w:rPr>
        <w:t>Z</w:t>
      </w:r>
      <w:r w:rsidR="00C8677B"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  <w:r w:rsidRPr="006A32C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94)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7"/>
        <w:gridCol w:w="3827"/>
        <w:gridCol w:w="5754"/>
      </w:tblGrid>
      <w:tr w:rsidR="00E97662" w:rsidRPr="00E97662" w14:paraId="5C8E514E" w14:textId="77777777" w:rsidTr="008F4DAE">
        <w:trPr>
          <w:trHeight w:val="567"/>
        </w:trPr>
        <w:tc>
          <w:tcPr>
            <w:tcW w:w="15388" w:type="dxa"/>
            <w:gridSpan w:val="3"/>
            <w:vAlign w:val="center"/>
          </w:tcPr>
          <w:p w14:paraId="32074928" w14:textId="0EEFD1EC" w:rsidR="005A67C3" w:rsidRPr="006A32C7" w:rsidRDefault="005A67C3" w:rsidP="008F4D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32C7">
              <w:rPr>
                <w:rFonts w:ascii="Times New Roman" w:hAnsi="Times New Roman" w:cs="Times New Roman"/>
                <w:b/>
                <w:sz w:val="20"/>
                <w:szCs w:val="20"/>
              </w:rPr>
              <w:t>ZAKRES</w:t>
            </w:r>
            <w:r w:rsidR="00C867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A32C7">
              <w:rPr>
                <w:rFonts w:ascii="Times New Roman" w:hAnsi="Times New Roman" w:cs="Times New Roman"/>
                <w:b/>
                <w:sz w:val="20"/>
                <w:szCs w:val="20"/>
              </w:rPr>
              <w:t>ŚWIADCZENIA</w:t>
            </w:r>
            <w:r w:rsidR="00C867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A32C7">
              <w:rPr>
                <w:rFonts w:ascii="Times New Roman" w:hAnsi="Times New Roman" w:cs="Times New Roman"/>
                <w:b/>
                <w:sz w:val="20"/>
                <w:szCs w:val="20"/>
              </w:rPr>
              <w:t>GWARANTOWANEGO</w:t>
            </w:r>
          </w:p>
        </w:tc>
      </w:tr>
      <w:tr w:rsidR="00E97662" w:rsidRPr="00E97662" w14:paraId="10584FDA" w14:textId="77777777" w:rsidTr="00C8677B">
        <w:trPr>
          <w:trHeight w:val="567"/>
        </w:trPr>
        <w:tc>
          <w:tcPr>
            <w:tcW w:w="5807" w:type="dxa"/>
            <w:vAlign w:val="center"/>
          </w:tcPr>
          <w:p w14:paraId="5AD20C01" w14:textId="77777777" w:rsidR="005A67C3" w:rsidRPr="006A32C7" w:rsidRDefault="005A67C3" w:rsidP="008F4DAE">
            <w:pPr>
              <w:jc w:val="center"/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</w:pPr>
            <w:r w:rsidRPr="006A32C7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>ŚWIADCZENIOBIORCY</w:t>
            </w:r>
          </w:p>
        </w:tc>
        <w:tc>
          <w:tcPr>
            <w:tcW w:w="3827" w:type="dxa"/>
            <w:vAlign w:val="center"/>
          </w:tcPr>
          <w:p w14:paraId="47236711" w14:textId="5C7FF137" w:rsidR="005A67C3" w:rsidRPr="006A32C7" w:rsidRDefault="000464A9" w:rsidP="008F4DAE">
            <w:pPr>
              <w:jc w:val="center"/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</w:pPr>
            <w:r w:rsidRPr="006A32C7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>SCHEMAT</w:t>
            </w:r>
            <w:r w:rsidR="00C8677B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 xml:space="preserve"> </w:t>
            </w:r>
            <w:r w:rsidRPr="006A32C7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>DAWKOWANIA</w:t>
            </w:r>
            <w:r w:rsidR="00C8677B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 xml:space="preserve"> </w:t>
            </w:r>
            <w:r w:rsidRPr="006A32C7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>LEKÓW</w:t>
            </w:r>
            <w:r w:rsidR="00C8677B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 xml:space="preserve"> </w:t>
            </w:r>
            <w:r w:rsidRPr="006A32C7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>W</w:t>
            </w:r>
            <w:r w:rsidR="00C8677B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 xml:space="preserve"> </w:t>
            </w:r>
            <w:r w:rsidRPr="006A32C7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>PROGRAMIE</w:t>
            </w:r>
          </w:p>
        </w:tc>
        <w:tc>
          <w:tcPr>
            <w:tcW w:w="5754" w:type="dxa"/>
            <w:vAlign w:val="center"/>
          </w:tcPr>
          <w:p w14:paraId="45D87847" w14:textId="77777777" w:rsidR="00C8677B" w:rsidRDefault="00187595" w:rsidP="008F4D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32C7">
              <w:rPr>
                <w:rFonts w:ascii="Times New Roman" w:hAnsi="Times New Roman" w:cs="Times New Roman"/>
                <w:b/>
                <w:sz w:val="20"/>
                <w:szCs w:val="20"/>
              </w:rPr>
              <w:t>BAD</w:t>
            </w:r>
            <w:r w:rsidR="002B72EE">
              <w:rPr>
                <w:rFonts w:ascii="Times New Roman" w:hAnsi="Times New Roman" w:cs="Times New Roman"/>
                <w:b/>
                <w:sz w:val="20"/>
                <w:szCs w:val="20"/>
              </w:rPr>
              <w:t>ANIA</w:t>
            </w:r>
            <w:r w:rsidR="00C867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B72EE">
              <w:rPr>
                <w:rFonts w:ascii="Times New Roman" w:hAnsi="Times New Roman" w:cs="Times New Roman"/>
                <w:b/>
                <w:sz w:val="20"/>
                <w:szCs w:val="20"/>
              </w:rPr>
              <w:t>DIAGNOSTYCZNE</w:t>
            </w:r>
            <w:r w:rsidR="00C867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B72EE">
              <w:rPr>
                <w:rFonts w:ascii="Times New Roman" w:hAnsi="Times New Roman" w:cs="Times New Roman"/>
                <w:b/>
                <w:sz w:val="20"/>
                <w:szCs w:val="20"/>
              </w:rPr>
              <w:t>WYKONYWANE</w:t>
            </w:r>
            <w:r w:rsidR="00C867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435D5D0" w14:textId="0664031F" w:rsidR="005A67C3" w:rsidRPr="006A32C7" w:rsidRDefault="002B72EE" w:rsidP="008F4D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C867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87595" w:rsidRPr="006A32C7">
              <w:rPr>
                <w:rFonts w:ascii="Times New Roman" w:hAnsi="Times New Roman" w:cs="Times New Roman"/>
                <w:b/>
                <w:sz w:val="20"/>
                <w:szCs w:val="20"/>
              </w:rPr>
              <w:t>RAMACH</w:t>
            </w:r>
            <w:r w:rsidR="00C867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87595" w:rsidRPr="006A32C7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</w:tc>
      </w:tr>
      <w:tr w:rsidR="00E97662" w:rsidRPr="00E97662" w14:paraId="21E7DCF7" w14:textId="77777777" w:rsidTr="00C8677B">
        <w:trPr>
          <w:trHeight w:val="680"/>
        </w:trPr>
        <w:tc>
          <w:tcPr>
            <w:tcW w:w="5807" w:type="dxa"/>
          </w:tcPr>
          <w:p w14:paraId="268005EF" w14:textId="2AA5BD89" w:rsidR="00231CA4" w:rsidRPr="00C8677B" w:rsidRDefault="00231CA4" w:rsidP="00C8677B">
            <w:pPr>
              <w:pStyle w:val="Akapitzlist"/>
              <w:numPr>
                <w:ilvl w:val="0"/>
                <w:numId w:val="18"/>
              </w:numPr>
              <w:spacing w:before="120" w:after="60"/>
              <w:contextualSpacing w:val="0"/>
              <w:jc w:val="both"/>
              <w:rPr>
                <w:rFonts w:eastAsia="+mn-ea"/>
                <w:b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Kryteria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kwalifikacji</w:t>
            </w:r>
          </w:p>
          <w:p w14:paraId="187064BD" w14:textId="54FB339E" w:rsidR="00231CA4" w:rsidRPr="00C8677B" w:rsidRDefault="00231CA4" w:rsidP="00C8677B">
            <w:pPr>
              <w:spacing w:after="60"/>
              <w:jc w:val="both"/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</w:pP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Do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programu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kwalifikują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się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świadczeniobiorcy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u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których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wykrywa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się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bCs/>
                <w:kern w:val="24"/>
                <w:sz w:val="20"/>
                <w:szCs w:val="20"/>
              </w:rPr>
              <w:t>obecność</w:t>
            </w:r>
            <w:r w:rsidR="00C8677B" w:rsidRPr="00C8677B">
              <w:rPr>
                <w:rFonts w:ascii="Times New Roman" w:eastAsia="+mn-ea" w:hAnsi="Times New Roman" w:cs="Times New Roman"/>
                <w:bCs/>
                <w:kern w:val="24"/>
                <w:sz w:val="20"/>
                <w:szCs w:val="20"/>
              </w:rPr>
              <w:t xml:space="preserve"> </w:t>
            </w:r>
            <w:proofErr w:type="spellStart"/>
            <w:r w:rsidRPr="00C8677B">
              <w:rPr>
                <w:rFonts w:ascii="Times New Roman" w:eastAsia="+mn-ea" w:hAnsi="Times New Roman" w:cs="Times New Roman"/>
                <w:bCs/>
                <w:kern w:val="24"/>
                <w:sz w:val="20"/>
                <w:szCs w:val="20"/>
              </w:rPr>
              <w:t>HBsAg</w:t>
            </w:r>
            <w:proofErr w:type="spellEnd"/>
            <w:r w:rsidR="00C8677B" w:rsidRPr="00C8677B">
              <w:rPr>
                <w:rFonts w:ascii="Times New Roman" w:eastAsia="+mn-ea" w:hAnsi="Times New Roman" w:cs="Times New Roman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bCs/>
                <w:kern w:val="24"/>
                <w:sz w:val="20"/>
                <w:szCs w:val="20"/>
              </w:rPr>
              <w:t>i/lub</w:t>
            </w:r>
            <w:r w:rsidR="00C8677B" w:rsidRPr="00C8677B">
              <w:rPr>
                <w:rFonts w:ascii="Times New Roman" w:eastAsia="+mn-ea" w:hAnsi="Times New Roman" w:cs="Times New Roman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bCs/>
                <w:kern w:val="24"/>
                <w:sz w:val="20"/>
                <w:szCs w:val="20"/>
              </w:rPr>
              <w:t>przeciwciał</w:t>
            </w:r>
            <w:r w:rsidR="00C8677B" w:rsidRPr="00C8677B">
              <w:rPr>
                <w:rFonts w:ascii="Times New Roman" w:eastAsia="+mn-ea" w:hAnsi="Times New Roman" w:cs="Times New Roman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bCs/>
                <w:kern w:val="24"/>
                <w:sz w:val="20"/>
                <w:szCs w:val="20"/>
              </w:rPr>
              <w:t>anty-</w:t>
            </w:r>
            <w:proofErr w:type="spellStart"/>
            <w:r w:rsidRPr="00C8677B">
              <w:rPr>
                <w:rFonts w:ascii="Times New Roman" w:eastAsia="+mn-ea" w:hAnsi="Times New Roman" w:cs="Times New Roman"/>
                <w:bCs/>
                <w:kern w:val="24"/>
                <w:sz w:val="20"/>
                <w:szCs w:val="20"/>
              </w:rPr>
              <w:t>HBc</w:t>
            </w:r>
            <w:proofErr w:type="spellEnd"/>
            <w:r w:rsidR="00C8677B" w:rsidRPr="00C8677B">
              <w:rPr>
                <w:rFonts w:ascii="Times New Roman" w:eastAsia="+mn-ea" w:hAnsi="Times New Roman" w:cs="Times New Roman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przy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wykrywalnym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lub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niewykrywalnym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HBV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DNA: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</w:p>
          <w:p w14:paraId="015AB2B7" w14:textId="50959E54" w:rsidR="00C8677B" w:rsidRPr="00C8677B" w:rsidRDefault="00231CA4" w:rsidP="00C8677B">
            <w:pPr>
              <w:pStyle w:val="Akapitzlist"/>
              <w:numPr>
                <w:ilvl w:val="1"/>
                <w:numId w:val="18"/>
              </w:numPr>
              <w:spacing w:after="60"/>
              <w:contextualSpacing w:val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kern w:val="24"/>
                <w:sz w:val="20"/>
                <w:szCs w:val="20"/>
              </w:rPr>
              <w:t>poddani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transplantacji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narządu/komórek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krwiotwórczych</w:t>
            </w:r>
          </w:p>
          <w:p w14:paraId="571D94CE" w14:textId="12772F35" w:rsidR="00231CA4" w:rsidRPr="00C8677B" w:rsidRDefault="00231CA4" w:rsidP="00C8677B">
            <w:pPr>
              <w:spacing w:after="60"/>
              <w:jc w:val="both"/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</w:pP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lub</w:t>
            </w:r>
          </w:p>
          <w:p w14:paraId="5B90FE23" w14:textId="68FBB79A" w:rsidR="00C8677B" w:rsidRPr="00C8677B" w:rsidRDefault="00231CA4" w:rsidP="00C8677B">
            <w:pPr>
              <w:pStyle w:val="Akapitzlist"/>
              <w:numPr>
                <w:ilvl w:val="1"/>
                <w:numId w:val="18"/>
              </w:numPr>
              <w:spacing w:after="60"/>
              <w:contextualSpacing w:val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kern w:val="24"/>
                <w:sz w:val="20"/>
                <w:szCs w:val="20"/>
              </w:rPr>
              <w:t>zakwalifikowani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do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leczenia</w:t>
            </w:r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biologicznego</w:t>
            </w:r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związanego</w:t>
            </w:r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z</w:t>
            </w:r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wysokim</w:t>
            </w:r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lub</w:t>
            </w:r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średnim</w:t>
            </w:r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ryzykiem</w:t>
            </w:r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reaktywacji</w:t>
            </w:r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HBV</w:t>
            </w:r>
            <w:r w:rsidR="00C8677B" w:rsidRPr="00C8677B">
              <w:rPr>
                <w:rFonts w:eastAsia="+mn-ea"/>
                <w:b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(leczenie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przeciwciałami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monoklonalnymi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anty-CD20,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chemioterapią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systemową,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proofErr w:type="spellStart"/>
            <w:r w:rsidRPr="00C8677B">
              <w:rPr>
                <w:rFonts w:eastAsia="+mn-ea"/>
                <w:kern w:val="24"/>
                <w:sz w:val="20"/>
                <w:szCs w:val="20"/>
              </w:rPr>
              <w:t>glikokortykosteroidami</w:t>
            </w:r>
            <w:proofErr w:type="spellEnd"/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w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dużych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dawkach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(</w:t>
            </w:r>
            <w:r w:rsidRPr="00C8677B">
              <w:rPr>
                <w:rFonts w:eastAsia="+mn-ea"/>
                <w:sz w:val="20"/>
                <w:szCs w:val="20"/>
              </w:rPr>
              <w:sym w:font="Symbol" w:char="F0B3"/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20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mg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dz.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&gt;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4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tygodnie)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inhibitorami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kinaz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tyrozynowych,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inhibitorami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cytokin,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inhibitorami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proofErr w:type="spellStart"/>
            <w:r w:rsidRPr="00C8677B">
              <w:rPr>
                <w:rFonts w:eastAsia="+mn-ea"/>
                <w:kern w:val="24"/>
                <w:sz w:val="20"/>
                <w:szCs w:val="20"/>
              </w:rPr>
              <w:t>immunofilin</w:t>
            </w:r>
            <w:proofErr w:type="spellEnd"/>
            <w:r w:rsidRPr="00C8677B">
              <w:rPr>
                <w:rFonts w:eastAsia="+mn-ea"/>
                <w:kern w:val="24"/>
                <w:sz w:val="20"/>
                <w:szCs w:val="20"/>
              </w:rPr>
              <w:t>,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inhibitorami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TNF-alfa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oraz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inhibitorami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proofErr w:type="spellStart"/>
            <w:r w:rsidRPr="00C8677B">
              <w:rPr>
                <w:rFonts w:eastAsia="+mn-ea"/>
                <w:kern w:val="24"/>
                <w:sz w:val="20"/>
                <w:szCs w:val="20"/>
              </w:rPr>
              <w:t>proteasomów</w:t>
            </w:r>
            <w:proofErr w:type="spellEnd"/>
            <w:r w:rsidRPr="00C8677B">
              <w:rPr>
                <w:rFonts w:eastAsia="+mn-ea"/>
                <w:kern w:val="24"/>
                <w:sz w:val="20"/>
                <w:szCs w:val="20"/>
              </w:rPr>
              <w:t>)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</w:p>
          <w:p w14:paraId="23E93B94" w14:textId="3614EB3B" w:rsidR="00231CA4" w:rsidRPr="00C8677B" w:rsidRDefault="00231CA4" w:rsidP="00C8677B">
            <w:pPr>
              <w:spacing w:after="60"/>
              <w:jc w:val="both"/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</w:pP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lub</w:t>
            </w:r>
          </w:p>
          <w:p w14:paraId="65BDA45E" w14:textId="55AE1E20" w:rsidR="002B5365" w:rsidRPr="00C8677B" w:rsidRDefault="00231CA4" w:rsidP="00C8677B">
            <w:pPr>
              <w:pStyle w:val="Akapitzlist"/>
              <w:numPr>
                <w:ilvl w:val="1"/>
                <w:numId w:val="18"/>
              </w:numPr>
              <w:spacing w:after="60"/>
              <w:contextualSpacing w:val="0"/>
              <w:jc w:val="both"/>
              <w:rPr>
                <w:sz w:val="20"/>
                <w:szCs w:val="20"/>
              </w:rPr>
            </w:pPr>
            <w:r w:rsidRPr="00C8677B">
              <w:rPr>
                <w:rFonts w:eastAsia="+mn-ea"/>
                <w:kern w:val="24"/>
                <w:sz w:val="20"/>
                <w:szCs w:val="20"/>
              </w:rPr>
              <w:t>leczeni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z</w:t>
            </w:r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powodu</w:t>
            </w:r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raka</w:t>
            </w:r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 xml:space="preserve"> </w:t>
            </w:r>
            <w:proofErr w:type="spellStart"/>
            <w:r w:rsidRPr="00C8677B">
              <w:rPr>
                <w:rFonts w:eastAsia="+mn-ea"/>
                <w:bCs/>
                <w:kern w:val="24"/>
                <w:sz w:val="20"/>
                <w:szCs w:val="20"/>
              </w:rPr>
              <w:t>wątrobowokomórkowego</w:t>
            </w:r>
            <w:proofErr w:type="spellEnd"/>
            <w:r w:rsidR="00C8677B" w:rsidRPr="00C8677B">
              <w:rPr>
                <w:rFonts w:eastAsia="+mn-ea"/>
                <w:bCs/>
                <w:kern w:val="24"/>
                <w:sz w:val="20"/>
                <w:szCs w:val="20"/>
              </w:rPr>
              <w:t>.</w:t>
            </w:r>
          </w:p>
          <w:p w14:paraId="0ECAADA9" w14:textId="77777777" w:rsidR="00C8677B" w:rsidRPr="00C8677B" w:rsidRDefault="00C8677B" w:rsidP="00C8677B">
            <w:pPr>
              <w:pStyle w:val="Akapitzlist"/>
              <w:spacing w:after="60"/>
              <w:ind w:left="227"/>
              <w:contextualSpacing w:val="0"/>
              <w:jc w:val="both"/>
              <w:rPr>
                <w:sz w:val="20"/>
                <w:szCs w:val="20"/>
              </w:rPr>
            </w:pPr>
          </w:p>
          <w:p w14:paraId="679715E1" w14:textId="33604ADD" w:rsidR="00231CA4" w:rsidRPr="00C8677B" w:rsidRDefault="00231CA4" w:rsidP="00C8677B">
            <w:pPr>
              <w:pStyle w:val="Akapitzlist"/>
              <w:numPr>
                <w:ilvl w:val="0"/>
                <w:numId w:val="18"/>
              </w:numPr>
              <w:spacing w:after="60"/>
              <w:contextualSpacing w:val="0"/>
              <w:jc w:val="both"/>
              <w:rPr>
                <w:rFonts w:eastAsia="+mn-ea"/>
                <w:b/>
                <w:bCs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b/>
                <w:bCs/>
                <w:kern w:val="24"/>
                <w:sz w:val="20"/>
                <w:szCs w:val="20"/>
              </w:rPr>
              <w:t>Określenie</w:t>
            </w:r>
            <w:r w:rsidR="00C8677B" w:rsidRPr="00C8677B">
              <w:rPr>
                <w:rFonts w:eastAsia="+mn-ea"/>
                <w:b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bCs/>
                <w:kern w:val="24"/>
                <w:sz w:val="20"/>
                <w:szCs w:val="20"/>
              </w:rPr>
              <w:t>czasu</w:t>
            </w:r>
            <w:r w:rsidR="00C8677B" w:rsidRPr="00C8677B">
              <w:rPr>
                <w:rFonts w:eastAsia="+mn-ea"/>
                <w:b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bCs/>
                <w:kern w:val="24"/>
                <w:sz w:val="20"/>
                <w:szCs w:val="20"/>
              </w:rPr>
              <w:t>leczenia</w:t>
            </w:r>
            <w:r w:rsidR="00C8677B" w:rsidRPr="00C8677B">
              <w:rPr>
                <w:rFonts w:eastAsia="+mn-ea"/>
                <w:b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bCs/>
                <w:kern w:val="24"/>
                <w:sz w:val="20"/>
                <w:szCs w:val="20"/>
              </w:rPr>
              <w:t>w</w:t>
            </w:r>
            <w:r w:rsidR="00C8677B" w:rsidRPr="00C8677B">
              <w:rPr>
                <w:rFonts w:eastAsia="+mn-ea"/>
                <w:b/>
                <w:bCs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bCs/>
                <w:kern w:val="24"/>
                <w:sz w:val="20"/>
                <w:szCs w:val="20"/>
              </w:rPr>
              <w:t>programie</w:t>
            </w:r>
          </w:p>
          <w:p w14:paraId="2A2F4C34" w14:textId="69389FBD" w:rsidR="00231CA4" w:rsidRPr="00C8677B" w:rsidRDefault="00231CA4" w:rsidP="00C8677B">
            <w:pPr>
              <w:spacing w:after="60"/>
              <w:jc w:val="both"/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</w:pP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Profilaktykę/leczenie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HBV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stosuje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się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przez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cały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okres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leczenia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biologicznego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i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18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miesięcy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po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jego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zakończeniu.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W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wybranych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przypadkach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terapię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można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stosować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bez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ograniczeń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czasowych.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</w:p>
          <w:p w14:paraId="399EE20E" w14:textId="5742B1D2" w:rsidR="0077379A" w:rsidRPr="00C8677B" w:rsidRDefault="00231CA4" w:rsidP="00C8677B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677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</w:t>
            </w:r>
            <w:r w:rsidR="00C8677B" w:rsidRPr="00C8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C8677B" w:rsidRPr="00C8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8677B" w:rsidRPr="00C8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hAnsi="Times New Roman" w:cs="Times New Roman"/>
                <w:sz w:val="20"/>
                <w:szCs w:val="20"/>
              </w:rPr>
              <w:t>niezbędne</w:t>
            </w:r>
            <w:r w:rsidR="00C8677B" w:rsidRPr="00C8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C8677B" w:rsidRPr="00C8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hAnsi="Times New Roman" w:cs="Times New Roman"/>
                <w:sz w:val="20"/>
                <w:szCs w:val="20"/>
              </w:rPr>
              <w:t>monitorowanie</w:t>
            </w:r>
            <w:r w:rsidR="00C8677B" w:rsidRPr="00C8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hAnsi="Times New Roman" w:cs="Times New Roman"/>
                <w:sz w:val="20"/>
                <w:szCs w:val="20"/>
              </w:rPr>
              <w:t>statusu</w:t>
            </w:r>
            <w:r w:rsidR="00C8677B" w:rsidRPr="00C8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hAnsi="Times New Roman" w:cs="Times New Roman"/>
                <w:sz w:val="20"/>
                <w:szCs w:val="20"/>
              </w:rPr>
              <w:t>HBV</w:t>
            </w:r>
            <w:r w:rsidR="00C8677B" w:rsidRPr="00C8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31C7" w:rsidRPr="00C8677B">
              <w:rPr>
                <w:rFonts w:ascii="Times New Roman" w:hAnsi="Times New Roman" w:cs="Times New Roman"/>
                <w:sz w:val="20"/>
                <w:szCs w:val="20"/>
              </w:rPr>
              <w:t>DNA</w:t>
            </w:r>
            <w:r w:rsidR="00C8677B" w:rsidRPr="00C8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8677B" w:rsidRPr="00C8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  <w:r w:rsidR="00C8677B" w:rsidRPr="00C8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C8677B" w:rsidRPr="00C8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hAnsi="Times New Roman" w:cs="Times New Roman"/>
                <w:sz w:val="20"/>
                <w:szCs w:val="20"/>
              </w:rPr>
              <w:t>miesięcy.</w:t>
            </w:r>
          </w:p>
        </w:tc>
        <w:tc>
          <w:tcPr>
            <w:tcW w:w="3827" w:type="dxa"/>
          </w:tcPr>
          <w:p w14:paraId="234B6C41" w14:textId="698796B8" w:rsidR="00C8677B" w:rsidRPr="00C8677B" w:rsidRDefault="002B1708" w:rsidP="00C8677B">
            <w:pPr>
              <w:spacing w:before="120" w:after="60"/>
              <w:jc w:val="both"/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</w:pPr>
            <w:proofErr w:type="spellStart"/>
            <w:r w:rsidRPr="00C8677B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lastRenderedPageBreak/>
              <w:t>Entekawir</w:t>
            </w:r>
            <w:proofErr w:type="spellEnd"/>
            <w:r w:rsidR="0033722A" w:rsidRPr="00C8677B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>: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0</w:t>
            </w:r>
            <w:r w:rsid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,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5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mg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1x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dobę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</w:p>
          <w:p w14:paraId="1F5311DF" w14:textId="5F3A1FE2" w:rsidR="00363B97" w:rsidRPr="00C8677B" w:rsidRDefault="002B1708" w:rsidP="00C8677B">
            <w:pPr>
              <w:spacing w:after="60"/>
              <w:jc w:val="both"/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</w:pPr>
            <w:r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lub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</w:p>
          <w:p w14:paraId="4686EC1B" w14:textId="1E7F9902" w:rsidR="00C8677B" w:rsidRDefault="00363B97" w:rsidP="00C8677B">
            <w:pPr>
              <w:spacing w:after="60"/>
              <w:jc w:val="both"/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</w:pPr>
            <w:proofErr w:type="spellStart"/>
            <w:r w:rsidRPr="00C8677B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>T</w:t>
            </w:r>
            <w:r w:rsidR="002B1708" w:rsidRPr="00C8677B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>enofowir</w:t>
            </w:r>
            <w:proofErr w:type="spellEnd"/>
            <w:r w:rsidR="0033722A" w:rsidRPr="00C8677B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>:</w:t>
            </w:r>
            <w:r w:rsidR="00C8677B" w:rsidRPr="00C8677B">
              <w:rPr>
                <w:rFonts w:ascii="Times New Roman" w:eastAsia="+mn-ea" w:hAnsi="Times New Roman" w:cs="Times New Roman"/>
                <w:b/>
                <w:kern w:val="24"/>
                <w:sz w:val="20"/>
                <w:szCs w:val="20"/>
              </w:rPr>
              <w:t xml:space="preserve"> </w:t>
            </w:r>
            <w:r w:rsidR="002B1708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245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="002B1708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mg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="002B1708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1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="002B1708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x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="002B1708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na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  <w:r w:rsidR="002B1708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>dobę</w:t>
            </w:r>
            <w:r w:rsidR="00C8677B" w:rsidRPr="00C8677B"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  <w:t xml:space="preserve"> </w:t>
            </w:r>
          </w:p>
          <w:p w14:paraId="201DB01B" w14:textId="77777777" w:rsidR="00C8677B" w:rsidRPr="00C8677B" w:rsidRDefault="00C8677B" w:rsidP="00C8677B">
            <w:pPr>
              <w:spacing w:after="60"/>
              <w:jc w:val="both"/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</w:pPr>
          </w:p>
          <w:p w14:paraId="50E1693C" w14:textId="7B08305A" w:rsidR="00F6091E" w:rsidRPr="00C8677B" w:rsidRDefault="00F6091E" w:rsidP="00C8677B">
            <w:pPr>
              <w:spacing w:after="60"/>
              <w:jc w:val="both"/>
              <w:rPr>
                <w:rFonts w:ascii="Times New Roman" w:eastAsia="+mn-ea" w:hAnsi="Times New Roman" w:cs="Times New Roman"/>
                <w:kern w:val="24"/>
                <w:sz w:val="20"/>
                <w:szCs w:val="20"/>
              </w:rPr>
            </w:pPr>
            <w:proofErr w:type="spellStart"/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Entekawir</w:t>
            </w:r>
            <w:proofErr w:type="spellEnd"/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lub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proofErr w:type="spellStart"/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tenofowir</w:t>
            </w:r>
            <w:proofErr w:type="spellEnd"/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powinny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być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stosowane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przez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cały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czas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trwania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leczenia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związanego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z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ryzykiem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reaktywacji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HBV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oraz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dodatkowo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przez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18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miesięcy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po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jego</w:t>
            </w:r>
            <w:r w:rsidR="00C8677B"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ascii="Times New Roman" w:eastAsia="+mn-ea" w:hAnsi="Times New Roman" w:cs="Times New Roman"/>
                <w:i/>
                <w:kern w:val="24"/>
                <w:sz w:val="20"/>
                <w:szCs w:val="20"/>
              </w:rPr>
              <w:t>zakończeniu.</w:t>
            </w:r>
          </w:p>
        </w:tc>
        <w:tc>
          <w:tcPr>
            <w:tcW w:w="5754" w:type="dxa"/>
          </w:tcPr>
          <w:p w14:paraId="728EF8BD" w14:textId="02E517F1" w:rsidR="000464A9" w:rsidRPr="00C8677B" w:rsidRDefault="00187595" w:rsidP="00C8677B">
            <w:pPr>
              <w:pStyle w:val="NormalnyWeb"/>
              <w:numPr>
                <w:ilvl w:val="0"/>
                <w:numId w:val="19"/>
              </w:numPr>
              <w:spacing w:before="120" w:beforeAutospacing="0" w:after="60" w:afterAutospacing="0"/>
              <w:jc w:val="both"/>
              <w:rPr>
                <w:rFonts w:eastAsia="+mn-ea"/>
                <w:b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Badania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p</w:t>
            </w:r>
            <w:r w:rsidR="00363B97" w:rsidRPr="00C8677B">
              <w:rPr>
                <w:rFonts w:eastAsia="+mn-ea"/>
                <w:b/>
                <w:kern w:val="24"/>
                <w:sz w:val="20"/>
                <w:szCs w:val="20"/>
              </w:rPr>
              <w:t>rzy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363B97" w:rsidRPr="00C8677B">
              <w:rPr>
                <w:rFonts w:eastAsia="+mn-ea"/>
                <w:b/>
                <w:kern w:val="24"/>
                <w:sz w:val="20"/>
                <w:szCs w:val="20"/>
              </w:rPr>
              <w:t>kwalifikacji</w:t>
            </w:r>
          </w:p>
          <w:p w14:paraId="71E9519C" w14:textId="4A200BEF" w:rsidR="0074775E" w:rsidRPr="00C8677B" w:rsidRDefault="00187595" w:rsidP="00C8677B">
            <w:pPr>
              <w:pStyle w:val="NormalnyWeb"/>
              <w:numPr>
                <w:ilvl w:val="2"/>
                <w:numId w:val="19"/>
              </w:numPr>
              <w:spacing w:before="0" w:beforeAutospacing="0" w:after="60" w:afterAutospacing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proofErr w:type="spellStart"/>
            <w:r w:rsidRPr="00C8677B">
              <w:rPr>
                <w:rFonts w:eastAsia="+mn-ea"/>
                <w:kern w:val="24"/>
                <w:sz w:val="20"/>
                <w:szCs w:val="20"/>
              </w:rPr>
              <w:t>HBsAg</w:t>
            </w:r>
            <w:proofErr w:type="spellEnd"/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</w:p>
          <w:p w14:paraId="1EECBDB1" w14:textId="47181C41" w:rsidR="0074775E" w:rsidRPr="00C8677B" w:rsidRDefault="00187595" w:rsidP="00C8677B">
            <w:pPr>
              <w:pStyle w:val="NormalnyWeb"/>
              <w:numPr>
                <w:ilvl w:val="2"/>
                <w:numId w:val="19"/>
              </w:numPr>
              <w:spacing w:before="0" w:beforeAutospacing="0" w:after="60" w:afterAutospacing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kern w:val="24"/>
                <w:sz w:val="20"/>
                <w:szCs w:val="20"/>
              </w:rPr>
              <w:t>anty-</w:t>
            </w:r>
            <w:proofErr w:type="spellStart"/>
            <w:r w:rsidRPr="00C8677B">
              <w:rPr>
                <w:rFonts w:eastAsia="+mn-ea"/>
                <w:kern w:val="24"/>
                <w:sz w:val="20"/>
                <w:szCs w:val="20"/>
              </w:rPr>
              <w:t>HBs</w:t>
            </w:r>
            <w:proofErr w:type="spellEnd"/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</w:p>
          <w:p w14:paraId="7B35F80E" w14:textId="0BACBBCC" w:rsidR="0074775E" w:rsidRPr="00C8677B" w:rsidRDefault="00187595" w:rsidP="00C8677B">
            <w:pPr>
              <w:pStyle w:val="NormalnyWeb"/>
              <w:numPr>
                <w:ilvl w:val="2"/>
                <w:numId w:val="19"/>
              </w:numPr>
              <w:spacing w:before="0" w:beforeAutospacing="0" w:after="60" w:afterAutospacing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kern w:val="24"/>
                <w:sz w:val="20"/>
                <w:szCs w:val="20"/>
              </w:rPr>
              <w:t>anty-</w:t>
            </w:r>
            <w:proofErr w:type="spellStart"/>
            <w:r w:rsidRPr="00C8677B">
              <w:rPr>
                <w:rFonts w:eastAsia="+mn-ea"/>
                <w:kern w:val="24"/>
                <w:sz w:val="20"/>
                <w:szCs w:val="20"/>
              </w:rPr>
              <w:t>HBc</w:t>
            </w:r>
            <w:proofErr w:type="spellEnd"/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proofErr w:type="spellStart"/>
            <w:r w:rsidRPr="00C8677B">
              <w:rPr>
                <w:rFonts w:eastAsia="+mn-ea"/>
                <w:kern w:val="24"/>
                <w:sz w:val="20"/>
                <w:szCs w:val="20"/>
              </w:rPr>
              <w:t>IgG</w:t>
            </w:r>
            <w:proofErr w:type="spellEnd"/>
            <w:r w:rsidRPr="00C8677B">
              <w:rPr>
                <w:rFonts w:eastAsia="+mn-ea"/>
                <w:kern w:val="24"/>
                <w:sz w:val="20"/>
                <w:szCs w:val="20"/>
              </w:rPr>
              <w:t>/całkowite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</w:p>
          <w:p w14:paraId="607A193C" w14:textId="0F05A40A" w:rsidR="0074775E" w:rsidRPr="00C8677B" w:rsidRDefault="00187595" w:rsidP="00C8677B">
            <w:pPr>
              <w:pStyle w:val="NormalnyWeb"/>
              <w:numPr>
                <w:ilvl w:val="2"/>
                <w:numId w:val="19"/>
              </w:numPr>
              <w:spacing w:before="0" w:beforeAutospacing="0" w:after="60" w:afterAutospacing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kern w:val="24"/>
                <w:sz w:val="20"/>
                <w:szCs w:val="20"/>
              </w:rPr>
              <w:t>HBV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DNA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ilościowe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</w:p>
          <w:p w14:paraId="4726FF38" w14:textId="5D784164" w:rsidR="0074775E" w:rsidRPr="00C8677B" w:rsidRDefault="00187595" w:rsidP="00C8677B">
            <w:pPr>
              <w:pStyle w:val="NormalnyWeb"/>
              <w:numPr>
                <w:ilvl w:val="2"/>
                <w:numId w:val="19"/>
              </w:numPr>
              <w:spacing w:before="0" w:beforeAutospacing="0" w:after="60" w:afterAutospacing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kern w:val="24"/>
                <w:sz w:val="20"/>
                <w:szCs w:val="20"/>
              </w:rPr>
              <w:t>morfologia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="00A730E4" w:rsidRPr="00C8677B">
              <w:rPr>
                <w:rFonts w:eastAsia="+mn-ea"/>
                <w:kern w:val="24"/>
                <w:sz w:val="20"/>
                <w:szCs w:val="20"/>
              </w:rPr>
              <w:t>krwi</w:t>
            </w:r>
          </w:p>
          <w:p w14:paraId="3E19DAD0" w14:textId="450D943C" w:rsidR="0074775E" w:rsidRPr="00C8677B" w:rsidRDefault="00187595" w:rsidP="00C8677B">
            <w:pPr>
              <w:pStyle w:val="NormalnyWeb"/>
              <w:numPr>
                <w:ilvl w:val="2"/>
                <w:numId w:val="19"/>
              </w:numPr>
              <w:spacing w:before="0" w:beforeAutospacing="0" w:after="60" w:afterAutospacing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kern w:val="24"/>
                <w:sz w:val="20"/>
                <w:szCs w:val="20"/>
              </w:rPr>
              <w:t>ALT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</w:p>
          <w:p w14:paraId="0767A76E" w14:textId="5947AA71" w:rsidR="002B5365" w:rsidRPr="00C8677B" w:rsidRDefault="00C8677B" w:rsidP="00C8677B">
            <w:pPr>
              <w:pStyle w:val="NormalnyWeb"/>
              <w:numPr>
                <w:ilvl w:val="2"/>
                <w:numId w:val="19"/>
              </w:numPr>
              <w:spacing w:before="0" w:beforeAutospacing="0" w:after="60" w:afterAutospacing="0"/>
              <w:jc w:val="both"/>
              <w:rPr>
                <w:sz w:val="20"/>
                <w:szCs w:val="20"/>
              </w:rPr>
            </w:pPr>
            <w:r>
              <w:rPr>
                <w:rFonts w:eastAsia="+mn-ea"/>
                <w:kern w:val="24"/>
                <w:sz w:val="20"/>
                <w:szCs w:val="20"/>
              </w:rPr>
              <w:t>k</w:t>
            </w:r>
            <w:r w:rsidR="00363B97" w:rsidRPr="00C8677B">
              <w:rPr>
                <w:rFonts w:eastAsia="+mn-ea"/>
                <w:kern w:val="24"/>
                <w:sz w:val="20"/>
                <w:szCs w:val="20"/>
              </w:rPr>
              <w:t>reatynina</w:t>
            </w:r>
          </w:p>
          <w:p w14:paraId="42E23B25" w14:textId="77777777" w:rsidR="00C8677B" w:rsidRPr="00C8677B" w:rsidRDefault="00C8677B" w:rsidP="00C8677B">
            <w:pPr>
              <w:pStyle w:val="NormalnyWeb"/>
              <w:spacing w:before="0" w:beforeAutospacing="0" w:after="60" w:afterAutospacing="0"/>
              <w:ind w:left="397"/>
              <w:jc w:val="both"/>
              <w:rPr>
                <w:sz w:val="20"/>
                <w:szCs w:val="20"/>
              </w:rPr>
            </w:pPr>
          </w:p>
          <w:p w14:paraId="7A01B848" w14:textId="161CE61C" w:rsidR="0074775E" w:rsidRPr="00C8677B" w:rsidRDefault="00231CA4" w:rsidP="00C8677B">
            <w:pPr>
              <w:pStyle w:val="Akapitzlist"/>
              <w:numPr>
                <w:ilvl w:val="0"/>
                <w:numId w:val="19"/>
              </w:numPr>
              <w:spacing w:after="60"/>
              <w:contextualSpacing w:val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Badania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w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363B97" w:rsidRPr="00C8677B">
              <w:rPr>
                <w:rFonts w:eastAsia="+mn-ea"/>
                <w:b/>
                <w:kern w:val="24"/>
                <w:sz w:val="20"/>
                <w:szCs w:val="20"/>
              </w:rPr>
              <w:t>trakcie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363B97" w:rsidRPr="00C8677B">
              <w:rPr>
                <w:rFonts w:eastAsia="+mn-ea"/>
                <w:b/>
                <w:kern w:val="24"/>
                <w:sz w:val="20"/>
                <w:szCs w:val="20"/>
              </w:rPr>
              <w:t>leczenia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F6091E" w:rsidRPr="00C8677B">
              <w:rPr>
                <w:rFonts w:eastAsia="+mn-ea"/>
                <w:b/>
                <w:kern w:val="24"/>
                <w:sz w:val="20"/>
                <w:szCs w:val="20"/>
              </w:rPr>
              <w:t>związanego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F6091E" w:rsidRPr="00C8677B">
              <w:rPr>
                <w:rFonts w:eastAsia="+mn-ea"/>
                <w:b/>
                <w:kern w:val="24"/>
                <w:sz w:val="20"/>
                <w:szCs w:val="20"/>
              </w:rPr>
              <w:t>z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F6091E" w:rsidRPr="00C8677B">
              <w:rPr>
                <w:rFonts w:eastAsia="+mn-ea"/>
                <w:b/>
                <w:kern w:val="24"/>
                <w:sz w:val="20"/>
                <w:szCs w:val="20"/>
              </w:rPr>
              <w:t>ryzykiem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F6091E" w:rsidRPr="00C8677B">
              <w:rPr>
                <w:rFonts w:eastAsia="+mn-ea"/>
                <w:b/>
                <w:kern w:val="24"/>
                <w:sz w:val="20"/>
                <w:szCs w:val="20"/>
              </w:rPr>
              <w:t>reaktywacji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F6091E" w:rsidRPr="00C8677B">
              <w:rPr>
                <w:rFonts w:eastAsia="+mn-ea"/>
                <w:b/>
                <w:kern w:val="24"/>
                <w:sz w:val="20"/>
                <w:szCs w:val="20"/>
              </w:rPr>
              <w:t>HBV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77379A" w:rsidRPr="00C8677B">
              <w:rPr>
                <w:rFonts w:eastAsia="+mn-ea"/>
                <w:b/>
                <w:kern w:val="24"/>
                <w:sz w:val="20"/>
                <w:szCs w:val="20"/>
              </w:rPr>
              <w:t>-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74775E" w:rsidRPr="00C8677B">
              <w:rPr>
                <w:rFonts w:eastAsia="+mn-ea"/>
                <w:kern w:val="24"/>
                <w:sz w:val="20"/>
                <w:szCs w:val="20"/>
              </w:rPr>
              <w:t>co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="0074775E" w:rsidRPr="00C8677B">
              <w:rPr>
                <w:rFonts w:eastAsia="+mn-ea"/>
                <w:kern w:val="24"/>
                <w:sz w:val="20"/>
                <w:szCs w:val="20"/>
              </w:rPr>
              <w:t>3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="0074775E" w:rsidRPr="00C8677B">
              <w:rPr>
                <w:rFonts w:eastAsia="+mn-ea"/>
                <w:kern w:val="24"/>
                <w:sz w:val="20"/>
                <w:szCs w:val="20"/>
              </w:rPr>
              <w:t>miesiące:</w:t>
            </w:r>
          </w:p>
          <w:p w14:paraId="5166DFBA" w14:textId="77777777" w:rsidR="0074775E" w:rsidRPr="00C8677B" w:rsidRDefault="00363B97" w:rsidP="00C8677B">
            <w:pPr>
              <w:pStyle w:val="Akapitzlist"/>
              <w:numPr>
                <w:ilvl w:val="2"/>
                <w:numId w:val="19"/>
              </w:numPr>
              <w:spacing w:after="60"/>
              <w:contextualSpacing w:val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kern w:val="24"/>
                <w:sz w:val="20"/>
                <w:szCs w:val="20"/>
              </w:rPr>
              <w:t>ALT</w:t>
            </w:r>
          </w:p>
          <w:p w14:paraId="0C389677" w14:textId="42E46984" w:rsidR="002B5365" w:rsidRPr="00C8677B" w:rsidRDefault="009C422B" w:rsidP="00C8677B">
            <w:pPr>
              <w:pStyle w:val="Akapitzlist"/>
              <w:numPr>
                <w:ilvl w:val="2"/>
                <w:numId w:val="19"/>
              </w:numPr>
              <w:spacing w:after="60"/>
              <w:contextualSpacing w:val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kern w:val="24"/>
                <w:sz w:val="20"/>
                <w:szCs w:val="20"/>
              </w:rPr>
              <w:t>HBV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DNA</w:t>
            </w:r>
          </w:p>
          <w:p w14:paraId="390DAA2D" w14:textId="77777777" w:rsidR="00C8677B" w:rsidRPr="00C8677B" w:rsidRDefault="00C8677B" w:rsidP="00C8677B">
            <w:pPr>
              <w:pStyle w:val="Akapitzlist"/>
              <w:spacing w:after="60"/>
              <w:ind w:left="397"/>
              <w:contextualSpacing w:val="0"/>
              <w:jc w:val="both"/>
              <w:rPr>
                <w:rFonts w:eastAsia="+mn-ea"/>
                <w:kern w:val="24"/>
                <w:sz w:val="20"/>
                <w:szCs w:val="20"/>
              </w:rPr>
            </w:pPr>
          </w:p>
          <w:p w14:paraId="1EEE9A98" w14:textId="1C6A0E28" w:rsidR="00F6091E" w:rsidRPr="00C8677B" w:rsidRDefault="00F6091E" w:rsidP="00C8677B">
            <w:pPr>
              <w:pStyle w:val="Akapitzlist"/>
              <w:numPr>
                <w:ilvl w:val="0"/>
                <w:numId w:val="19"/>
              </w:numPr>
              <w:spacing w:after="60"/>
              <w:contextualSpacing w:val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Monitorowanie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w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trakcie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18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miesięcznej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kontynuacji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profilaktyki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po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zakończeniu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leczenia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związanego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z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ryzykiem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reaktywacji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HBV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231CA4" w:rsidRPr="00C8677B">
              <w:rPr>
                <w:rFonts w:eastAsia="+mn-ea"/>
                <w:b/>
                <w:kern w:val="24"/>
                <w:sz w:val="20"/>
                <w:szCs w:val="20"/>
              </w:rPr>
              <w:t>oraz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231CA4" w:rsidRPr="00C8677B">
              <w:rPr>
                <w:rFonts w:eastAsia="+mn-ea"/>
                <w:b/>
                <w:kern w:val="24"/>
                <w:sz w:val="20"/>
                <w:szCs w:val="20"/>
              </w:rPr>
              <w:t>w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231CA4" w:rsidRPr="00C8677B">
              <w:rPr>
                <w:rFonts w:eastAsia="+mn-ea"/>
                <w:b/>
                <w:kern w:val="24"/>
                <w:sz w:val="20"/>
                <w:szCs w:val="20"/>
              </w:rPr>
              <w:t>ciągu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231CA4" w:rsidRPr="00C8677B">
              <w:rPr>
                <w:rFonts w:eastAsia="+mn-ea"/>
                <w:b/>
                <w:kern w:val="24"/>
                <w:sz w:val="20"/>
                <w:szCs w:val="20"/>
              </w:rPr>
              <w:t>12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231CA4" w:rsidRPr="00C8677B">
              <w:rPr>
                <w:rFonts w:eastAsia="+mn-ea"/>
                <w:b/>
                <w:kern w:val="24"/>
                <w:sz w:val="20"/>
                <w:szCs w:val="20"/>
              </w:rPr>
              <w:t>miesięcy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231CA4" w:rsidRPr="00C8677B">
              <w:rPr>
                <w:rFonts w:eastAsia="+mn-ea"/>
                <w:b/>
                <w:kern w:val="24"/>
                <w:sz w:val="20"/>
                <w:szCs w:val="20"/>
              </w:rPr>
              <w:t>po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231CA4" w:rsidRPr="00C8677B">
              <w:rPr>
                <w:rFonts w:eastAsia="+mn-ea"/>
                <w:b/>
                <w:kern w:val="24"/>
                <w:sz w:val="20"/>
                <w:szCs w:val="20"/>
              </w:rPr>
              <w:t>zakończeniu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231CA4" w:rsidRPr="00C8677B">
              <w:rPr>
                <w:rFonts w:eastAsia="+mn-ea"/>
                <w:b/>
                <w:kern w:val="24"/>
                <w:sz w:val="20"/>
                <w:szCs w:val="20"/>
              </w:rPr>
              <w:t>profilaktyki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231CA4" w:rsidRPr="00C8677B">
              <w:rPr>
                <w:rFonts w:eastAsia="+mn-ea"/>
                <w:b/>
                <w:kern w:val="24"/>
                <w:sz w:val="20"/>
                <w:szCs w:val="20"/>
              </w:rPr>
              <w:t>reaktywacji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="00231CA4" w:rsidRPr="00C8677B">
              <w:rPr>
                <w:rFonts w:eastAsia="+mn-ea"/>
                <w:b/>
                <w:kern w:val="24"/>
                <w:sz w:val="20"/>
                <w:szCs w:val="20"/>
              </w:rPr>
              <w:t>HBV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b/>
                <w:kern w:val="24"/>
                <w:sz w:val="20"/>
                <w:szCs w:val="20"/>
              </w:rPr>
              <w:t>-</w:t>
            </w:r>
            <w:r w:rsidR="00C8677B" w:rsidRPr="00C8677B">
              <w:rPr>
                <w:rFonts w:eastAsia="+mn-ea"/>
                <w:b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co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3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miesiące:</w:t>
            </w:r>
          </w:p>
          <w:p w14:paraId="45C668FF" w14:textId="272F87E1" w:rsidR="002B5365" w:rsidRPr="00C8677B" w:rsidRDefault="00F6091E" w:rsidP="00C8677B">
            <w:pPr>
              <w:pStyle w:val="Akapitzlist"/>
              <w:numPr>
                <w:ilvl w:val="2"/>
                <w:numId w:val="19"/>
              </w:numPr>
              <w:spacing w:after="60"/>
              <w:contextualSpacing w:val="0"/>
              <w:jc w:val="both"/>
              <w:rPr>
                <w:rFonts w:eastAsia="+mn-ea"/>
                <w:kern w:val="24"/>
                <w:sz w:val="20"/>
                <w:szCs w:val="20"/>
              </w:rPr>
            </w:pPr>
            <w:r w:rsidRPr="00C8677B">
              <w:rPr>
                <w:rFonts w:eastAsia="+mn-ea"/>
                <w:kern w:val="24"/>
                <w:sz w:val="20"/>
                <w:szCs w:val="20"/>
              </w:rPr>
              <w:t>HBV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  <w:r w:rsidRPr="00C8677B">
              <w:rPr>
                <w:rFonts w:eastAsia="+mn-ea"/>
                <w:kern w:val="24"/>
                <w:sz w:val="20"/>
                <w:szCs w:val="20"/>
              </w:rPr>
              <w:t>DNA</w:t>
            </w:r>
            <w:r w:rsidR="00C8677B" w:rsidRPr="00C8677B">
              <w:rPr>
                <w:rFonts w:eastAsia="+mn-ea"/>
                <w:kern w:val="24"/>
                <w:sz w:val="20"/>
                <w:szCs w:val="20"/>
              </w:rPr>
              <w:t xml:space="preserve"> </w:t>
            </w:r>
          </w:p>
          <w:p w14:paraId="0F9D5088" w14:textId="77777777" w:rsidR="00C8677B" w:rsidRPr="00C8677B" w:rsidRDefault="00C8677B" w:rsidP="00C8677B">
            <w:pPr>
              <w:pStyle w:val="Akapitzlist"/>
              <w:spacing w:after="60"/>
              <w:ind w:left="397"/>
              <w:contextualSpacing w:val="0"/>
              <w:jc w:val="both"/>
              <w:rPr>
                <w:rFonts w:eastAsia="+mn-ea"/>
                <w:kern w:val="24"/>
                <w:sz w:val="20"/>
                <w:szCs w:val="20"/>
              </w:rPr>
            </w:pPr>
          </w:p>
          <w:p w14:paraId="58BBA9EB" w14:textId="78506E48" w:rsidR="00231CA4" w:rsidRPr="00C8677B" w:rsidRDefault="00DF3B91" w:rsidP="00C8677B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C8677B">
              <w:rPr>
                <w:b/>
                <w:bCs/>
                <w:sz w:val="20"/>
                <w:szCs w:val="20"/>
              </w:rPr>
              <w:t>Monitorowanie</w:t>
            </w:r>
            <w:r w:rsidR="00C8677B" w:rsidRPr="00C8677B">
              <w:rPr>
                <w:b/>
                <w:bCs/>
                <w:sz w:val="20"/>
                <w:szCs w:val="20"/>
              </w:rPr>
              <w:t xml:space="preserve"> </w:t>
            </w:r>
            <w:r w:rsidR="00231CA4" w:rsidRPr="00C8677B">
              <w:rPr>
                <w:b/>
                <w:bCs/>
                <w:sz w:val="20"/>
                <w:szCs w:val="20"/>
              </w:rPr>
              <w:t>programu</w:t>
            </w:r>
          </w:p>
          <w:p w14:paraId="32728BB7" w14:textId="03B99F49" w:rsidR="00231CA4" w:rsidRPr="00C8677B" w:rsidRDefault="00231CA4" w:rsidP="00C8677B">
            <w:pPr>
              <w:pStyle w:val="Akapitzlist"/>
              <w:numPr>
                <w:ilvl w:val="2"/>
                <w:numId w:val="19"/>
              </w:numPr>
              <w:spacing w:after="60"/>
              <w:contextualSpacing w:val="0"/>
              <w:jc w:val="both"/>
              <w:rPr>
                <w:sz w:val="20"/>
                <w:szCs w:val="20"/>
              </w:rPr>
            </w:pPr>
            <w:r w:rsidRPr="00C8677B">
              <w:rPr>
                <w:sz w:val="20"/>
                <w:szCs w:val="20"/>
              </w:rPr>
              <w:t>Przekazywanie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do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NFZ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zakresu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informacji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sprawozdawczo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–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rozliczeniowych</w:t>
            </w:r>
            <w:r w:rsidR="00C8677B" w:rsidRPr="00C8677B">
              <w:rPr>
                <w:sz w:val="20"/>
                <w:szCs w:val="20"/>
              </w:rPr>
              <w:t>.</w:t>
            </w:r>
          </w:p>
          <w:p w14:paraId="6F66C22C" w14:textId="1D23D2A3" w:rsidR="00231CA4" w:rsidRPr="00C8677B" w:rsidRDefault="00231CA4" w:rsidP="00C8677B">
            <w:pPr>
              <w:pStyle w:val="Akapitzlist"/>
              <w:numPr>
                <w:ilvl w:val="2"/>
                <w:numId w:val="19"/>
              </w:numPr>
              <w:spacing w:after="60"/>
              <w:contextualSpacing w:val="0"/>
              <w:jc w:val="both"/>
              <w:rPr>
                <w:sz w:val="20"/>
                <w:szCs w:val="20"/>
              </w:rPr>
            </w:pPr>
            <w:r w:rsidRPr="00C8677B">
              <w:rPr>
                <w:sz w:val="20"/>
                <w:szCs w:val="20"/>
              </w:rPr>
              <w:t>Uzupełnianie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danych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zawartych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w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rejestrze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SMPT,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dostępnym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za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pomocą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aplikacji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internetowej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udostępnionej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przez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oddziały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wojewódzkie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NFZ,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nie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rzadziej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niż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co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3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miesiące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oraz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na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zakończenie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leczenia.</w:t>
            </w:r>
          </w:p>
          <w:p w14:paraId="7CA94B59" w14:textId="3B96F9DA" w:rsidR="002B5365" w:rsidRPr="00C8677B" w:rsidRDefault="00231CA4" w:rsidP="00C8677B">
            <w:pPr>
              <w:pStyle w:val="Akapitzlist"/>
              <w:numPr>
                <w:ilvl w:val="2"/>
                <w:numId w:val="19"/>
              </w:numPr>
              <w:spacing w:after="60"/>
              <w:contextualSpacing w:val="0"/>
              <w:jc w:val="both"/>
              <w:rPr>
                <w:sz w:val="20"/>
                <w:szCs w:val="20"/>
              </w:rPr>
            </w:pPr>
            <w:r w:rsidRPr="00C8677B">
              <w:rPr>
                <w:sz w:val="20"/>
                <w:szCs w:val="20"/>
              </w:rPr>
              <w:t>Dane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dotyczące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monitorowania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leczenia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należy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gromadzić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w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dokumentacji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pacjenta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i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każdorazowo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przedstawiać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na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żądanie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kontrolerom</w:t>
            </w:r>
            <w:r w:rsidR="00C8677B" w:rsidRPr="00C8677B">
              <w:rPr>
                <w:sz w:val="20"/>
                <w:szCs w:val="20"/>
              </w:rPr>
              <w:t xml:space="preserve"> </w:t>
            </w:r>
            <w:r w:rsidRPr="00C8677B">
              <w:rPr>
                <w:sz w:val="20"/>
                <w:szCs w:val="20"/>
              </w:rPr>
              <w:t>NFZ.</w:t>
            </w:r>
          </w:p>
          <w:p w14:paraId="040A8047" w14:textId="24DAE5A9" w:rsidR="00C8677B" w:rsidRPr="00C8677B" w:rsidRDefault="00C8677B" w:rsidP="00C8677B">
            <w:pPr>
              <w:pStyle w:val="Akapitzlist"/>
              <w:spacing w:after="60"/>
              <w:ind w:left="397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14:paraId="0D17292E" w14:textId="77777777" w:rsidR="00FE2ABE" w:rsidRPr="002B72EE" w:rsidRDefault="00FE2ABE" w:rsidP="00194C2E">
      <w:pPr>
        <w:rPr>
          <w:rFonts w:ascii="Times New Roman" w:hAnsi="Times New Roman" w:cs="Times New Roman"/>
          <w:sz w:val="6"/>
          <w:szCs w:val="20"/>
        </w:rPr>
      </w:pPr>
    </w:p>
    <w:sectPr w:rsidR="00FE2ABE" w:rsidRPr="002B72EE" w:rsidSect="002B5365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35A57" w14:textId="77777777" w:rsidR="0033722A" w:rsidRDefault="0033722A" w:rsidP="0033722A">
      <w:pPr>
        <w:spacing w:after="0" w:line="240" w:lineRule="auto"/>
      </w:pPr>
      <w:r>
        <w:separator/>
      </w:r>
    </w:p>
  </w:endnote>
  <w:endnote w:type="continuationSeparator" w:id="0">
    <w:p w14:paraId="36CF4BF4" w14:textId="77777777" w:rsidR="0033722A" w:rsidRDefault="0033722A" w:rsidP="00337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FD9D9" w14:textId="77777777" w:rsidR="0033722A" w:rsidRDefault="0033722A" w:rsidP="0033722A">
      <w:pPr>
        <w:spacing w:after="0" w:line="240" w:lineRule="auto"/>
      </w:pPr>
      <w:r>
        <w:separator/>
      </w:r>
    </w:p>
  </w:footnote>
  <w:footnote w:type="continuationSeparator" w:id="0">
    <w:p w14:paraId="427E77AA" w14:textId="77777777" w:rsidR="0033722A" w:rsidRDefault="0033722A" w:rsidP="00337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4238"/>
    <w:multiLevelType w:val="hybridMultilevel"/>
    <w:tmpl w:val="0B8AF934"/>
    <w:lvl w:ilvl="0" w:tplc="D084FD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20B7"/>
    <w:multiLevelType w:val="hybridMultilevel"/>
    <w:tmpl w:val="A62C4DE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05844"/>
    <w:multiLevelType w:val="hybridMultilevel"/>
    <w:tmpl w:val="E5E65BD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64B"/>
    <w:multiLevelType w:val="hybridMultilevel"/>
    <w:tmpl w:val="54304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2780A"/>
    <w:multiLevelType w:val="hybridMultilevel"/>
    <w:tmpl w:val="E3165526"/>
    <w:lvl w:ilvl="0" w:tplc="F9DE6B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9E6E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925D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E204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429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272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640F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1E91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72EB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8772C8"/>
    <w:multiLevelType w:val="hybridMultilevel"/>
    <w:tmpl w:val="64D23AFE"/>
    <w:lvl w:ilvl="0" w:tplc="A2181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E4EA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8A77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86B2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A3F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7C77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34C5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6432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567C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00831A8"/>
    <w:multiLevelType w:val="hybridMultilevel"/>
    <w:tmpl w:val="65D4E786"/>
    <w:lvl w:ilvl="0" w:tplc="9D5C50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048D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825F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A29A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81F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48E9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8E26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50CD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C6AF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0F96520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411C021E"/>
    <w:multiLevelType w:val="multilevel"/>
    <w:tmpl w:val="9EE0A2D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43B35BB8"/>
    <w:multiLevelType w:val="hybridMultilevel"/>
    <w:tmpl w:val="C12665D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048D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825F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A29A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81F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48E9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8E26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50CD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C6AF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70A1296"/>
    <w:multiLevelType w:val="hybridMultilevel"/>
    <w:tmpl w:val="81680C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240D3"/>
    <w:multiLevelType w:val="hybridMultilevel"/>
    <w:tmpl w:val="63948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B3F12"/>
    <w:multiLevelType w:val="hybridMultilevel"/>
    <w:tmpl w:val="8DAEDA3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124AB"/>
    <w:multiLevelType w:val="hybridMultilevel"/>
    <w:tmpl w:val="C6A41F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71F16"/>
    <w:multiLevelType w:val="hybridMultilevel"/>
    <w:tmpl w:val="67221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B5992"/>
    <w:multiLevelType w:val="hybridMultilevel"/>
    <w:tmpl w:val="1B2CE7D8"/>
    <w:lvl w:ilvl="0" w:tplc="F48EB5E6">
      <w:start w:val="1"/>
      <w:numFmt w:val="decimal"/>
      <w:lvlText w:val="%1."/>
      <w:lvlJc w:val="left"/>
      <w:pPr>
        <w:ind w:left="720" w:hanging="360"/>
      </w:pPr>
      <w:rPr>
        <w:rFonts w:asciiTheme="minorHAnsi" w:eastAsia="+mn-ea" w:hAnsiTheme="minorHAnsi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41B8A"/>
    <w:multiLevelType w:val="hybridMultilevel"/>
    <w:tmpl w:val="309C2CD2"/>
    <w:lvl w:ilvl="0" w:tplc="148A5B8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60" w:hanging="360"/>
      </w:pPr>
    </w:lvl>
    <w:lvl w:ilvl="2" w:tplc="0415001B" w:tentative="1">
      <w:start w:val="1"/>
      <w:numFmt w:val="lowerRoman"/>
      <w:lvlText w:val="%3."/>
      <w:lvlJc w:val="right"/>
      <w:pPr>
        <w:ind w:left="1880" w:hanging="180"/>
      </w:pPr>
    </w:lvl>
    <w:lvl w:ilvl="3" w:tplc="0415000F" w:tentative="1">
      <w:start w:val="1"/>
      <w:numFmt w:val="decimal"/>
      <w:lvlText w:val="%4."/>
      <w:lvlJc w:val="left"/>
      <w:pPr>
        <w:ind w:left="2600" w:hanging="360"/>
      </w:pPr>
    </w:lvl>
    <w:lvl w:ilvl="4" w:tplc="04150019" w:tentative="1">
      <w:start w:val="1"/>
      <w:numFmt w:val="lowerLetter"/>
      <w:lvlText w:val="%5."/>
      <w:lvlJc w:val="left"/>
      <w:pPr>
        <w:ind w:left="3320" w:hanging="360"/>
      </w:pPr>
    </w:lvl>
    <w:lvl w:ilvl="5" w:tplc="0415001B" w:tentative="1">
      <w:start w:val="1"/>
      <w:numFmt w:val="lowerRoman"/>
      <w:lvlText w:val="%6."/>
      <w:lvlJc w:val="right"/>
      <w:pPr>
        <w:ind w:left="4040" w:hanging="180"/>
      </w:pPr>
    </w:lvl>
    <w:lvl w:ilvl="6" w:tplc="0415000F" w:tentative="1">
      <w:start w:val="1"/>
      <w:numFmt w:val="decimal"/>
      <w:lvlText w:val="%7."/>
      <w:lvlJc w:val="left"/>
      <w:pPr>
        <w:ind w:left="4760" w:hanging="360"/>
      </w:pPr>
    </w:lvl>
    <w:lvl w:ilvl="7" w:tplc="04150019" w:tentative="1">
      <w:start w:val="1"/>
      <w:numFmt w:val="lowerLetter"/>
      <w:lvlText w:val="%8."/>
      <w:lvlJc w:val="left"/>
      <w:pPr>
        <w:ind w:left="5480" w:hanging="360"/>
      </w:pPr>
    </w:lvl>
    <w:lvl w:ilvl="8" w:tplc="0415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7" w15:restartNumberingAfterBreak="0">
    <w:nsid w:val="70A82CD1"/>
    <w:multiLevelType w:val="multilevel"/>
    <w:tmpl w:val="C7AA4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D7418D7"/>
    <w:multiLevelType w:val="hybridMultilevel"/>
    <w:tmpl w:val="623A9FD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15"/>
  </w:num>
  <w:num w:numId="6">
    <w:abstractNumId w:val="16"/>
  </w:num>
  <w:num w:numId="7">
    <w:abstractNumId w:val="12"/>
  </w:num>
  <w:num w:numId="8">
    <w:abstractNumId w:val="2"/>
  </w:num>
  <w:num w:numId="9">
    <w:abstractNumId w:val="11"/>
  </w:num>
  <w:num w:numId="10">
    <w:abstractNumId w:val="3"/>
  </w:num>
  <w:num w:numId="11">
    <w:abstractNumId w:val="14"/>
  </w:num>
  <w:num w:numId="12">
    <w:abstractNumId w:val="13"/>
  </w:num>
  <w:num w:numId="13">
    <w:abstractNumId w:val="17"/>
  </w:num>
  <w:num w:numId="14">
    <w:abstractNumId w:val="0"/>
  </w:num>
  <w:num w:numId="15">
    <w:abstractNumId w:val="1"/>
  </w:num>
  <w:num w:numId="16">
    <w:abstractNumId w:val="10"/>
  </w:num>
  <w:num w:numId="17">
    <w:abstractNumId w:val="18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BE"/>
    <w:rsid w:val="00002FB3"/>
    <w:rsid w:val="00003F07"/>
    <w:rsid w:val="000056EA"/>
    <w:rsid w:val="00006006"/>
    <w:rsid w:val="000065D4"/>
    <w:rsid w:val="000072C3"/>
    <w:rsid w:val="0001172B"/>
    <w:rsid w:val="0002674D"/>
    <w:rsid w:val="00027BC7"/>
    <w:rsid w:val="000310A4"/>
    <w:rsid w:val="00031901"/>
    <w:rsid w:val="00036847"/>
    <w:rsid w:val="00037F3A"/>
    <w:rsid w:val="00043201"/>
    <w:rsid w:val="00044970"/>
    <w:rsid w:val="000464A9"/>
    <w:rsid w:val="00053C8F"/>
    <w:rsid w:val="00054F68"/>
    <w:rsid w:val="00055EBC"/>
    <w:rsid w:val="00057305"/>
    <w:rsid w:val="00066F67"/>
    <w:rsid w:val="00073A60"/>
    <w:rsid w:val="00075804"/>
    <w:rsid w:val="00076ED6"/>
    <w:rsid w:val="000816EE"/>
    <w:rsid w:val="00082D74"/>
    <w:rsid w:val="000845F6"/>
    <w:rsid w:val="000865ED"/>
    <w:rsid w:val="00092940"/>
    <w:rsid w:val="000936BE"/>
    <w:rsid w:val="00097A05"/>
    <w:rsid w:val="00097FB7"/>
    <w:rsid w:val="000B06FA"/>
    <w:rsid w:val="000B653C"/>
    <w:rsid w:val="000C5415"/>
    <w:rsid w:val="000C7CD7"/>
    <w:rsid w:val="000D0897"/>
    <w:rsid w:val="000D1A09"/>
    <w:rsid w:val="000D3B4F"/>
    <w:rsid w:val="000E42B2"/>
    <w:rsid w:val="000E512D"/>
    <w:rsid w:val="000F06E2"/>
    <w:rsid w:val="000F0CB6"/>
    <w:rsid w:val="00100A37"/>
    <w:rsid w:val="00112AE5"/>
    <w:rsid w:val="00121247"/>
    <w:rsid w:val="001238BB"/>
    <w:rsid w:val="0012420C"/>
    <w:rsid w:val="0012600B"/>
    <w:rsid w:val="00127323"/>
    <w:rsid w:val="00131134"/>
    <w:rsid w:val="0013263C"/>
    <w:rsid w:val="001341E4"/>
    <w:rsid w:val="00135630"/>
    <w:rsid w:val="00140718"/>
    <w:rsid w:val="001431A5"/>
    <w:rsid w:val="00145353"/>
    <w:rsid w:val="00154A1D"/>
    <w:rsid w:val="00156831"/>
    <w:rsid w:val="001660C4"/>
    <w:rsid w:val="00180710"/>
    <w:rsid w:val="00180AF7"/>
    <w:rsid w:val="00187595"/>
    <w:rsid w:val="00190B2C"/>
    <w:rsid w:val="00193E8D"/>
    <w:rsid w:val="00194C2E"/>
    <w:rsid w:val="001953AF"/>
    <w:rsid w:val="00195694"/>
    <w:rsid w:val="001A09B6"/>
    <w:rsid w:val="001A09CC"/>
    <w:rsid w:val="001A180A"/>
    <w:rsid w:val="001A1883"/>
    <w:rsid w:val="001A4EA0"/>
    <w:rsid w:val="001A4F01"/>
    <w:rsid w:val="001A520A"/>
    <w:rsid w:val="001B1015"/>
    <w:rsid w:val="001B31D4"/>
    <w:rsid w:val="001B49D7"/>
    <w:rsid w:val="001B511F"/>
    <w:rsid w:val="001C70DF"/>
    <w:rsid w:val="001C7B23"/>
    <w:rsid w:val="001D0D7C"/>
    <w:rsid w:val="001D195C"/>
    <w:rsid w:val="001E13E6"/>
    <w:rsid w:val="001E3334"/>
    <w:rsid w:val="001E4B62"/>
    <w:rsid w:val="001E5D88"/>
    <w:rsid w:val="001E6CBD"/>
    <w:rsid w:val="001E6FD5"/>
    <w:rsid w:val="001F3CF8"/>
    <w:rsid w:val="001F5506"/>
    <w:rsid w:val="001F6D93"/>
    <w:rsid w:val="001F7E4B"/>
    <w:rsid w:val="00202444"/>
    <w:rsid w:val="00203FFC"/>
    <w:rsid w:val="00210315"/>
    <w:rsid w:val="00210CCA"/>
    <w:rsid w:val="00211957"/>
    <w:rsid w:val="00222079"/>
    <w:rsid w:val="00231CA4"/>
    <w:rsid w:val="002320AF"/>
    <w:rsid w:val="00233FC0"/>
    <w:rsid w:val="00235901"/>
    <w:rsid w:val="002403FE"/>
    <w:rsid w:val="0024091D"/>
    <w:rsid w:val="0024350C"/>
    <w:rsid w:val="00246BFA"/>
    <w:rsid w:val="00251267"/>
    <w:rsid w:val="0025303E"/>
    <w:rsid w:val="002532AF"/>
    <w:rsid w:val="00255139"/>
    <w:rsid w:val="00256FDB"/>
    <w:rsid w:val="00261403"/>
    <w:rsid w:val="00262202"/>
    <w:rsid w:val="00262970"/>
    <w:rsid w:val="00264311"/>
    <w:rsid w:val="002671EB"/>
    <w:rsid w:val="002702A4"/>
    <w:rsid w:val="00284E81"/>
    <w:rsid w:val="00287053"/>
    <w:rsid w:val="00287C90"/>
    <w:rsid w:val="0029201E"/>
    <w:rsid w:val="002924D9"/>
    <w:rsid w:val="00295459"/>
    <w:rsid w:val="00296E9D"/>
    <w:rsid w:val="002A054B"/>
    <w:rsid w:val="002B1708"/>
    <w:rsid w:val="002B3CF8"/>
    <w:rsid w:val="002B4D99"/>
    <w:rsid w:val="002B5365"/>
    <w:rsid w:val="002B72EE"/>
    <w:rsid w:val="002C0481"/>
    <w:rsid w:val="002C2AE8"/>
    <w:rsid w:val="002C4DE8"/>
    <w:rsid w:val="002C5416"/>
    <w:rsid w:val="002C594F"/>
    <w:rsid w:val="002D20EE"/>
    <w:rsid w:val="002D613C"/>
    <w:rsid w:val="002E35D1"/>
    <w:rsid w:val="002E4C89"/>
    <w:rsid w:val="002F2831"/>
    <w:rsid w:val="002F3450"/>
    <w:rsid w:val="002F7221"/>
    <w:rsid w:val="00301650"/>
    <w:rsid w:val="00302303"/>
    <w:rsid w:val="00305F8C"/>
    <w:rsid w:val="0030633C"/>
    <w:rsid w:val="0031043B"/>
    <w:rsid w:val="003174EF"/>
    <w:rsid w:val="00320D64"/>
    <w:rsid w:val="00322F85"/>
    <w:rsid w:val="00324152"/>
    <w:rsid w:val="00335031"/>
    <w:rsid w:val="0033722A"/>
    <w:rsid w:val="00340DAB"/>
    <w:rsid w:val="00343F0A"/>
    <w:rsid w:val="00345A89"/>
    <w:rsid w:val="00346ED3"/>
    <w:rsid w:val="00347C0A"/>
    <w:rsid w:val="00347F75"/>
    <w:rsid w:val="00350C53"/>
    <w:rsid w:val="00353B70"/>
    <w:rsid w:val="00360D2C"/>
    <w:rsid w:val="0036223A"/>
    <w:rsid w:val="003628D2"/>
    <w:rsid w:val="00362A96"/>
    <w:rsid w:val="00363B97"/>
    <w:rsid w:val="00371859"/>
    <w:rsid w:val="003731E3"/>
    <w:rsid w:val="00376E78"/>
    <w:rsid w:val="003777F1"/>
    <w:rsid w:val="00380857"/>
    <w:rsid w:val="00380907"/>
    <w:rsid w:val="00386F85"/>
    <w:rsid w:val="003871CB"/>
    <w:rsid w:val="003874D2"/>
    <w:rsid w:val="0039436F"/>
    <w:rsid w:val="003A5456"/>
    <w:rsid w:val="003B1851"/>
    <w:rsid w:val="003C047C"/>
    <w:rsid w:val="003C2BE0"/>
    <w:rsid w:val="003C6C3D"/>
    <w:rsid w:val="003D0285"/>
    <w:rsid w:val="003D30DB"/>
    <w:rsid w:val="003E0039"/>
    <w:rsid w:val="003E4233"/>
    <w:rsid w:val="003E6A72"/>
    <w:rsid w:val="003E7C26"/>
    <w:rsid w:val="003F7B07"/>
    <w:rsid w:val="00400A04"/>
    <w:rsid w:val="00406CE0"/>
    <w:rsid w:val="004120F4"/>
    <w:rsid w:val="00412C7B"/>
    <w:rsid w:val="0041599D"/>
    <w:rsid w:val="00415E9E"/>
    <w:rsid w:val="00420761"/>
    <w:rsid w:val="004225C3"/>
    <w:rsid w:val="00423CAD"/>
    <w:rsid w:val="004323F2"/>
    <w:rsid w:val="00435752"/>
    <w:rsid w:val="0044152B"/>
    <w:rsid w:val="004506DA"/>
    <w:rsid w:val="0045557E"/>
    <w:rsid w:val="00456817"/>
    <w:rsid w:val="00456CFB"/>
    <w:rsid w:val="00457DA3"/>
    <w:rsid w:val="00461DC4"/>
    <w:rsid w:val="00466984"/>
    <w:rsid w:val="004733D1"/>
    <w:rsid w:val="00474212"/>
    <w:rsid w:val="00474BDA"/>
    <w:rsid w:val="00476BFB"/>
    <w:rsid w:val="00481A9F"/>
    <w:rsid w:val="00483716"/>
    <w:rsid w:val="00492D3B"/>
    <w:rsid w:val="0049377F"/>
    <w:rsid w:val="004958DC"/>
    <w:rsid w:val="004A058D"/>
    <w:rsid w:val="004A1AAC"/>
    <w:rsid w:val="004A212C"/>
    <w:rsid w:val="004A22F3"/>
    <w:rsid w:val="004A3214"/>
    <w:rsid w:val="004A3C6A"/>
    <w:rsid w:val="004A5074"/>
    <w:rsid w:val="004A69FD"/>
    <w:rsid w:val="004A6EA5"/>
    <w:rsid w:val="004A6FAA"/>
    <w:rsid w:val="004A750F"/>
    <w:rsid w:val="004B2B1D"/>
    <w:rsid w:val="004B3224"/>
    <w:rsid w:val="004B47E6"/>
    <w:rsid w:val="004B4C21"/>
    <w:rsid w:val="004B7A0C"/>
    <w:rsid w:val="004C3FE5"/>
    <w:rsid w:val="004C66DE"/>
    <w:rsid w:val="004D4744"/>
    <w:rsid w:val="004D5644"/>
    <w:rsid w:val="004E2416"/>
    <w:rsid w:val="004E25FB"/>
    <w:rsid w:val="004E29A3"/>
    <w:rsid w:val="004E7E47"/>
    <w:rsid w:val="004F306A"/>
    <w:rsid w:val="004F4FDA"/>
    <w:rsid w:val="004F7CF4"/>
    <w:rsid w:val="00503FA3"/>
    <w:rsid w:val="005136E1"/>
    <w:rsid w:val="00516FCF"/>
    <w:rsid w:val="00525692"/>
    <w:rsid w:val="00526668"/>
    <w:rsid w:val="00533A75"/>
    <w:rsid w:val="0053449C"/>
    <w:rsid w:val="00536845"/>
    <w:rsid w:val="005422A3"/>
    <w:rsid w:val="00545F14"/>
    <w:rsid w:val="00550B3A"/>
    <w:rsid w:val="00553EEA"/>
    <w:rsid w:val="005568F1"/>
    <w:rsid w:val="00560022"/>
    <w:rsid w:val="005607A0"/>
    <w:rsid w:val="005640D5"/>
    <w:rsid w:val="00566F7A"/>
    <w:rsid w:val="0057145D"/>
    <w:rsid w:val="0057218B"/>
    <w:rsid w:val="00585B5E"/>
    <w:rsid w:val="00592A0A"/>
    <w:rsid w:val="005A0B6B"/>
    <w:rsid w:val="005A2626"/>
    <w:rsid w:val="005A2D7A"/>
    <w:rsid w:val="005A66D9"/>
    <w:rsid w:val="005A67C3"/>
    <w:rsid w:val="005A7584"/>
    <w:rsid w:val="005B3731"/>
    <w:rsid w:val="005B4C5C"/>
    <w:rsid w:val="005B4CEC"/>
    <w:rsid w:val="005B5EDC"/>
    <w:rsid w:val="005C06D9"/>
    <w:rsid w:val="005C2642"/>
    <w:rsid w:val="005D061B"/>
    <w:rsid w:val="005D2270"/>
    <w:rsid w:val="005D3135"/>
    <w:rsid w:val="005D7950"/>
    <w:rsid w:val="005E03B1"/>
    <w:rsid w:val="005E341D"/>
    <w:rsid w:val="005E4607"/>
    <w:rsid w:val="005E4695"/>
    <w:rsid w:val="005F080E"/>
    <w:rsid w:val="005F2193"/>
    <w:rsid w:val="005F225E"/>
    <w:rsid w:val="005F61DA"/>
    <w:rsid w:val="00601119"/>
    <w:rsid w:val="00603069"/>
    <w:rsid w:val="0060560D"/>
    <w:rsid w:val="00605F8A"/>
    <w:rsid w:val="00622F61"/>
    <w:rsid w:val="006267EE"/>
    <w:rsid w:val="00626A47"/>
    <w:rsid w:val="00626DDC"/>
    <w:rsid w:val="00633669"/>
    <w:rsid w:val="00634FDC"/>
    <w:rsid w:val="00635217"/>
    <w:rsid w:val="00636BB3"/>
    <w:rsid w:val="00646265"/>
    <w:rsid w:val="00647FE4"/>
    <w:rsid w:val="006518BD"/>
    <w:rsid w:val="0065450B"/>
    <w:rsid w:val="00654B9F"/>
    <w:rsid w:val="006570B1"/>
    <w:rsid w:val="006610CC"/>
    <w:rsid w:val="00662849"/>
    <w:rsid w:val="00662A05"/>
    <w:rsid w:val="0067196B"/>
    <w:rsid w:val="00671ACB"/>
    <w:rsid w:val="00680506"/>
    <w:rsid w:val="00682519"/>
    <w:rsid w:val="00682BC0"/>
    <w:rsid w:val="006836D2"/>
    <w:rsid w:val="006850A9"/>
    <w:rsid w:val="00685545"/>
    <w:rsid w:val="00687212"/>
    <w:rsid w:val="00687D54"/>
    <w:rsid w:val="00692C38"/>
    <w:rsid w:val="00694C92"/>
    <w:rsid w:val="006955B5"/>
    <w:rsid w:val="006956F1"/>
    <w:rsid w:val="006A2405"/>
    <w:rsid w:val="006A32C7"/>
    <w:rsid w:val="006A4BDB"/>
    <w:rsid w:val="006A5784"/>
    <w:rsid w:val="006A5817"/>
    <w:rsid w:val="006A597A"/>
    <w:rsid w:val="006B4469"/>
    <w:rsid w:val="006B5403"/>
    <w:rsid w:val="006B669E"/>
    <w:rsid w:val="006D52FF"/>
    <w:rsid w:val="006D552E"/>
    <w:rsid w:val="006D6518"/>
    <w:rsid w:val="006E2BBB"/>
    <w:rsid w:val="006F70F6"/>
    <w:rsid w:val="007007C9"/>
    <w:rsid w:val="00700ED4"/>
    <w:rsid w:val="007059CF"/>
    <w:rsid w:val="0071090F"/>
    <w:rsid w:val="0071363A"/>
    <w:rsid w:val="00716277"/>
    <w:rsid w:val="00716C2C"/>
    <w:rsid w:val="00722341"/>
    <w:rsid w:val="0072703D"/>
    <w:rsid w:val="00730358"/>
    <w:rsid w:val="00731AF6"/>
    <w:rsid w:val="00731BE9"/>
    <w:rsid w:val="00746340"/>
    <w:rsid w:val="0074775E"/>
    <w:rsid w:val="00762218"/>
    <w:rsid w:val="0077138A"/>
    <w:rsid w:val="00771E2B"/>
    <w:rsid w:val="0077379A"/>
    <w:rsid w:val="007767EB"/>
    <w:rsid w:val="0077717D"/>
    <w:rsid w:val="00777B1C"/>
    <w:rsid w:val="00781C34"/>
    <w:rsid w:val="0078467A"/>
    <w:rsid w:val="00795358"/>
    <w:rsid w:val="00796605"/>
    <w:rsid w:val="007A2E36"/>
    <w:rsid w:val="007A7E02"/>
    <w:rsid w:val="007B055F"/>
    <w:rsid w:val="007B075D"/>
    <w:rsid w:val="007B3DBC"/>
    <w:rsid w:val="007B46FE"/>
    <w:rsid w:val="007B6884"/>
    <w:rsid w:val="007B6B07"/>
    <w:rsid w:val="007B76EA"/>
    <w:rsid w:val="007C1CC2"/>
    <w:rsid w:val="007C64B7"/>
    <w:rsid w:val="007D30D2"/>
    <w:rsid w:val="007E0A5A"/>
    <w:rsid w:val="007E11E9"/>
    <w:rsid w:val="007E49F9"/>
    <w:rsid w:val="007E4CBD"/>
    <w:rsid w:val="007E7274"/>
    <w:rsid w:val="007E7424"/>
    <w:rsid w:val="007F003C"/>
    <w:rsid w:val="007F04A5"/>
    <w:rsid w:val="007F3248"/>
    <w:rsid w:val="007F5C53"/>
    <w:rsid w:val="00800528"/>
    <w:rsid w:val="00806058"/>
    <w:rsid w:val="008123EA"/>
    <w:rsid w:val="00812775"/>
    <w:rsid w:val="00815344"/>
    <w:rsid w:val="0082107F"/>
    <w:rsid w:val="0083376C"/>
    <w:rsid w:val="0083574D"/>
    <w:rsid w:val="0084203F"/>
    <w:rsid w:val="00843E4E"/>
    <w:rsid w:val="008442F6"/>
    <w:rsid w:val="00845C8C"/>
    <w:rsid w:val="00851C7E"/>
    <w:rsid w:val="00854DA1"/>
    <w:rsid w:val="008552A5"/>
    <w:rsid w:val="00855AA8"/>
    <w:rsid w:val="008574F5"/>
    <w:rsid w:val="0086284F"/>
    <w:rsid w:val="0086666D"/>
    <w:rsid w:val="00870516"/>
    <w:rsid w:val="00870F70"/>
    <w:rsid w:val="008717F7"/>
    <w:rsid w:val="00871FBA"/>
    <w:rsid w:val="00873BD8"/>
    <w:rsid w:val="00877E8F"/>
    <w:rsid w:val="00882407"/>
    <w:rsid w:val="00883E9D"/>
    <w:rsid w:val="00885FF7"/>
    <w:rsid w:val="00886976"/>
    <w:rsid w:val="008901BA"/>
    <w:rsid w:val="0089118A"/>
    <w:rsid w:val="008A6F34"/>
    <w:rsid w:val="008A76DD"/>
    <w:rsid w:val="008A7EE4"/>
    <w:rsid w:val="008B064C"/>
    <w:rsid w:val="008B6C01"/>
    <w:rsid w:val="008C1E2F"/>
    <w:rsid w:val="008C4DC2"/>
    <w:rsid w:val="008C53C9"/>
    <w:rsid w:val="008C71BA"/>
    <w:rsid w:val="008D3C6F"/>
    <w:rsid w:val="008D4117"/>
    <w:rsid w:val="008D5027"/>
    <w:rsid w:val="008D5594"/>
    <w:rsid w:val="008E0F31"/>
    <w:rsid w:val="008E6C16"/>
    <w:rsid w:val="008E6EDC"/>
    <w:rsid w:val="008E71CD"/>
    <w:rsid w:val="008E7336"/>
    <w:rsid w:val="008F0B87"/>
    <w:rsid w:val="008F4DAE"/>
    <w:rsid w:val="008F4EA3"/>
    <w:rsid w:val="00901A72"/>
    <w:rsid w:val="00905867"/>
    <w:rsid w:val="00910824"/>
    <w:rsid w:val="009271BE"/>
    <w:rsid w:val="009273B1"/>
    <w:rsid w:val="00931142"/>
    <w:rsid w:val="00944A62"/>
    <w:rsid w:val="00944BA7"/>
    <w:rsid w:val="00947451"/>
    <w:rsid w:val="009479BF"/>
    <w:rsid w:val="00947A52"/>
    <w:rsid w:val="0095481E"/>
    <w:rsid w:val="0097025D"/>
    <w:rsid w:val="00975ED1"/>
    <w:rsid w:val="0097644F"/>
    <w:rsid w:val="0098632B"/>
    <w:rsid w:val="0099023B"/>
    <w:rsid w:val="0099698E"/>
    <w:rsid w:val="009A0895"/>
    <w:rsid w:val="009A136D"/>
    <w:rsid w:val="009A30A2"/>
    <w:rsid w:val="009A6305"/>
    <w:rsid w:val="009B196D"/>
    <w:rsid w:val="009B3F6E"/>
    <w:rsid w:val="009B606F"/>
    <w:rsid w:val="009B6BF2"/>
    <w:rsid w:val="009C1E04"/>
    <w:rsid w:val="009C422B"/>
    <w:rsid w:val="009C7B15"/>
    <w:rsid w:val="009E4F00"/>
    <w:rsid w:val="009E59B5"/>
    <w:rsid w:val="009F09C3"/>
    <w:rsid w:val="009F5F1C"/>
    <w:rsid w:val="009F611E"/>
    <w:rsid w:val="009F6644"/>
    <w:rsid w:val="009F68DC"/>
    <w:rsid w:val="009F75F5"/>
    <w:rsid w:val="00A02FC3"/>
    <w:rsid w:val="00A13ACE"/>
    <w:rsid w:val="00A22E44"/>
    <w:rsid w:val="00A25917"/>
    <w:rsid w:val="00A26A26"/>
    <w:rsid w:val="00A27F6E"/>
    <w:rsid w:val="00A32F00"/>
    <w:rsid w:val="00A3300B"/>
    <w:rsid w:val="00A348E0"/>
    <w:rsid w:val="00A34C5C"/>
    <w:rsid w:val="00A36BD8"/>
    <w:rsid w:val="00A374DF"/>
    <w:rsid w:val="00A40743"/>
    <w:rsid w:val="00A52EC4"/>
    <w:rsid w:val="00A624C3"/>
    <w:rsid w:val="00A64C3A"/>
    <w:rsid w:val="00A730E4"/>
    <w:rsid w:val="00A7317D"/>
    <w:rsid w:val="00A73C3F"/>
    <w:rsid w:val="00A76824"/>
    <w:rsid w:val="00A80697"/>
    <w:rsid w:val="00A8500B"/>
    <w:rsid w:val="00A90986"/>
    <w:rsid w:val="00A966A4"/>
    <w:rsid w:val="00AA52A4"/>
    <w:rsid w:val="00AB44F9"/>
    <w:rsid w:val="00AB4666"/>
    <w:rsid w:val="00AB495A"/>
    <w:rsid w:val="00AB7D6B"/>
    <w:rsid w:val="00AC4743"/>
    <w:rsid w:val="00AC7BB1"/>
    <w:rsid w:val="00AD1878"/>
    <w:rsid w:val="00AD1C77"/>
    <w:rsid w:val="00AD7118"/>
    <w:rsid w:val="00AD722F"/>
    <w:rsid w:val="00AE2F44"/>
    <w:rsid w:val="00AE6293"/>
    <w:rsid w:val="00AF54A4"/>
    <w:rsid w:val="00AF568D"/>
    <w:rsid w:val="00B010E6"/>
    <w:rsid w:val="00B05A7C"/>
    <w:rsid w:val="00B07ECA"/>
    <w:rsid w:val="00B12A5B"/>
    <w:rsid w:val="00B12F14"/>
    <w:rsid w:val="00B15412"/>
    <w:rsid w:val="00B157E1"/>
    <w:rsid w:val="00B30524"/>
    <w:rsid w:val="00B31FA4"/>
    <w:rsid w:val="00B33202"/>
    <w:rsid w:val="00B35807"/>
    <w:rsid w:val="00B410F3"/>
    <w:rsid w:val="00B4377B"/>
    <w:rsid w:val="00B475DA"/>
    <w:rsid w:val="00B514C9"/>
    <w:rsid w:val="00B52F34"/>
    <w:rsid w:val="00B54A2E"/>
    <w:rsid w:val="00B550DB"/>
    <w:rsid w:val="00B60CDC"/>
    <w:rsid w:val="00B612C1"/>
    <w:rsid w:val="00B678AB"/>
    <w:rsid w:val="00B704E5"/>
    <w:rsid w:val="00B73398"/>
    <w:rsid w:val="00B7798A"/>
    <w:rsid w:val="00B81A75"/>
    <w:rsid w:val="00B82026"/>
    <w:rsid w:val="00B82F47"/>
    <w:rsid w:val="00B847ED"/>
    <w:rsid w:val="00B93932"/>
    <w:rsid w:val="00B94FCC"/>
    <w:rsid w:val="00BA35A5"/>
    <w:rsid w:val="00BA7AA2"/>
    <w:rsid w:val="00BB0A9F"/>
    <w:rsid w:val="00BB4B3C"/>
    <w:rsid w:val="00BB6500"/>
    <w:rsid w:val="00BC139C"/>
    <w:rsid w:val="00BC47CE"/>
    <w:rsid w:val="00BC728E"/>
    <w:rsid w:val="00BD43BC"/>
    <w:rsid w:val="00BD76A2"/>
    <w:rsid w:val="00BD7E74"/>
    <w:rsid w:val="00BE0656"/>
    <w:rsid w:val="00BF0A4F"/>
    <w:rsid w:val="00C004BC"/>
    <w:rsid w:val="00C01202"/>
    <w:rsid w:val="00C05EB2"/>
    <w:rsid w:val="00C135B7"/>
    <w:rsid w:val="00C13B99"/>
    <w:rsid w:val="00C174F2"/>
    <w:rsid w:val="00C2040E"/>
    <w:rsid w:val="00C23F61"/>
    <w:rsid w:val="00C2471D"/>
    <w:rsid w:val="00C25ADB"/>
    <w:rsid w:val="00C277A1"/>
    <w:rsid w:val="00C352E4"/>
    <w:rsid w:val="00C3701D"/>
    <w:rsid w:val="00C450C5"/>
    <w:rsid w:val="00C45947"/>
    <w:rsid w:val="00C45DB3"/>
    <w:rsid w:val="00C46F12"/>
    <w:rsid w:val="00C47456"/>
    <w:rsid w:val="00C50F21"/>
    <w:rsid w:val="00C57910"/>
    <w:rsid w:val="00C63256"/>
    <w:rsid w:val="00C751A9"/>
    <w:rsid w:val="00C80A18"/>
    <w:rsid w:val="00C85C58"/>
    <w:rsid w:val="00C8677B"/>
    <w:rsid w:val="00C937EC"/>
    <w:rsid w:val="00C96889"/>
    <w:rsid w:val="00C97E46"/>
    <w:rsid w:val="00CA11A7"/>
    <w:rsid w:val="00CA298C"/>
    <w:rsid w:val="00CA33F6"/>
    <w:rsid w:val="00CB1A27"/>
    <w:rsid w:val="00CB1E81"/>
    <w:rsid w:val="00CB277D"/>
    <w:rsid w:val="00CB2DA9"/>
    <w:rsid w:val="00CB4B94"/>
    <w:rsid w:val="00CB5349"/>
    <w:rsid w:val="00CC2B3E"/>
    <w:rsid w:val="00CC4BE2"/>
    <w:rsid w:val="00CC64B7"/>
    <w:rsid w:val="00CD2C09"/>
    <w:rsid w:val="00CD4CCB"/>
    <w:rsid w:val="00CD518B"/>
    <w:rsid w:val="00CE6780"/>
    <w:rsid w:val="00CE6822"/>
    <w:rsid w:val="00CF0C7A"/>
    <w:rsid w:val="00CF284D"/>
    <w:rsid w:val="00CF66C5"/>
    <w:rsid w:val="00D017EB"/>
    <w:rsid w:val="00D01BD4"/>
    <w:rsid w:val="00D13E0C"/>
    <w:rsid w:val="00D1476A"/>
    <w:rsid w:val="00D25C32"/>
    <w:rsid w:val="00D27B34"/>
    <w:rsid w:val="00D32BE9"/>
    <w:rsid w:val="00D33FF5"/>
    <w:rsid w:val="00D35BD0"/>
    <w:rsid w:val="00D40173"/>
    <w:rsid w:val="00D425F1"/>
    <w:rsid w:val="00D458B7"/>
    <w:rsid w:val="00D46302"/>
    <w:rsid w:val="00D50243"/>
    <w:rsid w:val="00D507D7"/>
    <w:rsid w:val="00D531C7"/>
    <w:rsid w:val="00D54F5F"/>
    <w:rsid w:val="00D555FD"/>
    <w:rsid w:val="00D5683B"/>
    <w:rsid w:val="00D56F7A"/>
    <w:rsid w:val="00D612F7"/>
    <w:rsid w:val="00D63F1A"/>
    <w:rsid w:val="00D64F44"/>
    <w:rsid w:val="00D655A1"/>
    <w:rsid w:val="00D71BA2"/>
    <w:rsid w:val="00D71C17"/>
    <w:rsid w:val="00D727A5"/>
    <w:rsid w:val="00D75234"/>
    <w:rsid w:val="00D81DB2"/>
    <w:rsid w:val="00D853BA"/>
    <w:rsid w:val="00D865D9"/>
    <w:rsid w:val="00D9078D"/>
    <w:rsid w:val="00D95D35"/>
    <w:rsid w:val="00DA0F51"/>
    <w:rsid w:val="00DA183D"/>
    <w:rsid w:val="00DA7302"/>
    <w:rsid w:val="00DB13CB"/>
    <w:rsid w:val="00DB3F46"/>
    <w:rsid w:val="00DB72F9"/>
    <w:rsid w:val="00DC1ECB"/>
    <w:rsid w:val="00DC779B"/>
    <w:rsid w:val="00DD2E3C"/>
    <w:rsid w:val="00DD40F0"/>
    <w:rsid w:val="00DD70F7"/>
    <w:rsid w:val="00DD7361"/>
    <w:rsid w:val="00DE1441"/>
    <w:rsid w:val="00DE7354"/>
    <w:rsid w:val="00DF028E"/>
    <w:rsid w:val="00DF06D3"/>
    <w:rsid w:val="00DF17AA"/>
    <w:rsid w:val="00DF3B91"/>
    <w:rsid w:val="00DF6778"/>
    <w:rsid w:val="00E03118"/>
    <w:rsid w:val="00E04A8B"/>
    <w:rsid w:val="00E10BCB"/>
    <w:rsid w:val="00E1679E"/>
    <w:rsid w:val="00E25FB1"/>
    <w:rsid w:val="00E30DE5"/>
    <w:rsid w:val="00E32016"/>
    <w:rsid w:val="00E3469C"/>
    <w:rsid w:val="00E4397B"/>
    <w:rsid w:val="00E5173F"/>
    <w:rsid w:val="00E54525"/>
    <w:rsid w:val="00E55B06"/>
    <w:rsid w:val="00E61052"/>
    <w:rsid w:val="00E66517"/>
    <w:rsid w:val="00E724A2"/>
    <w:rsid w:val="00E75665"/>
    <w:rsid w:val="00E8277C"/>
    <w:rsid w:val="00E8735A"/>
    <w:rsid w:val="00E87B65"/>
    <w:rsid w:val="00E90244"/>
    <w:rsid w:val="00E9331B"/>
    <w:rsid w:val="00E96D1D"/>
    <w:rsid w:val="00E96D34"/>
    <w:rsid w:val="00E9732E"/>
    <w:rsid w:val="00E97662"/>
    <w:rsid w:val="00EA1625"/>
    <w:rsid w:val="00EA1C50"/>
    <w:rsid w:val="00EA45E4"/>
    <w:rsid w:val="00EA5D12"/>
    <w:rsid w:val="00EB5DC8"/>
    <w:rsid w:val="00EB622E"/>
    <w:rsid w:val="00EC3F08"/>
    <w:rsid w:val="00EC47A4"/>
    <w:rsid w:val="00ED040C"/>
    <w:rsid w:val="00ED0C3D"/>
    <w:rsid w:val="00ED1660"/>
    <w:rsid w:val="00ED4725"/>
    <w:rsid w:val="00ED4836"/>
    <w:rsid w:val="00ED7A18"/>
    <w:rsid w:val="00EE215D"/>
    <w:rsid w:val="00EE3CE6"/>
    <w:rsid w:val="00EE420E"/>
    <w:rsid w:val="00EE42BC"/>
    <w:rsid w:val="00EE60DA"/>
    <w:rsid w:val="00EE6855"/>
    <w:rsid w:val="00EF1E95"/>
    <w:rsid w:val="00EF239F"/>
    <w:rsid w:val="00EF66B5"/>
    <w:rsid w:val="00F00123"/>
    <w:rsid w:val="00F02DFE"/>
    <w:rsid w:val="00F02E59"/>
    <w:rsid w:val="00F10BAD"/>
    <w:rsid w:val="00F111E0"/>
    <w:rsid w:val="00F115EC"/>
    <w:rsid w:val="00F1783C"/>
    <w:rsid w:val="00F2460B"/>
    <w:rsid w:val="00F31CF1"/>
    <w:rsid w:val="00F322AD"/>
    <w:rsid w:val="00F32E51"/>
    <w:rsid w:val="00F33E90"/>
    <w:rsid w:val="00F35223"/>
    <w:rsid w:val="00F35FD2"/>
    <w:rsid w:val="00F401AE"/>
    <w:rsid w:val="00F405EC"/>
    <w:rsid w:val="00F4075B"/>
    <w:rsid w:val="00F4141B"/>
    <w:rsid w:val="00F46A47"/>
    <w:rsid w:val="00F515B7"/>
    <w:rsid w:val="00F54373"/>
    <w:rsid w:val="00F578F1"/>
    <w:rsid w:val="00F603B6"/>
    <w:rsid w:val="00F6091E"/>
    <w:rsid w:val="00F61324"/>
    <w:rsid w:val="00F61534"/>
    <w:rsid w:val="00F662CF"/>
    <w:rsid w:val="00F66CB7"/>
    <w:rsid w:val="00F67609"/>
    <w:rsid w:val="00F71581"/>
    <w:rsid w:val="00F752B7"/>
    <w:rsid w:val="00F80E6D"/>
    <w:rsid w:val="00F85D8D"/>
    <w:rsid w:val="00F870CA"/>
    <w:rsid w:val="00F87666"/>
    <w:rsid w:val="00F87ADF"/>
    <w:rsid w:val="00F904CA"/>
    <w:rsid w:val="00F91B35"/>
    <w:rsid w:val="00F93579"/>
    <w:rsid w:val="00F93AA1"/>
    <w:rsid w:val="00F944E9"/>
    <w:rsid w:val="00F970DF"/>
    <w:rsid w:val="00FA0C62"/>
    <w:rsid w:val="00FA468E"/>
    <w:rsid w:val="00FB2F51"/>
    <w:rsid w:val="00FB4617"/>
    <w:rsid w:val="00FB4CDC"/>
    <w:rsid w:val="00FB53E3"/>
    <w:rsid w:val="00FB62D1"/>
    <w:rsid w:val="00FC1E8B"/>
    <w:rsid w:val="00FC2AD2"/>
    <w:rsid w:val="00FC6F7A"/>
    <w:rsid w:val="00FC7273"/>
    <w:rsid w:val="00FC7630"/>
    <w:rsid w:val="00FD3433"/>
    <w:rsid w:val="00FD79F3"/>
    <w:rsid w:val="00FE2ABE"/>
    <w:rsid w:val="00FF076B"/>
    <w:rsid w:val="00FF210C"/>
    <w:rsid w:val="00FF3F74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762E"/>
  <w15:docId w15:val="{3D03A15F-1A13-417C-89AF-83C9C206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E2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E2A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D4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C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422B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6091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6091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6091E"/>
    <w:rPr>
      <w:sz w:val="20"/>
      <w:szCs w:val="20"/>
    </w:rPr>
  </w:style>
  <w:style w:type="paragraph" w:styleId="Poprawka">
    <w:name w:val="Revision"/>
    <w:hidden/>
    <w:uiPriority w:val="99"/>
    <w:semiHidden/>
    <w:rsid w:val="00B678AB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337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722A"/>
  </w:style>
  <w:style w:type="paragraph" w:styleId="Stopka">
    <w:name w:val="footer"/>
    <w:basedOn w:val="Normalny"/>
    <w:link w:val="StopkaZnak"/>
    <w:uiPriority w:val="99"/>
    <w:unhideWhenUsed/>
    <w:rsid w:val="00337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7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363</Words>
  <Characters>2184</Characters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2019-06-17T10:34:00Z</cp:lastPrinted>
  <dcterms:created xsi:type="dcterms:W3CDTF">2020-08-12T10:20:00Z</dcterms:created>
  <dcterms:modified xsi:type="dcterms:W3CDTF">2020-08-12T10:27:00Z</dcterms:modified>
</cp:coreProperties>
</file>