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8744" w14:textId="66501135" w:rsidR="00F46D50" w:rsidRPr="00492348" w:rsidRDefault="00F46D50" w:rsidP="00544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pl-PL"/>
        </w:rPr>
      </w:pPr>
      <w:r w:rsidRPr="00F46D50">
        <w:rPr>
          <w:rFonts w:ascii="Times New Roman" w:hAnsi="Times New Roman" w:cs="Times New Roman"/>
          <w:szCs w:val="28"/>
          <w:lang w:val="pl-PL"/>
        </w:rPr>
        <w:t>Załącznik</w:t>
      </w:r>
      <w:r w:rsidR="00D231B2">
        <w:rPr>
          <w:rFonts w:ascii="Times New Roman" w:hAnsi="Times New Roman" w:cs="Times New Roman"/>
          <w:szCs w:val="28"/>
          <w:lang w:val="pl-PL"/>
        </w:rPr>
        <w:t xml:space="preserve"> </w:t>
      </w:r>
      <w:r w:rsidRPr="00492348">
        <w:rPr>
          <w:rFonts w:ascii="Times New Roman" w:hAnsi="Times New Roman" w:cs="Times New Roman"/>
          <w:szCs w:val="28"/>
          <w:lang w:val="pl-PL"/>
        </w:rPr>
        <w:t>B.107.</w:t>
      </w:r>
    </w:p>
    <w:p w14:paraId="2BDC2E92" w14:textId="77777777" w:rsidR="00F46D50" w:rsidRPr="00492348" w:rsidRDefault="00F46D50" w:rsidP="00544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  <w:lang w:val="pl-PL"/>
        </w:rPr>
      </w:pPr>
    </w:p>
    <w:p w14:paraId="38F35BF9" w14:textId="2DB0DDE3" w:rsidR="001A5938" w:rsidRPr="006346BD" w:rsidRDefault="001A5938" w:rsidP="00544C90">
      <w:pPr>
        <w:spacing w:after="240" w:line="240" w:lineRule="auto"/>
        <w:rPr>
          <w:rFonts w:ascii="Times New Roman" w:hAnsi="Times New Roman" w:cs="Times New Roman"/>
          <w:b/>
          <w:bCs/>
          <w:sz w:val="28"/>
          <w:lang w:val="pl-PL"/>
        </w:rPr>
      </w:pPr>
      <w:r w:rsidRPr="006346BD">
        <w:rPr>
          <w:rFonts w:ascii="Times New Roman" w:hAnsi="Times New Roman" w:cs="Times New Roman"/>
          <w:b/>
          <w:bCs/>
          <w:sz w:val="28"/>
          <w:lang w:val="pl-PL"/>
        </w:rPr>
        <w:t>LECZENIE</w:t>
      </w:r>
      <w:r w:rsidR="00D231B2">
        <w:rPr>
          <w:rFonts w:ascii="Times New Roman" w:hAnsi="Times New Roman" w:cs="Times New Roman"/>
          <w:b/>
          <w:bCs/>
          <w:sz w:val="28"/>
          <w:lang w:val="pl-PL"/>
        </w:rPr>
        <w:t xml:space="preserve"> </w:t>
      </w:r>
      <w:r w:rsidR="00183BA7">
        <w:rPr>
          <w:rFonts w:ascii="Times New Roman" w:hAnsi="Times New Roman" w:cs="Times New Roman"/>
          <w:b/>
          <w:bCs/>
          <w:sz w:val="28"/>
          <w:lang w:val="pl-PL"/>
        </w:rPr>
        <w:t xml:space="preserve">CHORYCH Z </w:t>
      </w:r>
      <w:r w:rsidR="00464782" w:rsidRPr="006346BD">
        <w:rPr>
          <w:rFonts w:ascii="Times New Roman" w:hAnsi="Times New Roman" w:cs="Times New Roman"/>
          <w:b/>
          <w:bCs/>
          <w:sz w:val="28"/>
          <w:lang w:val="pl-PL"/>
        </w:rPr>
        <w:t>PRZEWLEKŁ</w:t>
      </w:r>
      <w:r w:rsidR="00183BA7">
        <w:rPr>
          <w:rFonts w:ascii="Times New Roman" w:hAnsi="Times New Roman" w:cs="Times New Roman"/>
          <w:b/>
          <w:bCs/>
          <w:sz w:val="28"/>
          <w:lang w:val="pl-PL"/>
        </w:rPr>
        <w:t xml:space="preserve">Ą </w:t>
      </w:r>
      <w:r w:rsidR="00464782" w:rsidRPr="006346BD">
        <w:rPr>
          <w:rFonts w:ascii="Times New Roman" w:hAnsi="Times New Roman" w:cs="Times New Roman"/>
          <w:b/>
          <w:bCs/>
          <w:sz w:val="28"/>
          <w:lang w:val="pl-PL"/>
        </w:rPr>
        <w:t>POKRZYWK</w:t>
      </w:r>
      <w:r w:rsidR="00183BA7">
        <w:rPr>
          <w:rFonts w:ascii="Times New Roman" w:hAnsi="Times New Roman" w:cs="Times New Roman"/>
          <w:b/>
          <w:bCs/>
          <w:sz w:val="28"/>
          <w:lang w:val="pl-PL"/>
        </w:rPr>
        <w:t xml:space="preserve">Ą </w:t>
      </w:r>
      <w:r w:rsidR="00E33E76" w:rsidRPr="006346BD">
        <w:rPr>
          <w:rFonts w:ascii="Times New Roman" w:hAnsi="Times New Roman" w:cs="Times New Roman"/>
          <w:b/>
          <w:bCs/>
          <w:sz w:val="28"/>
          <w:lang w:val="pl-PL"/>
        </w:rPr>
        <w:t>SPONTANICZN</w:t>
      </w:r>
      <w:r w:rsidR="00183BA7">
        <w:rPr>
          <w:rFonts w:ascii="Times New Roman" w:hAnsi="Times New Roman" w:cs="Times New Roman"/>
          <w:b/>
          <w:bCs/>
          <w:sz w:val="28"/>
          <w:lang w:val="pl-PL"/>
        </w:rPr>
        <w:t xml:space="preserve">Ą </w:t>
      </w:r>
      <w:r w:rsidR="004902AD" w:rsidRPr="006346BD">
        <w:rPr>
          <w:rFonts w:ascii="Times New Roman" w:hAnsi="Times New Roman" w:cs="Times New Roman"/>
          <w:b/>
          <w:bCs/>
          <w:sz w:val="28"/>
          <w:lang w:val="pl-PL"/>
        </w:rPr>
        <w:t>(ICD</w:t>
      </w:r>
      <w:r w:rsidR="00975C90" w:rsidRPr="006346BD">
        <w:rPr>
          <w:rFonts w:ascii="Times New Roman" w:hAnsi="Times New Roman" w:cs="Times New Roman"/>
          <w:b/>
          <w:bCs/>
          <w:sz w:val="28"/>
          <w:lang w:val="pl-PL"/>
        </w:rPr>
        <w:t>-</w:t>
      </w:r>
      <w:r w:rsidR="004902AD" w:rsidRPr="006346BD">
        <w:rPr>
          <w:rFonts w:ascii="Times New Roman" w:hAnsi="Times New Roman" w:cs="Times New Roman"/>
          <w:b/>
          <w:bCs/>
          <w:sz w:val="28"/>
          <w:lang w:val="pl-PL"/>
        </w:rPr>
        <w:t>10:</w:t>
      </w:r>
      <w:r w:rsidR="00D231B2">
        <w:rPr>
          <w:rFonts w:ascii="Times New Roman" w:hAnsi="Times New Roman" w:cs="Times New Roman"/>
          <w:b/>
          <w:bCs/>
          <w:sz w:val="28"/>
          <w:lang w:val="pl-PL"/>
        </w:rPr>
        <w:t xml:space="preserve"> </w:t>
      </w:r>
      <w:r w:rsidR="004902AD" w:rsidRPr="006346BD">
        <w:rPr>
          <w:rFonts w:ascii="Times New Roman" w:eastAsia="MS Mincho" w:hAnsi="Times New Roman" w:cs="Times New Roman"/>
          <w:b/>
          <w:sz w:val="28"/>
          <w:lang w:val="pl-PL" w:eastAsia="pl-PL"/>
        </w:rPr>
        <w:t>L50.1)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664"/>
        <w:gridCol w:w="4112"/>
        <w:gridCol w:w="5614"/>
      </w:tblGrid>
      <w:tr w:rsidR="004B1D81" w:rsidRPr="00D60BEF" w14:paraId="356FE30A" w14:textId="77777777" w:rsidTr="00D231B2">
        <w:trPr>
          <w:trHeight w:val="567"/>
        </w:trPr>
        <w:tc>
          <w:tcPr>
            <w:tcW w:w="5000" w:type="pct"/>
            <w:gridSpan w:val="3"/>
            <w:vAlign w:val="center"/>
          </w:tcPr>
          <w:p w14:paraId="6B1C3D7D" w14:textId="2343D841" w:rsidR="001A5938" w:rsidRPr="006346BD" w:rsidRDefault="001A5938" w:rsidP="00F46D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</w:pP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ZAKRES</w:t>
            </w:r>
            <w:r w:rsidR="00D231B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 </w:t>
            </w: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ŚWIADCZENIA</w:t>
            </w:r>
            <w:r w:rsidR="00D231B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 </w:t>
            </w: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GWARANTOWANEGO</w:t>
            </w:r>
          </w:p>
        </w:tc>
      </w:tr>
      <w:tr w:rsidR="00764916" w:rsidRPr="00853642" w14:paraId="5E6CF7ED" w14:textId="77777777" w:rsidTr="00353D52">
        <w:trPr>
          <w:trHeight w:val="567"/>
        </w:trPr>
        <w:tc>
          <w:tcPr>
            <w:tcW w:w="1840" w:type="pct"/>
            <w:vAlign w:val="center"/>
          </w:tcPr>
          <w:p w14:paraId="2065CF93" w14:textId="77777777" w:rsidR="001A5938" w:rsidRPr="00D60BEF" w:rsidRDefault="001A5938" w:rsidP="00F46D5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l-PL"/>
              </w:rPr>
            </w:pP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ŚWIADCZENIOBIORCY</w:t>
            </w:r>
          </w:p>
        </w:tc>
        <w:tc>
          <w:tcPr>
            <w:tcW w:w="1336" w:type="pct"/>
            <w:vAlign w:val="center"/>
          </w:tcPr>
          <w:p w14:paraId="7CD9052D" w14:textId="3A217722" w:rsidR="001A5938" w:rsidRPr="006346BD" w:rsidRDefault="001A5938" w:rsidP="00F46D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</w:pP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>SCHEMAT</w:t>
            </w:r>
            <w:r w:rsidR="00D231B2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 xml:space="preserve"> </w:t>
            </w: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>DAWKOWANIA</w:t>
            </w:r>
            <w:r w:rsidR="00D231B2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 xml:space="preserve"> </w:t>
            </w: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>LEKÓW</w:t>
            </w:r>
          </w:p>
          <w:p w14:paraId="2CA89A31" w14:textId="3B984EA1" w:rsidR="001A5938" w:rsidRPr="006346BD" w:rsidRDefault="001A5938" w:rsidP="00F46D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</w:pP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>W</w:t>
            </w:r>
            <w:r w:rsidR="00D231B2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 xml:space="preserve"> </w:t>
            </w: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>PROGRAMIE</w:t>
            </w:r>
          </w:p>
        </w:tc>
        <w:tc>
          <w:tcPr>
            <w:tcW w:w="1824" w:type="pct"/>
            <w:vAlign w:val="center"/>
          </w:tcPr>
          <w:p w14:paraId="5B30139B" w14:textId="5ED6265D" w:rsidR="001A5938" w:rsidRPr="006346BD" w:rsidRDefault="001A5938" w:rsidP="00F46D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</w:pP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>BADANIA</w:t>
            </w:r>
            <w:r w:rsidR="00D231B2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 xml:space="preserve"> </w:t>
            </w: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>DIAGNOSTYCZNE</w:t>
            </w:r>
            <w:r w:rsidR="00D231B2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 xml:space="preserve"> </w:t>
            </w: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>WYKONYWANE</w:t>
            </w:r>
            <w:r w:rsidR="00353D52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 xml:space="preserve"> </w:t>
            </w:r>
            <w:r w:rsidR="00353D52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br/>
            </w: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>W</w:t>
            </w:r>
            <w:r w:rsidR="00D231B2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 xml:space="preserve"> </w:t>
            </w: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>RAMACH</w:t>
            </w:r>
            <w:r w:rsidR="00D231B2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 xml:space="preserve"> </w:t>
            </w:r>
            <w:r w:rsidRPr="006346BD">
              <w:rPr>
                <w:rFonts w:ascii="Times New Roman" w:hAnsi="Times New Roman" w:cs="Times New Roman"/>
                <w:b/>
                <w:bCs/>
                <w:sz w:val="20"/>
                <w:szCs w:val="18"/>
                <w:lang w:val="pl-PL"/>
              </w:rPr>
              <w:t>PROGRAMU</w:t>
            </w:r>
          </w:p>
        </w:tc>
      </w:tr>
      <w:tr w:rsidR="002A2E97" w:rsidRPr="00853642" w14:paraId="086F8B56" w14:textId="77777777" w:rsidTr="00353D52">
        <w:tc>
          <w:tcPr>
            <w:tcW w:w="1840" w:type="pct"/>
          </w:tcPr>
          <w:p w14:paraId="1570180A" w14:textId="62DB2531" w:rsidR="00E33E76" w:rsidRPr="00353D52" w:rsidRDefault="002A2E97" w:rsidP="00353D52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Kryteria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kwalifikacji</w:t>
            </w:r>
          </w:p>
          <w:p w14:paraId="0857026A" w14:textId="08D771D1" w:rsidR="00FC2064" w:rsidRPr="00353D52" w:rsidRDefault="0049143C" w:rsidP="00353D52">
            <w:pPr>
              <w:pStyle w:val="Akapitzlist"/>
              <w:widowControl w:val="0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right="45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wiek≥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FC2064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12.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FC2064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roku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FC2064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życia</w:t>
            </w:r>
            <w:r w:rsidR="006346BD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;</w:t>
            </w:r>
          </w:p>
          <w:p w14:paraId="0D045AA0" w14:textId="20F33E1B" w:rsidR="00AF2D54" w:rsidRPr="00353D52" w:rsidRDefault="006346BD" w:rsidP="00353D52">
            <w:pPr>
              <w:pStyle w:val="Akapitzlist"/>
              <w:widowControl w:val="0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right="45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</w:t>
            </w:r>
            <w:r w:rsidR="004914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dokumentowana</w:t>
            </w:r>
            <w:r w:rsidR="0085364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3102F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historia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F2D54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przewlekłej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F2D54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pokrzywki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F2D54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sp</w:t>
            </w:r>
            <w:r w:rsidR="004914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ontanicznej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914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poprzedzająca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914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kwalifikację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F2D54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F2D54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programu</w:t>
            </w:r>
            <w:r w:rsidR="0007254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7B1575DA" w14:textId="402CFC65" w:rsidR="0049143C" w:rsidRPr="00353D52" w:rsidRDefault="006346BD" w:rsidP="00353D52">
            <w:pPr>
              <w:pStyle w:val="Akapitzlist"/>
              <w:widowControl w:val="0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right="45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</w:t>
            </w:r>
            <w:r w:rsidR="004914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iężka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E2666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postać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914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pokrzywki,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914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914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wskaźnikami:</w:t>
            </w:r>
          </w:p>
          <w:p w14:paraId="01572236" w14:textId="7A4EA428" w:rsidR="00B60B47" w:rsidRPr="00353D52" w:rsidRDefault="002E2666" w:rsidP="00353D52">
            <w:pPr>
              <w:pStyle w:val="Akapitzlist"/>
              <w:widowControl w:val="0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right="45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Skali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Aktywności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okrzywki: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UAS</w:t>
            </w:r>
            <w:r w:rsidR="003922D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7</w:t>
            </w:r>
            <w:r w:rsidR="00B60B47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≥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28</w:t>
            </w:r>
          </w:p>
          <w:p w14:paraId="06C82865" w14:textId="77777777" w:rsidR="002E2666" w:rsidRPr="00353D52" w:rsidRDefault="002E2666" w:rsidP="00353D52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 w:right="45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oraz</w:t>
            </w:r>
          </w:p>
          <w:p w14:paraId="47C255B4" w14:textId="1A97DDAE" w:rsidR="00B60B47" w:rsidRPr="00353D52" w:rsidRDefault="006346BD" w:rsidP="00353D52">
            <w:pPr>
              <w:pStyle w:val="Akapitzlist"/>
              <w:widowControl w:val="0"/>
              <w:numPr>
                <w:ilvl w:val="4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right="45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</w:t>
            </w:r>
            <w:r w:rsidR="004914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akości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4914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ż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ycia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zależnych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zmian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skórnych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DLQI</w:t>
            </w:r>
            <w:r w:rsidR="000B101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≥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10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055EA36A" w14:textId="188F8877" w:rsidR="006346BD" w:rsidRPr="00353D52" w:rsidRDefault="006346BD" w:rsidP="00353D52">
            <w:pPr>
              <w:pStyle w:val="Akapitzlist"/>
              <w:widowControl w:val="0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right="45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porna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przewlekła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pokrzywka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spontaniczna,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przypadku,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gdy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okresie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poprzedzającym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kwalifikację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programu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uzyskano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oczekiwanej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poprawy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kontroli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E2666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objawów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9396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ek</w:t>
            </w:r>
            <w:r w:rsidR="0089396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ami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przeciwhistaminowy</w:t>
            </w:r>
            <w:r w:rsidR="0089396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H1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drugiej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generacji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przyjmowanych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dawce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4-krotnie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przekraczającej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dawkę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standardową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przez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okres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minimum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4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B4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tygodni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1AAFBA2E" w14:textId="22D27C0B" w:rsidR="00D54761" w:rsidRPr="00353D52" w:rsidRDefault="00353D52" w:rsidP="00353D52">
            <w:pPr>
              <w:pStyle w:val="Akapitzlist"/>
              <w:widowControl w:val="0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ind w:right="45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przypadku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kobiet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miesiączkujących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dziewcząt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wymagana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jest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zgoda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świadoma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kontrolę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urodzeń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czasie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D5476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</w:t>
            </w:r>
            <w:r w:rsidR="006346BD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628631AD" w14:textId="77777777" w:rsidR="00F46D50" w:rsidRPr="00353D52" w:rsidRDefault="00F46D50" w:rsidP="00353D52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596" w:right="45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512CB82D" w14:textId="416A99D3" w:rsidR="007D3299" w:rsidRPr="00353D52" w:rsidRDefault="007D3299" w:rsidP="00353D52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Kryteria</w:t>
            </w:r>
            <w:r w:rsidR="00D231B2" w:rsidRPr="00353D52">
              <w:rPr>
                <w:rFonts w:ascii="Times New Roman" w:hAnsi="Times New Roman" w:cs="Times New Roman"/>
                <w:b/>
                <w:bCs/>
                <w:spacing w:val="13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w w:val="101"/>
                <w:sz w:val="20"/>
                <w:szCs w:val="20"/>
                <w:lang w:val="pl-PL"/>
              </w:rPr>
              <w:t>wyłączenia</w:t>
            </w:r>
          </w:p>
          <w:p w14:paraId="3BA279A1" w14:textId="40FF394E" w:rsidR="007D3299" w:rsidRPr="00353D52" w:rsidRDefault="006346BD" w:rsidP="00353D52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rak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odpowiedzi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omalizumabem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podaniu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3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dawki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oceniona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12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tygodniu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podstawie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kryteriów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skuteczności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E201E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zdefiniowanych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UAS</w:t>
            </w:r>
            <w:r w:rsidR="003922D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7</w:t>
            </w:r>
            <w:r w:rsidR="007D3299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&gt;</w:t>
            </w:r>
            <w:r w:rsidR="00AC0991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16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DLQI</w:t>
            </w:r>
            <w:r w:rsidR="00101884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≥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10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6320E2D0" w14:textId="5006445A" w:rsidR="0011643A" w:rsidRPr="00353D52" w:rsidRDefault="006346BD" w:rsidP="00353D52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>c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iąża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laktacja;</w:t>
            </w:r>
          </w:p>
          <w:p w14:paraId="7FAA30C8" w14:textId="1731CC76" w:rsidR="0011643A" w:rsidRPr="00353D52" w:rsidRDefault="006346BD" w:rsidP="00353D52">
            <w:pPr>
              <w:pStyle w:val="Akapitzlist"/>
              <w:numPr>
                <w:ilvl w:val="3"/>
                <w:numId w:val="2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A67C11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>ystąpienie</w:t>
            </w:r>
            <w:r w:rsidR="00D231B2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 xml:space="preserve"> </w:t>
            </w:r>
            <w:r w:rsidR="00A67C11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>któregokolwiek</w:t>
            </w:r>
            <w:r w:rsidR="00D231B2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 xml:space="preserve"> </w:t>
            </w:r>
            <w:r w:rsidR="00A67C11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 xml:space="preserve"> </w:t>
            </w:r>
            <w:r w:rsidR="00A67C11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>przeciwskazań</w:t>
            </w:r>
            <w:r w:rsidR="00D231B2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 xml:space="preserve"> </w:t>
            </w:r>
            <w:r w:rsidR="00A67C11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>do</w:t>
            </w:r>
            <w:r w:rsidR="00D231B2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 xml:space="preserve"> </w:t>
            </w:r>
            <w:r w:rsidR="00A67C11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>stosowania</w:t>
            </w:r>
            <w:r w:rsidR="00D231B2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 xml:space="preserve"> </w:t>
            </w:r>
            <w:r w:rsidR="00A67C11"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>omalizumabu</w:t>
            </w:r>
            <w:r w:rsidRPr="00353D52">
              <w:rPr>
                <w:rFonts w:ascii="Times New Roman" w:hAnsi="Times New Roman" w:cs="Times New Roman"/>
                <w:iCs/>
                <w:sz w:val="20"/>
                <w:szCs w:val="20"/>
                <w:lang w:val="pl-PL"/>
              </w:rPr>
              <w:t>;</w:t>
            </w:r>
          </w:p>
          <w:p w14:paraId="3F1E6616" w14:textId="03365F57" w:rsidR="0011643A" w:rsidRPr="00353D52" w:rsidRDefault="006346BD" w:rsidP="00353D52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zolowany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obrzęk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naczynioruchowy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0C3F3688" w14:textId="66677132" w:rsidR="0011643A" w:rsidRPr="00353D52" w:rsidRDefault="006346BD" w:rsidP="00353D52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ysiewy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bąbli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pokrzywkowych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będące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objawem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innych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schorzeń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np.: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anafilaksji,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chorób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nowotworowych,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11643A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mastocytozy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czy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infekcji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pasożytniczych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701BBF64" w14:textId="4D9495C8" w:rsidR="00E721AB" w:rsidRPr="00353D52" w:rsidRDefault="006346BD" w:rsidP="00353D52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otwierdzona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pokrzywka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naczyniowa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738A642C" w14:textId="72E37266" w:rsidR="00E721AB" w:rsidRPr="00353D52" w:rsidRDefault="006346BD" w:rsidP="00353D52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ktualna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terapia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lekami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przeciwnowotworowymi,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immunoglobulinami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innymi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lekami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biologicznymi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1F31EE23" w14:textId="7E3DBA2B" w:rsidR="00272D24" w:rsidRPr="00353D52" w:rsidRDefault="006346BD" w:rsidP="00353D52">
            <w:pPr>
              <w:pStyle w:val="Akapitzlist"/>
              <w:numPr>
                <w:ilvl w:val="3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iestosowanie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się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zaleceń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721AB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lekarskich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59897BD2" w14:textId="77777777" w:rsidR="00F46D50" w:rsidRPr="00353D52" w:rsidRDefault="00F46D50" w:rsidP="00353D52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596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0A600F98" w14:textId="0386DDCA" w:rsidR="00426439" w:rsidRPr="00353D52" w:rsidRDefault="00426439" w:rsidP="00353D52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Określenie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czasu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leczenia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programie</w:t>
            </w:r>
          </w:p>
          <w:p w14:paraId="2242E7B4" w14:textId="151D6593" w:rsidR="000A471D" w:rsidRPr="00353D52" w:rsidRDefault="000A471D" w:rsidP="00353D52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353D52">
              <w:rPr>
                <w:sz w:val="20"/>
                <w:szCs w:val="20"/>
                <w:lang w:eastAsia="en-US"/>
              </w:rPr>
              <w:t>Po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upływie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24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tygodni</w:t>
            </w:r>
            <w:r w:rsidR="008935B8" w:rsidRPr="00353D52">
              <w:rPr>
                <w:sz w:val="20"/>
                <w:szCs w:val="20"/>
                <w:lang w:eastAsia="en-US"/>
              </w:rPr>
              <w:t xml:space="preserve"> (+/-14</w:t>
            </w:r>
            <w:r w:rsidR="00AE201E" w:rsidRPr="00353D52">
              <w:rPr>
                <w:sz w:val="20"/>
                <w:szCs w:val="20"/>
                <w:lang w:eastAsia="en-US"/>
              </w:rPr>
              <w:t>dni)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leczenie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omalizumabem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zostaje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zawieszone.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W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trakcie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zawieszenia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terapii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pacjent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pozostaje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w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programie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lekowym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i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jest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obserwowany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w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zakresie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kontroli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choroby</w:t>
            </w:r>
            <w:r w:rsidR="00761D8D" w:rsidRPr="00353D52">
              <w:rPr>
                <w:sz w:val="20"/>
                <w:szCs w:val="20"/>
                <w:lang w:eastAsia="en-US"/>
              </w:rPr>
              <w:t>,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a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w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przypadku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istotnego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pogorszenia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kontroli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choroby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lekarz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może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zdecydować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o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ponownym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rozpoczęciu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podawania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leku.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</w:p>
          <w:p w14:paraId="7BBFA1AE" w14:textId="3C907BD0" w:rsidR="00321D49" w:rsidRPr="00353D52" w:rsidRDefault="00353D52" w:rsidP="00353D52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353D52">
              <w:rPr>
                <w:sz w:val="20"/>
                <w:szCs w:val="20"/>
              </w:rPr>
              <w:t>P</w:t>
            </w:r>
            <w:r w:rsidR="00321D49" w:rsidRPr="00353D52">
              <w:rPr>
                <w:sz w:val="20"/>
                <w:szCs w:val="20"/>
              </w:rPr>
              <w:t>acjent,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u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którego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zawieszono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leczenie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omalizumabem,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a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u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którego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wcześniejszym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leczeniem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osiągnięto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istotną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poprawę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kontroli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choroby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i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poprawę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jakości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życia,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może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być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ponownie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włączony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przez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lekarza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prowadzącego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do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AE201E" w:rsidRPr="00353D52">
              <w:rPr>
                <w:sz w:val="20"/>
                <w:szCs w:val="20"/>
              </w:rPr>
              <w:t>programu,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jeżeli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podczas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badania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kontrolnego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stwierdzono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nawrót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choroby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definiowany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jako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wzrost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wartości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wskaźników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UAS7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do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poziomu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wartości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nie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mniejszej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niż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16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oraz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pacjent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nie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spełnia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kryteriów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wyłączenia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z</w:t>
            </w:r>
            <w:r w:rsidR="00D231B2" w:rsidRPr="00353D52">
              <w:rPr>
                <w:sz w:val="20"/>
                <w:szCs w:val="20"/>
              </w:rPr>
              <w:t xml:space="preserve"> </w:t>
            </w:r>
            <w:r w:rsidR="00321D49" w:rsidRPr="00353D52">
              <w:rPr>
                <w:sz w:val="20"/>
                <w:szCs w:val="20"/>
              </w:rPr>
              <w:t>programu.</w:t>
            </w:r>
          </w:p>
          <w:p w14:paraId="16DD41A4" w14:textId="0B3A307D" w:rsidR="00D231B2" w:rsidRPr="00353D52" w:rsidRDefault="000A471D" w:rsidP="00353D52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353D52">
              <w:rPr>
                <w:sz w:val="20"/>
                <w:szCs w:val="20"/>
                <w:lang w:eastAsia="en-US"/>
              </w:rPr>
              <w:t>U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chorych,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u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których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w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okresie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24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tygodni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od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dnia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zawieszenia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terapii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nie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dojdzie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do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istotnego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pogorszenia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kontroli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choroby,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leczenie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omalizumabem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oraz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udział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w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programie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lekowym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ulega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zakończeniu</w:t>
            </w:r>
            <w:r w:rsidR="00C10722" w:rsidRPr="00353D52">
              <w:rPr>
                <w:sz w:val="20"/>
                <w:szCs w:val="20"/>
                <w:lang w:eastAsia="en-US"/>
              </w:rPr>
              <w:t>.</w:t>
            </w:r>
          </w:p>
          <w:p w14:paraId="050BDFEF" w14:textId="1471C489" w:rsidR="002A2E97" w:rsidRPr="00353D52" w:rsidRDefault="000A471D" w:rsidP="00353D52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353D52">
              <w:rPr>
                <w:sz w:val="20"/>
                <w:szCs w:val="20"/>
                <w:lang w:eastAsia="en-US"/>
              </w:rPr>
              <w:lastRenderedPageBreak/>
              <w:t>Chory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może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być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ponownie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zakwalifikowany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do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terapii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omalizumab</w:t>
            </w:r>
            <w:r w:rsidR="00AE201E">
              <w:rPr>
                <w:sz w:val="20"/>
                <w:szCs w:val="20"/>
                <w:lang w:eastAsia="en-US"/>
              </w:rPr>
              <w:t>e</w:t>
            </w:r>
            <w:r w:rsidRPr="00353D52">
              <w:rPr>
                <w:sz w:val="20"/>
                <w:szCs w:val="20"/>
                <w:lang w:eastAsia="en-US"/>
              </w:rPr>
              <w:t>m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o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ile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spełni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kryteria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włączenia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i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nie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spełni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żadnego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z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kryteriów</w:t>
            </w:r>
            <w:r w:rsidR="00D231B2" w:rsidRPr="00353D52">
              <w:rPr>
                <w:sz w:val="20"/>
                <w:szCs w:val="20"/>
                <w:lang w:eastAsia="en-US"/>
              </w:rPr>
              <w:t xml:space="preserve"> </w:t>
            </w:r>
            <w:r w:rsidRPr="00353D52">
              <w:rPr>
                <w:sz w:val="20"/>
                <w:szCs w:val="20"/>
                <w:lang w:eastAsia="en-US"/>
              </w:rPr>
              <w:t>wyłączenia.</w:t>
            </w:r>
          </w:p>
          <w:p w14:paraId="339A8D5F" w14:textId="77777777" w:rsidR="00F46D50" w:rsidRPr="00353D52" w:rsidRDefault="00F46D50" w:rsidP="00353D52">
            <w:pPr>
              <w:pStyle w:val="Standard"/>
              <w:spacing w:after="60" w:line="276" w:lineRule="auto"/>
              <w:jc w:val="both"/>
              <w:rPr>
                <w:sz w:val="20"/>
                <w:szCs w:val="20"/>
                <w:lang w:eastAsia="en-US"/>
              </w:rPr>
            </w:pPr>
          </w:p>
          <w:p w14:paraId="4B2E532A" w14:textId="4F352E0B" w:rsidR="00AE6D80" w:rsidRPr="00353D52" w:rsidRDefault="00AE6D80" w:rsidP="00353D52">
            <w:pPr>
              <w:pStyle w:val="Akapitzlis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Kryteria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2E2666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ponownego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2E2666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włączenia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2E2666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do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2E2666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programu</w:t>
            </w:r>
          </w:p>
          <w:p w14:paraId="4B393ECC" w14:textId="73DDE328" w:rsidR="002E2666" w:rsidRPr="00353D52" w:rsidRDefault="002E2666" w:rsidP="00353D52">
            <w:pPr>
              <w:suppressAutoHyphens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programu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być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ponownie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włączony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pacjent,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którego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zaprzestano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podawania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substancji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czynnej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wymienionej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programie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zastosowanej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zgodnie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jego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treścią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powo</w:t>
            </w:r>
            <w:r w:rsidR="00C1072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du:</w:t>
            </w:r>
          </w:p>
          <w:p w14:paraId="6E2AF3AB" w14:textId="5F525922" w:rsidR="002E2666" w:rsidRPr="00353D52" w:rsidRDefault="002E2666" w:rsidP="00353D52">
            <w:pPr>
              <w:pStyle w:val="Akapitzlist"/>
              <w:numPr>
                <w:ilvl w:val="3"/>
                <w:numId w:val="22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wystąpienia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działań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niepożądanych,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które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ustąpiły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odstawieniu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bądź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C1072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zastosowanym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C1072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leczeniu</w:t>
            </w:r>
          </w:p>
          <w:p w14:paraId="00D2E5FB" w14:textId="77777777" w:rsidR="002E2666" w:rsidRPr="00353D52" w:rsidRDefault="00C10722" w:rsidP="00353D52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albo</w:t>
            </w:r>
          </w:p>
          <w:p w14:paraId="35CD6F3A" w14:textId="07C4EA3A" w:rsidR="001A5938" w:rsidRPr="00353D52" w:rsidRDefault="002E2666" w:rsidP="00353D52">
            <w:pPr>
              <w:pStyle w:val="Akapitzlist"/>
              <w:numPr>
                <w:ilvl w:val="3"/>
                <w:numId w:val="22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planowej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przerwy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leczeniu.</w:t>
            </w:r>
          </w:p>
          <w:p w14:paraId="2530E1E2" w14:textId="1A06DD1F" w:rsidR="00321D49" w:rsidRPr="00353D52" w:rsidRDefault="00321D49" w:rsidP="00353D52">
            <w:pPr>
              <w:suppressAutoHyphens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Ponownej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kwalifikacji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programu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dokonuje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lekarz.</w:t>
            </w:r>
          </w:p>
          <w:p w14:paraId="5F5669ED" w14:textId="77777777" w:rsidR="00F46D50" w:rsidRPr="00353D52" w:rsidRDefault="00F46D50" w:rsidP="00353D52">
            <w:pPr>
              <w:suppressAutoHyphens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1336" w:type="pct"/>
          </w:tcPr>
          <w:p w14:paraId="112A863D" w14:textId="69E700BD" w:rsidR="006B2181" w:rsidRPr="00353D52" w:rsidRDefault="006B2181" w:rsidP="00353D52">
            <w:pPr>
              <w:pStyle w:val="Akapitzlis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lastRenderedPageBreak/>
              <w:t>Dawkowanie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omalizumabu</w:t>
            </w:r>
          </w:p>
          <w:p w14:paraId="276C7D2C" w14:textId="023EC9C0" w:rsidR="009C5860" w:rsidRPr="00353D52" w:rsidRDefault="009C5860" w:rsidP="00353D5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Omalizumab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należy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podawać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zgodnie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dawkowaniem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określonym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aktualnej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Charakterystyce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Produktu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Leczniczego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084EA6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tj.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084EA6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300mg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084EA6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podawanych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084EA6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podskórnie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084EA6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co</w:t>
            </w:r>
            <w:r w:rsidR="007B6573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 </w:t>
            </w:r>
            <w:r w:rsidR="00084EA6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4</w:t>
            </w:r>
            <w:r w:rsidR="007B6573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 </w:t>
            </w:r>
            <w:r w:rsidR="00084EA6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tygodnie</w:t>
            </w:r>
            <w:r w:rsidR="007B6573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 </w:t>
            </w:r>
            <w:r w:rsidR="005F3C75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z </w:t>
            </w:r>
            <w:r w:rsidR="008935B8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uwzględnieniem rekomendacji</w:t>
            </w:r>
            <w:r w:rsidR="007B6573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8935B8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EAACI/GA²LEN/EuroGuiDerm/APAAACI.</w:t>
            </w:r>
          </w:p>
          <w:p w14:paraId="080ABE81" w14:textId="55ED87C4" w:rsidR="006B2181" w:rsidRPr="00353D52" w:rsidRDefault="006B2181" w:rsidP="00353D52">
            <w:pPr>
              <w:pStyle w:val="Akapitzlist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Leczenie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893967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omalizumabem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należy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zawiesić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24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tygodniach</w:t>
            </w:r>
            <w:r w:rsidR="0013102F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D7037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(</w:t>
            </w:r>
            <w:r w:rsidR="0013102F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+</w:t>
            </w:r>
            <w:r w:rsidR="00D7037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/</w:t>
            </w:r>
            <w:r w:rsidR="000C35D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-</w:t>
            </w:r>
            <w:r w:rsidR="00D7037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14dni)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od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rozpoczęcia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terapii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(podania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pierwszej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dawki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leku).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BA438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Pacjent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BA438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BA438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powinien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BA438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przerywać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BA438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leczenia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BA438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lekiem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BA438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przeciwhistaminowym.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czasie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zawieszenia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udziału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pacjenta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programie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lekowym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zastosowanie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leku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przeciwhistaminowego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pozostaje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do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decyzji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1D49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lekarza.</w:t>
            </w:r>
          </w:p>
          <w:p w14:paraId="385CC8DF" w14:textId="147E525B" w:rsidR="00042F82" w:rsidRPr="00353D52" w:rsidRDefault="006B2181" w:rsidP="00353D52">
            <w:pPr>
              <w:pStyle w:val="Akapitzlist"/>
              <w:numPr>
                <w:ilvl w:val="1"/>
                <w:numId w:val="2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pacjentów,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których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odwiesza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się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leczenie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6C05FA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omalizumabem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terapia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powinna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być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kontynuowana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zastosowaniem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dawki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6C05FA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zgodnej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6C05FA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6C05FA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Charakterystyką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6C05FA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Produktu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6C05FA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Leczniczego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przez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okres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kolejnych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24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tygodni</w:t>
            </w:r>
            <w:r w:rsidR="0085364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D870F6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(</w:t>
            </w:r>
            <w:r w:rsidR="0013102F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+</w:t>
            </w:r>
            <w:r w:rsidR="00D870F6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/-14dni)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FD757F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tj.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FD757F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300mg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FD757F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podawanych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FD757F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podskórnie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FD757F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co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FD757F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4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FD757F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tygodnie</w:t>
            </w:r>
            <w:r w:rsidR="00AB641F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.</w:t>
            </w:r>
          </w:p>
          <w:p w14:paraId="6377B9F8" w14:textId="077BD905" w:rsidR="00F30528" w:rsidRPr="00353D52" w:rsidRDefault="00F30528" w:rsidP="00353D5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lastRenderedPageBreak/>
              <w:t>Leczenie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może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być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kontynuowane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warunkach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domowych,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jeśli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lekarz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pacjent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uznają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to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właściwe.</w:t>
            </w:r>
          </w:p>
          <w:p w14:paraId="032652B6" w14:textId="3A4D69A1" w:rsidR="00F30528" w:rsidRPr="00353D52" w:rsidRDefault="00F30528" w:rsidP="00353D5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Pacjent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odbywa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ośrodku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leczenia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pokrzywki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minimum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trzy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wizyty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odstępach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zgodnych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dawkowaniem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leku.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</w:p>
          <w:p w14:paraId="703FCE01" w14:textId="47585FA1" w:rsidR="00F30528" w:rsidRPr="00353D52" w:rsidRDefault="00F30528" w:rsidP="00353D5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Wizyty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mają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też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celu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edukację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pacjenta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zakresie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administrowania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leku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–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samodzielnego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lub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przez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opiekuna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prawnego.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</w:p>
          <w:p w14:paraId="5ACEFDEA" w14:textId="5A06EBF3" w:rsidR="00F30528" w:rsidRPr="00353D52" w:rsidRDefault="00F30528" w:rsidP="00353D5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Pacjent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lub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opiekunowie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prawni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pacjenta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muszą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być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poinstruowani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proofErr w:type="gramStart"/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odnośnie</w:t>
            </w:r>
            <w:proofErr w:type="gramEnd"/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techniki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podawania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leku,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prowadzenia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dziennika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leczenia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oraz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rozpoznawania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działań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niepożądanych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(ciężkich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reakcji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alergicznych)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czynności,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które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należy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podjąć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przypadku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ich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wystąpienia.</w:t>
            </w:r>
          </w:p>
          <w:p w14:paraId="51EFED06" w14:textId="62C7D078" w:rsidR="00F30528" w:rsidRPr="00353D52" w:rsidRDefault="00F30528" w:rsidP="00353D5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Pacjent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otrzymuje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leki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ośrodku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prowadzącym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terapię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pokrzywki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danego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pacjenta.</w:t>
            </w:r>
          </w:p>
          <w:p w14:paraId="5DA91C77" w14:textId="48763775" w:rsidR="00042F82" w:rsidRPr="00353D52" w:rsidRDefault="00F30528" w:rsidP="00353D5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Lek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może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być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wydany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dla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celów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terapii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domowej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okres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nie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przekraczający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3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miesięcy.</w:t>
            </w:r>
          </w:p>
        </w:tc>
        <w:tc>
          <w:tcPr>
            <w:tcW w:w="1824" w:type="pct"/>
          </w:tcPr>
          <w:p w14:paraId="3BB5E8C8" w14:textId="4BC7B3EC" w:rsidR="00764916" w:rsidRPr="00353D52" w:rsidRDefault="00764916" w:rsidP="00353D52">
            <w:pPr>
              <w:pStyle w:val="Akapitzlist"/>
              <w:numPr>
                <w:ilvl w:val="0"/>
                <w:numId w:val="24"/>
              </w:numPr>
              <w:suppressAutoHyphens/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lastRenderedPageBreak/>
              <w:t>Badania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przy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kwalifikacji</w:t>
            </w:r>
          </w:p>
          <w:p w14:paraId="4CB01B8B" w14:textId="24CE5181" w:rsidR="00CC5327" w:rsidRPr="00353D52" w:rsidRDefault="00CC5327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ogólnego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stanu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zdrowia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podstawie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wywiadu</w:t>
            </w:r>
            <w:r w:rsidR="009E73F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1B1D8A00" w14:textId="094DF2E7" w:rsidR="00B6073C" w:rsidRPr="00353D52" w:rsidRDefault="006540A0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</w:t>
            </w:r>
            <w:r w:rsidR="00B607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cena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7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nasilenia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7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objawów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B6073C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pokrzywki:</w:t>
            </w:r>
          </w:p>
          <w:p w14:paraId="5743E80F" w14:textId="5E14750D" w:rsidR="00B6073C" w:rsidRPr="00353D52" w:rsidRDefault="00B6073C" w:rsidP="00353D52">
            <w:pPr>
              <w:pStyle w:val="Akapitzlist"/>
              <w:numPr>
                <w:ilvl w:val="4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Skala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Aktywności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Pokrzywki: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UAS7</w:t>
            </w:r>
            <w:r w:rsidR="00C1072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</w:p>
          <w:p w14:paraId="632A5AEB" w14:textId="6E38C23B" w:rsidR="00B6073C" w:rsidRPr="00353D52" w:rsidRDefault="00B6073C" w:rsidP="00353D52">
            <w:pPr>
              <w:pStyle w:val="Akapitzlist"/>
              <w:numPr>
                <w:ilvl w:val="4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jakości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życia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podstawie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kwestionariusza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DLQI</w:t>
            </w:r>
            <w:r w:rsidR="00C1072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6AEED08C" w14:textId="4F21D42D" w:rsidR="00AB641F" w:rsidRPr="00353D52" w:rsidRDefault="00764916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morfologia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krwi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rozmazem;</w:t>
            </w:r>
          </w:p>
          <w:p w14:paraId="66C36944" w14:textId="77777777" w:rsidR="00764916" w:rsidRPr="00353D52" w:rsidRDefault="00764916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CRP;</w:t>
            </w:r>
          </w:p>
          <w:p w14:paraId="71AA50CF" w14:textId="77777777" w:rsidR="00764916" w:rsidRPr="00353D52" w:rsidRDefault="00764916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</w:rPr>
              <w:t>TSH;</w:t>
            </w:r>
          </w:p>
          <w:p w14:paraId="2DEAFFC0" w14:textId="218BB1D4" w:rsidR="00764916" w:rsidRPr="00353D52" w:rsidRDefault="00764916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</w:rPr>
              <w:t>aminotransferaza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</w:rPr>
              <w:t>alaninowa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</w:rPr>
              <w:t>(ALAT);</w:t>
            </w:r>
          </w:p>
          <w:p w14:paraId="2B62279E" w14:textId="2CD1F5A0" w:rsidR="00764916" w:rsidRPr="00353D52" w:rsidRDefault="00764916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kreatynina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mocznik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surowicy;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  <w:p w14:paraId="6F969B15" w14:textId="5E91D272" w:rsidR="006122EB" w:rsidRPr="00353D52" w:rsidRDefault="00D231B2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05F0E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próba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05F0E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ciążowa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05F0E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05F0E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kobiet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05F0E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05F0E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wieku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05F0E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rozrodczym</w:t>
            </w:r>
            <w:r w:rsidR="009E73F7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7FC867CA" w14:textId="77777777" w:rsidR="00F46D50" w:rsidRPr="00353D52" w:rsidRDefault="00F46D50" w:rsidP="00353D52">
            <w:pPr>
              <w:pStyle w:val="Akapitzlist"/>
              <w:suppressAutoHyphens/>
              <w:spacing w:after="60" w:line="276" w:lineRule="auto"/>
              <w:ind w:left="436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4642B7A1" w14:textId="0BAE00B2" w:rsidR="00EC4FA3" w:rsidRPr="00353D52" w:rsidRDefault="00764916" w:rsidP="00353D52">
            <w:pPr>
              <w:pStyle w:val="Akapitzlist"/>
              <w:numPr>
                <w:ilvl w:val="0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M</w:t>
            </w:r>
            <w:r w:rsidR="00AE6E8F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onitorowanie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AE6E8F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leczenia</w:t>
            </w:r>
          </w:p>
          <w:p w14:paraId="088B7016" w14:textId="683D0F93" w:rsidR="00764916" w:rsidRPr="00353D52" w:rsidRDefault="00853C50" w:rsidP="00353D52">
            <w:pPr>
              <w:pStyle w:val="Akapitzlist"/>
              <w:numPr>
                <w:ilvl w:val="1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Badania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przeprowadzane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przed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702C86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podaniem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702C86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leku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ośrodku,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702C86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nie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702C86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rzadziej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702C86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niż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702C86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raz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702C86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na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702C86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3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702C86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miesiące</w:t>
            </w:r>
            <w:r w:rsidR="00687AE0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:</w:t>
            </w:r>
          </w:p>
          <w:p w14:paraId="6857B23D" w14:textId="41919840" w:rsidR="00764916" w:rsidRPr="00353D52" w:rsidRDefault="00673003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kliniczna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64916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64916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oceną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64916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skuteczności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64916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</w:t>
            </w:r>
            <w:r w:rsidR="005A27E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A27E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A27E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jakości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A27E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życia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A27E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(weryfikacja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64916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kwestionariuszy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64916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UAS7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64916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64916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DLQI);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</w:p>
          <w:p w14:paraId="075DBB7C" w14:textId="255E2A69" w:rsidR="00764916" w:rsidRPr="00353D52" w:rsidRDefault="00764916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dokładny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wywi</w:t>
            </w:r>
            <w:r w:rsidR="006540A0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ad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540A0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dotyczący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540A0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efektów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540A0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540A0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ewentualnych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działań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niepożądanych</w:t>
            </w:r>
            <w:r w:rsidR="009D50DE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2EDC7FA5" w14:textId="77777777" w:rsidR="00D231B2" w:rsidRPr="00353D52" w:rsidRDefault="00D231B2" w:rsidP="00353D52">
            <w:pPr>
              <w:pStyle w:val="Akapitzlist"/>
              <w:suppressAutoHyphens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31EE380C" w14:textId="3005069D" w:rsidR="00A65F23" w:rsidRPr="00353D52" w:rsidRDefault="00A65F23" w:rsidP="00353D52">
            <w:pPr>
              <w:pStyle w:val="Akapitzlist"/>
              <w:numPr>
                <w:ilvl w:val="1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Po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764916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12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EC4FA3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EC4FA3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24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8935B8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(</w:t>
            </w:r>
            <w:r w:rsidR="0013102F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+</w:t>
            </w:r>
            <w:r w:rsidR="008935B8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/- 14 </w:t>
            </w:r>
            <w:r w:rsidR="00AE201E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dni)</w:t>
            </w:r>
            <w:r w:rsidR="008935B8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EC4FA3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tygodniu</w:t>
            </w:r>
            <w:r w:rsidR="00D231B2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EC4FA3"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leczenia</w:t>
            </w:r>
            <w:r w:rsidRPr="00353D5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:</w:t>
            </w:r>
          </w:p>
          <w:p w14:paraId="1AE90073" w14:textId="3C33DEA1" w:rsidR="00A65F23" w:rsidRPr="00353D52" w:rsidRDefault="00673003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kliniczna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oceną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skuteczności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jakości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życia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(wypełnienie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kwestionariuszy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UAS7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A65F2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DLQI);</w:t>
            </w:r>
          </w:p>
          <w:p w14:paraId="77C2F851" w14:textId="0A95759C" w:rsidR="00A65F23" w:rsidRPr="00353D52" w:rsidRDefault="00A65F23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morfologia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krwi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rozmazem</w:t>
            </w:r>
            <w:r w:rsidR="00AB641F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0DBD32A4" w14:textId="77777777" w:rsidR="00A65F23" w:rsidRPr="00353D52" w:rsidRDefault="00A65F23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CRP</w:t>
            </w:r>
            <w:r w:rsidR="00AB641F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2E4C70C1" w14:textId="77777777" w:rsidR="00A65F23" w:rsidRPr="00353D52" w:rsidRDefault="00A65F23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TSH</w:t>
            </w:r>
            <w:r w:rsidR="00AB641F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458E7846" w14:textId="2CC8FA9E" w:rsidR="00A65F23" w:rsidRPr="00353D52" w:rsidRDefault="00A65F23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aminotransferaza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alaninowa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(ALAT);</w:t>
            </w:r>
          </w:p>
          <w:p w14:paraId="05A8FF4F" w14:textId="626A0A16" w:rsidR="00A65F23" w:rsidRPr="00353D52" w:rsidRDefault="00A65F23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próba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ciążowa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kobiet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wieku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rozrodczym</w:t>
            </w:r>
            <w:r w:rsidR="0067300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3F572010" w14:textId="65CCC20C" w:rsidR="00A65F23" w:rsidRPr="00353D52" w:rsidRDefault="00A65F23" w:rsidP="00353D52">
            <w:pPr>
              <w:pStyle w:val="Akapitzlist"/>
              <w:numPr>
                <w:ilvl w:val="3"/>
                <w:numId w:val="24"/>
              </w:numPr>
              <w:suppressAutoHyphens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ocena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ogólnego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stanu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zdrowia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7300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podstawie</w:t>
            </w:r>
            <w:r w:rsidR="00D231B2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673003"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wywiadu</w:t>
            </w:r>
            <w:r w:rsidRPr="00353D5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0C75DFA8" w14:textId="77777777" w:rsidR="00F46D50" w:rsidRPr="00353D52" w:rsidRDefault="00F46D50" w:rsidP="00353D52">
            <w:pPr>
              <w:pStyle w:val="Akapitzlist"/>
              <w:suppressAutoHyphens/>
              <w:autoSpaceDE w:val="0"/>
              <w:autoSpaceDN w:val="0"/>
              <w:adjustRightInd w:val="0"/>
              <w:spacing w:after="60" w:line="276" w:lineRule="auto"/>
              <w:ind w:left="436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451871FF" w14:textId="77F690DB" w:rsidR="00670618" w:rsidRPr="00353D52" w:rsidRDefault="002A2E97" w:rsidP="00353D52">
            <w:pPr>
              <w:pStyle w:val="Akapitzlist"/>
              <w:numPr>
                <w:ilvl w:val="0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Monitorowanie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w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trakcie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zawieszenia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leczenia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D38D0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(po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D38D0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upływie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D38D0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24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D38D0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tygodni</w:t>
            </w:r>
            <w:r w:rsidR="0085364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8935B8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(</w:t>
            </w:r>
            <w:r w:rsidR="0085364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+</w:t>
            </w:r>
            <w:r w:rsidR="008935B8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/-14 dni)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D38D0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leczenia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D38D0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omalizumabem)</w:t>
            </w:r>
            <w:r w:rsidR="00687AE0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,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92075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nie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92075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rzadziej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92075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niż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92075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raz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92075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na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92075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3</w:t>
            </w:r>
            <w:r w:rsidR="00D231B2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D92075" w:rsidRPr="00353D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miesiące</w:t>
            </w:r>
          </w:p>
          <w:p w14:paraId="55DA11DC" w14:textId="3CE850E9" w:rsidR="00670618" w:rsidRPr="00353D52" w:rsidRDefault="00673003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ocena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kliniczna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2A2E97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2A2E97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oceną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2A2E97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skuteczności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2A2E97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lecze</w:t>
            </w:r>
            <w:r w:rsidR="005A27E3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5A27E3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5A27E3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jakości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5A27E3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życia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5A27E3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(</w:t>
            </w:r>
            <w:r w:rsidR="002A2E97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kwestionariuszy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2A2E97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UAS7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2A2E97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2A2E97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DLQI);</w:t>
            </w:r>
          </w:p>
          <w:p w14:paraId="29EC170A" w14:textId="681D40E2" w:rsidR="002A2E97" w:rsidRPr="00353D52" w:rsidRDefault="002A2E97" w:rsidP="00353D52">
            <w:pPr>
              <w:pStyle w:val="Akapitzlist"/>
              <w:numPr>
                <w:ilvl w:val="3"/>
                <w:numId w:val="24"/>
              </w:numPr>
              <w:suppressAutoHyphens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dokładny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wywiad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dotyczący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287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stanu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32287E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zdrowia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="00673003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i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ewentualnych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działań</w:t>
            </w:r>
            <w:r w:rsidR="00D231B2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 </w:t>
            </w:r>
            <w:r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niepożądanych</w:t>
            </w:r>
            <w:r w:rsidR="00DE3E18" w:rsidRPr="00353D52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.</w:t>
            </w:r>
          </w:p>
          <w:p w14:paraId="613CA69C" w14:textId="77777777" w:rsidR="00F46D50" w:rsidRPr="00353D52" w:rsidRDefault="00F46D50" w:rsidP="00353D52">
            <w:pPr>
              <w:pStyle w:val="Akapitzlist"/>
              <w:suppressAutoHyphens/>
              <w:spacing w:after="60" w:line="276" w:lineRule="auto"/>
              <w:ind w:left="434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</w:p>
          <w:p w14:paraId="6ED08F8D" w14:textId="07758612" w:rsidR="00673003" w:rsidRPr="00353D52" w:rsidRDefault="00673003" w:rsidP="00353D52">
            <w:pPr>
              <w:pStyle w:val="Akapitzlist"/>
              <w:widowControl w:val="0"/>
              <w:numPr>
                <w:ilvl w:val="0"/>
                <w:numId w:val="24"/>
              </w:numPr>
              <w:shd w:val="clear" w:color="auto" w:fill="FFFFFF"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SimSun" w:hAnsi="Times New Roman" w:cs="Times New Roman"/>
                <w:b/>
                <w:sz w:val="20"/>
                <w:szCs w:val="20"/>
                <w:lang w:val="pl-PL" w:eastAsia="zh-CN"/>
              </w:rPr>
            </w:pPr>
            <w:r w:rsidRPr="00353D52">
              <w:rPr>
                <w:rFonts w:ascii="Times New Roman" w:eastAsia="SimSun" w:hAnsi="Times New Roman" w:cs="Times New Roman"/>
                <w:b/>
                <w:sz w:val="20"/>
                <w:szCs w:val="20"/>
                <w:lang w:val="pl-PL" w:eastAsia="zh-CN"/>
              </w:rPr>
              <w:t>Monitorowanie</w:t>
            </w:r>
            <w:r w:rsidR="00D231B2" w:rsidRPr="00353D52">
              <w:rPr>
                <w:rFonts w:ascii="Times New Roman" w:eastAsia="SimSun" w:hAnsi="Times New Roman" w:cs="Times New Roman"/>
                <w:b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b/>
                <w:sz w:val="20"/>
                <w:szCs w:val="20"/>
                <w:lang w:val="pl-PL" w:eastAsia="zh-CN"/>
              </w:rPr>
              <w:t>programu</w:t>
            </w:r>
          </w:p>
          <w:p w14:paraId="52200F1B" w14:textId="426765F8" w:rsidR="00673003" w:rsidRPr="00353D52" w:rsidRDefault="00673003" w:rsidP="00353D52">
            <w:pPr>
              <w:widowControl w:val="0"/>
              <w:numPr>
                <w:ilvl w:val="3"/>
                <w:numId w:val="24"/>
              </w:numPr>
              <w:shd w:val="clear" w:color="auto" w:fill="FFFFFF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</w:pP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gromadzenie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w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dokumentacji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medycznej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pacjenta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danych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dotyczących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monitorowania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leczenia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i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każdorazowe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ich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przedst</w:t>
            </w:r>
            <w:r w:rsidR="00C1072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awianie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="00C1072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na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="00C1072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żądanie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="00C1072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kontrolerów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Narodowego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Funduszu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Zdrowia;</w:t>
            </w:r>
          </w:p>
          <w:p w14:paraId="32F05474" w14:textId="70733425" w:rsidR="00673003" w:rsidRPr="00353D52" w:rsidRDefault="00673003" w:rsidP="00353D52">
            <w:pPr>
              <w:widowControl w:val="0"/>
              <w:numPr>
                <w:ilvl w:val="3"/>
                <w:numId w:val="24"/>
              </w:numPr>
              <w:shd w:val="clear" w:color="auto" w:fill="FFFFFF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</w:pP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uzupełnianie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danych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="00216E61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zawartych w elektronicznym systemie monitorowania programów lekowych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(SMPT)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dostępnym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za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pomocą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aplikacji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internetowej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udostępnionej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przez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OW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NFZ,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z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częstotliwością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zgodną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z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opisem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programu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oraz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na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lastRenderedPageBreak/>
              <w:t>zakończenie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leczenia;</w:t>
            </w:r>
          </w:p>
          <w:p w14:paraId="48E4B138" w14:textId="4866C25E" w:rsidR="002A2E97" w:rsidRPr="00353D52" w:rsidRDefault="00673003" w:rsidP="00353D52">
            <w:pPr>
              <w:widowControl w:val="0"/>
              <w:numPr>
                <w:ilvl w:val="3"/>
                <w:numId w:val="24"/>
              </w:numPr>
              <w:shd w:val="clear" w:color="auto" w:fill="FFFFFF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</w:pP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przekazywanie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informacji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sprawozdawczo-rozliczeniowych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do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NFZ: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informacje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przekazuje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się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do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NFZ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w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formie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papierowej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lub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w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formie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elektronicznej,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zgodnie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z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wymaganiami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opublikowanymi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przez</w:t>
            </w:r>
            <w:r w:rsidR="00D231B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 xml:space="preserve"> </w:t>
            </w:r>
            <w:r w:rsidR="00353D52"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NFZ</w:t>
            </w:r>
            <w:r w:rsidRPr="00353D52">
              <w:rPr>
                <w:rFonts w:ascii="Times New Roman" w:eastAsia="SimSun" w:hAnsi="Times New Roman" w:cs="Times New Roman"/>
                <w:sz w:val="20"/>
                <w:szCs w:val="20"/>
                <w:lang w:val="pl-PL" w:eastAsia="zh-CN"/>
              </w:rPr>
              <w:t>.</w:t>
            </w:r>
          </w:p>
        </w:tc>
      </w:tr>
    </w:tbl>
    <w:p w14:paraId="3A411B7D" w14:textId="77777777" w:rsidR="001A5938" w:rsidRPr="002A2E97" w:rsidRDefault="001A5938" w:rsidP="006346BD">
      <w:pPr>
        <w:rPr>
          <w:rFonts w:ascii="Times New Roman" w:hAnsi="Times New Roman" w:cs="Times New Roman"/>
          <w:sz w:val="20"/>
          <w:szCs w:val="20"/>
          <w:lang w:val="pl-PL"/>
        </w:rPr>
      </w:pPr>
    </w:p>
    <w:sectPr w:rsidR="001A5938" w:rsidRPr="002A2E97" w:rsidSect="003E186F">
      <w:footerReference w:type="default" r:id="rId8"/>
      <w:pgSz w:w="16840" w:h="11907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0DB1" w14:textId="77777777" w:rsidR="00484ED2" w:rsidRDefault="00484ED2" w:rsidP="000605E2">
      <w:pPr>
        <w:spacing w:after="0" w:line="240" w:lineRule="auto"/>
      </w:pPr>
      <w:r>
        <w:separator/>
      </w:r>
    </w:p>
  </w:endnote>
  <w:endnote w:type="continuationSeparator" w:id="0">
    <w:p w14:paraId="04633B33" w14:textId="77777777" w:rsidR="00484ED2" w:rsidRDefault="00484ED2" w:rsidP="0006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F4B0" w14:textId="4BA02014" w:rsidR="008935B8" w:rsidRDefault="008935B8">
    <w:pPr>
      <w:pStyle w:val="Stopk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FB7954" wp14:editId="426A721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646644" cy="215444"/>
              <wp:effectExtent l="0" t="0" r="0" b="0"/>
              <wp:wrapNone/>
              <wp:docPr id="84" name="TextBox 83">
                <a:extLst xmlns:a="http://schemas.openxmlformats.org/drawingml/2006/main">
                  <a:ext uri="{FF2B5EF4-FFF2-40B4-BE49-F238E27FC236}">
                    <a16:creationId xmlns:a16="http://schemas.microsoft.com/office/drawing/2014/main" id="{DDB3492D-E3B9-4E26-B365-532A0A00F8C6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6644" cy="21544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F51F0AE" w14:textId="71CE8AF0" w:rsidR="008935B8" w:rsidRDefault="008935B8" w:rsidP="008935B8">
                          <w:pPr>
                            <w:textAlignment w:val="baseline"/>
                            <w:rPr>
                              <w:rFonts w:ascii="Arial" w:hAnsi="Arial"/>
                              <w:color w:val="000000"/>
                              <w:kern w:val="24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B7954" id="_x0000_t202" coordsize="21600,21600" o:spt="202" path="m,l,21600r21600,l21600,xe">
              <v:stroke joinstyle="miter"/>
              <v:path gradientshapeok="t" o:connecttype="rect"/>
            </v:shapetype>
            <v:shape id="TextBox 83" o:spid="_x0000_s1026" type="#_x0000_t202" style="position:absolute;margin-left:0;margin-top:0;width:365.9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MFdgEAAN4CAAAOAAAAZHJzL2Uyb0RvYy54bWysUk1PwzAMvSPxH6LcWbupTKhaN4GmcUGA&#10;NPgBWZqslZo4xNna/XucbGwIboiL4/jj5fk5s8VgOrZXHluwFR+Pcs6UlVC3dlvx97fVzR1nGISt&#10;RQdWVfygkC/m11ez3pVqAg10tfKMQCyWvat4E4Irswxlo4zAEThlKanBGxHo6rdZ7UVP6KbLJnk+&#10;zXrwtfMgFSJFl8cknyd8rZUML1qjCqyrOHELyfpkN9Fm85kot164ppUnGuIPLIxoLT16hlqKINjO&#10;t7+gTCs9IOgwkmAy0LqVKs1A04zzH9OsG+FUmoXEQXeWCf8PVj7v1+7VszA8wEALjIL0DkukYJxn&#10;0N7Ek5gyypOEh7NsaghMUrCYFtNpUXAmKTcZ3xbkE0x26XYew6MCw6JTcU9rSWqJ/ROGY+lXSXzM&#10;wqrtuhi/UIleGDbDid8G6gPR7mlzFcePnfBRKEG873eB2hNq7DkWnqBIxMTrtPC4pe/3VHX5lvNP&#10;AAAA//8DAFBLAwQUAAYACAAAACEAiw9uAtkAAAAEAQAADwAAAGRycy9kb3ducmV2LnhtbEyPS0/D&#10;MBCE70j8B2uRuFEnRLxCnKriIXHgQgn3bbzEEbEdxdsm/fcsXOAy0mpWM99U68UP6kBT6mMwkK8y&#10;UBTaaPvQGWjeny9uQSXGYHGIgQwcKcG6Pj2psLRxDm902HKnJCSkEg045rHUOrWOPKZVHCmI9xkn&#10;jyzn1Gk74SzhftCXWXatPfZBGhyO9OCo/druvQFmu8mPzZNPLx/L6+PssvYKG2POz5bNPSimhf+e&#10;4Qdf0KEWpl3cB5vUYECG8K+Kd1PkMmNnoCjuQNeV/g9ffwMAAP//AwBQSwECLQAUAAYACAAAACEA&#10;toM4kv4AAADhAQAAEwAAAAAAAAAAAAAAAAAAAAAAW0NvbnRlbnRfVHlwZXNdLnhtbFBLAQItABQA&#10;BgAIAAAAIQA4/SH/1gAAAJQBAAALAAAAAAAAAAAAAAAAAC8BAABfcmVscy8ucmVsc1BLAQItABQA&#10;BgAIAAAAIQCt8hMFdgEAAN4CAAAOAAAAAAAAAAAAAAAAAC4CAABkcnMvZTJvRG9jLnhtbFBLAQIt&#10;ABQABgAIAAAAIQCLD24C2QAAAAQBAAAPAAAAAAAAAAAAAAAAANADAABkcnMvZG93bnJldi54bWxQ&#10;SwUGAAAAAAQABADzAAAA1gQAAAAA&#10;" filled="f" stroked="f">
              <v:textbox style="mso-fit-shape-to-text:t">
                <w:txbxContent>
                  <w:p w14:paraId="7F51F0AE" w14:textId="71CE8AF0" w:rsidR="008935B8" w:rsidRDefault="008935B8" w:rsidP="008935B8">
                    <w:pPr>
                      <w:textAlignment w:val="baseline"/>
                      <w:rPr>
                        <w:rFonts w:ascii="Arial" w:hAnsi="Arial"/>
                        <w:color w:val="000000"/>
                        <w:kern w:val="24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AF692" w14:textId="77777777" w:rsidR="00484ED2" w:rsidRDefault="00484ED2" w:rsidP="000605E2">
      <w:pPr>
        <w:spacing w:after="0" w:line="240" w:lineRule="auto"/>
      </w:pPr>
      <w:r>
        <w:separator/>
      </w:r>
    </w:p>
  </w:footnote>
  <w:footnote w:type="continuationSeparator" w:id="0">
    <w:p w14:paraId="02E54BB4" w14:textId="77777777" w:rsidR="00484ED2" w:rsidRDefault="00484ED2" w:rsidP="0006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DCB"/>
    <w:multiLevelType w:val="hybridMultilevel"/>
    <w:tmpl w:val="807802B2"/>
    <w:lvl w:ilvl="0" w:tplc="E1F4D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1099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55655DE"/>
    <w:multiLevelType w:val="multilevel"/>
    <w:tmpl w:val="DC0EAD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6445E"/>
    <w:multiLevelType w:val="multilevel"/>
    <w:tmpl w:val="A8E4E3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06A6F"/>
    <w:multiLevelType w:val="hybridMultilevel"/>
    <w:tmpl w:val="FA10DF2E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4B86744"/>
    <w:multiLevelType w:val="hybridMultilevel"/>
    <w:tmpl w:val="E97604E2"/>
    <w:lvl w:ilvl="0" w:tplc="E5CC5B82">
      <w:start w:val="1"/>
      <w:numFmt w:val="decimal"/>
      <w:lvlText w:val="%1)"/>
      <w:lvlJc w:val="righ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C7797"/>
    <w:multiLevelType w:val="hybridMultilevel"/>
    <w:tmpl w:val="5134B566"/>
    <w:lvl w:ilvl="0" w:tplc="04090017">
      <w:start w:val="1"/>
      <w:numFmt w:val="lowerLetter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2D166786"/>
    <w:multiLevelType w:val="hybridMultilevel"/>
    <w:tmpl w:val="2FD8E558"/>
    <w:lvl w:ilvl="0" w:tplc="E1586F8E">
      <w:start w:val="3"/>
      <w:numFmt w:val="decimal"/>
      <w:lvlText w:val="%1.1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501FB"/>
    <w:multiLevelType w:val="multilevel"/>
    <w:tmpl w:val="B4268F8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31815D05"/>
    <w:multiLevelType w:val="multilevel"/>
    <w:tmpl w:val="66DA51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B823106"/>
    <w:multiLevelType w:val="hybridMultilevel"/>
    <w:tmpl w:val="C7D27D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E01D8"/>
    <w:multiLevelType w:val="multilevel"/>
    <w:tmpl w:val="C726B6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3F863250"/>
    <w:multiLevelType w:val="multilevel"/>
    <w:tmpl w:val="E23EED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FA30B04"/>
    <w:multiLevelType w:val="multilevel"/>
    <w:tmpl w:val="4A726FB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color w:val="auto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41481904"/>
    <w:multiLevelType w:val="hybridMultilevel"/>
    <w:tmpl w:val="D0109784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4BB5268F"/>
    <w:multiLevelType w:val="hybridMultilevel"/>
    <w:tmpl w:val="C736D9EA"/>
    <w:lvl w:ilvl="0" w:tplc="04090011">
      <w:start w:val="1"/>
      <w:numFmt w:val="decimal"/>
      <w:lvlText w:val="%1)"/>
      <w:lvlJc w:val="left"/>
      <w:pPr>
        <w:ind w:left="1085" w:hanging="360"/>
      </w:pPr>
    </w:lvl>
    <w:lvl w:ilvl="1" w:tplc="08090019" w:tentative="1">
      <w:start w:val="1"/>
      <w:numFmt w:val="lowerLetter"/>
      <w:lvlText w:val="%2."/>
      <w:lvlJc w:val="left"/>
      <w:pPr>
        <w:ind w:left="1805" w:hanging="360"/>
      </w:pPr>
    </w:lvl>
    <w:lvl w:ilvl="2" w:tplc="0809001B" w:tentative="1">
      <w:start w:val="1"/>
      <w:numFmt w:val="lowerRoman"/>
      <w:lvlText w:val="%3."/>
      <w:lvlJc w:val="right"/>
      <w:pPr>
        <w:ind w:left="2525" w:hanging="180"/>
      </w:pPr>
    </w:lvl>
    <w:lvl w:ilvl="3" w:tplc="0809000F" w:tentative="1">
      <w:start w:val="1"/>
      <w:numFmt w:val="decimal"/>
      <w:lvlText w:val="%4."/>
      <w:lvlJc w:val="left"/>
      <w:pPr>
        <w:ind w:left="3245" w:hanging="360"/>
      </w:pPr>
    </w:lvl>
    <w:lvl w:ilvl="4" w:tplc="08090019" w:tentative="1">
      <w:start w:val="1"/>
      <w:numFmt w:val="lowerLetter"/>
      <w:lvlText w:val="%5."/>
      <w:lvlJc w:val="left"/>
      <w:pPr>
        <w:ind w:left="3965" w:hanging="360"/>
      </w:pPr>
    </w:lvl>
    <w:lvl w:ilvl="5" w:tplc="0809001B" w:tentative="1">
      <w:start w:val="1"/>
      <w:numFmt w:val="lowerRoman"/>
      <w:lvlText w:val="%6."/>
      <w:lvlJc w:val="right"/>
      <w:pPr>
        <w:ind w:left="4685" w:hanging="180"/>
      </w:pPr>
    </w:lvl>
    <w:lvl w:ilvl="6" w:tplc="0809000F" w:tentative="1">
      <w:start w:val="1"/>
      <w:numFmt w:val="decimal"/>
      <w:lvlText w:val="%7."/>
      <w:lvlJc w:val="left"/>
      <w:pPr>
        <w:ind w:left="5405" w:hanging="360"/>
      </w:pPr>
    </w:lvl>
    <w:lvl w:ilvl="7" w:tplc="08090019" w:tentative="1">
      <w:start w:val="1"/>
      <w:numFmt w:val="lowerLetter"/>
      <w:lvlText w:val="%8."/>
      <w:lvlJc w:val="left"/>
      <w:pPr>
        <w:ind w:left="6125" w:hanging="360"/>
      </w:pPr>
    </w:lvl>
    <w:lvl w:ilvl="8" w:tplc="08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16" w15:restartNumberingAfterBreak="0">
    <w:nsid w:val="4D0A3C51"/>
    <w:multiLevelType w:val="multilevel"/>
    <w:tmpl w:val="25D85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8B1E6F"/>
    <w:multiLevelType w:val="hybridMultilevel"/>
    <w:tmpl w:val="FA10DF2E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6442415"/>
    <w:multiLevelType w:val="hybridMultilevel"/>
    <w:tmpl w:val="BC68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1758C"/>
    <w:multiLevelType w:val="hybridMultilevel"/>
    <w:tmpl w:val="0164C13A"/>
    <w:lvl w:ilvl="0" w:tplc="E5CC5B82">
      <w:start w:val="1"/>
      <w:numFmt w:val="decimal"/>
      <w:lvlText w:val="%1)"/>
      <w:lvlJc w:val="righ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BE4469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749007FB"/>
    <w:multiLevelType w:val="multilevel"/>
    <w:tmpl w:val="25E4DD5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7B011848"/>
    <w:multiLevelType w:val="hybridMultilevel"/>
    <w:tmpl w:val="D26866BE"/>
    <w:lvl w:ilvl="0" w:tplc="E5CC5B82">
      <w:start w:val="1"/>
      <w:numFmt w:val="decimal"/>
      <w:lvlText w:val="%1)"/>
      <w:lvlJc w:val="righ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83B99"/>
    <w:multiLevelType w:val="hybridMultilevel"/>
    <w:tmpl w:val="DDF0FFB8"/>
    <w:lvl w:ilvl="0" w:tplc="D3EE074C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268744">
    <w:abstractNumId w:val="4"/>
  </w:num>
  <w:num w:numId="2" w16cid:durableId="1613593709">
    <w:abstractNumId w:val="6"/>
  </w:num>
  <w:num w:numId="3" w16cid:durableId="1520392757">
    <w:abstractNumId w:val="17"/>
  </w:num>
  <w:num w:numId="4" w16cid:durableId="669722211">
    <w:abstractNumId w:val="0"/>
  </w:num>
  <w:num w:numId="5" w16cid:durableId="1427728057">
    <w:abstractNumId w:val="23"/>
  </w:num>
  <w:num w:numId="6" w16cid:durableId="408239411">
    <w:abstractNumId w:val="9"/>
  </w:num>
  <w:num w:numId="7" w16cid:durableId="893811112">
    <w:abstractNumId w:val="19"/>
  </w:num>
  <w:num w:numId="8" w16cid:durableId="1430585617">
    <w:abstractNumId w:val="5"/>
  </w:num>
  <w:num w:numId="9" w16cid:durableId="297610544">
    <w:abstractNumId w:val="7"/>
  </w:num>
  <w:num w:numId="10" w16cid:durableId="1552377193">
    <w:abstractNumId w:val="18"/>
  </w:num>
  <w:num w:numId="11" w16cid:durableId="910702268">
    <w:abstractNumId w:val="22"/>
  </w:num>
  <w:num w:numId="12" w16cid:durableId="881676040">
    <w:abstractNumId w:val="14"/>
  </w:num>
  <w:num w:numId="13" w16cid:durableId="183517615">
    <w:abstractNumId w:val="16"/>
  </w:num>
  <w:num w:numId="14" w16cid:durableId="1713655141">
    <w:abstractNumId w:val="10"/>
  </w:num>
  <w:num w:numId="15" w16cid:durableId="182480539">
    <w:abstractNumId w:val="15"/>
  </w:num>
  <w:num w:numId="16" w16cid:durableId="1623001431">
    <w:abstractNumId w:val="12"/>
  </w:num>
  <w:num w:numId="17" w16cid:durableId="522091072">
    <w:abstractNumId w:val="2"/>
  </w:num>
  <w:num w:numId="18" w16cid:durableId="779178837">
    <w:abstractNumId w:val="3"/>
  </w:num>
  <w:num w:numId="19" w16cid:durableId="1082721903">
    <w:abstractNumId w:val="13"/>
  </w:num>
  <w:num w:numId="20" w16cid:durableId="95635724">
    <w:abstractNumId w:val="8"/>
  </w:num>
  <w:num w:numId="21" w16cid:durableId="1068921487">
    <w:abstractNumId w:val="1"/>
  </w:num>
  <w:num w:numId="22" w16cid:durableId="596252662">
    <w:abstractNumId w:val="20"/>
  </w:num>
  <w:num w:numId="23" w16cid:durableId="2009480909">
    <w:abstractNumId w:val="11"/>
  </w:num>
  <w:num w:numId="24" w16cid:durableId="1628245029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938"/>
    <w:rsid w:val="0003027C"/>
    <w:rsid w:val="00042F82"/>
    <w:rsid w:val="00046961"/>
    <w:rsid w:val="000605E2"/>
    <w:rsid w:val="00072541"/>
    <w:rsid w:val="00083397"/>
    <w:rsid w:val="00084EA6"/>
    <w:rsid w:val="00090B97"/>
    <w:rsid w:val="000A471D"/>
    <w:rsid w:val="000B1012"/>
    <w:rsid w:val="000B191C"/>
    <w:rsid w:val="000B5B80"/>
    <w:rsid w:val="000B7293"/>
    <w:rsid w:val="000C35DE"/>
    <w:rsid w:val="000E36D7"/>
    <w:rsid w:val="00101884"/>
    <w:rsid w:val="00103370"/>
    <w:rsid w:val="0011643A"/>
    <w:rsid w:val="00126DE0"/>
    <w:rsid w:val="00127154"/>
    <w:rsid w:val="0013102F"/>
    <w:rsid w:val="001461C6"/>
    <w:rsid w:val="001665F1"/>
    <w:rsid w:val="00173D01"/>
    <w:rsid w:val="00183BA7"/>
    <w:rsid w:val="001868DD"/>
    <w:rsid w:val="001A5938"/>
    <w:rsid w:val="001A5D51"/>
    <w:rsid w:val="001A63CD"/>
    <w:rsid w:val="001C1FDE"/>
    <w:rsid w:val="00212A0D"/>
    <w:rsid w:val="00216E61"/>
    <w:rsid w:val="00242D4F"/>
    <w:rsid w:val="00272D24"/>
    <w:rsid w:val="00285ECF"/>
    <w:rsid w:val="002A2E97"/>
    <w:rsid w:val="002B7820"/>
    <w:rsid w:val="002E179E"/>
    <w:rsid w:val="002E2666"/>
    <w:rsid w:val="002F348F"/>
    <w:rsid w:val="003050DC"/>
    <w:rsid w:val="0030636A"/>
    <w:rsid w:val="003114A5"/>
    <w:rsid w:val="00312D41"/>
    <w:rsid w:val="00313ECD"/>
    <w:rsid w:val="00316984"/>
    <w:rsid w:val="00321D49"/>
    <w:rsid w:val="0032287E"/>
    <w:rsid w:val="00331AEE"/>
    <w:rsid w:val="00353D52"/>
    <w:rsid w:val="00360BBD"/>
    <w:rsid w:val="00367AC6"/>
    <w:rsid w:val="0038103D"/>
    <w:rsid w:val="0039052D"/>
    <w:rsid w:val="003922D3"/>
    <w:rsid w:val="003A30B5"/>
    <w:rsid w:val="003B3DA2"/>
    <w:rsid w:val="003C2059"/>
    <w:rsid w:val="003E186F"/>
    <w:rsid w:val="003F1D75"/>
    <w:rsid w:val="00406B7C"/>
    <w:rsid w:val="00426439"/>
    <w:rsid w:val="00464782"/>
    <w:rsid w:val="00471BAE"/>
    <w:rsid w:val="00484ED2"/>
    <w:rsid w:val="004902AD"/>
    <w:rsid w:val="0049143C"/>
    <w:rsid w:val="00492348"/>
    <w:rsid w:val="004B1D81"/>
    <w:rsid w:val="004D292F"/>
    <w:rsid w:val="004E6C95"/>
    <w:rsid w:val="004F4273"/>
    <w:rsid w:val="00521A6E"/>
    <w:rsid w:val="00525A0F"/>
    <w:rsid w:val="00535716"/>
    <w:rsid w:val="00544C90"/>
    <w:rsid w:val="005663A4"/>
    <w:rsid w:val="005670BD"/>
    <w:rsid w:val="00583310"/>
    <w:rsid w:val="00597C39"/>
    <w:rsid w:val="005A27E3"/>
    <w:rsid w:val="005F208F"/>
    <w:rsid w:val="005F3C75"/>
    <w:rsid w:val="00605F0E"/>
    <w:rsid w:val="00606393"/>
    <w:rsid w:val="006122EB"/>
    <w:rsid w:val="00624C37"/>
    <w:rsid w:val="006346BD"/>
    <w:rsid w:val="0065181F"/>
    <w:rsid w:val="006540A0"/>
    <w:rsid w:val="0066666A"/>
    <w:rsid w:val="00670618"/>
    <w:rsid w:val="00673003"/>
    <w:rsid w:val="00682EA7"/>
    <w:rsid w:val="00686F1A"/>
    <w:rsid w:val="00687AE0"/>
    <w:rsid w:val="006B2181"/>
    <w:rsid w:val="006C05FA"/>
    <w:rsid w:val="006C58A5"/>
    <w:rsid w:val="006C6AC3"/>
    <w:rsid w:val="006D12EF"/>
    <w:rsid w:val="006D2F2D"/>
    <w:rsid w:val="006E7411"/>
    <w:rsid w:val="00702C86"/>
    <w:rsid w:val="00736DEB"/>
    <w:rsid w:val="00761D8D"/>
    <w:rsid w:val="00764916"/>
    <w:rsid w:val="0077064A"/>
    <w:rsid w:val="00771882"/>
    <w:rsid w:val="0079214E"/>
    <w:rsid w:val="0079389E"/>
    <w:rsid w:val="007B6573"/>
    <w:rsid w:val="007C699C"/>
    <w:rsid w:val="007C7C8A"/>
    <w:rsid w:val="007D10D3"/>
    <w:rsid w:val="007D3299"/>
    <w:rsid w:val="007F6751"/>
    <w:rsid w:val="007F6DC6"/>
    <w:rsid w:val="008045CF"/>
    <w:rsid w:val="0082238E"/>
    <w:rsid w:val="00823F3D"/>
    <w:rsid w:val="00824F56"/>
    <w:rsid w:val="00827349"/>
    <w:rsid w:val="00840174"/>
    <w:rsid w:val="00840877"/>
    <w:rsid w:val="0084509D"/>
    <w:rsid w:val="00852557"/>
    <w:rsid w:val="00853642"/>
    <w:rsid w:val="00853C50"/>
    <w:rsid w:val="00864EC8"/>
    <w:rsid w:val="00875268"/>
    <w:rsid w:val="00877D36"/>
    <w:rsid w:val="008935B8"/>
    <w:rsid w:val="00893967"/>
    <w:rsid w:val="0089792F"/>
    <w:rsid w:val="008E1C6B"/>
    <w:rsid w:val="009120EB"/>
    <w:rsid w:val="00936327"/>
    <w:rsid w:val="00945C2D"/>
    <w:rsid w:val="00955D7E"/>
    <w:rsid w:val="0095603E"/>
    <w:rsid w:val="009734BD"/>
    <w:rsid w:val="00975C90"/>
    <w:rsid w:val="009A7278"/>
    <w:rsid w:val="009B2B9F"/>
    <w:rsid w:val="009C5860"/>
    <w:rsid w:val="009D4020"/>
    <w:rsid w:val="009D50DE"/>
    <w:rsid w:val="009E6D45"/>
    <w:rsid w:val="009E73F7"/>
    <w:rsid w:val="00A10244"/>
    <w:rsid w:val="00A12E50"/>
    <w:rsid w:val="00A42EA7"/>
    <w:rsid w:val="00A54FFE"/>
    <w:rsid w:val="00A55FF0"/>
    <w:rsid w:val="00A65749"/>
    <w:rsid w:val="00A65F23"/>
    <w:rsid w:val="00A665B2"/>
    <w:rsid w:val="00A67C11"/>
    <w:rsid w:val="00A74127"/>
    <w:rsid w:val="00A85F6F"/>
    <w:rsid w:val="00A86BB2"/>
    <w:rsid w:val="00A94724"/>
    <w:rsid w:val="00AA0F3D"/>
    <w:rsid w:val="00AB641F"/>
    <w:rsid w:val="00AC0991"/>
    <w:rsid w:val="00AE201E"/>
    <w:rsid w:val="00AE6D80"/>
    <w:rsid w:val="00AE6E8F"/>
    <w:rsid w:val="00AF2D54"/>
    <w:rsid w:val="00B15715"/>
    <w:rsid w:val="00B15D96"/>
    <w:rsid w:val="00B26C8A"/>
    <w:rsid w:val="00B45037"/>
    <w:rsid w:val="00B50F7A"/>
    <w:rsid w:val="00B6073C"/>
    <w:rsid w:val="00B60B47"/>
    <w:rsid w:val="00B802B3"/>
    <w:rsid w:val="00B9549F"/>
    <w:rsid w:val="00BA438E"/>
    <w:rsid w:val="00BB2951"/>
    <w:rsid w:val="00BB32AE"/>
    <w:rsid w:val="00BC3EF6"/>
    <w:rsid w:val="00BD03E5"/>
    <w:rsid w:val="00C04F7D"/>
    <w:rsid w:val="00C10722"/>
    <w:rsid w:val="00C143EB"/>
    <w:rsid w:val="00C16119"/>
    <w:rsid w:val="00C607F2"/>
    <w:rsid w:val="00C663D6"/>
    <w:rsid w:val="00CA616A"/>
    <w:rsid w:val="00CC2522"/>
    <w:rsid w:val="00CC5327"/>
    <w:rsid w:val="00CD3620"/>
    <w:rsid w:val="00CD6519"/>
    <w:rsid w:val="00CE45EC"/>
    <w:rsid w:val="00CE6EF6"/>
    <w:rsid w:val="00D01005"/>
    <w:rsid w:val="00D067B1"/>
    <w:rsid w:val="00D13DE6"/>
    <w:rsid w:val="00D231B2"/>
    <w:rsid w:val="00D352B3"/>
    <w:rsid w:val="00D54761"/>
    <w:rsid w:val="00D60BEF"/>
    <w:rsid w:val="00D7037E"/>
    <w:rsid w:val="00D811B2"/>
    <w:rsid w:val="00D870F6"/>
    <w:rsid w:val="00D92075"/>
    <w:rsid w:val="00DA2482"/>
    <w:rsid w:val="00DB4445"/>
    <w:rsid w:val="00DB7AC0"/>
    <w:rsid w:val="00DC2A7A"/>
    <w:rsid w:val="00DD38D0"/>
    <w:rsid w:val="00DE3E18"/>
    <w:rsid w:val="00DF1F5C"/>
    <w:rsid w:val="00E23857"/>
    <w:rsid w:val="00E25B00"/>
    <w:rsid w:val="00E271D9"/>
    <w:rsid w:val="00E33E76"/>
    <w:rsid w:val="00E562E5"/>
    <w:rsid w:val="00E721AB"/>
    <w:rsid w:val="00E75D37"/>
    <w:rsid w:val="00E83E4F"/>
    <w:rsid w:val="00E91187"/>
    <w:rsid w:val="00E95E2C"/>
    <w:rsid w:val="00EA0028"/>
    <w:rsid w:val="00EC4FA3"/>
    <w:rsid w:val="00ED53BF"/>
    <w:rsid w:val="00F17573"/>
    <w:rsid w:val="00F20ABB"/>
    <w:rsid w:val="00F30528"/>
    <w:rsid w:val="00F33D6D"/>
    <w:rsid w:val="00F46D50"/>
    <w:rsid w:val="00F518BE"/>
    <w:rsid w:val="00F6761A"/>
    <w:rsid w:val="00F73E10"/>
    <w:rsid w:val="00F83BDD"/>
    <w:rsid w:val="00F84313"/>
    <w:rsid w:val="00FC2064"/>
    <w:rsid w:val="00FD757F"/>
    <w:rsid w:val="00FE225D"/>
    <w:rsid w:val="00FF0B1D"/>
    <w:rsid w:val="00FF0DB2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37729FF8"/>
  <w15:docId w15:val="{71E6D51E-A555-4EE2-989B-5B224D76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59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A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1A593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A593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A5938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593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99"/>
    <w:qFormat/>
    <w:rsid w:val="00840877"/>
    <w:pPr>
      <w:ind w:left="720"/>
      <w:contextualSpacing/>
    </w:p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0100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01005"/>
    <w:rPr>
      <w:b/>
      <w:bCs/>
      <w:sz w:val="20"/>
      <w:szCs w:val="20"/>
    </w:rPr>
  </w:style>
  <w:style w:type="paragraph" w:customStyle="1" w:styleId="Standard">
    <w:name w:val="Standard"/>
    <w:uiPriority w:val="99"/>
    <w:rsid w:val="000A471D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pl-PL" w:eastAsia="pl-PL"/>
    </w:rPr>
  </w:style>
  <w:style w:type="paragraph" w:customStyle="1" w:styleId="Default">
    <w:name w:val="Default"/>
    <w:rsid w:val="00F305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l-PL" w:eastAsia="pl-PL"/>
    </w:rPr>
  </w:style>
  <w:style w:type="paragraph" w:styleId="Nagwek">
    <w:name w:val="header"/>
    <w:basedOn w:val="Normalny"/>
    <w:link w:val="NagwekZnak"/>
    <w:uiPriority w:val="99"/>
    <w:unhideWhenUsed/>
    <w:rsid w:val="008935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35B8"/>
  </w:style>
  <w:style w:type="paragraph" w:styleId="Stopka">
    <w:name w:val="footer"/>
    <w:basedOn w:val="Normalny"/>
    <w:link w:val="StopkaZnak"/>
    <w:uiPriority w:val="99"/>
    <w:unhideWhenUsed/>
    <w:rsid w:val="008935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3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5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4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5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645DE-EF65-4F8B-92F8-2BACE5B1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943</Words>
  <Characters>5658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pniemczyk</dc:creator>
  <cp:lastModifiedBy>Królak-Buzakowska Joanna</cp:lastModifiedBy>
  <cp:revision>3</cp:revision>
  <cp:lastPrinted>2019-10-07T05:18:00Z</cp:lastPrinted>
  <dcterms:created xsi:type="dcterms:W3CDTF">2022-08-12T07:10:00Z</dcterms:created>
  <dcterms:modified xsi:type="dcterms:W3CDTF">2022-08-12T07:17:00Z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Owner">
    <vt:lpwstr>RADZIAN1@novartis.net</vt:lpwstr>
  </property>
  <property fmtid="{D5CDD505-2E9C-101B-9397-08002B2CF9AE}" pid="5" name="MSIP_Label_4929bff8-5b33-42aa-95d2-28f72e792cb0_SetDate">
    <vt:lpwstr>2019-01-15T08:20:55.2838703Z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pplication">
    <vt:lpwstr>Microsoft Azure Information Protection</vt:lpwstr>
  </property>
  <property fmtid="{D5CDD505-2E9C-101B-9397-08002B2CF9AE}" pid="8" name="MSIP_Label_4929bff8-5b33-42aa-95d2-28f72e792cb0_Extended_MSFT_Method">
    <vt:lpwstr>Automatic</vt:lpwstr>
  </property>
  <property fmtid="{D5CDD505-2E9C-101B-9397-08002B2CF9AE}" pid="9" name="Confidentiality">
    <vt:lpwstr>Business Use Only</vt:lpwstr>
  </property>
</Properties>
</file>