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7283C" w14:textId="39C0ED12" w:rsidR="00DF4DA5" w:rsidRDefault="00DF4DA5" w:rsidP="004B4F9E">
      <w:pPr>
        <w:spacing w:before="0" w:after="0" w:line="240" w:lineRule="auto"/>
        <w:rPr>
          <w:rFonts w:ascii="Times New Roman" w:eastAsia="PMingLiU" w:hAnsi="Times New Roman"/>
          <w:szCs w:val="22"/>
          <w:lang w:eastAsia="zh-TW"/>
        </w:rPr>
      </w:pPr>
      <w:r w:rsidRPr="004B4F9E">
        <w:rPr>
          <w:rFonts w:ascii="Times New Roman" w:eastAsia="PMingLiU" w:hAnsi="Times New Roman"/>
          <w:szCs w:val="22"/>
          <w:lang w:eastAsia="zh-TW"/>
        </w:rPr>
        <w:t>Załącznik</w:t>
      </w:r>
      <w:r w:rsidR="005E5637" w:rsidRPr="004B4F9E">
        <w:rPr>
          <w:rFonts w:ascii="Times New Roman" w:eastAsia="PMingLiU" w:hAnsi="Times New Roman"/>
          <w:szCs w:val="22"/>
          <w:lang w:eastAsia="zh-TW"/>
        </w:rPr>
        <w:t xml:space="preserve"> </w:t>
      </w:r>
      <w:r w:rsidRPr="004B4F9E">
        <w:rPr>
          <w:rFonts w:ascii="Times New Roman" w:eastAsia="PMingLiU" w:hAnsi="Times New Roman"/>
          <w:szCs w:val="22"/>
          <w:lang w:eastAsia="zh-TW"/>
        </w:rPr>
        <w:t>B.108.</w:t>
      </w:r>
      <w:r w:rsidR="004B4F9E">
        <w:rPr>
          <w:rFonts w:ascii="Times New Roman" w:eastAsia="PMingLiU" w:hAnsi="Times New Roman"/>
          <w:szCs w:val="22"/>
          <w:lang w:eastAsia="zh-TW"/>
        </w:rPr>
        <w:t>FM.</w:t>
      </w:r>
    </w:p>
    <w:p w14:paraId="030AA45D" w14:textId="77777777" w:rsidR="004B4F9E" w:rsidRPr="004B4F9E" w:rsidRDefault="004B4F9E" w:rsidP="004B4F9E">
      <w:pPr>
        <w:spacing w:before="0" w:after="0" w:line="240" w:lineRule="auto"/>
        <w:rPr>
          <w:rFonts w:ascii="Times New Roman" w:eastAsia="PMingLiU" w:hAnsi="Times New Roman"/>
          <w:szCs w:val="22"/>
          <w:lang w:eastAsia="zh-TW"/>
        </w:rPr>
      </w:pPr>
    </w:p>
    <w:p w14:paraId="1E4F5CDE" w14:textId="1A836371" w:rsidR="00DF4DA5" w:rsidRPr="004B4F9E" w:rsidRDefault="00DF4DA5" w:rsidP="004B4F9E">
      <w:pPr>
        <w:autoSpaceDE w:val="0"/>
        <w:autoSpaceDN w:val="0"/>
        <w:adjustRightInd w:val="0"/>
        <w:spacing w:before="0" w:after="240" w:line="240" w:lineRule="auto"/>
        <w:jc w:val="both"/>
        <w:rPr>
          <w:rFonts w:ascii="Times New Roman" w:hAnsi="Times New Roman"/>
          <w:b/>
          <w:bCs/>
          <w:sz w:val="28"/>
        </w:rPr>
      </w:pPr>
      <w:r w:rsidRPr="004B4F9E">
        <w:rPr>
          <w:rFonts w:ascii="Times New Roman" w:hAnsi="Times New Roman"/>
          <w:b/>
          <w:bCs/>
          <w:sz w:val="28"/>
        </w:rPr>
        <w:t>LECZENIE</w:t>
      </w:r>
      <w:r w:rsidR="005E5637" w:rsidRPr="004B4F9E">
        <w:rPr>
          <w:rFonts w:ascii="Times New Roman" w:hAnsi="Times New Roman"/>
          <w:b/>
          <w:bCs/>
          <w:sz w:val="28"/>
        </w:rPr>
        <w:t xml:space="preserve"> </w:t>
      </w:r>
      <w:r w:rsidR="009F1965" w:rsidRPr="004B4F9E">
        <w:rPr>
          <w:rFonts w:ascii="Times New Roman" w:hAnsi="Times New Roman"/>
          <w:b/>
          <w:bCs/>
          <w:sz w:val="28"/>
        </w:rPr>
        <w:t>PACJENTÓW Z</w:t>
      </w:r>
      <w:r w:rsidR="00BE2634" w:rsidRPr="004B4F9E">
        <w:rPr>
          <w:rFonts w:ascii="Times New Roman" w:hAnsi="Times New Roman"/>
          <w:b/>
          <w:bCs/>
          <w:sz w:val="28"/>
        </w:rPr>
        <w:t xml:space="preserve"> </w:t>
      </w:r>
      <w:r w:rsidRPr="004B4F9E">
        <w:rPr>
          <w:rFonts w:ascii="Times New Roman" w:hAnsi="Times New Roman"/>
          <w:b/>
          <w:bCs/>
          <w:sz w:val="28"/>
        </w:rPr>
        <w:t>RAK</w:t>
      </w:r>
      <w:r w:rsidR="009F1965" w:rsidRPr="004B4F9E">
        <w:rPr>
          <w:rFonts w:ascii="Times New Roman" w:hAnsi="Times New Roman"/>
          <w:b/>
          <w:bCs/>
          <w:sz w:val="28"/>
        </w:rPr>
        <w:t>IEM</w:t>
      </w:r>
      <w:r w:rsidR="005E5637" w:rsidRPr="004B4F9E">
        <w:rPr>
          <w:rFonts w:ascii="Times New Roman" w:hAnsi="Times New Roman"/>
          <w:b/>
          <w:bCs/>
          <w:sz w:val="28"/>
        </w:rPr>
        <w:t xml:space="preserve"> </w:t>
      </w:r>
      <w:r w:rsidRPr="004B4F9E">
        <w:rPr>
          <w:rFonts w:ascii="Times New Roman" w:hAnsi="Times New Roman"/>
          <w:b/>
          <w:bCs/>
          <w:sz w:val="28"/>
        </w:rPr>
        <w:t>RDZENIAST</w:t>
      </w:r>
      <w:r w:rsidR="009F1965" w:rsidRPr="004B4F9E">
        <w:rPr>
          <w:rFonts w:ascii="Times New Roman" w:hAnsi="Times New Roman"/>
          <w:b/>
          <w:bCs/>
          <w:sz w:val="28"/>
        </w:rPr>
        <w:t>YM</w:t>
      </w:r>
      <w:r w:rsidR="005E5637" w:rsidRPr="004B4F9E">
        <w:rPr>
          <w:rFonts w:ascii="Times New Roman" w:hAnsi="Times New Roman"/>
          <w:b/>
          <w:bCs/>
          <w:sz w:val="28"/>
        </w:rPr>
        <w:t xml:space="preserve"> </w:t>
      </w:r>
      <w:r w:rsidRPr="004B4F9E">
        <w:rPr>
          <w:rFonts w:ascii="Times New Roman" w:hAnsi="Times New Roman"/>
          <w:b/>
          <w:bCs/>
          <w:sz w:val="28"/>
        </w:rPr>
        <w:t>TARCZYCY</w:t>
      </w:r>
      <w:r w:rsidR="005E5637" w:rsidRPr="004B4F9E">
        <w:rPr>
          <w:rFonts w:ascii="Times New Roman" w:hAnsi="Times New Roman"/>
          <w:b/>
          <w:bCs/>
          <w:sz w:val="28"/>
        </w:rPr>
        <w:t xml:space="preserve"> </w:t>
      </w:r>
      <w:r w:rsidRPr="004B4F9E">
        <w:rPr>
          <w:rFonts w:ascii="Times New Roman" w:hAnsi="Times New Roman"/>
          <w:b/>
          <w:bCs/>
          <w:sz w:val="28"/>
        </w:rPr>
        <w:t>(ICD-10</w:t>
      </w:r>
      <w:r w:rsidR="005E170A">
        <w:rPr>
          <w:rFonts w:ascii="Times New Roman" w:hAnsi="Times New Roman"/>
          <w:b/>
          <w:bCs/>
          <w:sz w:val="28"/>
        </w:rPr>
        <w:t>:</w:t>
      </w:r>
      <w:r w:rsidR="005E5637" w:rsidRPr="004B4F9E">
        <w:rPr>
          <w:rFonts w:ascii="Times New Roman" w:hAnsi="Times New Roman"/>
          <w:b/>
          <w:bCs/>
          <w:sz w:val="28"/>
        </w:rPr>
        <w:t xml:space="preserve"> </w:t>
      </w:r>
      <w:r w:rsidRPr="004B4F9E">
        <w:rPr>
          <w:rFonts w:ascii="Times New Roman" w:hAnsi="Times New Roman"/>
          <w:b/>
          <w:bCs/>
          <w:sz w:val="28"/>
        </w:rPr>
        <w:t>C73)</w:t>
      </w:r>
    </w:p>
    <w:tbl>
      <w:tblPr>
        <w:tblStyle w:val="Tabela-Siatka3"/>
        <w:tblW w:w="0" w:type="auto"/>
        <w:tblLayout w:type="fixed"/>
        <w:tblLook w:val="04A0" w:firstRow="1" w:lastRow="0" w:firstColumn="1" w:lastColumn="0" w:noHBand="0" w:noVBand="1"/>
      </w:tblPr>
      <w:tblGrid>
        <w:gridCol w:w="5666"/>
        <w:gridCol w:w="4110"/>
        <w:gridCol w:w="5612"/>
      </w:tblGrid>
      <w:tr w:rsidR="00C360D3" w:rsidRPr="00DF4DA5" w14:paraId="5531ACE6" w14:textId="77777777" w:rsidTr="005E170A">
        <w:trPr>
          <w:trHeight w:val="567"/>
        </w:trPr>
        <w:tc>
          <w:tcPr>
            <w:tcW w:w="15388" w:type="dxa"/>
            <w:gridSpan w:val="3"/>
            <w:shd w:val="clear" w:color="auto" w:fill="auto"/>
            <w:vAlign w:val="center"/>
          </w:tcPr>
          <w:p w14:paraId="65AA66AB" w14:textId="77777777" w:rsidR="00C360D3" w:rsidRPr="00DF4DA5" w:rsidRDefault="00C360D3" w:rsidP="00DF4DA5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F4DA5">
              <w:rPr>
                <w:rFonts w:ascii="Times New Roman" w:hAnsi="Times New Roman"/>
                <w:b/>
                <w:bCs/>
                <w:sz w:val="20"/>
                <w:szCs w:val="20"/>
              </w:rPr>
              <w:t>ZAKRES</w:t>
            </w:r>
            <w:r w:rsidR="005E563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DF4DA5">
              <w:rPr>
                <w:rFonts w:ascii="Times New Roman" w:hAnsi="Times New Roman"/>
                <w:b/>
                <w:bCs/>
                <w:sz w:val="20"/>
                <w:szCs w:val="20"/>
              </w:rPr>
              <w:t>ŚWIADCZENIA</w:t>
            </w:r>
            <w:r w:rsidR="005E563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DF4DA5">
              <w:rPr>
                <w:rFonts w:ascii="Times New Roman" w:hAnsi="Times New Roman"/>
                <w:b/>
                <w:bCs/>
                <w:sz w:val="20"/>
                <w:szCs w:val="20"/>
              </w:rPr>
              <w:t>GWARANTOWANEGO</w:t>
            </w:r>
          </w:p>
        </w:tc>
      </w:tr>
      <w:tr w:rsidR="00C360D3" w:rsidRPr="00DF4DA5" w14:paraId="68FCC930" w14:textId="77777777" w:rsidTr="005E170A">
        <w:trPr>
          <w:trHeight w:val="567"/>
        </w:trPr>
        <w:tc>
          <w:tcPr>
            <w:tcW w:w="5666" w:type="dxa"/>
            <w:shd w:val="clear" w:color="auto" w:fill="auto"/>
            <w:vAlign w:val="center"/>
          </w:tcPr>
          <w:p w14:paraId="6DC2DA47" w14:textId="77777777" w:rsidR="00C360D3" w:rsidRPr="00DF4DA5" w:rsidRDefault="00C360D3" w:rsidP="00DF4DA5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F4DA5">
              <w:rPr>
                <w:rFonts w:ascii="Times New Roman" w:hAnsi="Times New Roman"/>
                <w:b/>
                <w:bCs/>
                <w:sz w:val="20"/>
                <w:szCs w:val="20"/>
              </w:rPr>
              <w:t>ŚWIADCZENIOBIORCY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673CD71E" w14:textId="05D6F964" w:rsidR="00C360D3" w:rsidRPr="00DF4DA5" w:rsidRDefault="00C360D3" w:rsidP="00DF4DA5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F4DA5">
              <w:rPr>
                <w:rFonts w:ascii="Times New Roman" w:hAnsi="Times New Roman"/>
                <w:b/>
                <w:bCs/>
                <w:sz w:val="20"/>
                <w:szCs w:val="20"/>
              </w:rPr>
              <w:t>SCHEMAT</w:t>
            </w:r>
            <w:r w:rsidR="005E563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DF4DA5">
              <w:rPr>
                <w:rFonts w:ascii="Times New Roman" w:hAnsi="Times New Roman"/>
                <w:b/>
                <w:bCs/>
                <w:sz w:val="20"/>
                <w:szCs w:val="20"/>
              </w:rPr>
              <w:t>DAWKOWANIA</w:t>
            </w:r>
            <w:r w:rsidR="005E563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DF4DA5">
              <w:rPr>
                <w:rFonts w:ascii="Times New Roman" w:hAnsi="Times New Roman"/>
                <w:b/>
                <w:bCs/>
                <w:sz w:val="20"/>
                <w:szCs w:val="20"/>
              </w:rPr>
              <w:t>LEKU</w:t>
            </w:r>
            <w:r w:rsid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5E170A">
              <w:rPr>
                <w:rFonts w:ascii="Times New Roman" w:hAnsi="Times New Roman"/>
                <w:b/>
                <w:bCs/>
                <w:sz w:val="20"/>
                <w:szCs w:val="20"/>
              </w:rPr>
              <w:br/>
            </w:r>
            <w:r w:rsidRPr="00DF4DA5">
              <w:rPr>
                <w:rFonts w:ascii="Times New Roman" w:hAnsi="Times New Roman"/>
                <w:b/>
                <w:bCs/>
                <w:sz w:val="20"/>
                <w:szCs w:val="20"/>
              </w:rPr>
              <w:t>W</w:t>
            </w:r>
            <w:r w:rsidR="005E563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DF4DA5">
              <w:rPr>
                <w:rFonts w:ascii="Times New Roman" w:hAnsi="Times New Roman"/>
                <w:b/>
                <w:bCs/>
                <w:sz w:val="20"/>
                <w:szCs w:val="20"/>
              </w:rPr>
              <w:t>PROGRAMIE</w:t>
            </w:r>
          </w:p>
        </w:tc>
        <w:tc>
          <w:tcPr>
            <w:tcW w:w="5612" w:type="dxa"/>
            <w:shd w:val="clear" w:color="auto" w:fill="auto"/>
            <w:vAlign w:val="center"/>
          </w:tcPr>
          <w:p w14:paraId="24158785" w14:textId="232A24CE" w:rsidR="00C360D3" w:rsidRPr="00DF4DA5" w:rsidRDefault="00C360D3" w:rsidP="00DF4DA5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F4DA5">
              <w:rPr>
                <w:rFonts w:ascii="Times New Roman" w:hAnsi="Times New Roman"/>
                <w:b/>
                <w:bCs/>
                <w:sz w:val="20"/>
                <w:szCs w:val="20"/>
              </w:rPr>
              <w:t>BADANIA</w:t>
            </w:r>
            <w:r w:rsidR="005E563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DF4DA5">
              <w:rPr>
                <w:rFonts w:ascii="Times New Roman" w:hAnsi="Times New Roman"/>
                <w:b/>
                <w:bCs/>
                <w:sz w:val="20"/>
                <w:szCs w:val="20"/>
              </w:rPr>
              <w:t>DIAGNOSTYCZNE</w:t>
            </w:r>
            <w:r w:rsidR="005E563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DF4DA5">
              <w:rPr>
                <w:rFonts w:ascii="Times New Roman" w:hAnsi="Times New Roman"/>
                <w:b/>
                <w:bCs/>
                <w:sz w:val="20"/>
                <w:szCs w:val="20"/>
              </w:rPr>
              <w:t>WYKONYWANE</w:t>
            </w:r>
            <w:r w:rsidR="005E563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5E170A">
              <w:rPr>
                <w:rFonts w:ascii="Times New Roman" w:hAnsi="Times New Roman"/>
                <w:b/>
                <w:bCs/>
                <w:sz w:val="20"/>
                <w:szCs w:val="20"/>
              </w:rPr>
              <w:br/>
            </w:r>
            <w:r w:rsidRPr="00DF4DA5">
              <w:rPr>
                <w:rFonts w:ascii="Times New Roman" w:hAnsi="Times New Roman"/>
                <w:b/>
                <w:bCs/>
                <w:sz w:val="20"/>
                <w:szCs w:val="20"/>
              </w:rPr>
              <w:t>W</w:t>
            </w:r>
            <w:r w:rsidR="005E563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DF4DA5">
              <w:rPr>
                <w:rFonts w:ascii="Times New Roman" w:hAnsi="Times New Roman"/>
                <w:b/>
                <w:bCs/>
                <w:sz w:val="20"/>
                <w:szCs w:val="20"/>
              </w:rPr>
              <w:t>RAMACH</w:t>
            </w:r>
            <w:r w:rsidR="005E563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DF4DA5">
              <w:rPr>
                <w:rFonts w:ascii="Times New Roman" w:hAnsi="Times New Roman"/>
                <w:b/>
                <w:bCs/>
                <w:sz w:val="20"/>
                <w:szCs w:val="20"/>
              </w:rPr>
              <w:t>PROGRAMU</w:t>
            </w:r>
          </w:p>
        </w:tc>
      </w:tr>
      <w:tr w:rsidR="00C360D3" w:rsidRPr="00DF4DA5" w14:paraId="53777CF2" w14:textId="77777777" w:rsidTr="005E170A">
        <w:trPr>
          <w:trHeight w:val="20"/>
        </w:trPr>
        <w:tc>
          <w:tcPr>
            <w:tcW w:w="5666" w:type="dxa"/>
          </w:tcPr>
          <w:p w14:paraId="44BF2867" w14:textId="77777777" w:rsidR="00F44935" w:rsidRPr="005E170A" w:rsidRDefault="00F44935" w:rsidP="005E170A">
            <w:pPr>
              <w:pStyle w:val="Standard"/>
              <w:spacing w:before="120" w:after="60" w:line="276" w:lineRule="auto"/>
              <w:jc w:val="both"/>
              <w:rPr>
                <w:rFonts w:cs="Times New Roman"/>
                <w:bCs/>
                <w:sz w:val="20"/>
                <w:szCs w:val="20"/>
              </w:rPr>
            </w:pPr>
            <w:r w:rsidRPr="005E170A">
              <w:rPr>
                <w:rFonts w:cs="Times New Roman"/>
                <w:bCs/>
                <w:sz w:val="20"/>
                <w:szCs w:val="20"/>
              </w:rPr>
              <w:t>W programie finansuje się leczeni</w:t>
            </w:r>
            <w:r w:rsidR="0004577B" w:rsidRPr="005E170A">
              <w:rPr>
                <w:rFonts w:cs="Times New Roman"/>
                <w:bCs/>
                <w:sz w:val="20"/>
                <w:szCs w:val="20"/>
              </w:rPr>
              <w:t>e</w:t>
            </w:r>
            <w:r w:rsidRPr="005E170A">
              <w:rPr>
                <w:rFonts w:cs="Times New Roman"/>
                <w:bCs/>
                <w:sz w:val="20"/>
                <w:szCs w:val="20"/>
              </w:rPr>
              <w:t xml:space="preserve"> </w:t>
            </w:r>
            <w:r w:rsidR="003D2784" w:rsidRPr="005E170A">
              <w:rPr>
                <w:rFonts w:cs="Times New Roman"/>
                <w:bCs/>
                <w:sz w:val="20"/>
                <w:szCs w:val="20"/>
              </w:rPr>
              <w:t xml:space="preserve">raka </w:t>
            </w:r>
            <w:r w:rsidR="0004577B" w:rsidRPr="005E170A">
              <w:rPr>
                <w:rFonts w:cs="Times New Roman"/>
                <w:bCs/>
                <w:sz w:val="20"/>
                <w:szCs w:val="20"/>
              </w:rPr>
              <w:t>rdzeniastego</w:t>
            </w:r>
            <w:r w:rsidRPr="005E170A">
              <w:rPr>
                <w:rFonts w:cs="Times New Roman"/>
                <w:bCs/>
                <w:sz w:val="20"/>
                <w:szCs w:val="20"/>
              </w:rPr>
              <w:t xml:space="preserve"> tarczycy substancjami:</w:t>
            </w:r>
          </w:p>
          <w:p w14:paraId="747DDBD2" w14:textId="4CCE1F68" w:rsidR="00F44935" w:rsidRPr="005E170A" w:rsidRDefault="0004577B" w:rsidP="005E170A">
            <w:pPr>
              <w:pStyle w:val="Standard"/>
              <w:numPr>
                <w:ilvl w:val="3"/>
                <w:numId w:val="25"/>
              </w:numPr>
              <w:spacing w:after="60" w:line="276" w:lineRule="auto"/>
              <w:jc w:val="both"/>
              <w:rPr>
                <w:rFonts w:cs="Times New Roman"/>
                <w:bCs/>
                <w:sz w:val="20"/>
                <w:szCs w:val="20"/>
              </w:rPr>
            </w:pPr>
            <w:r w:rsidRPr="005E170A">
              <w:rPr>
                <w:rFonts w:cs="Times New Roman"/>
                <w:bCs/>
                <w:i/>
                <w:iCs/>
                <w:sz w:val="20"/>
                <w:szCs w:val="20"/>
              </w:rPr>
              <w:t>wandetanib</w:t>
            </w:r>
            <w:r w:rsidR="00F44935" w:rsidRPr="005E170A">
              <w:rPr>
                <w:rFonts w:cs="Times New Roman"/>
                <w:bCs/>
                <w:sz w:val="20"/>
                <w:szCs w:val="20"/>
              </w:rPr>
              <w:t>;</w:t>
            </w:r>
          </w:p>
          <w:p w14:paraId="1B66F06B" w14:textId="1A97BE76" w:rsidR="00F44935" w:rsidRPr="005E170A" w:rsidRDefault="0004577B" w:rsidP="005E170A">
            <w:pPr>
              <w:pStyle w:val="Standard"/>
              <w:numPr>
                <w:ilvl w:val="3"/>
                <w:numId w:val="25"/>
              </w:numPr>
              <w:spacing w:after="60" w:line="276" w:lineRule="auto"/>
              <w:jc w:val="both"/>
              <w:rPr>
                <w:rFonts w:cs="Times New Roman"/>
                <w:bCs/>
                <w:sz w:val="20"/>
                <w:szCs w:val="20"/>
              </w:rPr>
            </w:pPr>
            <w:r w:rsidRPr="005E170A">
              <w:rPr>
                <w:rFonts w:cs="Times New Roman"/>
                <w:bCs/>
                <w:i/>
                <w:iCs/>
                <w:sz w:val="20"/>
                <w:szCs w:val="20"/>
              </w:rPr>
              <w:t>selperkatynib</w:t>
            </w:r>
            <w:r w:rsidR="00F44935" w:rsidRPr="005E170A">
              <w:rPr>
                <w:rFonts w:cs="Times New Roman"/>
                <w:bCs/>
                <w:sz w:val="20"/>
                <w:szCs w:val="20"/>
              </w:rPr>
              <w:t>.</w:t>
            </w:r>
          </w:p>
          <w:p w14:paraId="5721E65A" w14:textId="77777777" w:rsidR="00F44935" w:rsidRPr="005E170A" w:rsidRDefault="0004577B" w:rsidP="005E170A">
            <w:pPr>
              <w:pStyle w:val="Standard"/>
              <w:spacing w:after="60" w:line="276" w:lineRule="auto"/>
              <w:jc w:val="both"/>
              <w:rPr>
                <w:rFonts w:cs="Times New Roman"/>
                <w:bCs/>
                <w:sz w:val="20"/>
                <w:szCs w:val="20"/>
              </w:rPr>
            </w:pPr>
            <w:r w:rsidRPr="005E170A">
              <w:rPr>
                <w:rFonts w:cs="Times New Roman"/>
                <w:bCs/>
                <w:sz w:val="20"/>
                <w:szCs w:val="20"/>
              </w:rPr>
              <w:t>Spełnione muszą zostać łącznie ogólne kryteria kwalifikacji (1.1.) oraz szczegółowe kryteria kwalifikacji (1.2.) dla poszczególnych substancji czynnych.</w:t>
            </w:r>
          </w:p>
          <w:p w14:paraId="4A8EEE5A" w14:textId="77777777" w:rsidR="00742E0C" w:rsidRPr="005E170A" w:rsidRDefault="00742E0C" w:rsidP="005E170A">
            <w:pPr>
              <w:pStyle w:val="Standard"/>
              <w:spacing w:after="60" w:line="276" w:lineRule="auto"/>
              <w:jc w:val="both"/>
              <w:rPr>
                <w:rFonts w:cs="Times New Roman"/>
                <w:bCs/>
                <w:sz w:val="20"/>
                <w:szCs w:val="20"/>
              </w:rPr>
            </w:pPr>
          </w:p>
          <w:p w14:paraId="685ABC7F" w14:textId="4A727B00" w:rsidR="00F44935" w:rsidRPr="005E170A" w:rsidRDefault="00742E0C" w:rsidP="005E170A">
            <w:pPr>
              <w:pStyle w:val="Standard"/>
              <w:numPr>
                <w:ilvl w:val="0"/>
                <w:numId w:val="26"/>
              </w:numPr>
              <w:spacing w:after="60" w:line="276" w:lineRule="auto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E170A">
              <w:rPr>
                <w:rFonts w:cs="Times New Roman"/>
                <w:b/>
                <w:sz w:val="20"/>
                <w:szCs w:val="20"/>
              </w:rPr>
              <w:t>Kryteria kwalifikacji</w:t>
            </w:r>
          </w:p>
          <w:p w14:paraId="7BFE511D" w14:textId="77777777" w:rsidR="0004577B" w:rsidRPr="005E170A" w:rsidRDefault="0004577B" w:rsidP="005E170A">
            <w:pPr>
              <w:pStyle w:val="Standard"/>
              <w:numPr>
                <w:ilvl w:val="1"/>
                <w:numId w:val="26"/>
              </w:numPr>
              <w:spacing w:after="60" w:line="276" w:lineRule="auto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E170A">
              <w:rPr>
                <w:rFonts w:cs="Times New Roman"/>
                <w:b/>
                <w:sz w:val="20"/>
                <w:szCs w:val="20"/>
              </w:rPr>
              <w:t>Ogólne kryteria kwalifikacji</w:t>
            </w:r>
          </w:p>
          <w:p w14:paraId="667AC4D6" w14:textId="77777777" w:rsidR="0004577B" w:rsidRPr="005E170A" w:rsidRDefault="0004577B" w:rsidP="005E170A">
            <w:pPr>
              <w:pStyle w:val="Akapitzlist"/>
              <w:numPr>
                <w:ilvl w:val="3"/>
                <w:numId w:val="26"/>
              </w:numPr>
              <w:tabs>
                <w:tab w:val="left" w:pos="596"/>
              </w:tabs>
              <w:suppressAutoHyphens/>
              <w:autoSpaceDN w:val="0"/>
              <w:spacing w:after="60"/>
              <w:contextualSpacing w:val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rozpoznanie raka rdzeniastego tarczycy potwierdzone histologicznie;</w:t>
            </w:r>
          </w:p>
          <w:p w14:paraId="0EDE36F6" w14:textId="03E5364D" w:rsidR="0004577B" w:rsidRPr="005E170A" w:rsidRDefault="0004577B" w:rsidP="005E170A">
            <w:pPr>
              <w:pStyle w:val="Akapitzlist"/>
              <w:numPr>
                <w:ilvl w:val="3"/>
                <w:numId w:val="2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bookmarkStart w:id="0" w:name="_Hlk142315867"/>
            <w:r w:rsidRPr="005E170A">
              <w:rPr>
                <w:rFonts w:ascii="Times New Roman" w:hAnsi="Times New Roman"/>
                <w:sz w:val="20"/>
                <w:szCs w:val="20"/>
              </w:rPr>
              <w:t>choroba miejscowo zaawansowana lub uogólniona</w:t>
            </w:r>
            <w:r w:rsidR="003D2784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- po wykluczeniu możliwości wykorzystania resekcji lub metod ablacyjnych i radioterapii;</w:t>
            </w:r>
          </w:p>
          <w:bookmarkEnd w:id="0"/>
          <w:p w14:paraId="7DEF4073" w14:textId="41066FAA" w:rsidR="0004577B" w:rsidRPr="005E170A" w:rsidRDefault="0004577B" w:rsidP="005E170A">
            <w:pPr>
              <w:pStyle w:val="Akapitzlist"/>
              <w:numPr>
                <w:ilvl w:val="3"/>
                <w:numId w:val="2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 xml:space="preserve">obecność zmian </w:t>
            </w:r>
            <w:r w:rsidR="00A61DD2" w:rsidRPr="005E170A">
              <w:rPr>
                <w:rFonts w:ascii="Times New Roman" w:hAnsi="Times New Roman"/>
                <w:sz w:val="20"/>
                <w:szCs w:val="20"/>
              </w:rPr>
              <w:t xml:space="preserve">mierzalnych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 xml:space="preserve">według </w:t>
            </w:r>
            <w:r w:rsidR="00EA3E36" w:rsidRPr="005E170A">
              <w:rPr>
                <w:rFonts w:ascii="Times New Roman" w:hAnsi="Times New Roman"/>
                <w:sz w:val="20"/>
                <w:szCs w:val="20"/>
              </w:rPr>
              <w:t xml:space="preserve">aktualnych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kryteriów RECIST</w:t>
            </w:r>
            <w:r w:rsidR="003D2784" w:rsidRPr="005E170A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5E8867BF" w14:textId="77777777" w:rsidR="0004577B" w:rsidRPr="005E170A" w:rsidRDefault="0004577B" w:rsidP="005E170A">
            <w:pPr>
              <w:pStyle w:val="Akapitzlist"/>
              <w:numPr>
                <w:ilvl w:val="3"/>
                <w:numId w:val="2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obecność przerzutów udokumentowana na podstawie badania klinicznego i wyników badań obrazowych;</w:t>
            </w:r>
          </w:p>
          <w:p w14:paraId="320100D9" w14:textId="77777777" w:rsidR="0004577B" w:rsidRPr="005E170A" w:rsidRDefault="0004577B" w:rsidP="005E170A">
            <w:pPr>
              <w:pStyle w:val="Akapitzlist"/>
              <w:numPr>
                <w:ilvl w:val="3"/>
                <w:numId w:val="2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lastRenderedPageBreak/>
              <w:t>adekwatna wydolność narządowa określona na podstawie badań laboratoryjnych krwi zgodnie z zapisami w aktualnej ChPL;</w:t>
            </w:r>
          </w:p>
          <w:p w14:paraId="6B8A6556" w14:textId="77777777" w:rsidR="0004577B" w:rsidRPr="005E170A" w:rsidRDefault="0004577B" w:rsidP="005E170A">
            <w:pPr>
              <w:pStyle w:val="Akapitzlist"/>
              <w:numPr>
                <w:ilvl w:val="3"/>
                <w:numId w:val="2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brak przeciwwskazań do stosowania leku określonych w aktualnej ChPL;</w:t>
            </w:r>
          </w:p>
          <w:p w14:paraId="375E92A6" w14:textId="77777777" w:rsidR="0004577B" w:rsidRPr="005E170A" w:rsidRDefault="0004577B" w:rsidP="005E170A">
            <w:pPr>
              <w:pStyle w:val="Akapitzlist"/>
              <w:numPr>
                <w:ilvl w:val="3"/>
                <w:numId w:val="2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niewystępowanie stanów klinicznych, które w opinii lekarza prowadzącego uniemożliwiają włączenie terapii;</w:t>
            </w:r>
          </w:p>
          <w:p w14:paraId="422CAE44" w14:textId="77777777" w:rsidR="0004577B" w:rsidRPr="005E170A" w:rsidRDefault="0004577B" w:rsidP="005E170A">
            <w:pPr>
              <w:pStyle w:val="Akapitzlist"/>
              <w:numPr>
                <w:ilvl w:val="3"/>
                <w:numId w:val="2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ujemny wynik testu ciążowego bezpośrednio przed włączeniem leczenia u kobiet w wieku rozrodczym;</w:t>
            </w:r>
          </w:p>
          <w:p w14:paraId="472636E0" w14:textId="77777777" w:rsidR="0004577B" w:rsidRPr="005E170A" w:rsidRDefault="0004577B" w:rsidP="005E170A">
            <w:pPr>
              <w:pStyle w:val="Akapitzlist"/>
              <w:numPr>
                <w:ilvl w:val="3"/>
                <w:numId w:val="26"/>
              </w:numPr>
              <w:tabs>
                <w:tab w:val="left" w:pos="596"/>
              </w:tabs>
              <w:suppressAutoHyphens/>
              <w:autoSpaceDN w:val="0"/>
              <w:spacing w:after="60"/>
              <w:contextualSpacing w:val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 xml:space="preserve">zgoda na stosowanie efektywnej antykoncepcji w trakcie trwania leczenia. </w:t>
            </w:r>
          </w:p>
          <w:p w14:paraId="201416DA" w14:textId="77777777" w:rsidR="0004577B" w:rsidRPr="005E170A" w:rsidRDefault="0004577B" w:rsidP="005E170A">
            <w:pPr>
              <w:tabs>
                <w:tab w:val="left" w:pos="596"/>
              </w:tabs>
              <w:suppressAutoHyphens/>
              <w:autoSpaceDN w:val="0"/>
              <w:spacing w:before="0" w:after="60" w:line="276" w:lineRule="auto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  <w:p w14:paraId="3DBD7D1E" w14:textId="52DFF3CE" w:rsidR="0004577B" w:rsidRPr="005E170A" w:rsidRDefault="0004577B" w:rsidP="005E170A">
            <w:pPr>
              <w:pStyle w:val="Akapitzlist"/>
              <w:numPr>
                <w:ilvl w:val="1"/>
                <w:numId w:val="26"/>
              </w:numPr>
              <w:tabs>
                <w:tab w:val="left" w:pos="596"/>
              </w:tabs>
              <w:suppressAutoHyphens/>
              <w:autoSpaceDN w:val="0"/>
              <w:spacing w:after="60"/>
              <w:contextualSpacing w:val="0"/>
              <w:jc w:val="both"/>
              <w:textAlignment w:val="baseline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Szczegółowe kryteria kwalifikacji</w:t>
            </w:r>
          </w:p>
          <w:p w14:paraId="2975AC29" w14:textId="6AFCEC06" w:rsidR="00C360D3" w:rsidRPr="005E170A" w:rsidRDefault="0004577B" w:rsidP="005E170A">
            <w:pPr>
              <w:pStyle w:val="Akapitzlist"/>
              <w:numPr>
                <w:ilvl w:val="2"/>
                <w:numId w:val="26"/>
              </w:numPr>
              <w:tabs>
                <w:tab w:val="left" w:pos="596"/>
              </w:tabs>
              <w:suppressAutoHyphens/>
              <w:autoSpaceDN w:val="0"/>
              <w:spacing w:after="60"/>
              <w:contextualSpacing w:val="0"/>
              <w:jc w:val="both"/>
              <w:textAlignment w:val="baseline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Terapia </w:t>
            </w:r>
            <w:r w:rsidRPr="005E170A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wandetanibem</w:t>
            </w:r>
          </w:p>
          <w:p w14:paraId="225A6694" w14:textId="77777777" w:rsidR="00742E0C" w:rsidRPr="005E170A" w:rsidRDefault="00742E0C" w:rsidP="005E170A">
            <w:pPr>
              <w:pStyle w:val="Akapitzlist"/>
              <w:numPr>
                <w:ilvl w:val="3"/>
                <w:numId w:val="2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wiek powyżej 18 lat;</w:t>
            </w:r>
          </w:p>
          <w:p w14:paraId="011E12C3" w14:textId="77777777" w:rsidR="0004577B" w:rsidRPr="005E170A" w:rsidRDefault="0004577B" w:rsidP="005E170A">
            <w:pPr>
              <w:pStyle w:val="Akapitzlist"/>
              <w:numPr>
                <w:ilvl w:val="3"/>
                <w:numId w:val="2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nowotwór objawowy i o postępującym przebiegu - konieczność udokumentowania progresji według RECIST</w:t>
            </w:r>
            <w:r w:rsidR="00A61DD2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 xml:space="preserve">w okresie 12 miesięcy poprzedzających wdrożenie leczenia </w:t>
            </w:r>
            <w:r w:rsidRPr="005E170A">
              <w:rPr>
                <w:rFonts w:ascii="Times New Roman" w:hAnsi="Times New Roman"/>
                <w:i/>
                <w:iCs/>
                <w:sz w:val="20"/>
                <w:szCs w:val="20"/>
              </w:rPr>
              <w:t>wandetanibem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79C271E4" w14:textId="0823784C" w:rsidR="0004577B" w:rsidRPr="005E170A" w:rsidRDefault="0004577B" w:rsidP="005E170A">
            <w:pPr>
              <w:pStyle w:val="Akapitzlist"/>
              <w:numPr>
                <w:ilvl w:val="3"/>
                <w:numId w:val="2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stan sprawności 0-2 według ECOG</w:t>
            </w:r>
            <w:r w:rsidR="005F456A" w:rsidRPr="005E170A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3983ABB" w14:textId="793159F3" w:rsidR="0004577B" w:rsidRPr="005E170A" w:rsidRDefault="0004577B" w:rsidP="005E170A">
            <w:pPr>
              <w:pStyle w:val="Akapitzlist"/>
              <w:numPr>
                <w:ilvl w:val="2"/>
                <w:numId w:val="26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Terapia </w:t>
            </w:r>
            <w:r w:rsidRPr="005E170A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selperkatynibem</w:t>
            </w:r>
          </w:p>
          <w:p w14:paraId="7211E389" w14:textId="77777777" w:rsidR="00742E0C" w:rsidRPr="005E170A" w:rsidRDefault="00742E0C" w:rsidP="005E170A">
            <w:pPr>
              <w:pStyle w:val="Akapitzlist"/>
              <w:numPr>
                <w:ilvl w:val="3"/>
                <w:numId w:val="2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wiek co najmniej 12 lat;</w:t>
            </w:r>
          </w:p>
          <w:p w14:paraId="3352E32D" w14:textId="15348E9A" w:rsidR="0004577B" w:rsidRPr="005E170A" w:rsidRDefault="0004577B" w:rsidP="005E170A">
            <w:pPr>
              <w:pStyle w:val="Akapitzlist"/>
              <w:numPr>
                <w:ilvl w:val="3"/>
                <w:numId w:val="2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bookmarkStart w:id="1" w:name="_Hlk142316757"/>
            <w:r w:rsidRPr="005E170A">
              <w:rPr>
                <w:rFonts w:ascii="Times New Roman" w:hAnsi="Times New Roman"/>
                <w:sz w:val="20"/>
                <w:szCs w:val="20"/>
              </w:rPr>
              <w:t>niepowodzeni</w:t>
            </w:r>
            <w:r w:rsidR="004B36A2" w:rsidRPr="005E170A">
              <w:rPr>
                <w:rFonts w:ascii="Times New Roman" w:hAnsi="Times New Roman"/>
                <w:sz w:val="20"/>
                <w:szCs w:val="20"/>
              </w:rPr>
              <w:t>e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 xml:space="preserve"> lub nietolerancj</w:t>
            </w:r>
            <w:r w:rsidR="004B36A2" w:rsidRPr="005E170A">
              <w:rPr>
                <w:rFonts w:ascii="Times New Roman" w:hAnsi="Times New Roman"/>
                <w:sz w:val="20"/>
                <w:szCs w:val="20"/>
              </w:rPr>
              <w:t>a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 xml:space="preserve"> farmakoterapii systemowej z użyciem </w:t>
            </w:r>
            <w:r w:rsidRPr="005E170A">
              <w:rPr>
                <w:rFonts w:ascii="Times New Roman" w:hAnsi="Times New Roman"/>
                <w:i/>
                <w:iCs/>
                <w:sz w:val="20"/>
                <w:szCs w:val="20"/>
              </w:rPr>
              <w:t>wandetanibu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 xml:space="preserve"> lub </w:t>
            </w:r>
            <w:r w:rsidRPr="005E170A">
              <w:rPr>
                <w:rFonts w:ascii="Times New Roman" w:hAnsi="Times New Roman"/>
                <w:i/>
                <w:iCs/>
                <w:sz w:val="20"/>
                <w:szCs w:val="20"/>
              </w:rPr>
              <w:t>kabozantynibu</w:t>
            </w:r>
            <w:r w:rsidR="005F456A" w:rsidRPr="005E170A">
              <w:rPr>
                <w:rFonts w:ascii="Times New Roman" w:hAnsi="Times New Roman"/>
                <w:sz w:val="20"/>
                <w:szCs w:val="20"/>
              </w:rPr>
              <w:t>;</w:t>
            </w:r>
          </w:p>
          <w:bookmarkEnd w:id="1"/>
          <w:p w14:paraId="0DE1F81D" w14:textId="49EBB204" w:rsidR="0004577B" w:rsidRPr="005E170A" w:rsidRDefault="00742E0C" w:rsidP="005E170A">
            <w:pPr>
              <w:pStyle w:val="Akapitzlist"/>
              <w:numPr>
                <w:ilvl w:val="3"/>
                <w:numId w:val="2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 xml:space="preserve">potwierdzona mutacja </w:t>
            </w:r>
            <w:r w:rsidR="00343440" w:rsidRPr="005E170A">
              <w:rPr>
                <w:rFonts w:ascii="Times New Roman" w:hAnsi="Times New Roman"/>
                <w:sz w:val="20"/>
                <w:szCs w:val="20"/>
              </w:rPr>
              <w:t xml:space="preserve">germinalna lub somatyczna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 xml:space="preserve">w genie RET w guzie (pozytywny wynik testu DNA linii zarodkowej w </w:t>
            </w:r>
            <w:r w:rsidR="005E170A" w:rsidRPr="005E170A">
              <w:rPr>
                <w:rFonts w:ascii="Times New Roman" w:hAnsi="Times New Roman"/>
                <w:sz w:val="20"/>
                <w:szCs w:val="20"/>
              </w:rPr>
              <w:t>kierunku mutacji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E170A" w:rsidRPr="005E170A">
              <w:rPr>
                <w:rFonts w:ascii="Times New Roman" w:hAnsi="Times New Roman"/>
                <w:sz w:val="20"/>
                <w:szCs w:val="20"/>
              </w:rPr>
              <w:t>w genie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 xml:space="preserve"> RET jest dopuszczalny przy braku badań tkanki nowotworowej);</w:t>
            </w:r>
          </w:p>
          <w:p w14:paraId="30F81DF1" w14:textId="77777777" w:rsidR="00742E0C" w:rsidRPr="005E170A" w:rsidRDefault="00742E0C" w:rsidP="005E170A">
            <w:pPr>
              <w:pStyle w:val="Akapitzlist"/>
              <w:numPr>
                <w:ilvl w:val="3"/>
                <w:numId w:val="2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lastRenderedPageBreak/>
              <w:t>dostępna zarchiwizowana próbka tkanki nowotworowej (z zastrzeżeniem jak w pkt</w:t>
            </w:r>
            <w:r w:rsidR="003D2784" w:rsidRPr="005E170A">
              <w:rPr>
                <w:rFonts w:ascii="Times New Roman" w:hAnsi="Times New Roman"/>
                <w:sz w:val="20"/>
                <w:szCs w:val="20"/>
              </w:rPr>
              <w:t>.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D2784" w:rsidRPr="005E170A">
              <w:rPr>
                <w:rFonts w:ascii="Times New Roman" w:hAnsi="Times New Roman"/>
                <w:sz w:val="20"/>
                <w:szCs w:val="20"/>
              </w:rPr>
              <w:t>3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);</w:t>
            </w:r>
          </w:p>
          <w:p w14:paraId="39A1833D" w14:textId="77777777" w:rsidR="00742E0C" w:rsidRPr="005E170A" w:rsidRDefault="00742E0C" w:rsidP="005E170A">
            <w:pPr>
              <w:pStyle w:val="Akapitzlist"/>
              <w:numPr>
                <w:ilvl w:val="3"/>
                <w:numId w:val="2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brak potwierdzonego dodatkowego (zatwierdzonego) czynnika onkogennego, który może powodować oporność na leczenie;</w:t>
            </w:r>
          </w:p>
          <w:p w14:paraId="04348917" w14:textId="77777777" w:rsidR="00742E0C" w:rsidRPr="005E170A" w:rsidRDefault="00742E0C" w:rsidP="005E170A">
            <w:pPr>
              <w:pStyle w:val="Akapitzlist"/>
              <w:numPr>
                <w:ilvl w:val="3"/>
                <w:numId w:val="2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brak wcześniejszego leczenie selektywnym inhibitorem(ami) RET;</w:t>
            </w:r>
          </w:p>
          <w:p w14:paraId="6E7BE73B" w14:textId="77777777" w:rsidR="00742E0C" w:rsidRPr="005E170A" w:rsidRDefault="00742E0C" w:rsidP="005E170A">
            <w:pPr>
              <w:pStyle w:val="Akapitzlist"/>
              <w:numPr>
                <w:ilvl w:val="3"/>
                <w:numId w:val="2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nieobecność przerzutów w ośrodkowym układzie nerwowym (dopuszczalne wcześniejsze wycięcie przerzutów lub radioterapia, o ile po leczeniu utrzymuje się stan bezobjawowy);</w:t>
            </w:r>
          </w:p>
          <w:p w14:paraId="2262C543" w14:textId="1E044115" w:rsidR="00742E0C" w:rsidRPr="005E170A" w:rsidRDefault="00742E0C" w:rsidP="005E170A">
            <w:pPr>
              <w:pStyle w:val="Akapitzlist"/>
              <w:numPr>
                <w:ilvl w:val="3"/>
                <w:numId w:val="2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 xml:space="preserve">co najmniej jedna mierzalna zmiana, zgodnie z aktualną definicją </w:t>
            </w:r>
            <w:r w:rsidR="005E170A" w:rsidRPr="005E170A">
              <w:rPr>
                <w:rFonts w:ascii="Times New Roman" w:hAnsi="Times New Roman"/>
                <w:sz w:val="20"/>
                <w:szCs w:val="20"/>
              </w:rPr>
              <w:t>RECIST lub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 xml:space="preserve"> RANO i wcześniej nie napromieniana;</w:t>
            </w:r>
          </w:p>
          <w:p w14:paraId="42365483" w14:textId="77777777" w:rsidR="00742E0C" w:rsidRPr="005E170A" w:rsidRDefault="00742E0C" w:rsidP="005E170A">
            <w:pPr>
              <w:pStyle w:val="Akapitzlist"/>
              <w:numPr>
                <w:ilvl w:val="3"/>
                <w:numId w:val="2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stan sprawności:</w:t>
            </w:r>
          </w:p>
          <w:p w14:paraId="3954EFC5" w14:textId="7507E6FD" w:rsidR="00742E0C" w:rsidRPr="005E170A" w:rsidRDefault="00742E0C" w:rsidP="005E170A">
            <w:pPr>
              <w:pStyle w:val="Akapitzlist"/>
              <w:numPr>
                <w:ilvl w:val="4"/>
                <w:numId w:val="2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dorośli 0-2 w skali ECOG</w:t>
            </w:r>
            <w:r w:rsidR="005F456A" w:rsidRPr="005E170A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0A7F2BAA" w14:textId="0202F174" w:rsidR="00742E0C" w:rsidRPr="005E170A" w:rsidRDefault="00742E0C" w:rsidP="005E170A">
            <w:pPr>
              <w:pStyle w:val="Akapitzlist"/>
              <w:numPr>
                <w:ilvl w:val="4"/>
                <w:numId w:val="2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 xml:space="preserve">pacjenci do 16 </w:t>
            </w:r>
            <w:r w:rsidR="005E170A" w:rsidRPr="005E170A">
              <w:rPr>
                <w:rFonts w:ascii="Times New Roman" w:hAnsi="Times New Roman"/>
                <w:sz w:val="20"/>
                <w:szCs w:val="20"/>
              </w:rPr>
              <w:t>roku życia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 xml:space="preserve"> ≥ 40 w skali Lansky’ego</w:t>
            </w:r>
            <w:r w:rsidR="005F456A" w:rsidRPr="005E170A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4BBADD18" w14:textId="77777777" w:rsidR="00C360D3" w:rsidRPr="005E170A" w:rsidRDefault="00C360D3" w:rsidP="005E170A">
            <w:pPr>
              <w:tabs>
                <w:tab w:val="left" w:pos="596"/>
              </w:tabs>
              <w:suppressAutoHyphens/>
              <w:autoSpaceDN w:val="0"/>
              <w:spacing w:before="0" w:after="60" w:line="276" w:lineRule="auto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  <w:p w14:paraId="5AC0AE5E" w14:textId="77777777" w:rsidR="00A03ACC" w:rsidRPr="005E170A" w:rsidRDefault="00A03ACC" w:rsidP="005E170A">
            <w:pPr>
              <w:suppressAutoHyphens/>
              <w:spacing w:before="0"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 xml:space="preserve">Ponadto do programu lekowego kwalifikowani są również pacjenci, którzy byli leczeni </w:t>
            </w:r>
            <w:r w:rsidRPr="005E170A">
              <w:rPr>
                <w:rFonts w:ascii="Times New Roman" w:hAnsi="Times New Roman"/>
                <w:i/>
                <w:iCs/>
                <w:sz w:val="20"/>
                <w:szCs w:val="20"/>
              </w:rPr>
              <w:t>wandetanibem</w:t>
            </w:r>
            <w:r w:rsidR="003D2784" w:rsidRPr="005E170A">
              <w:rPr>
                <w:rFonts w:ascii="Times New Roman" w:hAnsi="Times New Roman"/>
                <w:i/>
                <w:iCs/>
                <w:sz w:val="20"/>
                <w:szCs w:val="20"/>
              </w:rPr>
              <w:t>/selperkatynibem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 xml:space="preserve"> w ramach innego sposobu finansowania terapii</w:t>
            </w:r>
            <w:r w:rsidR="003D2784" w:rsidRPr="005E170A">
              <w:rPr>
                <w:rFonts w:ascii="Times New Roman" w:hAnsi="Times New Roman"/>
                <w:sz w:val="20"/>
                <w:szCs w:val="20"/>
              </w:rPr>
              <w:t xml:space="preserve"> (za wyjątkiem trwających badań klinicznych)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, pod warunkiem, że w chwili rozpoczęcia leczenia spełniali kryteria kwalifikacji do programu lekowego.</w:t>
            </w:r>
          </w:p>
          <w:p w14:paraId="2CEE4562" w14:textId="77777777" w:rsidR="00742E0C" w:rsidRPr="005E170A" w:rsidRDefault="00742E0C" w:rsidP="005E170A">
            <w:pPr>
              <w:pStyle w:val="Standard"/>
              <w:spacing w:after="60" w:line="276" w:lineRule="auto"/>
              <w:jc w:val="both"/>
              <w:rPr>
                <w:rFonts w:cs="Times New Roman"/>
                <w:b/>
                <w:sz w:val="20"/>
                <w:szCs w:val="20"/>
              </w:rPr>
            </w:pPr>
          </w:p>
          <w:p w14:paraId="4BE89665" w14:textId="4968E8A0" w:rsidR="00C360D3" w:rsidRPr="005E170A" w:rsidRDefault="00C360D3" w:rsidP="005E170A">
            <w:pPr>
              <w:pStyle w:val="Standard"/>
              <w:numPr>
                <w:ilvl w:val="0"/>
                <w:numId w:val="26"/>
              </w:numPr>
              <w:spacing w:after="60" w:line="276" w:lineRule="auto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E170A">
              <w:rPr>
                <w:rFonts w:cs="Times New Roman"/>
                <w:b/>
                <w:sz w:val="20"/>
                <w:szCs w:val="20"/>
              </w:rPr>
              <w:t>Określenie</w:t>
            </w:r>
            <w:r w:rsidR="005E5637" w:rsidRPr="005E170A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Pr="005E170A">
              <w:rPr>
                <w:rFonts w:cs="Times New Roman"/>
                <w:b/>
                <w:sz w:val="20"/>
                <w:szCs w:val="20"/>
              </w:rPr>
              <w:t>czasu</w:t>
            </w:r>
            <w:r w:rsidR="005E5637" w:rsidRPr="005E170A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Pr="005E170A">
              <w:rPr>
                <w:rFonts w:cs="Times New Roman"/>
                <w:b/>
                <w:sz w:val="20"/>
                <w:szCs w:val="20"/>
              </w:rPr>
              <w:t>leczenia</w:t>
            </w:r>
            <w:r w:rsidR="005E5637" w:rsidRPr="005E170A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742E0C" w:rsidRPr="005E170A">
              <w:rPr>
                <w:rFonts w:cs="Times New Roman"/>
                <w:b/>
                <w:sz w:val="20"/>
                <w:szCs w:val="20"/>
              </w:rPr>
              <w:t>w programie</w:t>
            </w:r>
          </w:p>
          <w:p w14:paraId="34DE79B5" w14:textId="77777777" w:rsidR="00F44935" w:rsidRPr="005E170A" w:rsidRDefault="00F44935" w:rsidP="005E170A">
            <w:pPr>
              <w:tabs>
                <w:tab w:val="left" w:pos="596"/>
              </w:tabs>
              <w:suppressAutoHyphens/>
              <w:autoSpaceDN w:val="0"/>
              <w:spacing w:before="0" w:after="60" w:line="276" w:lineRule="auto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Leczenie trwa do czasu podjęcia przez lekarza prowadzącego decyzji o wyłączeniu świadczeniobiorcy z programu, zgodnie z kryteriami wyłączenia</w:t>
            </w:r>
            <w:r w:rsidR="002862E7" w:rsidRPr="005E170A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55EFE680" w14:textId="77777777" w:rsidR="00345B45" w:rsidRPr="005E170A" w:rsidRDefault="00345B45" w:rsidP="005E170A">
            <w:pPr>
              <w:tabs>
                <w:tab w:val="left" w:pos="596"/>
              </w:tabs>
              <w:suppressAutoHyphens/>
              <w:autoSpaceDN w:val="0"/>
              <w:spacing w:before="0" w:after="60" w:line="276" w:lineRule="auto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  <w:p w14:paraId="6F6A9CDB" w14:textId="4F3EE2DB" w:rsidR="0071094D" w:rsidRPr="005E170A" w:rsidRDefault="0071094D" w:rsidP="005E170A">
            <w:pPr>
              <w:pStyle w:val="Standard"/>
              <w:numPr>
                <w:ilvl w:val="0"/>
                <w:numId w:val="26"/>
              </w:numPr>
              <w:spacing w:after="60" w:line="276" w:lineRule="auto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E170A">
              <w:rPr>
                <w:rFonts w:cs="Times New Roman"/>
                <w:b/>
                <w:sz w:val="20"/>
                <w:szCs w:val="20"/>
              </w:rPr>
              <w:t>Kryteria</w:t>
            </w:r>
            <w:r w:rsidR="005E5637" w:rsidRPr="005E170A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Pr="005E170A">
              <w:rPr>
                <w:rFonts w:cs="Times New Roman"/>
                <w:b/>
                <w:sz w:val="20"/>
                <w:szCs w:val="20"/>
              </w:rPr>
              <w:t>wyłączenia</w:t>
            </w:r>
            <w:r w:rsidR="00543E5F" w:rsidRPr="005E170A">
              <w:rPr>
                <w:rFonts w:cs="Times New Roman"/>
                <w:b/>
                <w:sz w:val="20"/>
                <w:szCs w:val="20"/>
              </w:rPr>
              <w:t xml:space="preserve"> z </w:t>
            </w:r>
            <w:r w:rsidR="00742E0C" w:rsidRPr="005E170A">
              <w:rPr>
                <w:rFonts w:cs="Times New Roman"/>
                <w:b/>
                <w:sz w:val="20"/>
                <w:szCs w:val="20"/>
              </w:rPr>
              <w:t>programu</w:t>
            </w:r>
          </w:p>
          <w:p w14:paraId="68106E06" w14:textId="5F4AC008" w:rsidR="00742E0C" w:rsidRPr="005E170A" w:rsidRDefault="007B6013" w:rsidP="005E170A">
            <w:pPr>
              <w:pStyle w:val="Standard"/>
              <w:numPr>
                <w:ilvl w:val="3"/>
                <w:numId w:val="26"/>
              </w:numPr>
              <w:autoSpaceDE w:val="0"/>
              <w:adjustRightInd w:val="0"/>
              <w:spacing w:after="60" w:line="276" w:lineRule="auto"/>
              <w:jc w:val="both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5E170A">
              <w:rPr>
                <w:rFonts w:cs="Times New Roman"/>
                <w:sz w:val="20"/>
                <w:szCs w:val="20"/>
              </w:rPr>
              <w:lastRenderedPageBreak/>
              <w:t xml:space="preserve">udokumentowana progresja według aktualnych kryteriów RECIST; </w:t>
            </w:r>
          </w:p>
          <w:p w14:paraId="5959CEBE" w14:textId="77777777" w:rsidR="00644F80" w:rsidRPr="005E170A" w:rsidRDefault="00644F80" w:rsidP="005E170A">
            <w:pPr>
              <w:pStyle w:val="Standard"/>
              <w:numPr>
                <w:ilvl w:val="3"/>
                <w:numId w:val="26"/>
              </w:numPr>
              <w:spacing w:after="60" w:line="276" w:lineRule="auto"/>
              <w:jc w:val="both"/>
              <w:rPr>
                <w:rFonts w:cs="Times New Roman"/>
                <w:bCs/>
                <w:sz w:val="20"/>
                <w:szCs w:val="20"/>
              </w:rPr>
            </w:pPr>
            <w:r w:rsidRPr="005E170A">
              <w:rPr>
                <w:rFonts w:cs="Times New Roman"/>
                <w:bCs/>
                <w:sz w:val="20"/>
                <w:szCs w:val="20"/>
              </w:rPr>
              <w:t>wystąpienie objawów nadwrażliwości na substancje czynne lub na którąkolwiek substancję pomocniczą;</w:t>
            </w:r>
          </w:p>
          <w:p w14:paraId="655D44CF" w14:textId="77777777" w:rsidR="00644F80" w:rsidRPr="005E170A" w:rsidRDefault="00644F80" w:rsidP="005E170A">
            <w:pPr>
              <w:pStyle w:val="Standard"/>
              <w:numPr>
                <w:ilvl w:val="3"/>
                <w:numId w:val="26"/>
              </w:numPr>
              <w:spacing w:after="60" w:line="276" w:lineRule="auto"/>
              <w:jc w:val="both"/>
              <w:rPr>
                <w:rFonts w:cs="Times New Roman"/>
                <w:bCs/>
                <w:sz w:val="20"/>
                <w:szCs w:val="20"/>
              </w:rPr>
            </w:pPr>
            <w:r w:rsidRPr="005E170A">
              <w:rPr>
                <w:rFonts w:cs="Times New Roman"/>
                <w:bCs/>
                <w:sz w:val="20"/>
                <w:szCs w:val="20"/>
              </w:rPr>
              <w:t>wystąpienie chorób lub stanów, które w opinii lekarza prowadzącego uniemożliwiają dalsze prowadzenie leczenia;</w:t>
            </w:r>
          </w:p>
          <w:p w14:paraId="4625A7B8" w14:textId="642ED6ED" w:rsidR="002862E7" w:rsidRPr="005E170A" w:rsidRDefault="002862E7" w:rsidP="005E170A">
            <w:pPr>
              <w:pStyle w:val="Standard"/>
              <w:numPr>
                <w:ilvl w:val="3"/>
                <w:numId w:val="26"/>
              </w:numPr>
              <w:spacing w:after="60" w:line="276" w:lineRule="auto"/>
              <w:jc w:val="both"/>
              <w:rPr>
                <w:rFonts w:cs="Times New Roman"/>
                <w:bCs/>
                <w:sz w:val="20"/>
                <w:szCs w:val="20"/>
              </w:rPr>
            </w:pPr>
            <w:bookmarkStart w:id="2" w:name="_Hlk142316983"/>
            <w:r w:rsidRPr="005E170A">
              <w:rPr>
                <w:rFonts w:cs="Times New Roman"/>
                <w:sz w:val="20"/>
                <w:szCs w:val="20"/>
              </w:rPr>
              <w:t xml:space="preserve">pogorszenie stanu </w:t>
            </w:r>
            <w:r w:rsidRPr="00DD3B07">
              <w:rPr>
                <w:rFonts w:cs="Times New Roman"/>
                <w:sz w:val="20"/>
                <w:szCs w:val="20"/>
              </w:rPr>
              <w:t>sprawności</w:t>
            </w:r>
            <w:r w:rsidR="00AA3C4E" w:rsidRPr="00DD3B07">
              <w:rPr>
                <w:rFonts w:cs="Times New Roman"/>
                <w:sz w:val="20"/>
                <w:szCs w:val="20"/>
              </w:rPr>
              <w:t>, związane z leczeniem,</w:t>
            </w:r>
            <w:r w:rsidRPr="00DD3B07">
              <w:rPr>
                <w:rFonts w:cs="Times New Roman"/>
                <w:sz w:val="20"/>
                <w:szCs w:val="20"/>
              </w:rPr>
              <w:t xml:space="preserve"> o 1 lub</w:t>
            </w:r>
            <w:r w:rsidRPr="005E170A">
              <w:rPr>
                <w:rFonts w:cs="Times New Roman"/>
                <w:sz w:val="20"/>
                <w:szCs w:val="20"/>
              </w:rPr>
              <w:t xml:space="preserve"> 2 stopnie, w zależności od wartości przy kwalifikacji, ale maksymalnie do wartości 3 wg ECOG</w:t>
            </w:r>
            <w:r w:rsidR="007A71A7" w:rsidRPr="005E170A">
              <w:rPr>
                <w:rFonts w:cs="Times New Roman"/>
                <w:sz w:val="20"/>
                <w:szCs w:val="20"/>
              </w:rPr>
              <w:t xml:space="preserve"> u dorosłych </w:t>
            </w:r>
            <w:r w:rsidR="00E9079B" w:rsidRPr="005E170A">
              <w:rPr>
                <w:rFonts w:cs="Times New Roman"/>
                <w:sz w:val="20"/>
                <w:szCs w:val="20"/>
              </w:rPr>
              <w:t xml:space="preserve">(dotyczy </w:t>
            </w:r>
            <w:proofErr w:type="spellStart"/>
            <w:r w:rsidR="00E9079B" w:rsidRPr="004837FB">
              <w:rPr>
                <w:rFonts w:cs="Times New Roman"/>
                <w:i/>
                <w:iCs/>
                <w:sz w:val="20"/>
                <w:szCs w:val="20"/>
              </w:rPr>
              <w:t>selperkatynibu</w:t>
            </w:r>
            <w:proofErr w:type="spellEnd"/>
            <w:r w:rsidR="00E9079B" w:rsidRPr="005E170A">
              <w:rPr>
                <w:rFonts w:cs="Times New Roman"/>
                <w:sz w:val="20"/>
                <w:szCs w:val="20"/>
              </w:rPr>
              <w:t xml:space="preserve"> i </w:t>
            </w:r>
            <w:proofErr w:type="spellStart"/>
            <w:r w:rsidR="00E9079B" w:rsidRPr="004837FB">
              <w:rPr>
                <w:rFonts w:cs="Times New Roman"/>
                <w:i/>
                <w:iCs/>
                <w:sz w:val="20"/>
                <w:szCs w:val="20"/>
              </w:rPr>
              <w:t>wandetanibu</w:t>
            </w:r>
            <w:proofErr w:type="spellEnd"/>
            <w:r w:rsidR="00E9079B" w:rsidRPr="005E170A">
              <w:rPr>
                <w:rFonts w:cs="Times New Roman"/>
                <w:sz w:val="20"/>
                <w:szCs w:val="20"/>
              </w:rPr>
              <w:t xml:space="preserve">) </w:t>
            </w:r>
            <w:r w:rsidR="007A71A7" w:rsidRPr="005E170A">
              <w:rPr>
                <w:rFonts w:cs="Times New Roman"/>
                <w:sz w:val="20"/>
                <w:szCs w:val="20"/>
              </w:rPr>
              <w:t>lub do wartości 30 w skali Lansky’ego u pacjentów do 16. roku życia</w:t>
            </w:r>
            <w:r w:rsidR="001920E7" w:rsidRPr="005E170A">
              <w:rPr>
                <w:rFonts w:cs="Times New Roman"/>
                <w:sz w:val="20"/>
                <w:szCs w:val="20"/>
              </w:rPr>
              <w:t xml:space="preserve"> (dotyczy </w:t>
            </w:r>
            <w:proofErr w:type="spellStart"/>
            <w:r w:rsidR="008F6814" w:rsidRPr="004837FB">
              <w:rPr>
                <w:rFonts w:cs="Times New Roman"/>
                <w:i/>
                <w:iCs/>
                <w:sz w:val="20"/>
                <w:szCs w:val="20"/>
              </w:rPr>
              <w:t>selperkatynibu</w:t>
            </w:r>
            <w:proofErr w:type="spellEnd"/>
            <w:r w:rsidR="008F6814" w:rsidRPr="005E170A">
              <w:rPr>
                <w:rFonts w:cs="Times New Roman"/>
                <w:sz w:val="20"/>
                <w:szCs w:val="20"/>
              </w:rPr>
              <w:t>)</w:t>
            </w:r>
            <w:r w:rsidR="005F456A" w:rsidRPr="005E170A">
              <w:rPr>
                <w:rFonts w:cs="Times New Roman"/>
                <w:sz w:val="20"/>
                <w:szCs w:val="20"/>
              </w:rPr>
              <w:t>;</w:t>
            </w:r>
          </w:p>
          <w:bookmarkEnd w:id="2"/>
          <w:p w14:paraId="2DA0149D" w14:textId="535C19AB" w:rsidR="00644F80" w:rsidRPr="005E170A" w:rsidRDefault="00644F80" w:rsidP="005E170A">
            <w:pPr>
              <w:pStyle w:val="Standard"/>
              <w:numPr>
                <w:ilvl w:val="3"/>
                <w:numId w:val="26"/>
              </w:numPr>
              <w:spacing w:after="60" w:line="276" w:lineRule="auto"/>
              <w:jc w:val="both"/>
              <w:rPr>
                <w:rFonts w:cs="Times New Roman"/>
                <w:bCs/>
                <w:sz w:val="20"/>
                <w:szCs w:val="20"/>
              </w:rPr>
            </w:pPr>
            <w:r w:rsidRPr="005E170A">
              <w:rPr>
                <w:rFonts w:cs="Times New Roman"/>
                <w:sz w:val="20"/>
                <w:szCs w:val="20"/>
              </w:rPr>
              <w:t xml:space="preserve">ciąża lub </w:t>
            </w:r>
            <w:r w:rsidR="005E170A" w:rsidRPr="005E170A">
              <w:rPr>
                <w:rFonts w:cs="Times New Roman"/>
                <w:sz w:val="20"/>
                <w:szCs w:val="20"/>
              </w:rPr>
              <w:t>okres karmienia</w:t>
            </w:r>
            <w:r w:rsidRPr="005E170A">
              <w:rPr>
                <w:rFonts w:cs="Times New Roman"/>
                <w:sz w:val="20"/>
                <w:szCs w:val="20"/>
              </w:rPr>
              <w:t xml:space="preserve"> piersią;</w:t>
            </w:r>
          </w:p>
          <w:p w14:paraId="2DAFE13A" w14:textId="77777777" w:rsidR="000E53FC" w:rsidRPr="005E170A" w:rsidRDefault="00980EB7" w:rsidP="005E170A">
            <w:pPr>
              <w:pStyle w:val="Standard"/>
              <w:numPr>
                <w:ilvl w:val="3"/>
                <w:numId w:val="26"/>
              </w:numPr>
              <w:spacing w:after="60" w:line="276" w:lineRule="auto"/>
              <w:jc w:val="both"/>
              <w:rPr>
                <w:rFonts w:cs="Times New Roman"/>
                <w:bCs/>
                <w:sz w:val="20"/>
                <w:szCs w:val="20"/>
              </w:rPr>
            </w:pPr>
            <w:r w:rsidRPr="005E170A">
              <w:rPr>
                <w:rFonts w:cs="Times New Roman"/>
                <w:sz w:val="20"/>
                <w:szCs w:val="20"/>
              </w:rPr>
              <w:t>brak współpracy lub nieprzestrzeganie zaleceń lekarskich, w tym zwłaszcza dotyczących okresowych badań kontrolnych oceniających skuteczność i bezpieczeństwo leczenia ze strony świadczeniobiorcy lub wycofanie zgody na leczenie</w:t>
            </w:r>
            <w:r w:rsidR="002862E7" w:rsidRPr="005E170A">
              <w:rPr>
                <w:rFonts w:cs="Times New Roman"/>
                <w:sz w:val="20"/>
                <w:szCs w:val="20"/>
              </w:rPr>
              <w:t>.</w:t>
            </w:r>
          </w:p>
          <w:p w14:paraId="3F5181D2" w14:textId="1FA09C19" w:rsidR="005F456A" w:rsidRPr="005E170A" w:rsidRDefault="005F456A" w:rsidP="005E170A">
            <w:pPr>
              <w:pStyle w:val="Standard"/>
              <w:spacing w:after="60" w:line="276" w:lineRule="auto"/>
              <w:jc w:val="both"/>
              <w:rPr>
                <w:rFonts w:cs="Times New Roman"/>
                <w:bCs/>
                <w:sz w:val="20"/>
                <w:szCs w:val="20"/>
              </w:rPr>
            </w:pPr>
          </w:p>
        </w:tc>
        <w:tc>
          <w:tcPr>
            <w:tcW w:w="4110" w:type="dxa"/>
          </w:tcPr>
          <w:p w14:paraId="34EE2191" w14:textId="77777777" w:rsidR="00C360D3" w:rsidRPr="005E170A" w:rsidRDefault="00C360D3" w:rsidP="005E170A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Dawkowanie</w:t>
            </w:r>
            <w:r w:rsidR="005E563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wandetanibu</w:t>
            </w:r>
            <w:r w:rsidR="005E563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  <w:p w14:paraId="2E8A8E12" w14:textId="77777777" w:rsidR="009F1965" w:rsidRPr="005E170A" w:rsidRDefault="009F1965" w:rsidP="005E170A">
            <w:pPr>
              <w:spacing w:before="0"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Sposób podawania oraz ewentualne czasowe wstrzymania leczenia, prowadzone zgodnie z aktualną Charakterystyką Produktu Leczniczego (dalej ChPL).</w:t>
            </w:r>
          </w:p>
          <w:p w14:paraId="14790C94" w14:textId="77777777" w:rsidR="00C360D3" w:rsidRPr="005E170A" w:rsidRDefault="009F1965" w:rsidP="005E170A">
            <w:pPr>
              <w:spacing w:before="0"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Dopuszczalne jest zmniejszenie dawki zgodnie z aktualną ChPL.</w:t>
            </w:r>
          </w:p>
          <w:p w14:paraId="02E43A8C" w14:textId="77777777" w:rsidR="00581081" w:rsidRPr="005E170A" w:rsidRDefault="00AF2A6D" w:rsidP="005E170A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  <w:r w:rsidRPr="005E170A">
              <w:rPr>
                <w:color w:val="auto"/>
                <w:sz w:val="20"/>
                <w:szCs w:val="20"/>
              </w:rPr>
              <w:t>Zalecana</w:t>
            </w:r>
            <w:r w:rsidR="003D2784" w:rsidRPr="005E170A">
              <w:rPr>
                <w:color w:val="auto"/>
                <w:sz w:val="20"/>
                <w:szCs w:val="20"/>
              </w:rPr>
              <w:t xml:space="preserve"> dawka </w:t>
            </w:r>
            <w:r w:rsidRPr="005E170A">
              <w:rPr>
                <w:i/>
                <w:iCs/>
                <w:color w:val="auto"/>
                <w:sz w:val="20"/>
                <w:szCs w:val="20"/>
              </w:rPr>
              <w:t>wandetanibu</w:t>
            </w:r>
            <w:r w:rsidRPr="005E170A">
              <w:rPr>
                <w:color w:val="auto"/>
                <w:sz w:val="20"/>
                <w:szCs w:val="20"/>
              </w:rPr>
              <w:t xml:space="preserve"> </w:t>
            </w:r>
            <w:r w:rsidR="003D2784" w:rsidRPr="005E170A">
              <w:rPr>
                <w:color w:val="auto"/>
                <w:sz w:val="20"/>
                <w:szCs w:val="20"/>
              </w:rPr>
              <w:t>wynosi</w:t>
            </w:r>
            <w:r w:rsidR="00581081" w:rsidRPr="005E170A">
              <w:rPr>
                <w:color w:val="auto"/>
                <w:sz w:val="20"/>
                <w:szCs w:val="20"/>
              </w:rPr>
              <w:t>:</w:t>
            </w:r>
          </w:p>
          <w:p w14:paraId="08A6C9DB" w14:textId="77777777" w:rsidR="0014605A" w:rsidRPr="005E170A" w:rsidRDefault="0014605A" w:rsidP="005E170A">
            <w:pPr>
              <w:pStyle w:val="Default"/>
              <w:numPr>
                <w:ilvl w:val="4"/>
                <w:numId w:val="27"/>
              </w:numPr>
              <w:spacing w:after="60" w:line="276" w:lineRule="auto"/>
              <w:jc w:val="both"/>
              <w:rPr>
                <w:color w:val="auto"/>
                <w:sz w:val="20"/>
                <w:szCs w:val="20"/>
              </w:rPr>
            </w:pPr>
            <w:r w:rsidRPr="005E170A">
              <w:rPr>
                <w:color w:val="auto"/>
                <w:sz w:val="20"/>
                <w:szCs w:val="20"/>
              </w:rPr>
              <w:t xml:space="preserve">300 mg na dobę. </w:t>
            </w:r>
          </w:p>
          <w:p w14:paraId="019A847F" w14:textId="77777777" w:rsidR="00C360D3" w:rsidRPr="005E170A" w:rsidRDefault="00C360D3" w:rsidP="005E170A">
            <w:pPr>
              <w:spacing w:before="0"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1FD9AD82" w14:textId="409D3F7E" w:rsidR="000E53FC" w:rsidRPr="005E170A" w:rsidRDefault="000E53FC" w:rsidP="005E170A">
            <w:pPr>
              <w:pStyle w:val="Akapitzlist"/>
              <w:numPr>
                <w:ilvl w:val="0"/>
                <w:numId w:val="27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Dawkowanie </w:t>
            </w:r>
            <w:r w:rsidRPr="005E170A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selperkatynibu</w:t>
            </w:r>
          </w:p>
          <w:p w14:paraId="7CE21358" w14:textId="77777777" w:rsidR="000E53FC" w:rsidRPr="005E170A" w:rsidRDefault="000E53FC" w:rsidP="005E170A">
            <w:pPr>
              <w:spacing w:before="0"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 xml:space="preserve">Sposób podawania oraz ewentualne czasowe wstrzymania leczenia, prowadzone zgodnie z aktualną ChPL. </w:t>
            </w:r>
          </w:p>
          <w:p w14:paraId="080D017C" w14:textId="77777777" w:rsidR="000E53FC" w:rsidRPr="005E170A" w:rsidRDefault="000E53FC" w:rsidP="005E170A">
            <w:pPr>
              <w:spacing w:before="0"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Dopuszczalne jest zmniejszenie wymienionych poniżej dawek zgodnie z aktualną ChPL.</w:t>
            </w:r>
          </w:p>
          <w:p w14:paraId="75FE9A21" w14:textId="77777777" w:rsidR="000E53FC" w:rsidRPr="005E170A" w:rsidRDefault="000E53FC" w:rsidP="005E170A">
            <w:pPr>
              <w:spacing w:before="0"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 xml:space="preserve">Zalecana dawka </w:t>
            </w:r>
            <w:r w:rsidRPr="005E170A">
              <w:rPr>
                <w:rFonts w:ascii="Times New Roman" w:hAnsi="Times New Roman"/>
                <w:i/>
                <w:iCs/>
                <w:sz w:val="20"/>
                <w:szCs w:val="20"/>
              </w:rPr>
              <w:t>selperkatynibu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 xml:space="preserve"> wynosi:</w:t>
            </w:r>
          </w:p>
          <w:p w14:paraId="436BEB02" w14:textId="77777777" w:rsidR="000E53FC" w:rsidRPr="005E170A" w:rsidRDefault="000E53FC" w:rsidP="005E170A">
            <w:pPr>
              <w:pStyle w:val="Akapitzlist"/>
              <w:numPr>
                <w:ilvl w:val="4"/>
                <w:numId w:val="27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120 mg podawane dwa razy na dobę</w:t>
            </w:r>
            <w:r w:rsidR="002D21CC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- w przypadku masy ciała mniejszej niż 50 kg,</w:t>
            </w:r>
          </w:p>
          <w:p w14:paraId="1E2391DB" w14:textId="77777777" w:rsidR="000E53FC" w:rsidRPr="005E170A" w:rsidRDefault="000E53FC" w:rsidP="005E170A">
            <w:pPr>
              <w:pStyle w:val="Akapitzlist"/>
              <w:numPr>
                <w:ilvl w:val="4"/>
                <w:numId w:val="27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lastRenderedPageBreak/>
              <w:t>160 mg podawane dwa razy na dobę</w:t>
            </w:r>
            <w:r w:rsidR="002D21CC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- w przypadku masy ciała równej 50 kg lub większej.</w:t>
            </w:r>
          </w:p>
        </w:tc>
        <w:tc>
          <w:tcPr>
            <w:tcW w:w="5612" w:type="dxa"/>
          </w:tcPr>
          <w:p w14:paraId="559F4823" w14:textId="72ACDA1B" w:rsidR="00C360D3" w:rsidRPr="005E170A" w:rsidRDefault="00C360D3" w:rsidP="005E170A">
            <w:pPr>
              <w:pStyle w:val="Akapitzlist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120"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Badania</w:t>
            </w:r>
            <w:r w:rsidR="005E563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przy</w:t>
            </w:r>
            <w:r w:rsidR="005E563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kwalifikacji</w:t>
            </w:r>
            <w:r w:rsidR="005E563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do</w:t>
            </w:r>
            <w:r w:rsidR="005E563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leczenia</w:t>
            </w:r>
            <w:r w:rsidR="00F44935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  <w:p w14:paraId="5A9F4ECA" w14:textId="25DAFD45" w:rsidR="00C360D3" w:rsidRPr="005E170A" w:rsidRDefault="00C360D3" w:rsidP="005E170A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morfologia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krwi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z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rozmazem;</w:t>
            </w:r>
          </w:p>
          <w:p w14:paraId="2C9E80B0" w14:textId="77777777" w:rsidR="00C360D3" w:rsidRPr="005E170A" w:rsidRDefault="00C360D3" w:rsidP="005E170A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2635B" w:rsidRPr="005E170A">
              <w:rPr>
                <w:rFonts w:ascii="Times New Roman" w:hAnsi="Times New Roman"/>
                <w:sz w:val="20"/>
                <w:szCs w:val="20"/>
              </w:rPr>
              <w:t>AlAT</w:t>
            </w:r>
            <w:r w:rsidR="00543E5F" w:rsidRPr="005E170A">
              <w:rPr>
                <w:rFonts w:ascii="Times New Roman" w:hAnsi="Times New Roman"/>
                <w:sz w:val="20"/>
                <w:szCs w:val="20"/>
              </w:rPr>
              <w:t xml:space="preserve"> i AspAT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57BBA997" w14:textId="77777777" w:rsidR="00C360D3" w:rsidRPr="005E170A" w:rsidRDefault="00C360D3" w:rsidP="005E170A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potasu</w:t>
            </w:r>
            <w:r w:rsidR="00543E5F" w:rsidRPr="005E170A">
              <w:rPr>
                <w:rFonts w:ascii="Times New Roman" w:hAnsi="Times New Roman"/>
                <w:sz w:val="20"/>
                <w:szCs w:val="20"/>
              </w:rPr>
              <w:t>, wapnia, magnezu</w:t>
            </w:r>
            <w:r w:rsidR="0014605A" w:rsidRPr="005E170A">
              <w:rPr>
                <w:rFonts w:ascii="Times New Roman" w:hAnsi="Times New Roman"/>
                <w:sz w:val="20"/>
                <w:szCs w:val="20"/>
              </w:rPr>
              <w:t xml:space="preserve"> w surowicy krwi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5565F4E6" w14:textId="0EAF619A" w:rsidR="00C360D3" w:rsidRPr="005E170A" w:rsidRDefault="00C360D3" w:rsidP="005E170A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bilirubiny</w:t>
            </w:r>
            <w:r w:rsidR="005F456A" w:rsidRPr="005E170A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4370FCBD" w14:textId="77777777" w:rsidR="00C360D3" w:rsidRPr="005E170A" w:rsidRDefault="00C360D3" w:rsidP="005E170A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kreatyniny;</w:t>
            </w:r>
          </w:p>
          <w:p w14:paraId="609CA8B0" w14:textId="76A9CC32" w:rsidR="00C360D3" w:rsidRPr="00DD3B07" w:rsidRDefault="00C360D3" w:rsidP="005E170A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oznaczanie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D3B07">
              <w:rPr>
                <w:rFonts w:ascii="Times New Roman" w:hAnsi="Times New Roman"/>
                <w:sz w:val="20"/>
                <w:szCs w:val="20"/>
              </w:rPr>
              <w:t>kalcytoniny</w:t>
            </w:r>
            <w:r w:rsidR="00F6181C" w:rsidRPr="00DD3B07">
              <w:rPr>
                <w:rFonts w:ascii="Times New Roman" w:hAnsi="Times New Roman"/>
                <w:sz w:val="20"/>
                <w:szCs w:val="20"/>
              </w:rPr>
              <w:t xml:space="preserve"> i CEA</w:t>
            </w:r>
            <w:r w:rsidRPr="00DD3B0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75005375" w14:textId="77777777" w:rsidR="00C360D3" w:rsidRPr="005E170A" w:rsidRDefault="00C360D3" w:rsidP="005E170A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TSH;</w:t>
            </w:r>
          </w:p>
          <w:p w14:paraId="288EA272" w14:textId="77777777" w:rsidR="00C360D3" w:rsidRPr="005E170A" w:rsidRDefault="00C360D3" w:rsidP="005E170A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ogólne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moczu;</w:t>
            </w:r>
          </w:p>
          <w:p w14:paraId="02FABB78" w14:textId="77777777" w:rsidR="0014605A" w:rsidRPr="005E170A" w:rsidRDefault="00543E5F" w:rsidP="005E170A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oznaczenie wskaźnika INR u chorych leczonych antagonistami witaminy K</w:t>
            </w:r>
            <w:r w:rsidR="0014605A" w:rsidRPr="005E170A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67F6AC14" w14:textId="77777777" w:rsidR="00C360D3" w:rsidRPr="005E170A" w:rsidRDefault="0014605A" w:rsidP="005E170A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test ciążowy u kobiet w wieku rozrodczym</w:t>
            </w:r>
            <w:r w:rsidR="00C360D3" w:rsidRPr="005E170A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7D347207" w14:textId="77777777" w:rsidR="0014605A" w:rsidRPr="005E170A" w:rsidRDefault="00980EB7" w:rsidP="005E170A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pomiar ciśnienia tętniczego krwi</w:t>
            </w:r>
            <w:r w:rsidR="0014605A" w:rsidRPr="005E170A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60076390" w14:textId="77777777" w:rsidR="00C360D3" w:rsidRPr="005E170A" w:rsidRDefault="00C360D3" w:rsidP="005E170A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EKG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z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oceną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odstępu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QTc;</w:t>
            </w:r>
          </w:p>
          <w:p w14:paraId="1683703E" w14:textId="5BA644EA" w:rsidR="00C360D3" w:rsidRPr="005E170A" w:rsidRDefault="00C360D3" w:rsidP="005E170A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TK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lub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MR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szyi,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klatki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piersiowej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i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jamy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brzusznej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w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celu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oceny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wyjściowego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zaawansowania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choroby;</w:t>
            </w:r>
          </w:p>
          <w:p w14:paraId="4B75C7B3" w14:textId="77777777" w:rsidR="00C360D3" w:rsidRPr="005E170A" w:rsidRDefault="00980EB7" w:rsidP="005E170A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badanie wzroku, w tym badanie z użyciem lampy szczelinowej</w:t>
            </w:r>
            <w:r w:rsidR="00A61DD2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 xml:space="preserve">- w przypadku </w:t>
            </w:r>
            <w:r w:rsidRPr="005E170A">
              <w:rPr>
                <w:rFonts w:ascii="Times New Roman" w:hAnsi="Times New Roman"/>
                <w:i/>
                <w:iCs/>
                <w:sz w:val="20"/>
                <w:szCs w:val="20"/>
              </w:rPr>
              <w:t>wandetanibu</w:t>
            </w:r>
            <w:r w:rsidR="0014605A" w:rsidRPr="005E170A">
              <w:rPr>
                <w:rFonts w:ascii="Times New Roman" w:hAnsi="Times New Roman"/>
                <w:sz w:val="20"/>
                <w:szCs w:val="20"/>
              </w:rPr>
              <w:t xml:space="preserve">. </w:t>
            </w:r>
          </w:p>
          <w:p w14:paraId="007AFB51" w14:textId="77777777" w:rsidR="00980EB7" w:rsidRPr="005E170A" w:rsidRDefault="00980EB7" w:rsidP="005E170A">
            <w:pPr>
              <w:autoSpaceDE w:val="0"/>
              <w:autoSpaceDN w:val="0"/>
              <w:adjustRightInd w:val="0"/>
              <w:spacing w:before="0"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lastRenderedPageBreak/>
              <w:t>Wstępne badania obrazowe muszą umożliwić późniejszą obiektywną ocenę odpowiedzi na leczenie według aktualnych kryteriów RECIST.</w:t>
            </w:r>
          </w:p>
          <w:p w14:paraId="09080B60" w14:textId="77777777" w:rsidR="00F2635B" w:rsidRPr="005E170A" w:rsidRDefault="00F2635B" w:rsidP="005E170A">
            <w:pPr>
              <w:pStyle w:val="Akapitzlist"/>
              <w:autoSpaceDE w:val="0"/>
              <w:autoSpaceDN w:val="0"/>
              <w:adjustRightInd w:val="0"/>
              <w:spacing w:after="60"/>
              <w:ind w:left="39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1DF4B7EA" w14:textId="4D32D6C5" w:rsidR="00482695" w:rsidRPr="005E170A" w:rsidRDefault="00C360D3" w:rsidP="005E170A">
            <w:pPr>
              <w:pStyle w:val="Akapitzlist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Monitorowanie</w:t>
            </w:r>
            <w:r w:rsidR="005E563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leczenia</w:t>
            </w:r>
          </w:p>
          <w:p w14:paraId="478A41EF" w14:textId="762DA206" w:rsidR="007A6471" w:rsidRPr="005E170A" w:rsidRDefault="00CF17A5" w:rsidP="005E170A">
            <w:pPr>
              <w:pStyle w:val="Akapitzlist"/>
              <w:numPr>
                <w:ilvl w:val="1"/>
                <w:numId w:val="2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T</w:t>
            </w:r>
            <w:r w:rsidR="004F4C9D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erapia </w:t>
            </w:r>
            <w:r w:rsidR="004F4C9D" w:rsidRPr="005E170A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wandetanibem</w:t>
            </w:r>
          </w:p>
          <w:p w14:paraId="35E9F7C4" w14:textId="61D52B2A" w:rsidR="00C360D3" w:rsidRPr="005E170A" w:rsidRDefault="00CF17A5" w:rsidP="005E170A">
            <w:pPr>
              <w:pStyle w:val="Akapitzlist"/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B</w:t>
            </w:r>
            <w:r w:rsidR="00C360D3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adania</w:t>
            </w:r>
            <w:r w:rsidR="005E563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C360D3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wykonywane</w:t>
            </w:r>
            <w:r w:rsidR="005E563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C360D3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po</w:t>
            </w:r>
            <w:r w:rsidR="005E563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C360D3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pierwszym</w:t>
            </w:r>
            <w:r w:rsidR="005E563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C360D3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tygodniu</w:t>
            </w:r>
            <w:r w:rsidR="005E563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C360D3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od</w:t>
            </w:r>
            <w:r w:rsidR="005E563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C360D3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rozpoczęcia</w:t>
            </w:r>
            <w:r w:rsidR="005E563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C360D3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leczenia:</w:t>
            </w:r>
            <w:r w:rsidR="005E563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  <w:p w14:paraId="6BD2EC0F" w14:textId="4004A5EF" w:rsidR="00C360D3" w:rsidRPr="005E170A" w:rsidRDefault="00C360D3" w:rsidP="005E170A">
            <w:pPr>
              <w:pStyle w:val="Akapitzlist"/>
              <w:numPr>
                <w:ilvl w:val="3"/>
                <w:numId w:val="28"/>
              </w:numPr>
              <w:tabs>
                <w:tab w:val="left" w:pos="596"/>
              </w:tabs>
              <w:suppressAutoHyphens/>
              <w:autoSpaceDN w:val="0"/>
              <w:spacing w:after="60"/>
              <w:contextualSpacing w:val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EKG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z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oceną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odstępu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QTc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w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zapisie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EKG;</w:t>
            </w:r>
          </w:p>
          <w:p w14:paraId="278DAB3E" w14:textId="7A1B9D96" w:rsidR="00F2635B" w:rsidRPr="005E170A" w:rsidRDefault="00C360D3" w:rsidP="005E170A">
            <w:pPr>
              <w:pStyle w:val="Akapitzlist"/>
              <w:numPr>
                <w:ilvl w:val="3"/>
                <w:numId w:val="28"/>
              </w:numPr>
              <w:tabs>
                <w:tab w:val="left" w:pos="596"/>
              </w:tabs>
              <w:suppressAutoHyphens/>
              <w:autoSpaceDN w:val="0"/>
              <w:spacing w:after="60"/>
              <w:contextualSpacing w:val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potasu</w:t>
            </w:r>
            <w:r w:rsidR="0014605A" w:rsidRPr="005E170A">
              <w:rPr>
                <w:rFonts w:ascii="Times New Roman" w:hAnsi="Times New Roman"/>
                <w:sz w:val="20"/>
                <w:szCs w:val="20"/>
              </w:rPr>
              <w:t>, wapnia, magnezu w surowicy krwi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.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00EF2EE9" w14:textId="0184177E" w:rsidR="00C360D3" w:rsidRPr="005E170A" w:rsidRDefault="00C360D3" w:rsidP="005E170A">
            <w:pPr>
              <w:pStyle w:val="Akapitzlist"/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Badania</w:t>
            </w:r>
            <w:r w:rsidR="005E563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wykonywane</w:t>
            </w:r>
            <w:r w:rsidR="005E563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po</w:t>
            </w:r>
            <w:r w:rsidR="005E563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3,</w:t>
            </w:r>
            <w:r w:rsidR="005E563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6</w:t>
            </w:r>
            <w:r w:rsidR="005E563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i</w:t>
            </w:r>
            <w:r w:rsidR="005E563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12</w:t>
            </w:r>
            <w:r w:rsidR="005E563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tygodniach</w:t>
            </w:r>
            <w:r w:rsidR="005E563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od</w:t>
            </w:r>
            <w:r w:rsidR="005E563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rozpoczęcia</w:t>
            </w:r>
            <w:r w:rsidR="005E563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leczenia:</w:t>
            </w:r>
            <w:r w:rsidR="005E563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  <w:p w14:paraId="72E75BC3" w14:textId="0D5E9C91" w:rsidR="00C360D3" w:rsidRPr="005E170A" w:rsidRDefault="00C360D3" w:rsidP="005E170A">
            <w:pPr>
              <w:pStyle w:val="Akapitzlist"/>
              <w:numPr>
                <w:ilvl w:val="3"/>
                <w:numId w:val="28"/>
              </w:numPr>
              <w:tabs>
                <w:tab w:val="left" w:pos="596"/>
              </w:tabs>
              <w:suppressAutoHyphens/>
              <w:autoSpaceDN w:val="0"/>
              <w:spacing w:after="60"/>
              <w:contextualSpacing w:val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2635B" w:rsidRPr="005E170A">
              <w:rPr>
                <w:rFonts w:ascii="Times New Roman" w:hAnsi="Times New Roman"/>
                <w:sz w:val="20"/>
                <w:szCs w:val="20"/>
              </w:rPr>
              <w:t>AlAT</w:t>
            </w:r>
            <w:r w:rsidR="00181BFA" w:rsidRPr="005E170A">
              <w:rPr>
                <w:rFonts w:ascii="Times New Roman" w:hAnsi="Times New Roman"/>
                <w:sz w:val="20"/>
                <w:szCs w:val="20"/>
              </w:rPr>
              <w:t xml:space="preserve"> i AspAT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0B82DBF" w14:textId="01A918E2" w:rsidR="00C360D3" w:rsidRPr="005E170A" w:rsidRDefault="00C360D3" w:rsidP="005E170A">
            <w:pPr>
              <w:pStyle w:val="Akapitzlist"/>
              <w:numPr>
                <w:ilvl w:val="3"/>
                <w:numId w:val="28"/>
              </w:numPr>
              <w:tabs>
                <w:tab w:val="left" w:pos="596"/>
              </w:tabs>
              <w:suppressAutoHyphens/>
              <w:autoSpaceDN w:val="0"/>
              <w:spacing w:after="60"/>
              <w:contextualSpacing w:val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bilirubiny;</w:t>
            </w:r>
          </w:p>
          <w:p w14:paraId="24BFB89A" w14:textId="77777777" w:rsidR="00C360D3" w:rsidRPr="005E170A" w:rsidRDefault="00C360D3" w:rsidP="005E170A">
            <w:pPr>
              <w:pStyle w:val="Akapitzlist"/>
              <w:numPr>
                <w:ilvl w:val="3"/>
                <w:numId w:val="28"/>
              </w:numPr>
              <w:tabs>
                <w:tab w:val="left" w:pos="596"/>
              </w:tabs>
              <w:suppressAutoHyphens/>
              <w:autoSpaceDN w:val="0"/>
              <w:spacing w:after="60"/>
              <w:contextualSpacing w:val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kreatyniny;</w:t>
            </w:r>
          </w:p>
          <w:p w14:paraId="6A19B8F8" w14:textId="4F2C3E0A" w:rsidR="00C360D3" w:rsidRPr="005E170A" w:rsidRDefault="00C360D3" w:rsidP="005E170A">
            <w:pPr>
              <w:pStyle w:val="Akapitzlist"/>
              <w:numPr>
                <w:ilvl w:val="3"/>
                <w:numId w:val="28"/>
              </w:numPr>
              <w:tabs>
                <w:tab w:val="left" w:pos="596"/>
              </w:tabs>
              <w:suppressAutoHyphens/>
              <w:autoSpaceDN w:val="0"/>
              <w:spacing w:after="60"/>
              <w:contextualSpacing w:val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potasu,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wapnia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i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magnezu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w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surowicy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krwi;</w:t>
            </w:r>
          </w:p>
          <w:p w14:paraId="77D9F7CE" w14:textId="71E57733" w:rsidR="00C360D3" w:rsidRPr="005E170A" w:rsidRDefault="00C360D3" w:rsidP="005E170A">
            <w:pPr>
              <w:pStyle w:val="Akapitzlist"/>
              <w:numPr>
                <w:ilvl w:val="3"/>
                <w:numId w:val="28"/>
              </w:numPr>
              <w:tabs>
                <w:tab w:val="left" w:pos="596"/>
              </w:tabs>
              <w:suppressAutoHyphens/>
              <w:autoSpaceDN w:val="0"/>
              <w:spacing w:after="60"/>
              <w:contextualSpacing w:val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oznaczanie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D3B07">
              <w:rPr>
                <w:rFonts w:ascii="Times New Roman" w:hAnsi="Times New Roman"/>
                <w:sz w:val="20"/>
                <w:szCs w:val="20"/>
              </w:rPr>
              <w:t>kalcytoniny</w:t>
            </w:r>
            <w:r w:rsidR="005E5637" w:rsidRPr="00DD3B0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6181C" w:rsidRPr="00DD3B07">
              <w:rPr>
                <w:rFonts w:ascii="Times New Roman" w:hAnsi="Times New Roman"/>
                <w:sz w:val="20"/>
                <w:szCs w:val="20"/>
              </w:rPr>
              <w:t xml:space="preserve">i CEA </w:t>
            </w:r>
            <w:r w:rsidRPr="00DD3B07">
              <w:rPr>
                <w:rFonts w:ascii="Times New Roman" w:hAnsi="Times New Roman"/>
                <w:sz w:val="20"/>
                <w:szCs w:val="20"/>
              </w:rPr>
              <w:t>(najwcześniej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12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tygodni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po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rozpoczęciu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leczenia)</w:t>
            </w:r>
            <w:r w:rsidR="00A61DD2" w:rsidRPr="005E170A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00048164" w14:textId="77777777" w:rsidR="00C360D3" w:rsidRPr="005E170A" w:rsidRDefault="00C360D3" w:rsidP="005E170A">
            <w:pPr>
              <w:pStyle w:val="Akapitzlist"/>
              <w:numPr>
                <w:ilvl w:val="3"/>
                <w:numId w:val="28"/>
              </w:numPr>
              <w:tabs>
                <w:tab w:val="left" w:pos="596"/>
              </w:tabs>
              <w:suppressAutoHyphens/>
              <w:autoSpaceDN w:val="0"/>
              <w:spacing w:after="60"/>
              <w:contextualSpacing w:val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TSH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(najwcześniej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12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tygodni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po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rozpoczęciu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leczenia);</w:t>
            </w:r>
          </w:p>
          <w:p w14:paraId="47E48E01" w14:textId="77777777" w:rsidR="00C360D3" w:rsidRPr="005E170A" w:rsidRDefault="00C360D3" w:rsidP="005E170A">
            <w:pPr>
              <w:pStyle w:val="Akapitzlist"/>
              <w:numPr>
                <w:ilvl w:val="3"/>
                <w:numId w:val="28"/>
              </w:numPr>
              <w:tabs>
                <w:tab w:val="left" w:pos="596"/>
              </w:tabs>
              <w:suppressAutoHyphens/>
              <w:autoSpaceDN w:val="0"/>
              <w:spacing w:after="60"/>
              <w:contextualSpacing w:val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EKG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z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oceną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QTc;</w:t>
            </w:r>
          </w:p>
          <w:p w14:paraId="7C53DCBA" w14:textId="52036CC6" w:rsidR="00F2635B" w:rsidRPr="005E170A" w:rsidRDefault="00C360D3" w:rsidP="005E170A">
            <w:pPr>
              <w:pStyle w:val="Akapitzlist"/>
              <w:numPr>
                <w:ilvl w:val="3"/>
                <w:numId w:val="28"/>
              </w:numPr>
              <w:tabs>
                <w:tab w:val="left" w:pos="596"/>
              </w:tabs>
              <w:suppressAutoHyphens/>
              <w:autoSpaceDN w:val="0"/>
              <w:spacing w:after="60"/>
              <w:contextualSpacing w:val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pomiar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ciśnienia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tętniczego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(lub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częściej,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jeśli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klinicznie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wskazane).</w:t>
            </w:r>
          </w:p>
          <w:p w14:paraId="3847B6F1" w14:textId="0EC234D2" w:rsidR="00C360D3" w:rsidRPr="005E170A" w:rsidRDefault="00C360D3" w:rsidP="005E170A">
            <w:pPr>
              <w:pStyle w:val="Akapitzlist"/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Badania</w:t>
            </w:r>
            <w:r w:rsidR="005E563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wykonywane</w:t>
            </w:r>
            <w:r w:rsidR="005E563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co</w:t>
            </w:r>
            <w:r w:rsidR="005E563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3</w:t>
            </w:r>
            <w:r w:rsidR="005E563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miesiące:</w:t>
            </w:r>
            <w:r w:rsidR="005E563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  <w:p w14:paraId="324220A1" w14:textId="24FCEE61" w:rsidR="00C360D3" w:rsidRPr="005E170A" w:rsidRDefault="00C360D3" w:rsidP="005E170A">
            <w:pPr>
              <w:pStyle w:val="Akapitzlist"/>
              <w:numPr>
                <w:ilvl w:val="3"/>
                <w:numId w:val="28"/>
              </w:numPr>
              <w:tabs>
                <w:tab w:val="left" w:pos="596"/>
              </w:tabs>
              <w:suppressAutoHyphens/>
              <w:autoSpaceDN w:val="0"/>
              <w:spacing w:after="60"/>
              <w:contextualSpacing w:val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morfologia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krwi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z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rozmazem;</w:t>
            </w:r>
          </w:p>
          <w:p w14:paraId="2DEA9B9A" w14:textId="77777777" w:rsidR="00C360D3" w:rsidRPr="005E170A" w:rsidRDefault="00C360D3" w:rsidP="005E170A">
            <w:pPr>
              <w:pStyle w:val="Akapitzlist"/>
              <w:numPr>
                <w:ilvl w:val="3"/>
                <w:numId w:val="28"/>
              </w:numPr>
              <w:tabs>
                <w:tab w:val="left" w:pos="596"/>
              </w:tabs>
              <w:suppressAutoHyphens/>
              <w:autoSpaceDN w:val="0"/>
              <w:spacing w:after="60"/>
              <w:contextualSpacing w:val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2635B" w:rsidRPr="005E170A">
              <w:rPr>
                <w:rFonts w:ascii="Times New Roman" w:hAnsi="Times New Roman"/>
                <w:sz w:val="20"/>
                <w:szCs w:val="20"/>
              </w:rPr>
              <w:t>AlAT</w:t>
            </w:r>
            <w:r w:rsidR="005A184C" w:rsidRPr="005E170A">
              <w:rPr>
                <w:rFonts w:ascii="Times New Roman" w:hAnsi="Times New Roman"/>
                <w:sz w:val="20"/>
                <w:szCs w:val="20"/>
              </w:rPr>
              <w:t xml:space="preserve"> i AspAT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1C6037FE" w14:textId="1651D87B" w:rsidR="00C360D3" w:rsidRPr="005E170A" w:rsidRDefault="00C360D3" w:rsidP="005E170A">
            <w:pPr>
              <w:pStyle w:val="Akapitzlist"/>
              <w:numPr>
                <w:ilvl w:val="3"/>
                <w:numId w:val="28"/>
              </w:numPr>
              <w:tabs>
                <w:tab w:val="left" w:pos="596"/>
              </w:tabs>
              <w:suppressAutoHyphens/>
              <w:autoSpaceDN w:val="0"/>
              <w:spacing w:after="60"/>
              <w:contextualSpacing w:val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bilirubiny;</w:t>
            </w:r>
          </w:p>
          <w:p w14:paraId="3250C4F8" w14:textId="77777777" w:rsidR="00C360D3" w:rsidRPr="005E170A" w:rsidRDefault="00C360D3" w:rsidP="005E170A">
            <w:pPr>
              <w:pStyle w:val="Akapitzlist"/>
              <w:numPr>
                <w:ilvl w:val="3"/>
                <w:numId w:val="28"/>
              </w:numPr>
              <w:tabs>
                <w:tab w:val="left" w:pos="596"/>
              </w:tabs>
              <w:suppressAutoHyphens/>
              <w:autoSpaceDN w:val="0"/>
              <w:spacing w:after="60"/>
              <w:contextualSpacing w:val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lastRenderedPageBreak/>
              <w:t>oznaczenie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kreatyniny;</w:t>
            </w:r>
          </w:p>
          <w:p w14:paraId="5FA132B0" w14:textId="77777777" w:rsidR="00C360D3" w:rsidRPr="005E170A" w:rsidRDefault="00C360D3" w:rsidP="005E170A">
            <w:pPr>
              <w:pStyle w:val="Akapitzlist"/>
              <w:numPr>
                <w:ilvl w:val="3"/>
                <w:numId w:val="28"/>
              </w:numPr>
              <w:tabs>
                <w:tab w:val="left" w:pos="596"/>
              </w:tabs>
              <w:suppressAutoHyphens/>
              <w:autoSpaceDN w:val="0"/>
              <w:spacing w:after="60"/>
              <w:contextualSpacing w:val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potasu,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wapnia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i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magnezu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w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surowicy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krwi;</w:t>
            </w:r>
          </w:p>
          <w:p w14:paraId="4622668C" w14:textId="276BE687" w:rsidR="00C360D3" w:rsidRPr="00DD3B07" w:rsidRDefault="00C360D3" w:rsidP="005E170A">
            <w:pPr>
              <w:pStyle w:val="Akapitzlist"/>
              <w:numPr>
                <w:ilvl w:val="3"/>
                <w:numId w:val="28"/>
              </w:numPr>
              <w:tabs>
                <w:tab w:val="left" w:pos="596"/>
              </w:tabs>
              <w:suppressAutoHyphens/>
              <w:autoSpaceDN w:val="0"/>
              <w:spacing w:after="60"/>
              <w:contextualSpacing w:val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oznaczanie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kalcytoniny</w:t>
            </w:r>
            <w:r w:rsidR="00F618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6181C" w:rsidRPr="00DD3B07">
              <w:rPr>
                <w:rFonts w:ascii="Times New Roman" w:hAnsi="Times New Roman"/>
                <w:sz w:val="20"/>
                <w:szCs w:val="20"/>
              </w:rPr>
              <w:t>i CEA</w:t>
            </w:r>
            <w:r w:rsidR="00564833" w:rsidRPr="00DD3B0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0C4F62E" w14:textId="77777777" w:rsidR="00C360D3" w:rsidRPr="005E170A" w:rsidRDefault="00C360D3" w:rsidP="005E170A">
            <w:pPr>
              <w:pStyle w:val="Akapitzlist"/>
              <w:numPr>
                <w:ilvl w:val="3"/>
                <w:numId w:val="28"/>
              </w:numPr>
              <w:tabs>
                <w:tab w:val="left" w:pos="596"/>
              </w:tabs>
              <w:suppressAutoHyphens/>
              <w:autoSpaceDN w:val="0"/>
              <w:spacing w:after="60"/>
              <w:contextualSpacing w:val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TSH;</w:t>
            </w:r>
          </w:p>
          <w:p w14:paraId="0F251D14" w14:textId="77777777" w:rsidR="00C360D3" w:rsidRPr="005E170A" w:rsidRDefault="00C360D3" w:rsidP="005E170A">
            <w:pPr>
              <w:pStyle w:val="Akapitzlist"/>
              <w:numPr>
                <w:ilvl w:val="3"/>
                <w:numId w:val="28"/>
              </w:numPr>
              <w:tabs>
                <w:tab w:val="left" w:pos="596"/>
              </w:tabs>
              <w:suppressAutoHyphens/>
              <w:autoSpaceDN w:val="0"/>
              <w:spacing w:after="60"/>
              <w:contextualSpacing w:val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ogólne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moczu;</w:t>
            </w:r>
          </w:p>
          <w:p w14:paraId="322BF5D1" w14:textId="16C547B7" w:rsidR="00F2635B" w:rsidRPr="005E170A" w:rsidRDefault="00C360D3" w:rsidP="005E170A">
            <w:pPr>
              <w:pStyle w:val="Akapitzlist"/>
              <w:numPr>
                <w:ilvl w:val="3"/>
                <w:numId w:val="28"/>
              </w:numPr>
              <w:tabs>
                <w:tab w:val="left" w:pos="596"/>
              </w:tabs>
              <w:suppressAutoHyphens/>
              <w:autoSpaceDN w:val="0"/>
              <w:spacing w:after="60"/>
              <w:contextualSpacing w:val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TK</w:t>
            </w:r>
            <w:r w:rsidR="00A61DD2" w:rsidRPr="005E170A">
              <w:rPr>
                <w:rFonts w:ascii="Times New Roman" w:hAnsi="Times New Roman"/>
                <w:sz w:val="20"/>
                <w:szCs w:val="20"/>
              </w:rPr>
              <w:t xml:space="preserve"> lub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MR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w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celu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przeprowadzenia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oceny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odpowiedzi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na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leczenie.</w:t>
            </w:r>
          </w:p>
          <w:p w14:paraId="5B8223C6" w14:textId="043DE953" w:rsidR="00C360D3" w:rsidRPr="005E170A" w:rsidRDefault="00C360D3" w:rsidP="005E170A">
            <w:pPr>
              <w:pStyle w:val="Akapitzlist"/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Badania</w:t>
            </w:r>
            <w:r w:rsidR="005E563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wykonywane</w:t>
            </w:r>
            <w:r w:rsidR="005E563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co</w:t>
            </w:r>
            <w:r w:rsidR="005E563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12</w:t>
            </w:r>
            <w:r w:rsidR="005E563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miesięcy:</w:t>
            </w:r>
          </w:p>
          <w:p w14:paraId="2AA33C65" w14:textId="77777777" w:rsidR="00C360D3" w:rsidRPr="005E170A" w:rsidRDefault="00C360D3" w:rsidP="005E170A">
            <w:pPr>
              <w:pStyle w:val="Akapitzlist"/>
              <w:numPr>
                <w:ilvl w:val="3"/>
                <w:numId w:val="28"/>
              </w:numPr>
              <w:tabs>
                <w:tab w:val="left" w:pos="596"/>
              </w:tabs>
              <w:suppressAutoHyphens/>
              <w:autoSpaceDN w:val="0"/>
              <w:spacing w:after="60"/>
              <w:contextualSpacing w:val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wzroku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z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użyciem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lampy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szczelinowej</w:t>
            </w:r>
            <w:r w:rsidR="005A184C" w:rsidRPr="005E170A">
              <w:rPr>
                <w:rFonts w:ascii="Times New Roman" w:hAnsi="Times New Roman"/>
                <w:sz w:val="20"/>
                <w:szCs w:val="20"/>
              </w:rPr>
              <w:t xml:space="preserve">- w przypadku </w:t>
            </w:r>
            <w:r w:rsidR="005A184C" w:rsidRPr="005E170A">
              <w:rPr>
                <w:rFonts w:ascii="Times New Roman" w:hAnsi="Times New Roman"/>
                <w:i/>
                <w:iCs/>
                <w:sz w:val="20"/>
                <w:szCs w:val="20"/>
              </w:rPr>
              <w:t>wandetanibu</w:t>
            </w:r>
            <w:r w:rsidRPr="005E170A">
              <w:rPr>
                <w:rFonts w:ascii="Times New Roman" w:hAnsi="Times New Roman"/>
                <w:sz w:val="20"/>
                <w:szCs w:val="20"/>
              </w:rPr>
              <w:t>.</w:t>
            </w:r>
            <w:r w:rsidR="005E5637" w:rsidRPr="005E170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C77A318" w14:textId="77777777" w:rsidR="005A184C" w:rsidRPr="005E170A" w:rsidRDefault="005A184C" w:rsidP="005E170A">
            <w:pPr>
              <w:pStyle w:val="Default"/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>Wykonane badania obrazowe muszą umożliwić obiektywną ocenę odpowiedzi na leczenie.</w:t>
            </w:r>
          </w:p>
          <w:p w14:paraId="0B97155A" w14:textId="06748E1F" w:rsidR="0035536A" w:rsidRPr="005E170A" w:rsidRDefault="005A184C" w:rsidP="005E170A">
            <w:pPr>
              <w:pStyle w:val="Default"/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 xml:space="preserve">Ocena odpowiedzi na leczenie powinna być przeprowadzana zgodnie z aktualnymi kryteriami RECIST. </w:t>
            </w:r>
          </w:p>
          <w:p w14:paraId="31147274" w14:textId="77777777" w:rsidR="00CF17A5" w:rsidRPr="005E170A" w:rsidRDefault="00CF17A5" w:rsidP="005E170A">
            <w:pPr>
              <w:pStyle w:val="Default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38D9D105" w14:textId="4EE63555" w:rsidR="0035536A" w:rsidRPr="005E170A" w:rsidRDefault="00CF17A5" w:rsidP="005E170A">
            <w:pPr>
              <w:pStyle w:val="Default"/>
              <w:numPr>
                <w:ilvl w:val="1"/>
                <w:numId w:val="28"/>
              </w:numPr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5E170A">
              <w:rPr>
                <w:b/>
                <w:bCs/>
                <w:sz w:val="20"/>
                <w:szCs w:val="20"/>
              </w:rPr>
              <w:t>T</w:t>
            </w:r>
            <w:r w:rsidR="0035536A" w:rsidRPr="005E170A">
              <w:rPr>
                <w:b/>
                <w:bCs/>
                <w:sz w:val="20"/>
                <w:szCs w:val="20"/>
              </w:rPr>
              <w:t xml:space="preserve">erapia </w:t>
            </w:r>
            <w:r w:rsidR="0035536A" w:rsidRPr="005E170A">
              <w:rPr>
                <w:b/>
                <w:bCs/>
                <w:i/>
                <w:iCs/>
                <w:sz w:val="20"/>
                <w:szCs w:val="20"/>
              </w:rPr>
              <w:t>selperkatynibem</w:t>
            </w:r>
          </w:p>
          <w:p w14:paraId="0E55377F" w14:textId="5000712D" w:rsidR="00267C79" w:rsidRPr="005E170A" w:rsidRDefault="00267C79" w:rsidP="005E170A">
            <w:pPr>
              <w:pStyle w:val="Akapitzlist"/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Badania wykonywane po pierwszym tygodniu od rozpoczęcia leczenia: </w:t>
            </w:r>
          </w:p>
          <w:p w14:paraId="763EBA0E" w14:textId="3C02A1AA" w:rsidR="00267C79" w:rsidRPr="005E170A" w:rsidRDefault="00267C79" w:rsidP="005E170A">
            <w:pPr>
              <w:pStyle w:val="Akapitzlist"/>
              <w:numPr>
                <w:ilvl w:val="3"/>
                <w:numId w:val="28"/>
              </w:numPr>
              <w:tabs>
                <w:tab w:val="left" w:pos="596"/>
              </w:tabs>
              <w:suppressAutoHyphens/>
              <w:autoSpaceDN w:val="0"/>
              <w:spacing w:after="60"/>
              <w:contextualSpacing w:val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5E170A">
              <w:rPr>
                <w:rFonts w:ascii="Times New Roman" w:hAnsi="Times New Roman"/>
                <w:sz w:val="20"/>
                <w:szCs w:val="20"/>
              </w:rPr>
              <w:t>badanie EKG z oceną odstępu QTc w zapisie EKG;</w:t>
            </w:r>
          </w:p>
          <w:p w14:paraId="00279E02" w14:textId="77777777" w:rsidR="00F6181C" w:rsidRPr="00DD3B07" w:rsidRDefault="00267C79" w:rsidP="005E170A">
            <w:pPr>
              <w:pStyle w:val="Akapitzlist"/>
              <w:numPr>
                <w:ilvl w:val="3"/>
                <w:numId w:val="28"/>
              </w:numPr>
              <w:tabs>
                <w:tab w:val="left" w:pos="596"/>
              </w:tabs>
              <w:suppressAutoHyphens/>
              <w:autoSpaceDN w:val="0"/>
              <w:spacing w:after="60"/>
              <w:contextualSpacing w:val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DD3B07">
              <w:rPr>
                <w:rFonts w:ascii="Times New Roman" w:hAnsi="Times New Roman"/>
                <w:sz w:val="20"/>
                <w:szCs w:val="20"/>
              </w:rPr>
              <w:t>oznaczenie stężenia potasu, wapnia, magnezu w surowicy krwi</w:t>
            </w:r>
            <w:r w:rsidR="00F6181C" w:rsidRPr="00DD3B0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601328FE" w14:textId="74D454EA" w:rsidR="00F6181C" w:rsidRPr="00DD3B07" w:rsidRDefault="00F6181C" w:rsidP="005E170A">
            <w:pPr>
              <w:pStyle w:val="Akapitzlist"/>
              <w:numPr>
                <w:ilvl w:val="3"/>
                <w:numId w:val="28"/>
              </w:numPr>
              <w:tabs>
                <w:tab w:val="left" w:pos="596"/>
              </w:tabs>
              <w:suppressAutoHyphens/>
              <w:autoSpaceDN w:val="0"/>
              <w:spacing w:after="60"/>
              <w:contextualSpacing w:val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DD3B07">
              <w:rPr>
                <w:rFonts w:ascii="Times New Roman" w:hAnsi="Times New Roman"/>
                <w:sz w:val="20"/>
                <w:szCs w:val="20"/>
              </w:rPr>
              <w:t>oznaczenie AlAT i AspAT;</w:t>
            </w:r>
          </w:p>
          <w:p w14:paraId="5ED53C02" w14:textId="0C811A3C" w:rsidR="00CF17A5" w:rsidRPr="00DD3B07" w:rsidRDefault="00F6181C" w:rsidP="005E170A">
            <w:pPr>
              <w:pStyle w:val="Akapitzlist"/>
              <w:numPr>
                <w:ilvl w:val="3"/>
                <w:numId w:val="28"/>
              </w:numPr>
              <w:tabs>
                <w:tab w:val="left" w:pos="596"/>
              </w:tabs>
              <w:suppressAutoHyphens/>
              <w:autoSpaceDN w:val="0"/>
              <w:spacing w:after="60"/>
              <w:contextualSpacing w:val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DD3B07">
              <w:rPr>
                <w:rFonts w:ascii="Times New Roman" w:hAnsi="Times New Roman"/>
                <w:sz w:val="20"/>
                <w:szCs w:val="20"/>
              </w:rPr>
              <w:t>oznaczenie stężenia bilirubiny</w:t>
            </w:r>
            <w:r w:rsidR="00884134" w:rsidRPr="00DD3B0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0529E4BE" w14:textId="3D40ADA8" w:rsidR="00C049D5" w:rsidRPr="005E170A" w:rsidRDefault="00C049D5" w:rsidP="005E170A">
            <w:pPr>
              <w:pStyle w:val="Akapitzlist"/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Co najmniej raz w miesiącu przez pierwsze 6 miesięcy</w:t>
            </w:r>
            <w:r w:rsidR="007778D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4C3038">
              <w:rPr>
                <w:rFonts w:ascii="Times New Roman" w:hAnsi="Times New Roman"/>
                <w:b/>
                <w:bCs/>
                <w:sz w:val="20"/>
                <w:szCs w:val="20"/>
              </w:rPr>
              <w:t>lub</w:t>
            </w:r>
            <w:r w:rsidR="004C3038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7778D7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w przypadku wskazań klinicznych</w:t>
            </w:r>
            <w:r w:rsidR="00CF17A5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:</w:t>
            </w:r>
          </w:p>
          <w:p w14:paraId="473EBCB7" w14:textId="73D2EA04" w:rsidR="00F6181C" w:rsidRPr="00DD3B07" w:rsidRDefault="00F6181C" w:rsidP="005E170A">
            <w:pPr>
              <w:pStyle w:val="Akapitzlist"/>
              <w:numPr>
                <w:ilvl w:val="3"/>
                <w:numId w:val="28"/>
              </w:numPr>
              <w:tabs>
                <w:tab w:val="left" w:pos="596"/>
              </w:tabs>
              <w:suppressAutoHyphens/>
              <w:autoSpaceDN w:val="0"/>
              <w:spacing w:after="60"/>
              <w:contextualSpacing w:val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DD3B07">
              <w:rPr>
                <w:rFonts w:ascii="Times New Roman" w:hAnsi="Times New Roman"/>
                <w:sz w:val="20"/>
                <w:szCs w:val="20"/>
              </w:rPr>
              <w:t xml:space="preserve">badanie EKG z oceną odstępu </w:t>
            </w:r>
            <w:proofErr w:type="spellStart"/>
            <w:r w:rsidRPr="00DD3B07">
              <w:rPr>
                <w:rFonts w:ascii="Times New Roman" w:hAnsi="Times New Roman"/>
                <w:sz w:val="20"/>
                <w:szCs w:val="20"/>
              </w:rPr>
              <w:t>QTc</w:t>
            </w:r>
            <w:proofErr w:type="spellEnd"/>
            <w:r w:rsidRPr="00DD3B07">
              <w:rPr>
                <w:rFonts w:ascii="Times New Roman" w:hAnsi="Times New Roman"/>
                <w:sz w:val="20"/>
                <w:szCs w:val="20"/>
              </w:rPr>
              <w:t xml:space="preserve"> w zapisie EKG;</w:t>
            </w:r>
          </w:p>
          <w:p w14:paraId="7E3604AE" w14:textId="2439E10C" w:rsidR="00F6181C" w:rsidRPr="00DD3B07" w:rsidRDefault="00F6181C" w:rsidP="005E170A">
            <w:pPr>
              <w:pStyle w:val="Akapitzlist"/>
              <w:numPr>
                <w:ilvl w:val="3"/>
                <w:numId w:val="28"/>
              </w:numPr>
              <w:tabs>
                <w:tab w:val="left" w:pos="596"/>
              </w:tabs>
              <w:suppressAutoHyphens/>
              <w:autoSpaceDN w:val="0"/>
              <w:spacing w:after="60"/>
              <w:contextualSpacing w:val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DD3B07">
              <w:rPr>
                <w:rFonts w:ascii="Times New Roman" w:hAnsi="Times New Roman"/>
                <w:sz w:val="20"/>
                <w:szCs w:val="20"/>
              </w:rPr>
              <w:t>morfologia krwi z rozmazem;</w:t>
            </w:r>
          </w:p>
          <w:p w14:paraId="7621C162" w14:textId="02AB3C54" w:rsidR="00F6181C" w:rsidRPr="00DD3B07" w:rsidRDefault="00C049D5" w:rsidP="005E170A">
            <w:pPr>
              <w:pStyle w:val="Akapitzlist"/>
              <w:numPr>
                <w:ilvl w:val="3"/>
                <w:numId w:val="28"/>
              </w:numPr>
              <w:tabs>
                <w:tab w:val="left" w:pos="596"/>
              </w:tabs>
              <w:suppressAutoHyphens/>
              <w:autoSpaceDN w:val="0"/>
              <w:spacing w:after="60"/>
              <w:contextualSpacing w:val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DD3B07">
              <w:rPr>
                <w:rFonts w:ascii="Times New Roman" w:hAnsi="Times New Roman"/>
                <w:sz w:val="20"/>
                <w:szCs w:val="20"/>
              </w:rPr>
              <w:lastRenderedPageBreak/>
              <w:t>oznaczenie stężenia potasu, wapnia, magnezu w surowicy krwi</w:t>
            </w:r>
            <w:r w:rsidR="00F6181C" w:rsidRPr="00DD3B0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0B5FDE2A" w14:textId="77777777" w:rsidR="00F6181C" w:rsidRPr="00DD3B07" w:rsidRDefault="00F6181C" w:rsidP="00F6181C">
            <w:pPr>
              <w:pStyle w:val="Akapitzlist"/>
              <w:numPr>
                <w:ilvl w:val="3"/>
                <w:numId w:val="28"/>
              </w:numPr>
              <w:tabs>
                <w:tab w:val="left" w:pos="596"/>
              </w:tabs>
              <w:suppressAutoHyphens/>
              <w:autoSpaceDN w:val="0"/>
              <w:spacing w:after="6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DD3B07">
              <w:rPr>
                <w:rFonts w:ascii="Times New Roman" w:hAnsi="Times New Roman"/>
                <w:sz w:val="20"/>
                <w:szCs w:val="20"/>
              </w:rPr>
              <w:t>oznaczenie AlAT i AspAT;</w:t>
            </w:r>
          </w:p>
          <w:p w14:paraId="390D52A3" w14:textId="77DA985E" w:rsidR="00CF17A5" w:rsidRPr="00DD3B07" w:rsidRDefault="00F6181C" w:rsidP="00F6181C">
            <w:pPr>
              <w:pStyle w:val="Akapitzlist"/>
              <w:numPr>
                <w:ilvl w:val="3"/>
                <w:numId w:val="28"/>
              </w:numPr>
              <w:tabs>
                <w:tab w:val="left" w:pos="596"/>
              </w:tabs>
              <w:suppressAutoHyphens/>
              <w:autoSpaceDN w:val="0"/>
              <w:spacing w:after="60"/>
              <w:contextualSpacing w:val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DD3B07">
              <w:rPr>
                <w:rFonts w:ascii="Times New Roman" w:hAnsi="Times New Roman"/>
                <w:sz w:val="20"/>
                <w:szCs w:val="20"/>
              </w:rPr>
              <w:t>oznaczenie stężenia bilirubiny</w:t>
            </w:r>
            <w:r w:rsidR="00C049D5" w:rsidRPr="00DD3B07">
              <w:rPr>
                <w:rFonts w:ascii="Times New Roman" w:hAnsi="Times New Roman"/>
                <w:sz w:val="20"/>
                <w:szCs w:val="20"/>
              </w:rPr>
              <w:t xml:space="preserve">. </w:t>
            </w:r>
          </w:p>
          <w:p w14:paraId="789CCD89" w14:textId="1FD30758" w:rsidR="00267C79" w:rsidRPr="005E170A" w:rsidRDefault="00267C79" w:rsidP="005E170A">
            <w:pPr>
              <w:pStyle w:val="Akapitzlist"/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Badania wykonywane co 2 miesiące</w:t>
            </w:r>
            <w:r w:rsidR="00A62B80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F6181C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przez kolejne 6 miesięcy </w:t>
            </w:r>
            <w:r w:rsidR="004C3038">
              <w:rPr>
                <w:rFonts w:ascii="Times New Roman" w:hAnsi="Times New Roman"/>
                <w:b/>
                <w:bCs/>
                <w:sz w:val="20"/>
                <w:szCs w:val="20"/>
              </w:rPr>
              <w:t>lub</w:t>
            </w:r>
            <w:r w:rsidR="004C3038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A62B80"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w przypadku wskazań klinicznych</w:t>
            </w:r>
            <w:r w:rsidRPr="005E170A">
              <w:rPr>
                <w:rFonts w:ascii="Times New Roman" w:hAnsi="Times New Roman"/>
                <w:b/>
                <w:bCs/>
                <w:sz w:val="20"/>
                <w:szCs w:val="20"/>
              </w:rPr>
              <w:t>:</w:t>
            </w:r>
          </w:p>
          <w:p w14:paraId="40630403" w14:textId="77777777" w:rsidR="00F6181C" w:rsidRPr="00DD3B07" w:rsidRDefault="00F6181C" w:rsidP="00F6181C">
            <w:pPr>
              <w:pStyle w:val="Akapitzlist"/>
              <w:numPr>
                <w:ilvl w:val="3"/>
                <w:numId w:val="28"/>
              </w:numPr>
              <w:tabs>
                <w:tab w:val="left" w:pos="596"/>
              </w:tabs>
              <w:suppressAutoHyphens/>
              <w:autoSpaceDN w:val="0"/>
              <w:spacing w:after="6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DD3B07">
              <w:rPr>
                <w:rFonts w:ascii="Times New Roman" w:hAnsi="Times New Roman"/>
                <w:sz w:val="20"/>
                <w:szCs w:val="20"/>
              </w:rPr>
              <w:t xml:space="preserve">badanie EKG z oceną odstępu </w:t>
            </w:r>
            <w:proofErr w:type="spellStart"/>
            <w:r w:rsidRPr="00DD3B07">
              <w:rPr>
                <w:rFonts w:ascii="Times New Roman" w:hAnsi="Times New Roman"/>
                <w:sz w:val="20"/>
                <w:szCs w:val="20"/>
              </w:rPr>
              <w:t>QTc</w:t>
            </w:r>
            <w:proofErr w:type="spellEnd"/>
            <w:r w:rsidRPr="00DD3B07">
              <w:rPr>
                <w:rFonts w:ascii="Times New Roman" w:hAnsi="Times New Roman"/>
                <w:sz w:val="20"/>
                <w:szCs w:val="20"/>
              </w:rPr>
              <w:t xml:space="preserve"> w zapisie EKG;</w:t>
            </w:r>
          </w:p>
          <w:p w14:paraId="319DC1FB" w14:textId="77777777" w:rsidR="00F6181C" w:rsidRPr="00DD3B07" w:rsidRDefault="00F6181C" w:rsidP="00F6181C">
            <w:pPr>
              <w:pStyle w:val="Akapitzlist"/>
              <w:numPr>
                <w:ilvl w:val="3"/>
                <w:numId w:val="28"/>
              </w:numPr>
              <w:tabs>
                <w:tab w:val="left" w:pos="596"/>
              </w:tabs>
              <w:suppressAutoHyphens/>
              <w:autoSpaceDN w:val="0"/>
              <w:spacing w:after="6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DD3B07">
              <w:rPr>
                <w:rFonts w:ascii="Times New Roman" w:hAnsi="Times New Roman"/>
                <w:sz w:val="20"/>
                <w:szCs w:val="20"/>
              </w:rPr>
              <w:t>morfologia krwi z rozmazem;</w:t>
            </w:r>
          </w:p>
          <w:p w14:paraId="0C277A53" w14:textId="77777777" w:rsidR="00F6181C" w:rsidRPr="00DD3B07" w:rsidRDefault="00F6181C" w:rsidP="00F6181C">
            <w:pPr>
              <w:pStyle w:val="Akapitzlist"/>
              <w:numPr>
                <w:ilvl w:val="3"/>
                <w:numId w:val="28"/>
              </w:numPr>
              <w:tabs>
                <w:tab w:val="left" w:pos="596"/>
              </w:tabs>
              <w:suppressAutoHyphens/>
              <w:autoSpaceDN w:val="0"/>
              <w:spacing w:after="6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DD3B07">
              <w:rPr>
                <w:rFonts w:ascii="Times New Roman" w:hAnsi="Times New Roman"/>
                <w:sz w:val="20"/>
                <w:szCs w:val="20"/>
              </w:rPr>
              <w:t>oznaczenie stężenia potasu, wapnia, magnezu w surowicy krwi;</w:t>
            </w:r>
          </w:p>
          <w:p w14:paraId="618C8835" w14:textId="77777777" w:rsidR="00F6181C" w:rsidRPr="00DD3B07" w:rsidRDefault="00F6181C" w:rsidP="00F6181C">
            <w:pPr>
              <w:pStyle w:val="Akapitzlist"/>
              <w:numPr>
                <w:ilvl w:val="3"/>
                <w:numId w:val="28"/>
              </w:numPr>
              <w:tabs>
                <w:tab w:val="left" w:pos="596"/>
              </w:tabs>
              <w:suppressAutoHyphens/>
              <w:autoSpaceDN w:val="0"/>
              <w:spacing w:after="6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DD3B07">
              <w:rPr>
                <w:rFonts w:ascii="Times New Roman" w:hAnsi="Times New Roman"/>
                <w:sz w:val="20"/>
                <w:szCs w:val="20"/>
              </w:rPr>
              <w:t>oznaczenie AlAT i AspAT;</w:t>
            </w:r>
          </w:p>
          <w:p w14:paraId="67525316" w14:textId="77777777" w:rsidR="00F6181C" w:rsidRPr="00DD3B07" w:rsidRDefault="00F6181C" w:rsidP="00F6181C">
            <w:pPr>
              <w:pStyle w:val="Akapitzlist"/>
              <w:numPr>
                <w:ilvl w:val="3"/>
                <w:numId w:val="28"/>
              </w:numPr>
              <w:tabs>
                <w:tab w:val="left" w:pos="596"/>
              </w:tabs>
              <w:suppressAutoHyphens/>
              <w:autoSpaceDN w:val="0"/>
              <w:spacing w:after="6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DD3B07">
              <w:rPr>
                <w:rFonts w:ascii="Times New Roman" w:hAnsi="Times New Roman"/>
                <w:sz w:val="20"/>
                <w:szCs w:val="20"/>
              </w:rPr>
              <w:t xml:space="preserve">oznaczenie stężenia bilirubiny. </w:t>
            </w:r>
          </w:p>
          <w:p w14:paraId="552D281B" w14:textId="67629AC3" w:rsidR="00267C79" w:rsidRPr="00DD3B07" w:rsidRDefault="00267C79" w:rsidP="005E170A">
            <w:pPr>
              <w:pStyle w:val="Akapitzlist"/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D3B07">
              <w:rPr>
                <w:rFonts w:ascii="Times New Roman" w:hAnsi="Times New Roman"/>
                <w:b/>
                <w:bCs/>
                <w:sz w:val="20"/>
                <w:szCs w:val="20"/>
              </w:rPr>
              <w:t>Badania wykonywane co 3 miesiące</w:t>
            </w:r>
            <w:r w:rsidR="00A62B80" w:rsidRPr="00DD3B0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F6181C" w:rsidRPr="00DD3B0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po roku od rozpoczęcia leczenia </w:t>
            </w:r>
            <w:r w:rsidR="004C3038" w:rsidRPr="00DD3B0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lub </w:t>
            </w:r>
            <w:r w:rsidR="007778D7" w:rsidRPr="00DD3B07">
              <w:rPr>
                <w:rFonts w:ascii="Times New Roman" w:hAnsi="Times New Roman"/>
                <w:b/>
                <w:bCs/>
                <w:sz w:val="20"/>
                <w:szCs w:val="20"/>
              </w:rPr>
              <w:t>w przypadku</w:t>
            </w:r>
            <w:r w:rsidR="00A62B80" w:rsidRPr="00DD3B0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wskaza</w:t>
            </w:r>
            <w:r w:rsidR="007778D7" w:rsidRPr="00DD3B07">
              <w:rPr>
                <w:rFonts w:ascii="Times New Roman" w:hAnsi="Times New Roman"/>
                <w:b/>
                <w:bCs/>
                <w:sz w:val="20"/>
                <w:szCs w:val="20"/>
              </w:rPr>
              <w:t>ń</w:t>
            </w:r>
            <w:r w:rsidR="00A62B80" w:rsidRPr="00DD3B0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kliniczn</w:t>
            </w:r>
            <w:r w:rsidR="007778D7" w:rsidRPr="00DD3B07">
              <w:rPr>
                <w:rFonts w:ascii="Times New Roman" w:hAnsi="Times New Roman"/>
                <w:b/>
                <w:bCs/>
                <w:sz w:val="20"/>
                <w:szCs w:val="20"/>
              </w:rPr>
              <w:t>ych</w:t>
            </w:r>
            <w:r w:rsidR="00CF17A5" w:rsidRPr="00DD3B07">
              <w:rPr>
                <w:rFonts w:ascii="Times New Roman" w:hAnsi="Times New Roman"/>
                <w:b/>
                <w:bCs/>
                <w:sz w:val="20"/>
                <w:szCs w:val="20"/>
              </w:rPr>
              <w:t>:</w:t>
            </w:r>
          </w:p>
          <w:p w14:paraId="00740DFE" w14:textId="77777777" w:rsidR="00F6181C" w:rsidRPr="00DD3B07" w:rsidRDefault="00F6181C" w:rsidP="00F6181C">
            <w:pPr>
              <w:pStyle w:val="Default"/>
              <w:numPr>
                <w:ilvl w:val="3"/>
                <w:numId w:val="28"/>
              </w:numPr>
              <w:spacing w:after="60" w:line="276" w:lineRule="auto"/>
              <w:jc w:val="both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DD3B07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badanie EKG z oceną odstępu </w:t>
            </w:r>
            <w:proofErr w:type="spellStart"/>
            <w:r w:rsidRPr="00DD3B07">
              <w:rPr>
                <w:rFonts w:eastAsia="Calibri"/>
                <w:color w:val="auto"/>
                <w:sz w:val="20"/>
                <w:szCs w:val="20"/>
                <w:lang w:eastAsia="en-US"/>
              </w:rPr>
              <w:t>QTc</w:t>
            </w:r>
            <w:proofErr w:type="spellEnd"/>
            <w:r w:rsidRPr="00DD3B07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w zapisie EKG;</w:t>
            </w:r>
          </w:p>
          <w:p w14:paraId="7F497C72" w14:textId="77777777" w:rsidR="00F6181C" w:rsidRPr="00DD3B07" w:rsidRDefault="00F6181C" w:rsidP="00F6181C">
            <w:pPr>
              <w:pStyle w:val="Default"/>
              <w:numPr>
                <w:ilvl w:val="3"/>
                <w:numId w:val="28"/>
              </w:numPr>
              <w:spacing w:after="60" w:line="276" w:lineRule="auto"/>
              <w:jc w:val="both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DD3B07">
              <w:rPr>
                <w:rFonts w:eastAsia="Calibri"/>
                <w:color w:val="auto"/>
                <w:sz w:val="20"/>
                <w:szCs w:val="20"/>
                <w:lang w:eastAsia="en-US"/>
              </w:rPr>
              <w:t>morfologia krwi z rozmazem;</w:t>
            </w:r>
          </w:p>
          <w:p w14:paraId="413823F1" w14:textId="77777777" w:rsidR="00F6181C" w:rsidRPr="00DD3B07" w:rsidRDefault="00F6181C" w:rsidP="00F6181C">
            <w:pPr>
              <w:pStyle w:val="Default"/>
              <w:numPr>
                <w:ilvl w:val="3"/>
                <w:numId w:val="28"/>
              </w:numPr>
              <w:spacing w:after="60" w:line="276" w:lineRule="auto"/>
              <w:jc w:val="both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DD3B07">
              <w:rPr>
                <w:rFonts w:eastAsia="Calibri"/>
                <w:color w:val="auto"/>
                <w:sz w:val="20"/>
                <w:szCs w:val="20"/>
                <w:lang w:eastAsia="en-US"/>
              </w:rPr>
              <w:t>oznaczenie stężenia potasu, wapnia, magnezu w surowicy krwi;</w:t>
            </w:r>
          </w:p>
          <w:p w14:paraId="21C7A39A" w14:textId="77777777" w:rsidR="00F6181C" w:rsidRPr="00DD3B07" w:rsidRDefault="00F6181C" w:rsidP="00F6181C">
            <w:pPr>
              <w:pStyle w:val="Default"/>
              <w:numPr>
                <w:ilvl w:val="3"/>
                <w:numId w:val="28"/>
              </w:numPr>
              <w:spacing w:after="60" w:line="276" w:lineRule="auto"/>
              <w:jc w:val="both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DD3B07">
              <w:rPr>
                <w:rFonts w:eastAsia="Calibri"/>
                <w:color w:val="auto"/>
                <w:sz w:val="20"/>
                <w:szCs w:val="20"/>
                <w:lang w:eastAsia="en-US"/>
              </w:rPr>
              <w:t>oznaczenie AlAT i AspAT;</w:t>
            </w:r>
          </w:p>
          <w:p w14:paraId="02DC16A0" w14:textId="77777777" w:rsidR="00F6181C" w:rsidRPr="00DD3B07" w:rsidRDefault="00F6181C" w:rsidP="00F6181C">
            <w:pPr>
              <w:pStyle w:val="Default"/>
              <w:numPr>
                <w:ilvl w:val="3"/>
                <w:numId w:val="28"/>
              </w:numPr>
              <w:spacing w:after="60" w:line="276" w:lineRule="auto"/>
              <w:jc w:val="both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DD3B07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oznaczenie stężenia bilirubiny. </w:t>
            </w:r>
          </w:p>
          <w:p w14:paraId="20A93BCA" w14:textId="774D3F0F" w:rsidR="00F6181C" w:rsidRPr="00DD3B07" w:rsidRDefault="00F6181C" w:rsidP="005E170A">
            <w:pPr>
              <w:pStyle w:val="Default"/>
              <w:numPr>
                <w:ilvl w:val="3"/>
                <w:numId w:val="28"/>
              </w:numPr>
              <w:spacing w:after="60" w:line="276" w:lineRule="auto"/>
              <w:jc w:val="both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DD3B07">
              <w:rPr>
                <w:rFonts w:eastAsia="Calibri"/>
                <w:color w:val="auto"/>
                <w:sz w:val="20"/>
                <w:szCs w:val="20"/>
                <w:lang w:eastAsia="en-US"/>
              </w:rPr>
              <w:t>oznaczenie stężenia kreatyniny;</w:t>
            </w:r>
          </w:p>
          <w:p w14:paraId="75D8C5AC" w14:textId="4E382CF9" w:rsidR="00F6181C" w:rsidRPr="00DD3B07" w:rsidRDefault="00F6181C" w:rsidP="005E170A">
            <w:pPr>
              <w:pStyle w:val="Default"/>
              <w:numPr>
                <w:ilvl w:val="3"/>
                <w:numId w:val="28"/>
              </w:numPr>
              <w:spacing w:after="60" w:line="276" w:lineRule="auto"/>
              <w:jc w:val="both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DD3B07">
              <w:rPr>
                <w:rFonts w:eastAsia="Calibri"/>
                <w:color w:val="auto"/>
                <w:sz w:val="20"/>
                <w:szCs w:val="20"/>
                <w:lang w:eastAsia="en-US"/>
              </w:rPr>
              <w:t>oznaczenie stężenia TSH, kalcytoniny i CEA;</w:t>
            </w:r>
          </w:p>
          <w:p w14:paraId="41F915D6" w14:textId="4CBCD86F" w:rsidR="00F6181C" w:rsidRPr="00DD3B07" w:rsidRDefault="00F6181C" w:rsidP="005E170A">
            <w:pPr>
              <w:pStyle w:val="Default"/>
              <w:numPr>
                <w:ilvl w:val="3"/>
                <w:numId w:val="28"/>
              </w:numPr>
              <w:spacing w:after="60" w:line="276" w:lineRule="auto"/>
              <w:jc w:val="both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DD3B07">
              <w:rPr>
                <w:rFonts w:eastAsia="Calibri"/>
                <w:color w:val="auto"/>
                <w:sz w:val="20"/>
                <w:szCs w:val="20"/>
                <w:lang w:eastAsia="en-US"/>
              </w:rPr>
              <w:t>badanie ogólne moczu;</w:t>
            </w:r>
          </w:p>
          <w:p w14:paraId="6F07F9AF" w14:textId="015478C1" w:rsidR="000E53FC" w:rsidRPr="005E170A" w:rsidRDefault="00587F96" w:rsidP="005E170A">
            <w:pPr>
              <w:pStyle w:val="Default"/>
              <w:numPr>
                <w:ilvl w:val="3"/>
                <w:numId w:val="28"/>
              </w:numPr>
              <w:spacing w:after="60" w:line="276" w:lineRule="auto"/>
              <w:jc w:val="both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5E170A">
              <w:rPr>
                <w:rFonts w:eastAsia="Calibri"/>
                <w:color w:val="auto"/>
                <w:sz w:val="20"/>
                <w:szCs w:val="20"/>
                <w:lang w:eastAsia="en-US"/>
              </w:rPr>
              <w:t>badanie TK lub MR w celu przeprowadzenia oceny odpowiedzi na leczenie.</w:t>
            </w:r>
          </w:p>
          <w:p w14:paraId="32EA98FE" w14:textId="3117C448" w:rsidR="009B413F" w:rsidRPr="005E170A" w:rsidRDefault="009865EE" w:rsidP="005E170A">
            <w:pPr>
              <w:pStyle w:val="Default"/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 xml:space="preserve">Dodatkowo, należy monitorować </w:t>
            </w:r>
            <w:r w:rsidR="009B413F" w:rsidRPr="005E170A">
              <w:rPr>
                <w:sz w:val="20"/>
                <w:szCs w:val="20"/>
              </w:rPr>
              <w:t>ciśnienie tętnicze w trakcie leczenia i w razie potrzeby zastosować standardową terapię przeciwnadciśnieniową</w:t>
            </w:r>
            <w:r w:rsidR="000D4D1C" w:rsidRPr="005E170A">
              <w:rPr>
                <w:sz w:val="20"/>
                <w:szCs w:val="20"/>
              </w:rPr>
              <w:t>.</w:t>
            </w:r>
          </w:p>
          <w:p w14:paraId="0CD6CB51" w14:textId="77777777" w:rsidR="00CE50F9" w:rsidRPr="005E170A" w:rsidRDefault="00CE50F9" w:rsidP="005E170A">
            <w:pPr>
              <w:pStyle w:val="Default"/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>Wykonane badania obrazowe muszą umożliwić obiektywną ocenę odpowiedzi na leczenie.</w:t>
            </w:r>
          </w:p>
          <w:p w14:paraId="41301656" w14:textId="582DB69A" w:rsidR="00CE50F9" w:rsidRPr="005E170A" w:rsidRDefault="00CE50F9" w:rsidP="005E170A">
            <w:pPr>
              <w:pStyle w:val="Default"/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lastRenderedPageBreak/>
              <w:t xml:space="preserve">Ocena odpowiedzi na leczenie powinna być przeprowadzana zgodnie z aktualnymi kryteriami RECIST. </w:t>
            </w:r>
          </w:p>
          <w:p w14:paraId="3333D67B" w14:textId="77777777" w:rsidR="00CE50F9" w:rsidRPr="005E170A" w:rsidRDefault="00CE50F9" w:rsidP="005E170A">
            <w:pPr>
              <w:pStyle w:val="Default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20029501" w14:textId="0980033D" w:rsidR="000E53FC" w:rsidRPr="005E170A" w:rsidRDefault="000E53FC" w:rsidP="005E170A">
            <w:pPr>
              <w:pStyle w:val="Default"/>
              <w:numPr>
                <w:ilvl w:val="0"/>
                <w:numId w:val="28"/>
              </w:numPr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5E170A">
              <w:rPr>
                <w:b/>
                <w:bCs/>
                <w:sz w:val="20"/>
                <w:szCs w:val="20"/>
              </w:rPr>
              <w:t>Monitorowanie skuteczności</w:t>
            </w:r>
            <w:r w:rsidR="005A184C" w:rsidRPr="005E170A">
              <w:rPr>
                <w:b/>
                <w:bCs/>
                <w:sz w:val="20"/>
                <w:szCs w:val="20"/>
              </w:rPr>
              <w:t xml:space="preserve"> terapii</w:t>
            </w:r>
            <w:r w:rsidR="005E170A">
              <w:rPr>
                <w:b/>
                <w:bCs/>
                <w:sz w:val="20"/>
                <w:szCs w:val="20"/>
              </w:rPr>
              <w:t xml:space="preserve"> </w:t>
            </w:r>
          </w:p>
          <w:p w14:paraId="1E1B0688" w14:textId="68804128" w:rsidR="000E53FC" w:rsidRPr="005E170A" w:rsidRDefault="000E53FC" w:rsidP="005E170A">
            <w:pPr>
              <w:pStyle w:val="Default"/>
              <w:numPr>
                <w:ilvl w:val="3"/>
                <w:numId w:val="2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>ocena skuteczności (w oparciu o aktualne kryteria RECIST)</w:t>
            </w:r>
            <w:r w:rsidR="002D21CC" w:rsidRPr="005E170A">
              <w:rPr>
                <w:sz w:val="20"/>
                <w:szCs w:val="20"/>
              </w:rPr>
              <w:t xml:space="preserve"> </w:t>
            </w:r>
            <w:r w:rsidRPr="005E170A">
              <w:rPr>
                <w:sz w:val="20"/>
                <w:szCs w:val="20"/>
              </w:rPr>
              <w:t>- co 3 miesiące:</w:t>
            </w:r>
          </w:p>
          <w:p w14:paraId="0DD6479B" w14:textId="1B508A0E" w:rsidR="000E53FC" w:rsidRPr="005E170A" w:rsidRDefault="000E53FC" w:rsidP="005E170A">
            <w:pPr>
              <w:pStyle w:val="Default"/>
              <w:numPr>
                <w:ilvl w:val="4"/>
                <w:numId w:val="2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>wskaźniki efektywności:</w:t>
            </w:r>
          </w:p>
          <w:p w14:paraId="7085C1A0" w14:textId="77777777" w:rsidR="00964289" w:rsidRPr="005E170A" w:rsidRDefault="000E53FC" w:rsidP="005E170A">
            <w:pPr>
              <w:pStyle w:val="Default"/>
              <w:numPr>
                <w:ilvl w:val="5"/>
                <w:numId w:val="2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>wskaźnik odpowiedzi obiektywnych (ORR</w:t>
            </w:r>
            <w:r w:rsidR="00B679B6" w:rsidRPr="005E170A">
              <w:rPr>
                <w:sz w:val="20"/>
                <w:szCs w:val="20"/>
              </w:rPr>
              <w:t>)</w:t>
            </w:r>
            <w:r w:rsidRPr="005E170A">
              <w:rPr>
                <w:sz w:val="20"/>
                <w:szCs w:val="20"/>
              </w:rPr>
              <w:t>,</w:t>
            </w:r>
          </w:p>
          <w:p w14:paraId="5661F96E" w14:textId="313921EA" w:rsidR="00964289" w:rsidRPr="005E170A" w:rsidRDefault="000E53FC" w:rsidP="005E170A">
            <w:pPr>
              <w:pStyle w:val="Default"/>
              <w:numPr>
                <w:ilvl w:val="5"/>
                <w:numId w:val="2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>czas trwania odpowiedzi (DOR</w:t>
            </w:r>
            <w:r w:rsidR="00ED1D49" w:rsidRPr="005E170A">
              <w:rPr>
                <w:sz w:val="20"/>
                <w:szCs w:val="20"/>
              </w:rPr>
              <w:t>),</w:t>
            </w:r>
          </w:p>
          <w:p w14:paraId="07AAD6CB" w14:textId="77777777" w:rsidR="00964289" w:rsidRPr="005E170A" w:rsidRDefault="000E53FC" w:rsidP="005E170A">
            <w:pPr>
              <w:pStyle w:val="Default"/>
              <w:numPr>
                <w:ilvl w:val="5"/>
                <w:numId w:val="2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>przeżycie bez progresji choroby (PFS),</w:t>
            </w:r>
          </w:p>
          <w:p w14:paraId="3FFED774" w14:textId="77777777" w:rsidR="00964289" w:rsidRPr="005E170A" w:rsidRDefault="000E53FC" w:rsidP="005E170A">
            <w:pPr>
              <w:pStyle w:val="Default"/>
              <w:numPr>
                <w:ilvl w:val="5"/>
                <w:numId w:val="2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>przeżycie całkowite (OS)</w:t>
            </w:r>
            <w:r w:rsidR="00B679B6" w:rsidRPr="005E170A">
              <w:rPr>
                <w:sz w:val="20"/>
                <w:szCs w:val="20"/>
              </w:rPr>
              <w:t>,</w:t>
            </w:r>
          </w:p>
          <w:p w14:paraId="3D9C7A0C" w14:textId="14F252C6" w:rsidR="00B679B6" w:rsidRPr="005E170A" w:rsidRDefault="000E53FC" w:rsidP="005E170A">
            <w:pPr>
              <w:pStyle w:val="Default"/>
              <w:numPr>
                <w:ilvl w:val="5"/>
                <w:numId w:val="2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bookmarkStart w:id="3" w:name="_Hlk142320573"/>
            <w:r w:rsidRPr="005E170A">
              <w:rPr>
                <w:sz w:val="20"/>
                <w:szCs w:val="20"/>
              </w:rPr>
              <w:t xml:space="preserve">jakość życia uwarunkowana stanem zdrowia (HRQoL) na </w:t>
            </w:r>
            <w:r w:rsidR="005E170A" w:rsidRPr="005E170A">
              <w:rPr>
                <w:sz w:val="20"/>
                <w:szCs w:val="20"/>
              </w:rPr>
              <w:t>podstawie dostępnych</w:t>
            </w:r>
            <w:r w:rsidR="0060754C" w:rsidRPr="005E170A">
              <w:rPr>
                <w:sz w:val="20"/>
                <w:szCs w:val="20"/>
              </w:rPr>
              <w:t>, standardowych kwestionariuszy</w:t>
            </w:r>
            <w:r w:rsidR="007A6471" w:rsidRPr="005E170A">
              <w:rPr>
                <w:sz w:val="20"/>
                <w:szCs w:val="20"/>
              </w:rPr>
              <w:t>.</w:t>
            </w:r>
            <w:bookmarkEnd w:id="3"/>
          </w:p>
          <w:p w14:paraId="3702F61A" w14:textId="7A05367E" w:rsidR="000E53FC" w:rsidRPr="005E170A" w:rsidRDefault="000E53FC" w:rsidP="005E170A">
            <w:pPr>
              <w:pStyle w:val="Default"/>
              <w:numPr>
                <w:ilvl w:val="4"/>
                <w:numId w:val="2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 xml:space="preserve">oczekiwane korzyści zdrowotne </w:t>
            </w:r>
            <w:r w:rsidR="00D94233" w:rsidRPr="005E170A">
              <w:rPr>
                <w:sz w:val="20"/>
                <w:szCs w:val="20"/>
              </w:rPr>
              <w:t xml:space="preserve">dla </w:t>
            </w:r>
            <w:r w:rsidR="009D1210" w:rsidRPr="005E170A">
              <w:rPr>
                <w:i/>
                <w:iCs/>
                <w:sz w:val="20"/>
                <w:szCs w:val="20"/>
              </w:rPr>
              <w:t>selperkatynibu</w:t>
            </w:r>
            <w:r w:rsidR="009D1210" w:rsidRPr="005E170A">
              <w:rPr>
                <w:sz w:val="20"/>
                <w:szCs w:val="20"/>
              </w:rPr>
              <w:t xml:space="preserve"> </w:t>
            </w:r>
            <w:r w:rsidRPr="005E170A">
              <w:rPr>
                <w:sz w:val="20"/>
                <w:szCs w:val="20"/>
              </w:rPr>
              <w:t>(wg badania rejestracyjnego):</w:t>
            </w:r>
          </w:p>
          <w:p w14:paraId="07A811D3" w14:textId="77777777" w:rsidR="00964289" w:rsidRPr="005E170A" w:rsidRDefault="000E53FC" w:rsidP="005E170A">
            <w:pPr>
              <w:pStyle w:val="Default"/>
              <w:numPr>
                <w:ilvl w:val="5"/>
                <w:numId w:val="2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>mediana OS ok 33,25 miesięcy,</w:t>
            </w:r>
          </w:p>
          <w:p w14:paraId="55C07EFA" w14:textId="77777777" w:rsidR="000E53FC" w:rsidRPr="005E170A" w:rsidRDefault="000E53FC" w:rsidP="005E170A">
            <w:pPr>
              <w:pStyle w:val="Default"/>
              <w:numPr>
                <w:ilvl w:val="5"/>
                <w:numId w:val="2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>prawdopodobieństwo OS w punktach czasowych dla:</w:t>
            </w:r>
          </w:p>
          <w:p w14:paraId="54D426EB" w14:textId="35086C0C" w:rsidR="000E53FC" w:rsidRPr="005E170A" w:rsidRDefault="000E53FC" w:rsidP="005E170A">
            <w:pPr>
              <w:pStyle w:val="Default"/>
              <w:numPr>
                <w:ilvl w:val="6"/>
                <w:numId w:val="2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>12 miesięcy: 87%,</w:t>
            </w:r>
          </w:p>
          <w:p w14:paraId="69E5E700" w14:textId="1F25CDF8" w:rsidR="000E53FC" w:rsidRPr="005E170A" w:rsidRDefault="000E53FC" w:rsidP="005E170A">
            <w:pPr>
              <w:pStyle w:val="Default"/>
              <w:numPr>
                <w:ilvl w:val="6"/>
                <w:numId w:val="2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>18 miesięcy: 77%,</w:t>
            </w:r>
          </w:p>
          <w:p w14:paraId="33DBDED7" w14:textId="085B731F" w:rsidR="000E53FC" w:rsidRPr="005E170A" w:rsidRDefault="000E53FC" w:rsidP="005E170A">
            <w:pPr>
              <w:pStyle w:val="Default"/>
              <w:numPr>
                <w:ilvl w:val="6"/>
                <w:numId w:val="2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>24 miesiące: 77%,</w:t>
            </w:r>
          </w:p>
          <w:p w14:paraId="1500B0E7" w14:textId="77777777" w:rsidR="000E53FC" w:rsidRPr="005E170A" w:rsidRDefault="000E53FC" w:rsidP="005E170A">
            <w:pPr>
              <w:pStyle w:val="Default"/>
              <w:numPr>
                <w:ilvl w:val="5"/>
                <w:numId w:val="2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>ORR = 69%,</w:t>
            </w:r>
          </w:p>
          <w:p w14:paraId="568F5CBE" w14:textId="77777777" w:rsidR="000E53FC" w:rsidRPr="005E170A" w:rsidRDefault="000E53FC" w:rsidP="005E170A">
            <w:pPr>
              <w:pStyle w:val="Default"/>
              <w:numPr>
                <w:ilvl w:val="5"/>
                <w:numId w:val="2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 xml:space="preserve">prawdopodobieństwo DOR (mediana DOR nie została osiągnięta w trakcie trwania badania), w punktach czasowych dla: </w:t>
            </w:r>
          </w:p>
          <w:p w14:paraId="54E5C229" w14:textId="375C1F70" w:rsidR="000E53FC" w:rsidRPr="005E170A" w:rsidRDefault="000E53FC" w:rsidP="005E170A">
            <w:pPr>
              <w:pStyle w:val="Default"/>
              <w:numPr>
                <w:ilvl w:val="6"/>
                <w:numId w:val="2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>6 miesięcy: 32%,</w:t>
            </w:r>
          </w:p>
          <w:p w14:paraId="0D567045" w14:textId="64D47397" w:rsidR="000E53FC" w:rsidRPr="005E170A" w:rsidRDefault="000E53FC" w:rsidP="005E170A">
            <w:pPr>
              <w:pStyle w:val="Default"/>
              <w:numPr>
                <w:ilvl w:val="6"/>
                <w:numId w:val="2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>6-12 miesięcy:</w:t>
            </w:r>
            <w:r w:rsidR="005E170A">
              <w:rPr>
                <w:sz w:val="20"/>
                <w:szCs w:val="20"/>
              </w:rPr>
              <w:t xml:space="preserve"> </w:t>
            </w:r>
            <w:r w:rsidRPr="005E170A">
              <w:rPr>
                <w:sz w:val="20"/>
                <w:szCs w:val="20"/>
              </w:rPr>
              <w:t>31%,</w:t>
            </w:r>
          </w:p>
          <w:p w14:paraId="481DC495" w14:textId="768159B4" w:rsidR="000E53FC" w:rsidRPr="005E170A" w:rsidRDefault="000E53FC" w:rsidP="005E170A">
            <w:pPr>
              <w:pStyle w:val="Default"/>
              <w:numPr>
                <w:ilvl w:val="6"/>
                <w:numId w:val="2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>12-18 miesięcy: 24%,</w:t>
            </w:r>
          </w:p>
          <w:p w14:paraId="390B66D7" w14:textId="5B5B417B" w:rsidR="000E53FC" w:rsidRPr="005E170A" w:rsidRDefault="000E53FC" w:rsidP="005E170A">
            <w:pPr>
              <w:pStyle w:val="Default"/>
              <w:numPr>
                <w:ilvl w:val="6"/>
                <w:numId w:val="2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lastRenderedPageBreak/>
              <w:t>18-24 miesięcy: 8%,</w:t>
            </w:r>
          </w:p>
          <w:p w14:paraId="0575105D" w14:textId="56EBE586" w:rsidR="000E53FC" w:rsidRPr="005E170A" w:rsidRDefault="000E53FC" w:rsidP="005E170A">
            <w:pPr>
              <w:pStyle w:val="Default"/>
              <w:numPr>
                <w:ilvl w:val="6"/>
                <w:numId w:val="2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>≥ 24 miesięcy: 4%,</w:t>
            </w:r>
          </w:p>
          <w:p w14:paraId="7701737C" w14:textId="77777777" w:rsidR="000E53FC" w:rsidRPr="005E170A" w:rsidRDefault="000E53FC" w:rsidP="005E170A">
            <w:pPr>
              <w:pStyle w:val="Default"/>
              <w:numPr>
                <w:ilvl w:val="5"/>
                <w:numId w:val="2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>prawdopodobieństwo PFS (mediana PFS nie została osiągnięta w trakcie trwania badania) w punktach czasowych dla:</w:t>
            </w:r>
          </w:p>
          <w:p w14:paraId="0DB842A1" w14:textId="32D1175A" w:rsidR="000E53FC" w:rsidRPr="005E170A" w:rsidRDefault="000E53FC" w:rsidP="005E170A">
            <w:pPr>
              <w:pStyle w:val="Default"/>
              <w:numPr>
                <w:ilvl w:val="6"/>
                <w:numId w:val="2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>12 miesięcy: 77%,</w:t>
            </w:r>
          </w:p>
          <w:p w14:paraId="70E0C139" w14:textId="1A79B116" w:rsidR="000E53FC" w:rsidRPr="005E170A" w:rsidRDefault="000E53FC" w:rsidP="005E170A">
            <w:pPr>
              <w:pStyle w:val="Default"/>
              <w:numPr>
                <w:ilvl w:val="6"/>
                <w:numId w:val="2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>18 miesięcy: 68 %,</w:t>
            </w:r>
          </w:p>
          <w:p w14:paraId="7961A462" w14:textId="498B6738" w:rsidR="00964289" w:rsidRPr="005E170A" w:rsidRDefault="000E53FC" w:rsidP="005E170A">
            <w:pPr>
              <w:pStyle w:val="Default"/>
              <w:numPr>
                <w:ilvl w:val="6"/>
                <w:numId w:val="2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>24 miesiące: 61%,</w:t>
            </w:r>
          </w:p>
          <w:p w14:paraId="31EC4D65" w14:textId="7F1A1492" w:rsidR="000E53FC" w:rsidRPr="005E170A" w:rsidRDefault="000E53FC" w:rsidP="005E170A">
            <w:pPr>
              <w:pStyle w:val="Default"/>
              <w:numPr>
                <w:ilvl w:val="5"/>
                <w:numId w:val="2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>poprawa lub stabilizacja we wszystkich domenach HRQoL;</w:t>
            </w:r>
          </w:p>
          <w:p w14:paraId="5AC7D768" w14:textId="77777777" w:rsidR="005E170A" w:rsidRPr="005E170A" w:rsidRDefault="000E53FC" w:rsidP="005E170A">
            <w:pPr>
              <w:pStyle w:val="Default"/>
              <w:numPr>
                <w:ilvl w:val="3"/>
                <w:numId w:val="2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>ocena bezpieczeństwa terapii</w:t>
            </w:r>
          </w:p>
          <w:p w14:paraId="5161F707" w14:textId="0AFD2346" w:rsidR="000E53FC" w:rsidRPr="005E170A" w:rsidRDefault="000E53FC" w:rsidP="005E170A">
            <w:pPr>
              <w:pStyle w:val="Default"/>
              <w:numPr>
                <w:ilvl w:val="4"/>
                <w:numId w:val="2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>monitorowanie częstość występowania działań niepożądanych</w:t>
            </w:r>
            <w:r w:rsidR="005E170A" w:rsidRPr="005E170A">
              <w:rPr>
                <w:sz w:val="20"/>
                <w:szCs w:val="20"/>
              </w:rPr>
              <w:t>.</w:t>
            </w:r>
            <w:r w:rsidRPr="005E170A">
              <w:rPr>
                <w:sz w:val="20"/>
                <w:szCs w:val="20"/>
              </w:rPr>
              <w:t xml:space="preserve"> </w:t>
            </w:r>
          </w:p>
          <w:p w14:paraId="364EB17E" w14:textId="77777777" w:rsidR="000E53FC" w:rsidRPr="005E170A" w:rsidRDefault="000E53FC" w:rsidP="005E170A">
            <w:pPr>
              <w:pStyle w:val="Default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03FC0279" w14:textId="1961DA10" w:rsidR="000E53FC" w:rsidRPr="005E170A" w:rsidRDefault="000E53FC" w:rsidP="005E170A">
            <w:pPr>
              <w:pStyle w:val="Default"/>
              <w:numPr>
                <w:ilvl w:val="0"/>
                <w:numId w:val="28"/>
              </w:numPr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5E170A">
              <w:rPr>
                <w:b/>
                <w:bCs/>
                <w:sz w:val="20"/>
                <w:szCs w:val="20"/>
              </w:rPr>
              <w:t>Monitorowanie programu</w:t>
            </w:r>
          </w:p>
          <w:p w14:paraId="75F78B4F" w14:textId="59F75255" w:rsidR="000E53FC" w:rsidRPr="005E170A" w:rsidRDefault="000E53FC" w:rsidP="005E170A">
            <w:pPr>
              <w:pStyle w:val="Default"/>
              <w:numPr>
                <w:ilvl w:val="3"/>
                <w:numId w:val="2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>gromadzenie w dokumentacji medycznej pacjenta danych dotyczących monitorowania leczenia i każdorazowe ich przedstawianie na żądanie kontrolerów Narodowego Funduszu Zdrowia;</w:t>
            </w:r>
          </w:p>
          <w:p w14:paraId="34A84E1C" w14:textId="001E5B67" w:rsidR="000E53FC" w:rsidRPr="005E170A" w:rsidRDefault="000E53FC" w:rsidP="005E170A">
            <w:pPr>
              <w:pStyle w:val="Default"/>
              <w:numPr>
                <w:ilvl w:val="3"/>
                <w:numId w:val="2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 xml:space="preserve">uzupełnienie danych zawartych w </w:t>
            </w:r>
            <w:r w:rsidR="00B679B6" w:rsidRPr="005E170A">
              <w:rPr>
                <w:sz w:val="20"/>
                <w:szCs w:val="20"/>
              </w:rPr>
              <w:t xml:space="preserve">elektronicznym </w:t>
            </w:r>
            <w:r w:rsidRPr="005E170A">
              <w:rPr>
                <w:sz w:val="20"/>
                <w:szCs w:val="20"/>
              </w:rPr>
              <w:t>rejestrze dostępnym za pomocą aplikacji internetowej udostępnionej przez OW NFZ, z częstotliwością zgodną z opisem programu oraz na zakończenie leczenia, w tym przekazywanie danych dotyczących wskaźników efektywności:</w:t>
            </w:r>
          </w:p>
          <w:p w14:paraId="37C95E1E" w14:textId="77777777" w:rsidR="00964289" w:rsidRPr="005E170A" w:rsidRDefault="000E53FC" w:rsidP="005E170A">
            <w:pPr>
              <w:pStyle w:val="Default"/>
              <w:numPr>
                <w:ilvl w:val="5"/>
                <w:numId w:val="2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>wskaźnik odpowiedzi obiektywnych (ORR),</w:t>
            </w:r>
          </w:p>
          <w:p w14:paraId="432C657D" w14:textId="77777777" w:rsidR="00964289" w:rsidRPr="005E170A" w:rsidRDefault="000E53FC" w:rsidP="005E170A">
            <w:pPr>
              <w:pStyle w:val="Default"/>
              <w:numPr>
                <w:ilvl w:val="5"/>
                <w:numId w:val="2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>czas trwania odpowiedzi (DOR),</w:t>
            </w:r>
          </w:p>
          <w:p w14:paraId="193E35EB" w14:textId="77777777" w:rsidR="00964289" w:rsidRPr="005E170A" w:rsidRDefault="000E53FC" w:rsidP="005E170A">
            <w:pPr>
              <w:pStyle w:val="Default"/>
              <w:numPr>
                <w:ilvl w:val="5"/>
                <w:numId w:val="2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>przeżycie bez progresji choroby (PFS),</w:t>
            </w:r>
          </w:p>
          <w:p w14:paraId="02A7331E" w14:textId="77777777" w:rsidR="00964289" w:rsidRPr="005E170A" w:rsidRDefault="000E53FC" w:rsidP="005E170A">
            <w:pPr>
              <w:pStyle w:val="Default"/>
              <w:numPr>
                <w:ilvl w:val="5"/>
                <w:numId w:val="2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>przeżycie całkowite (OS),</w:t>
            </w:r>
          </w:p>
          <w:p w14:paraId="6360C8F5" w14:textId="77777777" w:rsidR="000E53FC" w:rsidRPr="005E170A" w:rsidRDefault="000E53FC" w:rsidP="005E170A">
            <w:pPr>
              <w:pStyle w:val="Default"/>
              <w:numPr>
                <w:ilvl w:val="5"/>
                <w:numId w:val="2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>jakość życia uwarunkowana stanem zdrowia (HRQoL);</w:t>
            </w:r>
          </w:p>
          <w:p w14:paraId="130A4EA7" w14:textId="529FD45C" w:rsidR="000E53FC" w:rsidRPr="005E170A" w:rsidRDefault="00CF17A5" w:rsidP="005E170A">
            <w:pPr>
              <w:pStyle w:val="Default"/>
              <w:numPr>
                <w:ilvl w:val="3"/>
                <w:numId w:val="2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bookmarkStart w:id="4" w:name="_Hlk142317600"/>
            <w:r w:rsidRPr="005E170A">
              <w:rPr>
                <w:sz w:val="20"/>
                <w:szCs w:val="20"/>
              </w:rPr>
              <w:lastRenderedPageBreak/>
              <w:t>w</w:t>
            </w:r>
            <w:r w:rsidR="00106E2E" w:rsidRPr="005E170A">
              <w:rPr>
                <w:sz w:val="20"/>
                <w:szCs w:val="20"/>
              </w:rPr>
              <w:t xml:space="preserve"> przypadku wyłączenia pacjenta z programu – przekazywanie informacji czy powodem zakończenia była progresja choroby czy inne kryteria zgodnie z punktem 3. Kryteria wyłączenia </w:t>
            </w:r>
            <w:r w:rsidR="005112BD" w:rsidRPr="005E170A">
              <w:rPr>
                <w:sz w:val="20"/>
                <w:szCs w:val="20"/>
              </w:rPr>
              <w:t>- dotyczy selperkatynibu</w:t>
            </w:r>
            <w:bookmarkEnd w:id="4"/>
            <w:r w:rsidRPr="005E170A">
              <w:rPr>
                <w:sz w:val="20"/>
                <w:szCs w:val="20"/>
              </w:rPr>
              <w:t>;</w:t>
            </w:r>
          </w:p>
          <w:p w14:paraId="69D89CDB" w14:textId="509778E3" w:rsidR="00FE3A11" w:rsidRPr="005E170A" w:rsidRDefault="000E53FC" w:rsidP="005E170A">
            <w:pPr>
              <w:pStyle w:val="Default"/>
              <w:numPr>
                <w:ilvl w:val="3"/>
                <w:numId w:val="2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5E170A">
              <w:rPr>
                <w:sz w:val="20"/>
                <w:szCs w:val="20"/>
              </w:rPr>
              <w:t>przekazywanie informacji sprawozdawczo-rozliczeniowych do NFZ: informacje przekazuje się do NFZ w formie papierowej lub w formie elektronicznej, zgodnie z wymaganiami opublikowanymi przez NFZ.</w:t>
            </w:r>
          </w:p>
          <w:p w14:paraId="0D781983" w14:textId="77777777" w:rsidR="00343440" w:rsidRPr="005E170A" w:rsidRDefault="00343440" w:rsidP="005E170A">
            <w:pPr>
              <w:pStyle w:val="Default"/>
              <w:spacing w:after="60" w:line="276" w:lineRule="auto"/>
              <w:ind w:left="170"/>
              <w:jc w:val="both"/>
              <w:rPr>
                <w:sz w:val="20"/>
                <w:szCs w:val="20"/>
              </w:rPr>
            </w:pPr>
          </w:p>
        </w:tc>
      </w:tr>
    </w:tbl>
    <w:p w14:paraId="2A013F42" w14:textId="77777777" w:rsidR="00C360D3" w:rsidRDefault="00C360D3" w:rsidP="00FE3A11"/>
    <w:sectPr w:rsidR="00C360D3" w:rsidSect="00D839D9"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DAAF2" w14:textId="77777777" w:rsidR="00B22CB7" w:rsidRDefault="00B22CB7" w:rsidP="00FE3A11">
      <w:pPr>
        <w:spacing w:before="0" w:after="0" w:line="240" w:lineRule="auto"/>
      </w:pPr>
      <w:r>
        <w:separator/>
      </w:r>
    </w:p>
  </w:endnote>
  <w:endnote w:type="continuationSeparator" w:id="0">
    <w:p w14:paraId="5EDB5B1C" w14:textId="77777777" w:rsidR="00B22CB7" w:rsidRDefault="00B22CB7" w:rsidP="00FE3A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0DDE1" w14:textId="77777777" w:rsidR="00B22CB7" w:rsidRDefault="00B22CB7" w:rsidP="00FE3A11">
      <w:pPr>
        <w:spacing w:before="0" w:after="0" w:line="240" w:lineRule="auto"/>
      </w:pPr>
      <w:r>
        <w:separator/>
      </w:r>
    </w:p>
  </w:footnote>
  <w:footnote w:type="continuationSeparator" w:id="0">
    <w:p w14:paraId="2DD03DCC" w14:textId="77777777" w:rsidR="00B22CB7" w:rsidRDefault="00B22CB7" w:rsidP="00FE3A1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7F55"/>
    <w:multiLevelType w:val="multilevel"/>
    <w:tmpl w:val="9EE0A2D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F026887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" w15:restartNumberingAfterBreak="0">
    <w:nsid w:val="15730F1C"/>
    <w:multiLevelType w:val="hybridMultilevel"/>
    <w:tmpl w:val="9070B420"/>
    <w:lvl w:ilvl="0" w:tplc="07C0B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425E5"/>
    <w:multiLevelType w:val="hybridMultilevel"/>
    <w:tmpl w:val="EAAE97E8"/>
    <w:lvl w:ilvl="0" w:tplc="07C0B9E4">
      <w:start w:val="1"/>
      <w:numFmt w:val="bullet"/>
      <w:lvlText w:val="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839775D"/>
    <w:multiLevelType w:val="multilevel"/>
    <w:tmpl w:val="9EE0A2D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1E473548"/>
    <w:multiLevelType w:val="multilevel"/>
    <w:tmpl w:val="8968F0F6"/>
    <w:styleLink w:val="WWNum15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6" w15:restartNumberingAfterBreak="0">
    <w:nsid w:val="254C0EBB"/>
    <w:multiLevelType w:val="multilevel"/>
    <w:tmpl w:val="9EE0A2D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2F4112BC"/>
    <w:multiLevelType w:val="hybridMultilevel"/>
    <w:tmpl w:val="046A90F0"/>
    <w:lvl w:ilvl="0" w:tplc="07C0B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831B1"/>
    <w:multiLevelType w:val="multilevel"/>
    <w:tmpl w:val="9EE0A2D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3B335374"/>
    <w:multiLevelType w:val="hybridMultilevel"/>
    <w:tmpl w:val="07A806C2"/>
    <w:lvl w:ilvl="0" w:tplc="07C0B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20E3B"/>
    <w:multiLevelType w:val="multilevel"/>
    <w:tmpl w:val="9EE0A2D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3BF97F30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2" w15:restartNumberingAfterBreak="0">
    <w:nsid w:val="3D287AC2"/>
    <w:multiLevelType w:val="multilevel"/>
    <w:tmpl w:val="9EE0A2D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3" w15:restartNumberingAfterBreak="0">
    <w:nsid w:val="48506030"/>
    <w:multiLevelType w:val="hybridMultilevel"/>
    <w:tmpl w:val="3FC83FF6"/>
    <w:lvl w:ilvl="0" w:tplc="38F0D83C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42FA9"/>
    <w:multiLevelType w:val="multilevel"/>
    <w:tmpl w:val="9EE0A2D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5" w15:restartNumberingAfterBreak="0">
    <w:nsid w:val="4CFC1AF8"/>
    <w:multiLevelType w:val="hybridMultilevel"/>
    <w:tmpl w:val="89A618B6"/>
    <w:lvl w:ilvl="0" w:tplc="07C0B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975ECC"/>
    <w:multiLevelType w:val="hybridMultilevel"/>
    <w:tmpl w:val="F052FC8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6303E"/>
    <w:multiLevelType w:val="hybridMultilevel"/>
    <w:tmpl w:val="324E62F2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BB4AFD"/>
    <w:multiLevelType w:val="multilevel"/>
    <w:tmpl w:val="9EE0A2D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9" w15:restartNumberingAfterBreak="0">
    <w:nsid w:val="5529543E"/>
    <w:multiLevelType w:val="multilevel"/>
    <w:tmpl w:val="77381D9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0" w15:restartNumberingAfterBreak="0">
    <w:nsid w:val="62756DB8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1" w15:restartNumberingAfterBreak="0">
    <w:nsid w:val="63FB6A69"/>
    <w:multiLevelType w:val="multilevel"/>
    <w:tmpl w:val="9EE0A2D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2" w15:restartNumberingAfterBreak="0">
    <w:nsid w:val="64DF7A11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3" w15:restartNumberingAfterBreak="0">
    <w:nsid w:val="6FDC2864"/>
    <w:multiLevelType w:val="multilevel"/>
    <w:tmpl w:val="9EE0A2D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87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4" w15:restartNumberingAfterBreak="0">
    <w:nsid w:val="751C7699"/>
    <w:multiLevelType w:val="hybridMultilevel"/>
    <w:tmpl w:val="390ABB5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9C3E9E"/>
    <w:multiLevelType w:val="hybridMultilevel"/>
    <w:tmpl w:val="05888A98"/>
    <w:lvl w:ilvl="0" w:tplc="07C0B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F90A38"/>
    <w:multiLevelType w:val="hybridMultilevel"/>
    <w:tmpl w:val="874E3CE0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A427971"/>
    <w:multiLevelType w:val="multilevel"/>
    <w:tmpl w:val="9EE0A2D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 w16cid:durableId="990327627">
    <w:abstractNumId w:val="5"/>
  </w:num>
  <w:num w:numId="2" w16cid:durableId="404037076">
    <w:abstractNumId w:val="14"/>
  </w:num>
  <w:num w:numId="3" w16cid:durableId="1555434550">
    <w:abstractNumId w:val="10"/>
  </w:num>
  <w:num w:numId="4" w16cid:durableId="1446345393">
    <w:abstractNumId w:val="18"/>
  </w:num>
  <w:num w:numId="5" w16cid:durableId="1861497">
    <w:abstractNumId w:val="21"/>
  </w:num>
  <w:num w:numId="6" w16cid:durableId="864945743">
    <w:abstractNumId w:val="0"/>
  </w:num>
  <w:num w:numId="7" w16cid:durableId="1743478158">
    <w:abstractNumId w:val="12"/>
  </w:num>
  <w:num w:numId="8" w16cid:durableId="956452984">
    <w:abstractNumId w:val="8"/>
  </w:num>
  <w:num w:numId="9" w16cid:durableId="2064137471">
    <w:abstractNumId w:val="15"/>
  </w:num>
  <w:num w:numId="10" w16cid:durableId="1723092015">
    <w:abstractNumId w:val="25"/>
  </w:num>
  <w:num w:numId="11" w16cid:durableId="261882073">
    <w:abstractNumId w:val="2"/>
  </w:num>
  <w:num w:numId="12" w16cid:durableId="1939676507">
    <w:abstractNumId w:val="7"/>
  </w:num>
  <w:num w:numId="13" w16cid:durableId="588586645">
    <w:abstractNumId w:val="9"/>
  </w:num>
  <w:num w:numId="14" w16cid:durableId="1435591675">
    <w:abstractNumId w:val="16"/>
  </w:num>
  <w:num w:numId="15" w16cid:durableId="845436270">
    <w:abstractNumId w:val="24"/>
  </w:num>
  <w:num w:numId="16" w16cid:durableId="1926453694">
    <w:abstractNumId w:val="26"/>
  </w:num>
  <w:num w:numId="17" w16cid:durableId="2118986081">
    <w:abstractNumId w:val="13"/>
  </w:num>
  <w:num w:numId="18" w16cid:durableId="1415471014">
    <w:abstractNumId w:val="3"/>
  </w:num>
  <w:num w:numId="19" w16cid:durableId="1052996252">
    <w:abstractNumId w:val="17"/>
  </w:num>
  <w:num w:numId="20" w16cid:durableId="857431999">
    <w:abstractNumId w:val="19"/>
  </w:num>
  <w:num w:numId="21" w16cid:durableId="1127313871">
    <w:abstractNumId w:val="6"/>
  </w:num>
  <w:num w:numId="22" w16cid:durableId="862667363">
    <w:abstractNumId w:val="27"/>
  </w:num>
  <w:num w:numId="23" w16cid:durableId="1062173004">
    <w:abstractNumId w:val="23"/>
  </w:num>
  <w:num w:numId="24" w16cid:durableId="220286939">
    <w:abstractNumId w:val="4"/>
  </w:num>
  <w:num w:numId="25" w16cid:durableId="240023552">
    <w:abstractNumId w:val="22"/>
  </w:num>
  <w:num w:numId="26" w16cid:durableId="998507941">
    <w:abstractNumId w:val="11"/>
  </w:num>
  <w:num w:numId="27" w16cid:durableId="2037660835">
    <w:abstractNumId w:val="20"/>
  </w:num>
  <w:num w:numId="28" w16cid:durableId="1645546640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D3"/>
    <w:rsid w:val="00007EF9"/>
    <w:rsid w:val="00037FE4"/>
    <w:rsid w:val="0004577B"/>
    <w:rsid w:val="000D4D1C"/>
    <w:rsid w:val="000E53FC"/>
    <w:rsid w:val="00106E2E"/>
    <w:rsid w:val="0011361B"/>
    <w:rsid w:val="0014605A"/>
    <w:rsid w:val="001468CF"/>
    <w:rsid w:val="00181BFA"/>
    <w:rsid w:val="001920E7"/>
    <w:rsid w:val="001A0EAB"/>
    <w:rsid w:val="001B2564"/>
    <w:rsid w:val="001C60A4"/>
    <w:rsid w:val="00263CC4"/>
    <w:rsid w:val="00267C79"/>
    <w:rsid w:val="002862E7"/>
    <w:rsid w:val="002D1D56"/>
    <w:rsid w:val="002D21CC"/>
    <w:rsid w:val="00303562"/>
    <w:rsid w:val="00321CD9"/>
    <w:rsid w:val="00343440"/>
    <w:rsid w:val="00345B45"/>
    <w:rsid w:val="00346004"/>
    <w:rsid w:val="00352D89"/>
    <w:rsid w:val="0035474F"/>
    <w:rsid w:val="0035536A"/>
    <w:rsid w:val="00384085"/>
    <w:rsid w:val="003845A2"/>
    <w:rsid w:val="003979F9"/>
    <w:rsid w:val="003D2784"/>
    <w:rsid w:val="003D3372"/>
    <w:rsid w:val="003F72EC"/>
    <w:rsid w:val="00476407"/>
    <w:rsid w:val="00477D5B"/>
    <w:rsid w:val="00482695"/>
    <w:rsid w:val="004837FB"/>
    <w:rsid w:val="004B36A2"/>
    <w:rsid w:val="004B4983"/>
    <w:rsid w:val="004B4F9E"/>
    <w:rsid w:val="004C3038"/>
    <w:rsid w:val="004F4C9D"/>
    <w:rsid w:val="005112BD"/>
    <w:rsid w:val="00537E68"/>
    <w:rsid w:val="00543E5F"/>
    <w:rsid w:val="00544611"/>
    <w:rsid w:val="00551CC4"/>
    <w:rsid w:val="00564833"/>
    <w:rsid w:val="00581081"/>
    <w:rsid w:val="00582A0D"/>
    <w:rsid w:val="00587F96"/>
    <w:rsid w:val="005A184C"/>
    <w:rsid w:val="005A3DD1"/>
    <w:rsid w:val="005C3502"/>
    <w:rsid w:val="005E170A"/>
    <w:rsid w:val="005E5637"/>
    <w:rsid w:val="005F456A"/>
    <w:rsid w:val="005F5DD0"/>
    <w:rsid w:val="00605591"/>
    <w:rsid w:val="0060754C"/>
    <w:rsid w:val="00644F80"/>
    <w:rsid w:val="00673003"/>
    <w:rsid w:val="00673DB9"/>
    <w:rsid w:val="00694905"/>
    <w:rsid w:val="006A34F6"/>
    <w:rsid w:val="006A45C3"/>
    <w:rsid w:val="006A7D9C"/>
    <w:rsid w:val="006B6C5C"/>
    <w:rsid w:val="006E305B"/>
    <w:rsid w:val="0071094D"/>
    <w:rsid w:val="00742E0C"/>
    <w:rsid w:val="0074377F"/>
    <w:rsid w:val="00762FAA"/>
    <w:rsid w:val="007778D7"/>
    <w:rsid w:val="007A47D4"/>
    <w:rsid w:val="007A6471"/>
    <w:rsid w:val="007A71A7"/>
    <w:rsid w:val="007B6013"/>
    <w:rsid w:val="007C6A52"/>
    <w:rsid w:val="007D4603"/>
    <w:rsid w:val="008152F8"/>
    <w:rsid w:val="00822FDE"/>
    <w:rsid w:val="0084437E"/>
    <w:rsid w:val="00884134"/>
    <w:rsid w:val="008D6ADC"/>
    <w:rsid w:val="008F0DE2"/>
    <w:rsid w:val="008F44FD"/>
    <w:rsid w:val="008F6814"/>
    <w:rsid w:val="00945325"/>
    <w:rsid w:val="009604AE"/>
    <w:rsid w:val="00964289"/>
    <w:rsid w:val="00980E75"/>
    <w:rsid w:val="00980EB7"/>
    <w:rsid w:val="009865EE"/>
    <w:rsid w:val="009B413F"/>
    <w:rsid w:val="009D1210"/>
    <w:rsid w:val="009E2F2D"/>
    <w:rsid w:val="009F1965"/>
    <w:rsid w:val="00A03ACC"/>
    <w:rsid w:val="00A31B24"/>
    <w:rsid w:val="00A40B61"/>
    <w:rsid w:val="00A54D6B"/>
    <w:rsid w:val="00A61DD2"/>
    <w:rsid w:val="00A62B80"/>
    <w:rsid w:val="00A66469"/>
    <w:rsid w:val="00AA3C4E"/>
    <w:rsid w:val="00AF2A6D"/>
    <w:rsid w:val="00B22CB7"/>
    <w:rsid w:val="00B66CEB"/>
    <w:rsid w:val="00B679B6"/>
    <w:rsid w:val="00B75775"/>
    <w:rsid w:val="00B913B4"/>
    <w:rsid w:val="00BE2634"/>
    <w:rsid w:val="00BE595B"/>
    <w:rsid w:val="00C0402B"/>
    <w:rsid w:val="00C049D5"/>
    <w:rsid w:val="00C16422"/>
    <w:rsid w:val="00C247FA"/>
    <w:rsid w:val="00C360D3"/>
    <w:rsid w:val="00C3774E"/>
    <w:rsid w:val="00C54B6C"/>
    <w:rsid w:val="00C635DC"/>
    <w:rsid w:val="00CE50F9"/>
    <w:rsid w:val="00CF17A5"/>
    <w:rsid w:val="00D31258"/>
    <w:rsid w:val="00D4282B"/>
    <w:rsid w:val="00D50518"/>
    <w:rsid w:val="00D839D9"/>
    <w:rsid w:val="00D94233"/>
    <w:rsid w:val="00DB2C91"/>
    <w:rsid w:val="00DC5AE3"/>
    <w:rsid w:val="00DC72B4"/>
    <w:rsid w:val="00DD3B07"/>
    <w:rsid w:val="00DF4DA5"/>
    <w:rsid w:val="00DF716C"/>
    <w:rsid w:val="00E042F9"/>
    <w:rsid w:val="00E30A99"/>
    <w:rsid w:val="00E9079B"/>
    <w:rsid w:val="00E93330"/>
    <w:rsid w:val="00EA3E36"/>
    <w:rsid w:val="00EA6337"/>
    <w:rsid w:val="00ED1631"/>
    <w:rsid w:val="00ED1D49"/>
    <w:rsid w:val="00EE481E"/>
    <w:rsid w:val="00F0505C"/>
    <w:rsid w:val="00F2635B"/>
    <w:rsid w:val="00F3365F"/>
    <w:rsid w:val="00F44935"/>
    <w:rsid w:val="00F6181C"/>
    <w:rsid w:val="00F86CF9"/>
    <w:rsid w:val="00F8793D"/>
    <w:rsid w:val="00FE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D21D3"/>
  <w15:docId w15:val="{0EAF9C40-A40F-49A9-A937-F6A8A6F1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360D3"/>
    <w:pPr>
      <w:spacing w:before="120" w:after="120" w:line="360" w:lineRule="auto"/>
    </w:pPr>
    <w:rPr>
      <w:rFonts w:ascii="Calibri" w:eastAsia="Times New Roman" w:hAnsi="Calibri" w:cs="Times New Roman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HTA-spistabel">
    <w:name w:val="PHTA - spis tabel"/>
    <w:basedOn w:val="Spisilustracji"/>
    <w:link w:val="PHTA-spistabelZnak"/>
    <w:qFormat/>
    <w:rsid w:val="00A31B24"/>
    <w:pPr>
      <w:tabs>
        <w:tab w:val="right" w:leader="dot" w:pos="9061"/>
      </w:tabs>
      <w:spacing w:before="40" w:after="40" w:line="240" w:lineRule="auto"/>
      <w:ind w:left="1134" w:right="566" w:hanging="1134"/>
    </w:pPr>
  </w:style>
  <w:style w:type="character" w:customStyle="1" w:styleId="PHTA-spistabelZnak">
    <w:name w:val="PHTA - spis tabel Znak"/>
    <w:basedOn w:val="Domylnaczcionkaakapitu"/>
    <w:link w:val="PHTA-spistabel"/>
    <w:rsid w:val="00A31B24"/>
    <w:rPr>
      <w:rFonts w:ascii="Calibri" w:hAnsi="Calibri"/>
      <w:szCs w:val="24"/>
    </w:rPr>
  </w:style>
  <w:style w:type="paragraph" w:styleId="Spisilustracji">
    <w:name w:val="table of figures"/>
    <w:basedOn w:val="Normalny"/>
    <w:next w:val="Normalny"/>
    <w:uiPriority w:val="99"/>
    <w:semiHidden/>
    <w:unhideWhenUsed/>
    <w:rsid w:val="00A31B24"/>
    <w:pPr>
      <w:spacing w:after="0"/>
    </w:pPr>
  </w:style>
  <w:style w:type="paragraph" w:customStyle="1" w:styleId="Default">
    <w:name w:val="Default"/>
    <w:rsid w:val="00C360D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styleId="Akapitzlist">
    <w:name w:val="List Paragraph"/>
    <w:aliases w:val="Styl moj,Akapit z listą11,List Paragraph1,Akapit z listą1,podpunkt ankietyy,Bullets Points,Bullet1"/>
    <w:basedOn w:val="Normalny"/>
    <w:link w:val="AkapitzlistZnak"/>
    <w:uiPriority w:val="34"/>
    <w:qFormat/>
    <w:rsid w:val="00C360D3"/>
    <w:pPr>
      <w:spacing w:before="0" w:after="200" w:line="276" w:lineRule="auto"/>
      <w:ind w:left="720"/>
      <w:contextualSpacing/>
    </w:pPr>
    <w:rPr>
      <w:rFonts w:eastAsia="Calibri"/>
      <w:szCs w:val="22"/>
      <w:lang w:eastAsia="en-US"/>
    </w:rPr>
  </w:style>
  <w:style w:type="character" w:customStyle="1" w:styleId="AkapitzlistZnak">
    <w:name w:val="Akapit z listą Znak"/>
    <w:aliases w:val="Styl moj Znak,Akapit z listą11 Znak,List Paragraph1 Znak,Akapit z listą1 Znak,podpunkt ankietyy Znak,Bullets Points Znak,Bullet1 Znak"/>
    <w:link w:val="Akapitzlist"/>
    <w:uiPriority w:val="34"/>
    <w:qFormat/>
    <w:locked/>
    <w:rsid w:val="00C360D3"/>
    <w:rPr>
      <w:rFonts w:ascii="Calibri" w:eastAsia="Calibri" w:hAnsi="Calibri" w:cs="Times New Roman"/>
    </w:rPr>
  </w:style>
  <w:style w:type="table" w:customStyle="1" w:styleId="Tabela-Siatka3">
    <w:name w:val="Tabela - Siatka3"/>
    <w:basedOn w:val="Standardowy"/>
    <w:next w:val="Tabela-Siatka"/>
    <w:uiPriority w:val="39"/>
    <w:rsid w:val="00C360D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15">
    <w:name w:val="WWNum15"/>
    <w:basedOn w:val="Bezlisty"/>
    <w:rsid w:val="00C360D3"/>
    <w:pPr>
      <w:numPr>
        <w:numId w:val="1"/>
      </w:numPr>
    </w:pPr>
  </w:style>
  <w:style w:type="paragraph" w:customStyle="1" w:styleId="Standard">
    <w:name w:val="Standard"/>
    <w:rsid w:val="00C360D3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table" w:styleId="Tabela-Siatka">
    <w:name w:val="Table Grid"/>
    <w:basedOn w:val="Standardowy"/>
    <w:uiPriority w:val="39"/>
    <w:rsid w:val="00C36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74377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4377F"/>
    <w:rPr>
      <w:rFonts w:ascii="Segoe UI" w:eastAsia="Times New Roman" w:hAnsi="Segoe UI" w:cs="Segoe UI"/>
      <w:sz w:val="18"/>
      <w:szCs w:val="18"/>
      <w:lang w:eastAsia="pl-PL"/>
    </w:rPr>
  </w:style>
  <w:style w:type="paragraph" w:styleId="Poprawka">
    <w:name w:val="Revision"/>
    <w:hidden/>
    <w:uiPriority w:val="99"/>
    <w:semiHidden/>
    <w:rsid w:val="009F1965"/>
    <w:pPr>
      <w:spacing w:after="0" w:line="240" w:lineRule="auto"/>
    </w:pPr>
    <w:rPr>
      <w:rFonts w:ascii="Calibri" w:eastAsia="Times New Roman" w:hAnsi="Calibri" w:cs="Times New Roman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FE3A1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E3A11"/>
    <w:rPr>
      <w:rFonts w:ascii="Calibri" w:eastAsia="Times New Roman" w:hAnsi="Calibri" w:cs="Times New Roman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FE3A1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3A11"/>
    <w:rPr>
      <w:rFonts w:ascii="Calibri" w:eastAsia="Times New Roman" w:hAnsi="Calibri" w:cs="Times New Roman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7300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67300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673003"/>
    <w:rPr>
      <w:rFonts w:ascii="Calibri" w:eastAsia="Times New Roman" w:hAnsi="Calibri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7300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73003"/>
    <w:rPr>
      <w:rFonts w:ascii="Calibri" w:eastAsia="Times New Roman" w:hAnsi="Calibri" w:cs="Times New Roman"/>
      <w:b/>
      <w:bCs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321CD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21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35B0F-67A3-4512-9226-5BE45968F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1512</Words>
  <Characters>9076</Characters>
  <Application>Microsoft Office Word</Application>
  <DocSecurity>0</DocSecurity>
  <Lines>75</Lines>
  <Paragraphs>21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Gąsiorowski</dc:creator>
  <cp:keywords/>
  <cp:lastModifiedBy>Wilk Justyna</cp:lastModifiedBy>
  <cp:revision>2</cp:revision>
  <cp:lastPrinted>2023-08-07T07:24:00Z</cp:lastPrinted>
  <dcterms:created xsi:type="dcterms:W3CDTF">2023-08-17T07:58:00Z</dcterms:created>
  <dcterms:modified xsi:type="dcterms:W3CDTF">2023-08-17T07:58:00Z</dcterms:modified>
</cp:coreProperties>
</file>