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8127" w14:textId="3D58104D" w:rsidR="004032C2" w:rsidRPr="004032C2" w:rsidRDefault="004032C2" w:rsidP="004032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bookmarkStart w:id="0" w:name="_Hlk94394712"/>
      <w:r w:rsidRPr="004032C2">
        <w:rPr>
          <w:rFonts w:ascii="Times New Roman" w:hAnsi="Times New Roman"/>
        </w:rPr>
        <w:t>Załącznik</w:t>
      </w:r>
      <w:r w:rsidR="00BB2DFE">
        <w:rPr>
          <w:rFonts w:ascii="Times New Roman" w:hAnsi="Times New Roman"/>
        </w:rPr>
        <w:t xml:space="preserve"> </w:t>
      </w:r>
      <w:r w:rsidRPr="004032C2">
        <w:rPr>
          <w:rFonts w:ascii="Times New Roman" w:hAnsi="Times New Roman"/>
        </w:rPr>
        <w:t>B.1</w:t>
      </w:r>
      <w:r>
        <w:rPr>
          <w:rFonts w:ascii="Times New Roman" w:hAnsi="Times New Roman"/>
        </w:rPr>
        <w:t>10</w:t>
      </w:r>
      <w:r w:rsidRPr="004032C2">
        <w:rPr>
          <w:rFonts w:ascii="Times New Roman" w:hAnsi="Times New Roman"/>
        </w:rPr>
        <w:t>.</w:t>
      </w:r>
    </w:p>
    <w:p w14:paraId="31D37109" w14:textId="77777777" w:rsidR="004032C2" w:rsidRPr="004032C2" w:rsidRDefault="004032C2" w:rsidP="004032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14:paraId="36FD3DD0" w14:textId="1EF8EF8E" w:rsidR="00A042E8" w:rsidRPr="004032C2" w:rsidRDefault="00A042E8" w:rsidP="004032C2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b/>
          <w:sz w:val="28"/>
          <w:szCs w:val="28"/>
        </w:rPr>
      </w:pPr>
      <w:r w:rsidRPr="004032C2">
        <w:rPr>
          <w:rFonts w:ascii="Times New Roman" w:hAnsi="Times New Roman"/>
          <w:b/>
          <w:sz w:val="28"/>
          <w:szCs w:val="28"/>
        </w:rPr>
        <w:t>LECZENIE</w:t>
      </w:r>
      <w:r w:rsidR="00BB2DFE">
        <w:rPr>
          <w:rFonts w:ascii="Times New Roman" w:hAnsi="Times New Roman"/>
          <w:b/>
          <w:sz w:val="28"/>
          <w:szCs w:val="28"/>
        </w:rPr>
        <w:t xml:space="preserve"> </w:t>
      </w:r>
      <w:r w:rsidRPr="004032C2">
        <w:rPr>
          <w:rFonts w:ascii="Times New Roman" w:hAnsi="Times New Roman"/>
          <w:b/>
          <w:sz w:val="28"/>
          <w:szCs w:val="28"/>
        </w:rPr>
        <w:t>DINUTU</w:t>
      </w:r>
      <w:r w:rsidR="008F3EF5" w:rsidRPr="004032C2">
        <w:rPr>
          <w:rFonts w:ascii="Times New Roman" w:hAnsi="Times New Roman"/>
          <w:b/>
          <w:sz w:val="28"/>
          <w:szCs w:val="28"/>
        </w:rPr>
        <w:t>KSY</w:t>
      </w:r>
      <w:r w:rsidRPr="004032C2">
        <w:rPr>
          <w:rFonts w:ascii="Times New Roman" w:hAnsi="Times New Roman"/>
          <w:b/>
          <w:sz w:val="28"/>
          <w:szCs w:val="28"/>
        </w:rPr>
        <w:t>MABEM</w:t>
      </w:r>
      <w:r w:rsidR="00BB2DFE">
        <w:rPr>
          <w:rFonts w:ascii="Times New Roman" w:hAnsi="Times New Roman"/>
          <w:b/>
          <w:sz w:val="28"/>
          <w:szCs w:val="28"/>
        </w:rPr>
        <w:t xml:space="preserve"> </w:t>
      </w:r>
      <w:r w:rsidRPr="004032C2">
        <w:rPr>
          <w:rFonts w:ascii="Times New Roman" w:hAnsi="Times New Roman"/>
          <w:b/>
          <w:sz w:val="28"/>
          <w:szCs w:val="28"/>
        </w:rPr>
        <w:t>BETA</w:t>
      </w:r>
      <w:r w:rsidR="00BB2DFE">
        <w:rPr>
          <w:rFonts w:ascii="Times New Roman" w:hAnsi="Times New Roman"/>
          <w:b/>
          <w:sz w:val="28"/>
          <w:szCs w:val="28"/>
        </w:rPr>
        <w:t xml:space="preserve"> </w:t>
      </w:r>
      <w:r w:rsidRPr="004032C2">
        <w:rPr>
          <w:rFonts w:ascii="Times New Roman" w:hAnsi="Times New Roman"/>
          <w:b/>
          <w:sz w:val="28"/>
          <w:szCs w:val="28"/>
        </w:rPr>
        <w:t>PACJENTÓW</w:t>
      </w:r>
      <w:r w:rsidR="00BB2DFE">
        <w:rPr>
          <w:rFonts w:ascii="Times New Roman" w:hAnsi="Times New Roman"/>
          <w:b/>
          <w:sz w:val="28"/>
          <w:szCs w:val="28"/>
        </w:rPr>
        <w:t xml:space="preserve"> </w:t>
      </w:r>
      <w:r w:rsidRPr="004032C2">
        <w:rPr>
          <w:rFonts w:ascii="Times New Roman" w:hAnsi="Times New Roman"/>
          <w:b/>
          <w:sz w:val="28"/>
          <w:szCs w:val="28"/>
        </w:rPr>
        <w:t>Z</w:t>
      </w:r>
      <w:r w:rsidR="00BB2DFE">
        <w:rPr>
          <w:rFonts w:ascii="Times New Roman" w:hAnsi="Times New Roman"/>
          <w:b/>
          <w:sz w:val="28"/>
          <w:szCs w:val="28"/>
        </w:rPr>
        <w:t xml:space="preserve"> </w:t>
      </w:r>
      <w:r w:rsidRPr="004032C2">
        <w:rPr>
          <w:rFonts w:ascii="Times New Roman" w:hAnsi="Times New Roman"/>
          <w:b/>
          <w:sz w:val="28"/>
          <w:szCs w:val="28"/>
        </w:rPr>
        <w:t>NERWIAKIEM</w:t>
      </w:r>
      <w:r w:rsidR="00BB2DFE">
        <w:rPr>
          <w:rFonts w:ascii="Times New Roman" w:hAnsi="Times New Roman"/>
          <w:b/>
          <w:sz w:val="28"/>
          <w:szCs w:val="28"/>
        </w:rPr>
        <w:t xml:space="preserve"> </w:t>
      </w:r>
      <w:r w:rsidRPr="004032C2">
        <w:rPr>
          <w:rFonts w:ascii="Times New Roman" w:hAnsi="Times New Roman"/>
          <w:b/>
          <w:sz w:val="28"/>
          <w:szCs w:val="28"/>
        </w:rPr>
        <w:t>ZARODKOWYM</w:t>
      </w:r>
      <w:r w:rsidR="00BB2DFE">
        <w:rPr>
          <w:rFonts w:ascii="Times New Roman" w:hAnsi="Times New Roman"/>
          <w:b/>
          <w:sz w:val="28"/>
          <w:szCs w:val="28"/>
        </w:rPr>
        <w:t xml:space="preserve"> </w:t>
      </w:r>
      <w:r w:rsidRPr="004032C2">
        <w:rPr>
          <w:rFonts w:ascii="Times New Roman" w:hAnsi="Times New Roman"/>
          <w:b/>
          <w:sz w:val="28"/>
          <w:szCs w:val="28"/>
        </w:rPr>
        <w:t>WSPÓŁCZULNYM</w:t>
      </w:r>
      <w:r w:rsidR="00BB2DFE">
        <w:rPr>
          <w:rFonts w:ascii="Times New Roman" w:hAnsi="Times New Roman"/>
          <w:b/>
          <w:sz w:val="28"/>
          <w:szCs w:val="28"/>
        </w:rPr>
        <w:t xml:space="preserve"> </w:t>
      </w:r>
      <w:r w:rsidRPr="004032C2">
        <w:rPr>
          <w:rFonts w:ascii="Times New Roman" w:hAnsi="Times New Roman"/>
          <w:b/>
          <w:sz w:val="28"/>
          <w:szCs w:val="28"/>
        </w:rPr>
        <w:t>(ICD-10</w:t>
      </w:r>
      <w:r w:rsidR="00504A59">
        <w:rPr>
          <w:rFonts w:ascii="Times New Roman" w:hAnsi="Times New Roman"/>
          <w:b/>
          <w:sz w:val="28"/>
          <w:szCs w:val="28"/>
        </w:rPr>
        <w:t>:</w:t>
      </w:r>
      <w:r w:rsidR="00BB2DFE">
        <w:rPr>
          <w:rFonts w:ascii="Times New Roman" w:hAnsi="Times New Roman"/>
          <w:b/>
          <w:sz w:val="28"/>
          <w:szCs w:val="28"/>
        </w:rPr>
        <w:t xml:space="preserve"> </w:t>
      </w:r>
      <w:r w:rsidRPr="004032C2">
        <w:rPr>
          <w:rFonts w:ascii="Times New Roman" w:hAnsi="Times New Roman"/>
          <w:b/>
          <w:sz w:val="28"/>
          <w:szCs w:val="28"/>
        </w:rPr>
        <w:t>C47)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5"/>
        <w:gridCol w:w="4109"/>
        <w:gridCol w:w="5614"/>
      </w:tblGrid>
      <w:tr w:rsidR="00A042E8" w:rsidRPr="004032C2" w14:paraId="2618353A" w14:textId="77777777" w:rsidTr="00166B52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bookmarkEnd w:id="0"/>
          <w:p w14:paraId="2C391CF2" w14:textId="27C9EA28" w:rsidR="00A042E8" w:rsidRPr="004032C2" w:rsidRDefault="00A042E8" w:rsidP="004032C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032C2">
              <w:rPr>
                <w:rFonts w:ascii="Times New Roman" w:hAnsi="Times New Roman"/>
                <w:b/>
                <w:sz w:val="20"/>
                <w:szCs w:val="20"/>
              </w:rPr>
              <w:t>ZAKRES</w:t>
            </w:r>
            <w:r w:rsidR="00BB2DF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032C2">
              <w:rPr>
                <w:rFonts w:ascii="Times New Roman" w:hAnsi="Times New Roman"/>
                <w:b/>
                <w:sz w:val="20"/>
                <w:szCs w:val="20"/>
              </w:rPr>
              <w:t>ŚWIADCZENIA</w:t>
            </w:r>
            <w:r w:rsidR="00BB2DF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032C2">
              <w:rPr>
                <w:rFonts w:ascii="Times New Roman" w:hAnsi="Times New Roman"/>
                <w:b/>
                <w:sz w:val="20"/>
                <w:szCs w:val="20"/>
              </w:rPr>
              <w:t>GWARANTOWANEGO</w:t>
            </w:r>
          </w:p>
        </w:tc>
      </w:tr>
      <w:tr w:rsidR="00A042E8" w:rsidRPr="004032C2" w14:paraId="184EA950" w14:textId="77777777" w:rsidTr="00166B52">
        <w:trPr>
          <w:trHeight w:val="567"/>
        </w:trPr>
        <w:tc>
          <w:tcPr>
            <w:tcW w:w="1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BEA639" w14:textId="77777777" w:rsidR="00A042E8" w:rsidRPr="004032C2" w:rsidRDefault="00A042E8" w:rsidP="004032C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032C2">
              <w:rPr>
                <w:rFonts w:ascii="Times New Roman" w:hAnsi="Times New Roman"/>
                <w:b/>
                <w:sz w:val="20"/>
                <w:szCs w:val="20"/>
              </w:rPr>
              <w:t>ŚWIADCZENIOBIORCY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FB9C5D" w14:textId="5291CE67" w:rsidR="00A042E8" w:rsidRPr="0022592D" w:rsidRDefault="00A042E8" w:rsidP="002259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1" w:name="_Hlk95058746"/>
            <w:r w:rsidRPr="004032C2">
              <w:rPr>
                <w:rFonts w:ascii="Times New Roman" w:hAnsi="Times New Roman"/>
                <w:b/>
                <w:sz w:val="20"/>
                <w:szCs w:val="20"/>
              </w:rPr>
              <w:t>SCHEMAT</w:t>
            </w:r>
            <w:r w:rsidR="00BB2DF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032C2">
              <w:rPr>
                <w:rFonts w:ascii="Times New Roman" w:hAnsi="Times New Roman"/>
                <w:b/>
                <w:sz w:val="20"/>
                <w:szCs w:val="20"/>
              </w:rPr>
              <w:t>DAWKOWANIA</w:t>
            </w:r>
            <w:r w:rsidR="00C955B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032C2">
              <w:rPr>
                <w:rFonts w:ascii="Times New Roman" w:hAnsi="Times New Roman"/>
                <w:b/>
                <w:sz w:val="20"/>
                <w:szCs w:val="20"/>
              </w:rPr>
              <w:t>LEKU</w:t>
            </w:r>
            <w:r w:rsidR="003F225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3F225D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Pr="004032C2">
              <w:rPr>
                <w:rFonts w:ascii="Times New Roman" w:hAnsi="Times New Roman"/>
                <w:b/>
                <w:sz w:val="20"/>
                <w:szCs w:val="20"/>
              </w:rPr>
              <w:t>W</w:t>
            </w:r>
            <w:r w:rsidR="00BB2DF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032C2">
              <w:rPr>
                <w:rFonts w:ascii="Times New Roman" w:hAnsi="Times New Roman"/>
                <w:b/>
                <w:sz w:val="20"/>
                <w:szCs w:val="20"/>
              </w:rPr>
              <w:t>PROGRAMIE</w:t>
            </w:r>
            <w:bookmarkEnd w:id="1"/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75EA2E" w14:textId="77777777" w:rsidR="0022592D" w:rsidRDefault="00A042E8" w:rsidP="004032C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2" w:name="_Hlk47480559"/>
            <w:r w:rsidRPr="004032C2">
              <w:rPr>
                <w:rFonts w:ascii="Times New Roman" w:hAnsi="Times New Roman"/>
                <w:b/>
                <w:sz w:val="20"/>
                <w:szCs w:val="20"/>
              </w:rPr>
              <w:t>BADANIA</w:t>
            </w:r>
            <w:r w:rsidR="00BB2DF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032C2">
              <w:rPr>
                <w:rFonts w:ascii="Times New Roman" w:hAnsi="Times New Roman"/>
                <w:b/>
                <w:sz w:val="20"/>
                <w:szCs w:val="20"/>
              </w:rPr>
              <w:t>DIAGNOSTYCZNE</w:t>
            </w:r>
            <w:r w:rsidR="00BB2DF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032C2">
              <w:rPr>
                <w:rFonts w:ascii="Times New Roman" w:hAnsi="Times New Roman"/>
                <w:b/>
                <w:sz w:val="20"/>
                <w:szCs w:val="20"/>
              </w:rPr>
              <w:t>WYKONYWANE</w:t>
            </w:r>
            <w:r w:rsidR="00BB2DF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14:paraId="5CAA9CCF" w14:textId="2CD7D793" w:rsidR="00A042E8" w:rsidRPr="004032C2" w:rsidRDefault="00A042E8" w:rsidP="004032C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032C2">
              <w:rPr>
                <w:rFonts w:ascii="Times New Roman" w:hAnsi="Times New Roman"/>
                <w:b/>
                <w:sz w:val="20"/>
                <w:szCs w:val="20"/>
              </w:rPr>
              <w:t>W</w:t>
            </w:r>
            <w:r w:rsidR="00BB2DF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032C2">
              <w:rPr>
                <w:rFonts w:ascii="Times New Roman" w:hAnsi="Times New Roman"/>
                <w:b/>
                <w:sz w:val="20"/>
                <w:szCs w:val="20"/>
              </w:rPr>
              <w:t>RAMACH</w:t>
            </w:r>
            <w:r w:rsidR="00BB2DF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032C2">
              <w:rPr>
                <w:rFonts w:ascii="Times New Roman" w:hAnsi="Times New Roman"/>
                <w:b/>
                <w:sz w:val="20"/>
                <w:szCs w:val="20"/>
              </w:rPr>
              <w:t>PROGRAMU</w:t>
            </w:r>
            <w:bookmarkEnd w:id="2"/>
          </w:p>
        </w:tc>
      </w:tr>
      <w:tr w:rsidR="00A042E8" w:rsidRPr="004032C2" w14:paraId="58BABD08" w14:textId="77777777" w:rsidTr="00166B52">
        <w:trPr>
          <w:trHeight w:val="1"/>
        </w:trPr>
        <w:tc>
          <w:tcPr>
            <w:tcW w:w="1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21C0F" w14:textId="271424C7" w:rsidR="00A042E8" w:rsidRPr="00166B52" w:rsidRDefault="00A042E8" w:rsidP="00166B52">
            <w:pPr>
              <w:pStyle w:val="Akapitzlist"/>
              <w:numPr>
                <w:ilvl w:val="0"/>
                <w:numId w:val="6"/>
              </w:numPr>
              <w:spacing w:before="120"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Kwalifikacja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świadczeniobiorców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terapii</w:t>
            </w:r>
          </w:p>
          <w:p w14:paraId="5DBB358D" w14:textId="5A538189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Pacjent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kwalifikowany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Zespół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Koordynujący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ds.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„Leczenia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7128" w:rsidRPr="00166B52">
              <w:rPr>
                <w:rFonts w:ascii="Times New Roman" w:hAnsi="Times New Roman"/>
                <w:sz w:val="20"/>
                <w:szCs w:val="20"/>
              </w:rPr>
              <w:t>d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inutu</w:t>
            </w:r>
            <w:r w:rsidR="008F3EF5" w:rsidRPr="00166B52">
              <w:rPr>
                <w:rFonts w:ascii="Times New Roman" w:hAnsi="Times New Roman"/>
                <w:sz w:val="20"/>
                <w:szCs w:val="20"/>
              </w:rPr>
              <w:t>ksy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mabem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beta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Nerwiakiem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Zarodkowym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Współczulnym”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powołany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Prezesa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Narodowego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Funduszu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Zdrowia.</w:t>
            </w:r>
            <w:r w:rsidR="00C955BC" w:rsidRPr="00166B52">
              <w:rPr>
                <w:rFonts w:ascii="Times New Roman" w:hAnsi="Times New Roman"/>
                <w:sz w:val="20"/>
                <w:szCs w:val="20"/>
              </w:rPr>
              <w:t xml:space="preserve"> Zespół Koordynujący dokonuje</w:t>
            </w:r>
            <w:r w:rsidR="00534D45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955BC" w:rsidRPr="00166B52">
              <w:rPr>
                <w:rFonts w:ascii="Times New Roman" w:hAnsi="Times New Roman"/>
                <w:sz w:val="20"/>
                <w:szCs w:val="20"/>
              </w:rPr>
              <w:t>weryfikacji</w:t>
            </w:r>
            <w:r w:rsidR="00534D45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955BC" w:rsidRPr="00166B52">
              <w:rPr>
                <w:rFonts w:ascii="Times New Roman" w:hAnsi="Times New Roman"/>
                <w:sz w:val="20"/>
                <w:szCs w:val="20"/>
              </w:rPr>
              <w:t>skuteczności leczenia</w:t>
            </w:r>
            <w:r w:rsidR="00534D45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955BC" w:rsidRPr="00166B52">
              <w:rPr>
                <w:rFonts w:ascii="Times New Roman" w:hAnsi="Times New Roman"/>
                <w:sz w:val="20"/>
                <w:szCs w:val="20"/>
              </w:rPr>
              <w:t xml:space="preserve">po zakończeniu terapii. </w:t>
            </w:r>
          </w:p>
          <w:p w14:paraId="77CFEEF2" w14:textId="77777777" w:rsidR="00C244FD" w:rsidRPr="00166B52" w:rsidRDefault="00C244FD" w:rsidP="00166B52">
            <w:pPr>
              <w:spacing w:after="60"/>
              <w:jc w:val="both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E78B8EF" w14:textId="49034E3E" w:rsidR="00A042E8" w:rsidRPr="00166B52" w:rsidRDefault="00A042E8" w:rsidP="00166B52">
            <w:pPr>
              <w:pStyle w:val="Akapitzlist"/>
              <w:numPr>
                <w:ilvl w:val="0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Rodzaje</w:t>
            </w:r>
            <w:r w:rsidR="00BB2DFE" w:rsidRPr="00166B5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programów</w:t>
            </w:r>
          </w:p>
          <w:p w14:paraId="585B9B8A" w14:textId="0DE3EA5F" w:rsidR="00A042E8" w:rsidRPr="00166B52" w:rsidRDefault="00A042E8" w:rsidP="00166B52">
            <w:pPr>
              <w:pStyle w:val="Akapitzlist"/>
              <w:numPr>
                <w:ilvl w:val="1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Leczenie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35982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noworozpoznanego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nerwiaka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zarodkowego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współcz</w:t>
            </w:r>
            <w:r w:rsidR="00C3781F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ulnego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3781F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(NBL)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3781F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wysokiego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3781F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ryzyka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3781F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pacjentów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3781F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dobrą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odpowiedzią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leczenie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che</w:t>
            </w:r>
            <w:r w:rsidR="00C3781F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mioterapią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3781F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indukcyjną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3781F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zgodnie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3781F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obowiązującym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protokołem</w:t>
            </w:r>
          </w:p>
          <w:p w14:paraId="4D6ADA7E" w14:textId="2BF9262E" w:rsidR="00A042E8" w:rsidRPr="00166B52" w:rsidRDefault="00A042E8" w:rsidP="00166B52">
            <w:pPr>
              <w:pStyle w:val="Akapitzlist"/>
              <w:numPr>
                <w:ilvl w:val="2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Kryteria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244FD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kwalifikacji</w:t>
            </w:r>
          </w:p>
          <w:p w14:paraId="174CFA0E" w14:textId="45A9DB0C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rozpoznanie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nerwiaka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zarodkowego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współczulnego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międzynarodowymi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kryteriami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i/>
                <w:sz w:val="20"/>
                <w:szCs w:val="20"/>
              </w:rPr>
              <w:t>International</w:t>
            </w:r>
            <w:r w:rsidR="00BB2DFE" w:rsidRPr="00166B52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i/>
                <w:sz w:val="20"/>
                <w:szCs w:val="20"/>
              </w:rPr>
              <w:t>Neuroblastoma</w:t>
            </w:r>
            <w:r w:rsidR="00BB2DFE" w:rsidRPr="00166B52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i/>
                <w:sz w:val="20"/>
                <w:szCs w:val="20"/>
              </w:rPr>
              <w:t>Staging</w:t>
            </w:r>
            <w:r w:rsidR="00BB2DFE" w:rsidRPr="00166B52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i/>
                <w:sz w:val="20"/>
                <w:szCs w:val="20"/>
              </w:rPr>
              <w:t>System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(INSS)</w:t>
            </w:r>
            <w:r w:rsidR="00057A76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F219C3C" w14:textId="7E826263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zakwalifikowanie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grupy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wysokiego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ryzyka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definiowanej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jako: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773AFFE" w14:textId="408EF466" w:rsidR="00A042E8" w:rsidRPr="00166B52" w:rsidRDefault="00A042E8" w:rsidP="00166B52">
            <w:pPr>
              <w:pStyle w:val="Akapitzlist"/>
              <w:numPr>
                <w:ilvl w:val="4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stopień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2,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3,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4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4s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wg.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INSS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amplifikacją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MYCN,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niezależnie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wieku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momencie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rozpoznania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3C338967" w14:textId="77777777" w:rsidR="00A042E8" w:rsidRPr="00166B52" w:rsidRDefault="00A042E8" w:rsidP="00166B52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</w:p>
          <w:p w14:paraId="202AFE00" w14:textId="17E3508D" w:rsidR="00A042E8" w:rsidRPr="00166B52" w:rsidRDefault="00A042E8" w:rsidP="00166B52">
            <w:pPr>
              <w:pStyle w:val="Akapitzlist"/>
              <w:numPr>
                <w:ilvl w:val="4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lastRenderedPageBreak/>
              <w:t>stopień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4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wg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INSS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bez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amplifikacji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MYCN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wieku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&gt;12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miesięcy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momencie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rozpoznania</w:t>
            </w:r>
            <w:r w:rsidR="00057A76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C5F07B7" w14:textId="3FB2B5DB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uzyskanie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minimum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częściowej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remisji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miejsc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przerzutów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zastosowaniu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indukcyjnego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aktualnym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protokołe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terapeutycznym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pacjentów,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których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kolejnym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etapie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przeprowadzono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minimum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jedną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terapię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mieloablacyjną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wspomaganą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przeszczepieniem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macierzystych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komórek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krwiotwórczych</w:t>
            </w:r>
            <w:r w:rsidR="00057A76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4B7B66B" w14:textId="3DDE6F8F" w:rsidR="00A042E8" w:rsidRPr="00166B52" w:rsidRDefault="00783DB3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wiek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≥12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miesięcy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momencie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rozpoczęcia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immunoterapii</w:t>
            </w:r>
            <w:r w:rsidR="00057A76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6DE16E4" w14:textId="2787E2AA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brak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jakimkolwiek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etapie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dotychczasowego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057A76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120F183" w14:textId="1DA80966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prawidłowa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narządów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(zgodnie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wykazem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niezbędnych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programu)</w:t>
            </w:r>
            <w:r w:rsidR="00057A76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7DDE968" w14:textId="2EEDDA8A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uzyskanie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pisemnej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i/lub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przedstawiciela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ustawowego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zastosowanie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</w:t>
            </w:r>
            <w:r w:rsidR="005C0274" w:rsidRPr="00166B52">
              <w:rPr>
                <w:rFonts w:ascii="Times New Roman" w:hAnsi="Times New Roman"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C0274" w:rsidRPr="00166B52">
              <w:rPr>
                <w:rFonts w:ascii="Times New Roman" w:hAnsi="Times New Roman"/>
                <w:sz w:val="20"/>
                <w:szCs w:val="20"/>
              </w:rPr>
              <w:t>d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5C0274" w:rsidRPr="00166B52">
              <w:rPr>
                <w:rFonts w:ascii="Times New Roman" w:hAnsi="Times New Roman"/>
                <w:sz w:val="20"/>
                <w:szCs w:val="20"/>
              </w:rPr>
              <w:t>nutuksy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mabem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beta</w:t>
            </w:r>
            <w:r w:rsidR="00057A76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7502B2C" w14:textId="4B10D1A5" w:rsidR="00783DB3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założony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cewnik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dostępu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żyły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centralnej,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miarę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możliwości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dwukanał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owy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zgoda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jego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założenie</w:t>
            </w:r>
            <w:r w:rsidR="00057A76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9952281" w14:textId="53108241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ujemne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wyniki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kierunku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zakażenia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ludzkim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wirusem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upośledzenia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odporności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(HIV)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wirusami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zapalenia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typu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(HBV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HCV)</w:t>
            </w:r>
            <w:r w:rsidR="00057A76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959A1E1" w14:textId="388BD37C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stosowanie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skutecznych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metod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antykoncepcyjnych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wieku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rozrodczym;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kobiety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karmiące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piersią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muszą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wyrazić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zaprzestanie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karmienia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5C4C177" w14:textId="55CC6CCA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Pacjent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musi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spełniać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wszystkie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powyższe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włączenia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programu.</w:t>
            </w:r>
          </w:p>
          <w:p w14:paraId="283ECB3F" w14:textId="77777777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C0801A3" w14:textId="1DA77EE8" w:rsidR="00A042E8" w:rsidRPr="00166B52" w:rsidRDefault="00A042E8" w:rsidP="00166B52">
            <w:pPr>
              <w:pStyle w:val="Akapitzlist"/>
              <w:numPr>
                <w:ilvl w:val="2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Kryteria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wyłączenia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programu</w:t>
            </w:r>
          </w:p>
          <w:p w14:paraId="2A338436" w14:textId="27455E85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rozległa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przewlekła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albo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ostra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3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4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stopnia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choroba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przeszczep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przeciwko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gospodarzowi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(cGvHD)</w:t>
            </w:r>
            <w:r w:rsidR="00057A76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563D5B9" w14:textId="214946B8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lastRenderedPageBreak/>
              <w:t>ciąża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karmienie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piersią</w:t>
            </w:r>
            <w:r w:rsidR="00057A76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20AE656" w14:textId="685A3F33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objawowa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niewydolność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krążenia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niekontrolowane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lekami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zaburzenia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rytmu</w:t>
            </w:r>
            <w:r w:rsidR="00057A76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73339B2" w14:textId="1111719C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psychiatryczne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niekontrolowane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przebiegające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drgawkami</w:t>
            </w:r>
            <w:r w:rsidR="00057A76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339544E" w14:textId="6AD9A2BB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ciężkie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aktywne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infekcje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momentu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stabilizacji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klinicznej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trakcie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057A76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9640ABB" w14:textId="7B35A00D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klinicznie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istotne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deficyty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neurologiczne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potwierdzona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neuropatia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obwodowa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(&gt;2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stopnia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CTC)</w:t>
            </w:r>
            <w:r w:rsidR="00057A76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DFC6BF8" w14:textId="02A26DA3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klinicznie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istotny,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objawowy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wysięk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opłucnej.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7C6E03C" w14:textId="77777777" w:rsidR="00A042E8" w:rsidRPr="00166B52" w:rsidRDefault="00A042E8" w:rsidP="00166B52">
            <w:pPr>
              <w:spacing w:after="60"/>
              <w:ind w:left="72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3954127" w14:textId="7F82AFE6" w:rsidR="00A042E8" w:rsidRPr="00166B52" w:rsidRDefault="00A042E8" w:rsidP="00166B52">
            <w:pPr>
              <w:pStyle w:val="Akapitzlist"/>
              <w:numPr>
                <w:ilvl w:val="2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Określenie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czasu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według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programu</w:t>
            </w:r>
          </w:p>
          <w:p w14:paraId="1FF14977" w14:textId="57F04060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Planowane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podanie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5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cykli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immunoterapii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  <w:shd w:val="clear" w:color="auto" w:fill="FFFFFF" w:themeFill="background1"/>
              </w:rPr>
              <w:t>średnio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35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dni.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Wcześniejsze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przerwanie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konieczne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wznowy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podstawowej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jednego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kryteriów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wykluczenia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programu.</w:t>
            </w:r>
          </w:p>
          <w:p w14:paraId="40871A20" w14:textId="77777777" w:rsidR="00583507" w:rsidRPr="00166B52" w:rsidRDefault="00583507" w:rsidP="00166B52">
            <w:pPr>
              <w:pStyle w:val="Akapitzlist"/>
              <w:spacing w:after="60"/>
              <w:ind w:left="22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69C1AF9" w14:textId="59DC7C4C" w:rsidR="00A042E8" w:rsidRPr="00166B52" w:rsidRDefault="00783DB3" w:rsidP="00166B52">
            <w:pPr>
              <w:pStyle w:val="Akapitzlist"/>
              <w:numPr>
                <w:ilvl w:val="2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Kryteria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wykluczenia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b/>
                <w:sz w:val="20"/>
                <w:szCs w:val="20"/>
              </w:rPr>
              <w:t>udziału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b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b/>
                <w:sz w:val="20"/>
                <w:szCs w:val="20"/>
              </w:rPr>
              <w:t>programie</w:t>
            </w:r>
          </w:p>
          <w:p w14:paraId="2DC37389" w14:textId="1186DE6F" w:rsidR="00A042E8" w:rsidRPr="00166B52" w:rsidRDefault="00A042E8" w:rsidP="00166B52">
            <w:pPr>
              <w:pStyle w:val="Akapitzlist"/>
              <w:keepLines/>
              <w:numPr>
                <w:ilvl w:val="3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bezwzględne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wskazania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przerwania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immunoterapii</w:t>
            </w:r>
            <w:r w:rsidR="00583507" w:rsidRPr="00166B52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E3427A3" w14:textId="32655E1E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neurotoksyczność: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zaburzenia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czucia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stopniu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3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CTC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uniemożliwiające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wykonywanie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codziennych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czynności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utrzymujące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się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powyżej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2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tygodni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zakończenia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wlewu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przeciwciał,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obiektywne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osłabienie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siły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ęśniowej,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zaburzenia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widzenia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83DB3"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stopniu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3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CTC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(subtotalna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utrata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wzroku),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objawy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zapalenia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rdzenia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kręgowego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1E15C06" w14:textId="0969B98A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hipotensja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3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4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stopniu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CTC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występująca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ponownym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podaniu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pomimo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redukcji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dawki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leku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D943AC7" w14:textId="72C83FBC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zespół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7621B">
              <w:rPr>
                <w:rFonts w:ascii="Times New Roman" w:hAnsi="Times New Roman"/>
                <w:sz w:val="20"/>
                <w:szCs w:val="20"/>
              </w:rPr>
              <w:t>przesi</w:t>
            </w:r>
            <w:r w:rsidR="0037621B" w:rsidRPr="0037621B">
              <w:rPr>
                <w:rFonts w:ascii="Times New Roman" w:hAnsi="Times New Roman"/>
                <w:sz w:val="20"/>
                <w:szCs w:val="20"/>
              </w:rPr>
              <w:t>ą</w:t>
            </w:r>
            <w:r w:rsidRPr="0037621B">
              <w:rPr>
                <w:rFonts w:ascii="Times New Roman" w:hAnsi="Times New Roman"/>
                <w:sz w:val="20"/>
                <w:szCs w:val="20"/>
              </w:rPr>
              <w:t>kania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kapilar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(CLS)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4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stopniu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CTC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występujący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ponownym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podaniu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pomimo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redukcji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dawki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leku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A9FD402" w14:textId="5ED10154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lastRenderedPageBreak/>
              <w:t>wystąpienie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wznowy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0954A57" w14:textId="67780D3C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brak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i/lub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przedstawicieli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ustawowych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kontynuację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4A519783" w14:textId="421BABEA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brak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współpracy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uniemożliwiający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prowadzenie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72E675D" w14:textId="5E43A8EA" w:rsidR="00A042E8" w:rsidRPr="00166B52" w:rsidRDefault="00A042E8" w:rsidP="00166B52">
            <w:pPr>
              <w:pStyle w:val="Akapitzlist"/>
              <w:keepLines/>
              <w:numPr>
                <w:ilvl w:val="3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wskazania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przerwania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cyklu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immunoterapii,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możliwością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ponownego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włączenia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uzyskaniu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Koordynującego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(konieczne: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dostarczenie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szczegółowego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przebiegu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wydarzeń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wgląd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dokumentację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medyczną):</w:t>
            </w:r>
          </w:p>
          <w:p w14:paraId="0A402E69" w14:textId="7F839B72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hipotensja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i/lub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CLS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stopniu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5B411A88" w14:textId="563392E7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hiponatremia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objawowa,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hiponatremia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&lt;125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mmol/l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trwająca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&gt;48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godzin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hiponatremia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ciężka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&lt;120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mmol/l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6BA3A992" w14:textId="3A3694A9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reakcja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alergiczna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stopniu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(anafilaksja)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(skurcz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oskrzeli)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00AD41E6" w14:textId="0EF41A25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długotrwała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obwodowa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neuropatia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ruchowa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stopnia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11C5D1C6" w14:textId="012F756D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neuropatia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obwodowa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057A76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topnia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6D0D5BC4" w14:textId="06790DDF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kardiotoksyczność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≥3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stopnia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34865472" w14:textId="7C0DE017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ból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neuropatyczny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stopniu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nie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odpowiadający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leczenie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20625A61" w14:textId="23C8A6AB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choroba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posurowicza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≥3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stopnia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78320138" w14:textId="3ED04CDD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toksyczności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skórne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≥3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stopnia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3165B436" w14:textId="33A1E332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nadwrażliwość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czynną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któ</w:t>
            </w:r>
            <w:r w:rsidR="007F3F3D" w:rsidRPr="00166B52">
              <w:rPr>
                <w:rFonts w:ascii="Times New Roman" w:hAnsi="Times New Roman"/>
                <w:sz w:val="20"/>
                <w:szCs w:val="20"/>
              </w:rPr>
              <w:t>rąkolwiek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F3F3D" w:rsidRPr="00166B52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F3F3D" w:rsidRPr="00166B52">
              <w:rPr>
                <w:rFonts w:ascii="Times New Roman" w:hAnsi="Times New Roman"/>
                <w:sz w:val="20"/>
                <w:szCs w:val="20"/>
              </w:rPr>
              <w:t>pomocniczą.</w:t>
            </w:r>
          </w:p>
          <w:p w14:paraId="25BF40A1" w14:textId="77777777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51F1F21" w14:textId="7E2DBCE0" w:rsidR="00A042E8" w:rsidRPr="00166B52" w:rsidRDefault="00A042E8" w:rsidP="00166B52">
            <w:pPr>
              <w:pStyle w:val="Akapitzlist"/>
              <w:numPr>
                <w:ilvl w:val="1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>Leczenie</w:t>
            </w:r>
            <w:r w:rsidR="00BB2DFE"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>nawrotowego</w:t>
            </w:r>
            <w:r w:rsidR="00BB2DFE"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>opornego</w:t>
            </w:r>
            <w:r w:rsidR="00BB2DFE"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>leczenie</w:t>
            </w:r>
            <w:r w:rsidR="00BB2DFE"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>nerwiaka</w:t>
            </w:r>
            <w:r w:rsidR="00BB2DFE"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>zarodkowego</w:t>
            </w:r>
            <w:r w:rsidR="00BB2DFE"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sz w:val="20"/>
                <w:szCs w:val="20"/>
              </w:rPr>
              <w:t>współczulnego</w:t>
            </w:r>
          </w:p>
          <w:p w14:paraId="05FA0923" w14:textId="38B2BAEC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kwalifikowani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będą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niezależnie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stopnia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osiągniętej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remisji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(dopuszczalna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obecność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stabilnych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zmian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nowotworowych).</w:t>
            </w:r>
          </w:p>
          <w:p w14:paraId="643D3684" w14:textId="62BE8F54" w:rsidR="00A042E8" w:rsidRPr="00166B52" w:rsidRDefault="00A042E8" w:rsidP="00166B52">
            <w:pPr>
              <w:pStyle w:val="Akapitzlist"/>
              <w:numPr>
                <w:ilvl w:val="2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Kryteria</w:t>
            </w:r>
            <w:r w:rsidR="00BB2DFE" w:rsidRPr="00166B5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kwalifikacji</w:t>
            </w:r>
          </w:p>
          <w:p w14:paraId="1B6145A4" w14:textId="2D07FB6B" w:rsidR="00A042E8" w:rsidRPr="00166B52" w:rsidRDefault="00A042E8" w:rsidP="00166B52">
            <w:pPr>
              <w:pStyle w:val="Akapitzlist"/>
              <w:numPr>
                <w:ilvl w:val="3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rozpoznanie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nerwiaka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zarodkowego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współczulnego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międzynarodowymi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kryteriami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i/>
                <w:sz w:val="20"/>
                <w:szCs w:val="20"/>
              </w:rPr>
              <w:t>International</w:t>
            </w:r>
            <w:r w:rsidR="00BB2DFE" w:rsidRPr="00166B52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i/>
                <w:sz w:val="20"/>
                <w:szCs w:val="20"/>
              </w:rPr>
              <w:t>Neuroblastoma</w:t>
            </w:r>
            <w:r w:rsidR="00BB2DFE" w:rsidRPr="00166B52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i/>
                <w:sz w:val="20"/>
                <w:szCs w:val="20"/>
              </w:rPr>
              <w:t>Staging</w:t>
            </w:r>
            <w:r w:rsidR="00BB2DFE" w:rsidRPr="00166B52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i/>
                <w:sz w:val="20"/>
                <w:szCs w:val="20"/>
              </w:rPr>
              <w:t>System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(INSS)</w:t>
            </w:r>
            <w:r w:rsidR="00D55424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DB95654" w14:textId="2644F264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wiek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≥12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miesięcy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momencie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rozpoczęcia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immunoterapii</w:t>
            </w:r>
            <w:r w:rsidR="00D55424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A31C5BB" w14:textId="1CEB07CF" w:rsidR="00907673" w:rsidRPr="00166B52" w:rsidRDefault="00E62DCB" w:rsidP="00166B52">
            <w:pPr>
              <w:pStyle w:val="Akapitzlist"/>
              <w:numPr>
                <w:ilvl w:val="3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stwierdzenie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NBL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wysokiego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ryzyka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8562C" w:rsidRPr="00166B52">
              <w:rPr>
                <w:rFonts w:ascii="Times New Roman" w:hAnsi="Times New Roman"/>
                <w:sz w:val="20"/>
                <w:szCs w:val="20"/>
              </w:rPr>
              <w:t>nieadekwatnej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8562C" w:rsidRPr="00166B52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8562C"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8562C" w:rsidRPr="00166B52">
              <w:rPr>
                <w:rFonts w:ascii="Times New Roman" w:hAnsi="Times New Roman"/>
                <w:sz w:val="20"/>
                <w:szCs w:val="20"/>
              </w:rPr>
              <w:t>wstępne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8562C" w:rsidRPr="00166B52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8562C" w:rsidRPr="00166B52">
              <w:rPr>
                <w:rFonts w:ascii="Times New Roman" w:hAnsi="Times New Roman"/>
                <w:sz w:val="20"/>
                <w:szCs w:val="20"/>
              </w:rPr>
              <w:t>indukcyjne,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8562C" w:rsidRPr="00166B52">
              <w:rPr>
                <w:rFonts w:ascii="Times New Roman" w:hAnsi="Times New Roman"/>
                <w:sz w:val="20"/>
                <w:szCs w:val="20"/>
              </w:rPr>
              <w:t>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8562C" w:rsidRPr="00166B52">
              <w:rPr>
                <w:rFonts w:ascii="Times New Roman" w:hAnsi="Times New Roman"/>
                <w:sz w:val="20"/>
                <w:szCs w:val="20"/>
              </w:rPr>
              <w:t>których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F3F3D" w:rsidRPr="00166B52">
              <w:rPr>
                <w:rFonts w:ascii="Times New Roman" w:hAnsi="Times New Roman"/>
                <w:sz w:val="20"/>
                <w:szCs w:val="20"/>
              </w:rPr>
              <w:t>przeprowadz</w:t>
            </w:r>
            <w:r w:rsidR="003003C0" w:rsidRPr="00166B52">
              <w:rPr>
                <w:rFonts w:ascii="Times New Roman" w:hAnsi="Times New Roman"/>
                <w:sz w:val="20"/>
                <w:szCs w:val="20"/>
              </w:rPr>
              <w:t>ono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03C0" w:rsidRPr="00166B52">
              <w:rPr>
                <w:rFonts w:ascii="Times New Roman" w:hAnsi="Times New Roman"/>
                <w:sz w:val="20"/>
                <w:szCs w:val="20"/>
              </w:rPr>
              <w:t>kolejną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03C0" w:rsidRPr="00166B52">
              <w:rPr>
                <w:rFonts w:ascii="Times New Roman" w:hAnsi="Times New Roman"/>
                <w:sz w:val="20"/>
                <w:szCs w:val="20"/>
              </w:rPr>
              <w:t>linię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chemioterapii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indukcyjnej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03C0"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zastosowano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najmniej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jedną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terapię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mieloablacyjną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dowolnym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etapie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wspomaganą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przeszczepieniem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macierzystych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komórek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56C1A" w:rsidRPr="00166B52">
              <w:rPr>
                <w:rFonts w:ascii="Times New Roman" w:hAnsi="Times New Roman"/>
                <w:sz w:val="20"/>
                <w:szCs w:val="20"/>
              </w:rPr>
              <w:t>krwiotwórczych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27B8274" w14:textId="46884642" w:rsidR="00907673" w:rsidRPr="00166B52" w:rsidRDefault="00A042E8" w:rsidP="00166B52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52E181F" w14:textId="6AD520F4" w:rsidR="00AD63A3" w:rsidRPr="00166B52" w:rsidRDefault="00907673" w:rsidP="00166B52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stwierdzenie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NBL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wysokiego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ryzyka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wznowy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choroby,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których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uzyskano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najmniej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stabilizację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kolejnej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linii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chemioterapii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indukcyjnej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przeprowadzono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644BA" w:rsidRPr="00166B52">
              <w:rPr>
                <w:rFonts w:ascii="Times New Roman" w:hAnsi="Times New Roman"/>
                <w:sz w:val="20"/>
                <w:szCs w:val="20"/>
              </w:rPr>
              <w:t>co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644BA" w:rsidRPr="00166B52">
              <w:rPr>
                <w:rFonts w:ascii="Times New Roman" w:hAnsi="Times New Roman"/>
                <w:sz w:val="20"/>
                <w:szCs w:val="20"/>
              </w:rPr>
              <w:t>najmniej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644BA" w:rsidRPr="00166B52">
              <w:rPr>
                <w:rFonts w:ascii="Times New Roman" w:hAnsi="Times New Roman"/>
                <w:sz w:val="20"/>
                <w:szCs w:val="20"/>
              </w:rPr>
              <w:t>jedną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terapi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mieloablacyjną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wspomaganą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przeszczepieniem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macierzystych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komórek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krwiotwórczych</w:t>
            </w:r>
            <w:r w:rsidR="00F644BA" w:rsidRPr="00166B52">
              <w:rPr>
                <w:rFonts w:ascii="Times New Roman" w:hAnsi="Times New Roman"/>
                <w:sz w:val="20"/>
                <w:szCs w:val="20"/>
              </w:rPr>
              <w:t>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D63A3"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D63A3"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D63A3" w:rsidRPr="00166B52">
              <w:rPr>
                <w:rFonts w:ascii="Times New Roman" w:hAnsi="Times New Roman"/>
                <w:sz w:val="20"/>
                <w:szCs w:val="20"/>
              </w:rPr>
              <w:t>braku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D63A3" w:rsidRPr="00166B52">
              <w:rPr>
                <w:rFonts w:ascii="Times New Roman" w:hAnsi="Times New Roman"/>
                <w:sz w:val="20"/>
                <w:szCs w:val="20"/>
              </w:rPr>
              <w:t>możliwości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D63A3" w:rsidRPr="00166B52">
              <w:rPr>
                <w:rFonts w:ascii="Times New Roman" w:hAnsi="Times New Roman"/>
                <w:sz w:val="20"/>
                <w:szCs w:val="20"/>
              </w:rPr>
              <w:t>przeprowadzenia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mieloablacyjnej,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decyzja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możliwości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włączenia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lekowego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podejmowana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będzie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przez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Zespół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Koordynujący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05A5E4AF" w14:textId="77777777" w:rsidR="00907673" w:rsidRPr="00166B52" w:rsidRDefault="00907673" w:rsidP="00166B52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</w:p>
          <w:p w14:paraId="4842CF10" w14:textId="0D5E2D66" w:rsidR="00A042E8" w:rsidRPr="00166B52" w:rsidRDefault="00907673" w:rsidP="00166B52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stwierdzenie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wznowy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każdego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NBL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4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stopniu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zaawansowania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460E6936" w14:textId="77777777" w:rsidR="00F644BA" w:rsidRPr="00166B52" w:rsidRDefault="00F644BA" w:rsidP="00166B52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</w:p>
          <w:p w14:paraId="31E712A3" w14:textId="4AA1E275" w:rsidR="00A042E8" w:rsidRPr="00166B52" w:rsidRDefault="00F644BA" w:rsidP="00166B52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stwierdzenie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uogólnionej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wznow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56C1A"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neuroblastoma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niskiego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pośredniego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ryzyka</w:t>
            </w:r>
            <w:r w:rsidR="00D55424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8C2BEC6" w14:textId="31034065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założony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cewnik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dostępu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żyły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centralnej,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miarę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możliwości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dwukanałowy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założenie</w:t>
            </w:r>
            <w:r w:rsidR="00D55424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21D7751" w14:textId="09703E0A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brak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ocenie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bezpośrednio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immunoterapią</w:t>
            </w:r>
            <w:r w:rsidR="00D55424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F77198C" w14:textId="16AED672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prawidłowa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narządów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(zgodnie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wykazem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niezbędnych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programu)</w:t>
            </w:r>
            <w:r w:rsidR="00D55424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71BCF67" w14:textId="70560F15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ujemne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wyniki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kierunku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zakażenia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ludzkim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wirusem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upośledzenia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odporności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(HIV)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wirusami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zapalenia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typu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(HBV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HCV)</w:t>
            </w:r>
            <w:r w:rsidR="00D55424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0F05718" w14:textId="3EA9691D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uzyskanie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pisemnej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i/lub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przedstawiciela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ustawowego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zastosowanie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D55424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533ACED" w14:textId="3E765420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stosowanie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skutecznych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metod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antykoncepcyjnych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wieku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rozrodczym;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kobiety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karmiące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piersią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muszą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wyrazić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zaprzestanie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karmienia.</w:t>
            </w:r>
          </w:p>
          <w:p w14:paraId="7847078E" w14:textId="7FF9B1BA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Pacjent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musi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spełniać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wszystkie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powyższe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włączenia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programu.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7F9D483" w14:textId="77777777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65A7E3B" w14:textId="4A57FEFD" w:rsidR="00A042E8" w:rsidRPr="00166B52" w:rsidRDefault="00A042E8" w:rsidP="00166B52">
            <w:pPr>
              <w:pStyle w:val="Akapitzlist"/>
              <w:numPr>
                <w:ilvl w:val="2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Kryteria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wyłączenia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programu</w:t>
            </w:r>
          </w:p>
          <w:p w14:paraId="78A972B3" w14:textId="3CCB0EEB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rozległa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przewlekła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albo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ostra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3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4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stopnia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choroba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przeszczep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przeciwko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gospodarzowi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(cGvHD)</w:t>
            </w:r>
            <w:r w:rsidR="00451880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7A231FE" w14:textId="5D1D3B5C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ciąża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karmienie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piersią</w:t>
            </w:r>
            <w:r w:rsidR="00451880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464A594" w14:textId="221B909A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objawowa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niewydolność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krążenia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niekontrolowane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lekami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zaburzenia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rytmu</w:t>
            </w:r>
            <w:r w:rsidR="00451880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B6D813F" w14:textId="5B2F52A6" w:rsidR="00E87F93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psychiatryczne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niekontrolowane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choroby,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przebiegające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drgawkami</w:t>
            </w:r>
            <w:r w:rsidR="00451880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1DB0625" w14:textId="4B390164" w:rsidR="00CB0C67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ciężkie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aktywne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infekcje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momentu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wyleczeni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stabilizacji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klinicznej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trakcie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451880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05927B9" w14:textId="7C755324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klinicznie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istotne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deficyty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neurologiczne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potwierdzona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neuropatia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obwodowa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(&gt;2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stopnia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CTC)</w:t>
            </w:r>
            <w:r w:rsidR="00451880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7559C08" w14:textId="67A2D315" w:rsidR="00A042E8" w:rsidRPr="00166B52" w:rsidRDefault="00A042E8" w:rsidP="00166B52">
            <w:pPr>
              <w:numPr>
                <w:ilvl w:val="3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klinicznie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istotny,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objawowy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wysięk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opłucnej.</w:t>
            </w:r>
          </w:p>
          <w:p w14:paraId="4A4F9EBF" w14:textId="77777777" w:rsidR="00A042E8" w:rsidRPr="00166B52" w:rsidRDefault="00A042E8" w:rsidP="00166B52">
            <w:pPr>
              <w:spacing w:after="60"/>
              <w:ind w:left="72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B89D5EF" w14:textId="24964B34" w:rsidR="00A042E8" w:rsidRPr="00166B52" w:rsidRDefault="00A042E8" w:rsidP="00166B52">
            <w:pPr>
              <w:pStyle w:val="Akapitzlist"/>
              <w:numPr>
                <w:ilvl w:val="2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Określenie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czasu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według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programu</w:t>
            </w:r>
          </w:p>
          <w:p w14:paraId="21E115C8" w14:textId="764E8514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Planowane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podanie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5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cykli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immunoterapii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średnio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35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dni.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Wcześniejsze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przerwanie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konieczne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wznowy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podstawowej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jednego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kryteriów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wykluczenia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programu.</w:t>
            </w:r>
          </w:p>
          <w:p w14:paraId="23AAD22E" w14:textId="77777777" w:rsidR="00C244FD" w:rsidRPr="00166B52" w:rsidRDefault="00C244FD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30D591F" w14:textId="4CC5AC04" w:rsidR="00A042E8" w:rsidRPr="00166B52" w:rsidRDefault="00A042E8" w:rsidP="00166B52">
            <w:pPr>
              <w:pStyle w:val="Akapitzlist"/>
              <w:numPr>
                <w:ilvl w:val="2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Kryteria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wykluczenia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udziału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programie</w:t>
            </w:r>
          </w:p>
          <w:p w14:paraId="7F23875C" w14:textId="49E7F8EF" w:rsidR="0075108D" w:rsidRPr="00166B52" w:rsidRDefault="00A042E8" w:rsidP="00166B52">
            <w:pPr>
              <w:pStyle w:val="Akapitzlist"/>
              <w:keepLines/>
              <w:numPr>
                <w:ilvl w:val="3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bezwzględne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wskazania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przerwania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immunoterapii</w:t>
            </w:r>
            <w:r w:rsidR="00B22267" w:rsidRPr="00166B52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7E22BC22" w14:textId="736CE2E8" w:rsidR="00B22267" w:rsidRPr="00166B52" w:rsidRDefault="00A042E8" w:rsidP="00166B52">
            <w:pPr>
              <w:pStyle w:val="Akapitzlist"/>
              <w:keepLines/>
              <w:numPr>
                <w:ilvl w:val="4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neurotoksyczność: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zaburzenia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czucia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stopniu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3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CTC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uniemożliwiające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wykonywanie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codziennych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czynności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utrzymujące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się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powyżej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2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tygodni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zakończenia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wlewu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przeciwciał,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obiektywne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osłabienie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siły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mięśniowej,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zaburzenia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widzenia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stopniu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3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CTC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(subtotalna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utrata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wzroku),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objawy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zapalenia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rdzenia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kręgowego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BBB962E" w14:textId="32E3787D" w:rsidR="00B22267" w:rsidRPr="00166B52" w:rsidRDefault="00BD42FD" w:rsidP="00166B52">
            <w:pPr>
              <w:pStyle w:val="Akapitzlist"/>
              <w:keepLines/>
              <w:numPr>
                <w:ilvl w:val="4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h</w:t>
            </w:r>
            <w:r w:rsidR="002B32BA" w:rsidRPr="00166B52">
              <w:rPr>
                <w:rFonts w:ascii="Times New Roman" w:hAnsi="Times New Roman"/>
                <w:sz w:val="20"/>
                <w:szCs w:val="20"/>
              </w:rPr>
              <w:t>ipotensja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B32BA"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B32BA" w:rsidRPr="00166B52">
              <w:rPr>
                <w:rFonts w:ascii="Times New Roman" w:hAnsi="Times New Roman"/>
                <w:sz w:val="20"/>
                <w:szCs w:val="20"/>
              </w:rPr>
              <w:t>3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B32BA"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B32BA" w:rsidRPr="00166B52">
              <w:rPr>
                <w:rFonts w:ascii="Times New Roman" w:hAnsi="Times New Roman"/>
                <w:sz w:val="20"/>
                <w:szCs w:val="20"/>
              </w:rPr>
              <w:t>4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B32BA" w:rsidRPr="00166B52">
              <w:rPr>
                <w:rFonts w:ascii="Times New Roman" w:hAnsi="Times New Roman"/>
                <w:sz w:val="20"/>
                <w:szCs w:val="20"/>
              </w:rPr>
              <w:t>stopniu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CTC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występująca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ponownym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podaniu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pomimo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redukcji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dawki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leku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0E0C8DA1" w14:textId="1082F193" w:rsidR="00B22267" w:rsidRPr="00166B52" w:rsidRDefault="00BD42FD" w:rsidP="00166B52">
            <w:pPr>
              <w:pStyle w:val="Akapitzlist"/>
              <w:keepLines/>
              <w:numPr>
                <w:ilvl w:val="4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D70877" w:rsidRPr="00166B52">
              <w:rPr>
                <w:rFonts w:ascii="Times New Roman" w:hAnsi="Times New Roman"/>
                <w:sz w:val="20"/>
                <w:szCs w:val="20"/>
              </w:rPr>
              <w:t>espół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70877" w:rsidRPr="00166B52">
              <w:rPr>
                <w:rFonts w:ascii="Times New Roman" w:hAnsi="Times New Roman"/>
                <w:sz w:val="20"/>
                <w:szCs w:val="20"/>
              </w:rPr>
              <w:t>przesią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kania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kapilar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(CLS)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4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stopniu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CTC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występujący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ponownym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podaniu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pomimo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redukcji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dawki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leku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4B21D16" w14:textId="10103552" w:rsidR="00B22267" w:rsidRPr="00166B52" w:rsidRDefault="002B32BA" w:rsidP="00166B52">
            <w:pPr>
              <w:pStyle w:val="Akapitzlist"/>
              <w:keepLines/>
              <w:numPr>
                <w:ilvl w:val="4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ystąpienie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wznowy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2893E474" w14:textId="46153993" w:rsidR="00B22267" w:rsidRPr="00166B52" w:rsidRDefault="00A042E8" w:rsidP="00166B52">
            <w:pPr>
              <w:pStyle w:val="Akapitzlist"/>
              <w:keepLines/>
              <w:numPr>
                <w:ilvl w:val="4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brak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i/lub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przedstawiciela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ustawowego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kontynuację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1A112E5" w14:textId="632A9CD7" w:rsidR="00A042E8" w:rsidRPr="00166B52" w:rsidRDefault="00A042E8" w:rsidP="00166B52">
            <w:pPr>
              <w:pStyle w:val="Akapitzlist"/>
              <w:keepLines/>
              <w:numPr>
                <w:ilvl w:val="4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brak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współpracy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uniemożliwiający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prowadzenie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terapii.</w:t>
            </w:r>
          </w:p>
          <w:p w14:paraId="0B5E9677" w14:textId="3856489D" w:rsidR="00A042E8" w:rsidRPr="00166B52" w:rsidRDefault="00A042E8" w:rsidP="00166B52">
            <w:pPr>
              <w:pStyle w:val="Akapitzlist"/>
              <w:keepLines/>
              <w:numPr>
                <w:ilvl w:val="3"/>
                <w:numId w:val="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wskazania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przerwania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cyklu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immunoterapii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możliwością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ponownego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włączenia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uzyskaniu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Koordynującego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(konieczne: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dostarczenie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szczegółowego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przebiegu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wydarzeń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wgląd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dokumentację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medyczną):</w:t>
            </w:r>
          </w:p>
          <w:p w14:paraId="46BEFA58" w14:textId="5E7BE7F5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hipotensja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i/lub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CLS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stopniu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2796D4C4" w14:textId="03E96E37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hiponatremia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objawowa,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hiponatremia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&lt;125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mmol/l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trwająca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&gt;48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godzin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hiponatremia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ciężka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&lt;120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mmol/l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606D3207" w14:textId="5E38C766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reakcja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alergiczna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stopniu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(anafilaksja)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(skurcz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oskrzeli)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582513AD" w14:textId="0861E0A7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długotrwała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obwodowa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neuropatia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ruchowa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stopnia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2170CB96" w14:textId="4293CA22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neuropatia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obwodowa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6D5B92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topnia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7F3EF701" w14:textId="31C4F814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kardiotoksyczność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≥3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stopnia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2D96E670" w14:textId="4F9C77EE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ból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neuropatyczny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stopniu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nie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odpowiadający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leczenie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111320F2" w14:textId="7EF633C7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choroba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posurowicza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≥3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stopnia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25E3979E" w14:textId="549B7136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toksyczności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skórne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≥3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stopnia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CTC</w:t>
            </w:r>
            <w:r w:rsidR="009E58DB" w:rsidRPr="00166B52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14:paraId="1A0D526B" w14:textId="77777777" w:rsidR="00A042E8" w:rsidRPr="00166B52" w:rsidRDefault="00A042E8" w:rsidP="00166B52">
            <w:pPr>
              <w:keepLines/>
              <w:numPr>
                <w:ilvl w:val="4"/>
                <w:numId w:val="6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nadwrażliwość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czynną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którąkolwiek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pomocniczą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73C489D" w14:textId="792BA2B1" w:rsidR="00BB2DFE" w:rsidRPr="00166B52" w:rsidRDefault="00BB2DFE" w:rsidP="00166B52">
            <w:pPr>
              <w:keepLines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BA7C10" w14:textId="77777777" w:rsidR="00A042E8" w:rsidRPr="00166B52" w:rsidRDefault="00A042E8" w:rsidP="00166B52">
            <w:pPr>
              <w:spacing w:before="120"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Dawkowanie:</w:t>
            </w:r>
          </w:p>
          <w:p w14:paraId="63364129" w14:textId="158DA1DD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Dawkowanie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dinutu</w:t>
            </w:r>
            <w:r w:rsidR="008F3EF5" w:rsidRPr="00166B52">
              <w:rPr>
                <w:rFonts w:ascii="Times New Roman" w:hAnsi="Times New Roman"/>
                <w:sz w:val="20"/>
                <w:szCs w:val="20"/>
              </w:rPr>
              <w:t>ksy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mabu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beta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odbywa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się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zasadami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określonymi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Charakterysty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ce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Produktu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Leczniczego</w:t>
            </w:r>
            <w:r w:rsidR="00F7754E" w:rsidRPr="00166B52">
              <w:rPr>
                <w:rFonts w:ascii="Times New Roman" w:hAnsi="Times New Roman"/>
                <w:sz w:val="20"/>
                <w:szCs w:val="20"/>
              </w:rPr>
              <w:t>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obowiązującej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dzień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wydania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decyzji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objęciu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refundacją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ustalenie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urzędowej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ceny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zbytu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(art.24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ust.1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pkt.1).</w:t>
            </w:r>
          </w:p>
          <w:p w14:paraId="336EA972" w14:textId="6D030760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Planowane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podanie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5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cykli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3EF5" w:rsidRPr="00166B52">
              <w:rPr>
                <w:rFonts w:ascii="Times New Roman" w:hAnsi="Times New Roman"/>
                <w:sz w:val="20"/>
                <w:szCs w:val="20"/>
              </w:rPr>
              <w:t>d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inutu</w:t>
            </w:r>
            <w:r w:rsidR="008F3EF5" w:rsidRPr="00166B52">
              <w:rPr>
                <w:rFonts w:ascii="Times New Roman" w:hAnsi="Times New Roman"/>
                <w:sz w:val="20"/>
                <w:szCs w:val="20"/>
              </w:rPr>
              <w:t>ksy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mabu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beta,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dawce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kumulacyjnej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100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mg/m</w:t>
            </w:r>
            <w:r w:rsidRPr="00166B52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/cykl,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podawane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wg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schematu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jak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Charakterystyce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Produktu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Leczniczego.</w:t>
            </w:r>
          </w:p>
          <w:p w14:paraId="4AE2AE79" w14:textId="2E796E90" w:rsidR="00431FB7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Ze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względu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obserwowane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działania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niepożądane,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celu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minimalizacji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wskazane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podawanie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3EF5" w:rsidRPr="00166B52">
              <w:rPr>
                <w:rFonts w:ascii="Times New Roman" w:hAnsi="Times New Roman"/>
                <w:sz w:val="20"/>
                <w:szCs w:val="20"/>
              </w:rPr>
              <w:t>d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inutu</w:t>
            </w:r>
            <w:r w:rsidR="008F3EF5" w:rsidRPr="00166B52">
              <w:rPr>
                <w:rFonts w:ascii="Times New Roman" w:hAnsi="Times New Roman"/>
                <w:sz w:val="20"/>
                <w:szCs w:val="20"/>
              </w:rPr>
              <w:t>ksy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mabu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beta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wlewie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ciągłym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trwającym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10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dni.</w:t>
            </w:r>
          </w:p>
          <w:p w14:paraId="12589A8B" w14:textId="77777777" w:rsidR="00431FB7" w:rsidRPr="00166B52" w:rsidRDefault="00431FB7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240517A" w14:textId="05A42AAF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chorobą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pierwotnie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oporną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i/lub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progresją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wznową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pacjentów,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którzy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uzyskali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całkowitej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remisji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pierwszej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linii,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dinutu</w:t>
            </w:r>
            <w:r w:rsidR="008F3EF5" w:rsidRPr="00166B52">
              <w:rPr>
                <w:rFonts w:ascii="Times New Roman" w:hAnsi="Times New Roman"/>
                <w:sz w:val="20"/>
                <w:szCs w:val="20"/>
              </w:rPr>
              <w:t>ksy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mab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beta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rozważyć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podawanie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produktu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skojarzeniu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interleukiną-2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(IL-2),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lastRenderedPageBreak/>
              <w:t>opisem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Charakterystyce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Produktu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Leczniczego.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0C40BB5" w14:textId="22B67D9D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ciężkich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działań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niepożądanych,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uzyskaniu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Koordynującego,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może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być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kontynuowane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zastosowaniem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50%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dawki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dinut</w:t>
            </w:r>
            <w:r w:rsidR="00C442A8" w:rsidRPr="00166B52">
              <w:rPr>
                <w:rFonts w:ascii="Times New Roman" w:hAnsi="Times New Roman"/>
                <w:sz w:val="20"/>
                <w:szCs w:val="20"/>
              </w:rPr>
              <w:t>u</w:t>
            </w:r>
            <w:r w:rsidR="008F3EF5" w:rsidRPr="00166B52">
              <w:rPr>
                <w:rFonts w:ascii="Times New Roman" w:hAnsi="Times New Roman"/>
                <w:sz w:val="20"/>
                <w:szCs w:val="20"/>
              </w:rPr>
              <w:t>ksy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mabu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beta.</w:t>
            </w:r>
          </w:p>
          <w:p w14:paraId="6CC59AA9" w14:textId="1FE42644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Równolegle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zastosowaniem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immunoterapii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stosowane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będzie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kwasem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13-cis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retinowym,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obowiązującymi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standardami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NBL.</w:t>
            </w:r>
          </w:p>
          <w:p w14:paraId="73CB2A78" w14:textId="77777777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93F25" w14:textId="6F3E4D7C" w:rsidR="00A042E8" w:rsidRPr="00166B52" w:rsidRDefault="00A042E8" w:rsidP="00166B52">
            <w:pPr>
              <w:pStyle w:val="Akapitzlist"/>
              <w:numPr>
                <w:ilvl w:val="1"/>
                <w:numId w:val="7"/>
              </w:numPr>
              <w:tabs>
                <w:tab w:val="left" w:pos="318"/>
              </w:tabs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bookmarkStart w:id="3" w:name="_Hlk95070424"/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lastRenderedPageBreak/>
              <w:t>Leczenie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nerwiaka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zarodkowego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współczulnego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(NBL)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wysokiego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ryzyka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pacjentów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dobrą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odpowiedzią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leczenie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chemioterapią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indukcyjną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zgodnie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obowiązującym</w:t>
            </w:r>
            <w:r w:rsidR="00BB2DFE"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protokołem</w:t>
            </w:r>
          </w:p>
          <w:bookmarkEnd w:id="3"/>
          <w:p w14:paraId="4D684A87" w14:textId="37441F91" w:rsidR="00A042E8" w:rsidRPr="00166B52" w:rsidRDefault="00A042E8" w:rsidP="00166B52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przed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kwalifikacją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immunoterapii</w:t>
            </w:r>
          </w:p>
          <w:p w14:paraId="34FFFFF3" w14:textId="2C174709" w:rsidR="00A042E8" w:rsidRPr="00166B52" w:rsidRDefault="009E58DB" w:rsidP="00166B52">
            <w:pPr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p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ełna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ponowna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statusu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pomiędzy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przeszczepieniem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macierzystych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komórek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krwiotwórczych</w:t>
            </w:r>
            <w:r w:rsidR="00EB1B92" w:rsidRPr="00166B52">
              <w:rPr>
                <w:rFonts w:ascii="Times New Roman" w:hAnsi="Times New Roman"/>
                <w:sz w:val="20"/>
                <w:szCs w:val="20"/>
              </w:rPr>
              <w:t>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minimalnej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resztkowej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–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okresie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maksymalnie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8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tygodni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przed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sz w:val="20"/>
                <w:szCs w:val="20"/>
              </w:rPr>
              <w:t>dinutuksymabem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82232" w:rsidRPr="00166B52">
              <w:rPr>
                <w:rFonts w:ascii="Times New Roman" w:hAnsi="Times New Roman"/>
                <w:sz w:val="20"/>
                <w:szCs w:val="20"/>
              </w:rPr>
              <w:t>beta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obowiązuje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wykonanie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wszystkich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poniższych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badań,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niezależnie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od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wyników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badań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przed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leczenia:</w:t>
            </w:r>
          </w:p>
          <w:p w14:paraId="5C0ADE20" w14:textId="4EE267D9" w:rsidR="00A042E8" w:rsidRPr="00166B52" w:rsidRDefault="00A042E8" w:rsidP="00166B52">
            <w:pPr>
              <w:pStyle w:val="Akapitzlist"/>
              <w:numPr>
                <w:ilvl w:val="4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lokalizacji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guza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pierwotnego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okolic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sąsiednich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(tj.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głowy,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klatki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jamy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brzusznej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miednicy)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27F84B17" w14:textId="24DF631B" w:rsidR="00A042E8" w:rsidRPr="00166B52" w:rsidRDefault="00A042E8" w:rsidP="00166B52">
            <w:pPr>
              <w:pStyle w:val="Akapitzlist"/>
              <w:numPr>
                <w:ilvl w:val="4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wszystkich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innych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miejsc,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których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stwierdzona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była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obecność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NBL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momencie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diagnozy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B65868C" w14:textId="2E5B22A2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ocenę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kostnego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(scyntygrafia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użyciem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MIBG,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braku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wychwytu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znacznika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guzie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pierwotnym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wstępnym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badaniu,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scyntygrafię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użyciem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technetu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C67" w:rsidRPr="00166B52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PET)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00E796DC" w14:textId="0536F38C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lastRenderedPageBreak/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szpiku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kostnego: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biopsja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trepanobiopsja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4F931BE9" w14:textId="3B022FDE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markerów: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enolazy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neurospecyficznej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(NSE)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ferrytyny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dehydrogenazy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mleczanowej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(LDH)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surowicy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stężeń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katecholamin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metabolitów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dobowej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zbiórce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moczu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9A29701" w14:textId="1A9A9DB1" w:rsidR="00A042E8" w:rsidRPr="00166B52" w:rsidRDefault="00A042E8" w:rsidP="00166B52">
            <w:pPr>
              <w:pStyle w:val="Akapitzlist"/>
              <w:numPr>
                <w:ilvl w:val="3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Cs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Cs/>
                <w:sz w:val="20"/>
                <w:szCs w:val="20"/>
              </w:rPr>
              <w:t>funkcji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Cs/>
                <w:sz w:val="20"/>
                <w:szCs w:val="20"/>
              </w:rPr>
              <w:t>narządów:</w:t>
            </w:r>
          </w:p>
          <w:p w14:paraId="4D87F31B" w14:textId="54514A81" w:rsidR="00A042E8" w:rsidRPr="00166B52" w:rsidRDefault="00A042E8" w:rsidP="00166B52">
            <w:pPr>
              <w:pStyle w:val="Akapitzlist"/>
              <w:numPr>
                <w:ilvl w:val="4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serca: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echo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serca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(frakcja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skurczowa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≥30%)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EKG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386224E" w14:textId="2DC2114B" w:rsidR="00A042E8" w:rsidRPr="00166B52" w:rsidRDefault="00A042E8" w:rsidP="00166B52">
            <w:pPr>
              <w:pStyle w:val="Akapitzlist"/>
              <w:numPr>
                <w:ilvl w:val="4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płuc: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spirometria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(FEV1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FVC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&gt;60%),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braku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możliwości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wykonania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spirometrii: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może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cech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duszności,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saturacja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tlenem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(SATO</w:t>
            </w:r>
            <w:r w:rsidRPr="00166B52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mierzona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pulsoksymetrem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oddychaniu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powietrzem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atmosferycznym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musi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wynosić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minimum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94%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BDEFFD2" w14:textId="6513609B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szpiku: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prawidłowa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–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prawidłowa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definiowana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jako: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ANC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&gt;500/ul;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stabilna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liczba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płytek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&gt;20.000/ul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Hb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&gt;8.0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g/dl;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płytek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hemoglobiny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wykluczone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przetaczanie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preparatów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krwiopochodnych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509144D" w14:textId="21E2066E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wątroby: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ALT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85C8EF0" w14:textId="3C544656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nerek</w:t>
            </w:r>
            <w:r w:rsidR="00BD42FD" w:rsidRPr="00166B52">
              <w:rPr>
                <w:rFonts w:ascii="Times New Roman" w:hAnsi="Times New Roman"/>
                <w:sz w:val="20"/>
                <w:szCs w:val="20"/>
              </w:rPr>
              <w:t>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kreatyniny,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obliczenie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eGFR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1E4532B" w14:textId="123739FF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okulistyczna</w:t>
            </w:r>
            <w:r w:rsidR="00BD42FD" w:rsidRPr="00166B52">
              <w:rPr>
                <w:rFonts w:ascii="Times New Roman" w:hAnsi="Times New Roman"/>
                <w:sz w:val="20"/>
                <w:szCs w:val="20"/>
              </w:rPr>
              <w:t>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oka,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dzieci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współpracujących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również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ostrości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wzroku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F578B7D" w14:textId="2866030C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słuchu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C8EFF59" w14:textId="612C2144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b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adanie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EEG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4E6B101" w14:textId="61158217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kierunku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zakażeń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wirusowych: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anty-HBV,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anty-HCV,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HIV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1214BA2" w14:textId="18E051DD" w:rsidR="00A042E8" w:rsidRPr="00166B52" w:rsidRDefault="00BD42FD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zdjęcie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klatki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925A71" w:rsidRPr="00166B52">
              <w:rPr>
                <w:rFonts w:ascii="Times New Roman" w:hAnsi="Times New Roman"/>
                <w:sz w:val="20"/>
                <w:szCs w:val="20"/>
              </w:rPr>
              <w:t xml:space="preserve"> w cyklach z interleukiną 2</w:t>
            </w:r>
            <w:r w:rsidR="00EB1B92" w:rsidRPr="00166B52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55F3847" w14:textId="77777777" w:rsidR="00A042E8" w:rsidRPr="00166B52" w:rsidRDefault="00A042E8" w:rsidP="00166B52">
            <w:pPr>
              <w:spacing w:after="60"/>
              <w:ind w:left="3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0FEDEFF" w14:textId="02118485" w:rsidR="00A042E8" w:rsidRPr="00166B52" w:rsidRDefault="00A042E8" w:rsidP="00166B52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Monitorowanie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leczenia</w:t>
            </w:r>
          </w:p>
          <w:p w14:paraId="7CBDC95B" w14:textId="3BFCE4DC" w:rsidR="00A042E8" w:rsidRPr="00166B52" w:rsidRDefault="00A042E8" w:rsidP="00166B52">
            <w:pPr>
              <w:pStyle w:val="Akapitzlist"/>
              <w:numPr>
                <w:ilvl w:val="3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lastRenderedPageBreak/>
              <w:t>przed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każdego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cyklu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immunoterapii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dokonać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oceny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poniżej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wymienionych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parametrów,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wartości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nieprawidłowych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przesunąć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rozpoczęcie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kolejnego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cyklu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czasu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uzyskania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wartości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kwalifikujących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leczenia:</w:t>
            </w:r>
          </w:p>
          <w:p w14:paraId="17E2977B" w14:textId="7943C2DC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odpowiednia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saturacja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(SpO</w:t>
            </w:r>
            <w:r w:rsidRPr="00166B52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mierzona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pulsoksymetrem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-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&gt;94%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podczas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oddychania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powietrzem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atmosferycznym;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oddychaniu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powietrzem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ADA010E" w14:textId="4807C71D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odpowiednia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czynność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szpiku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kostnego: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bezwzględna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liczba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granulocytów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obojętnochłonnych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≥500/µl,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liczba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płytek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≥20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000/µl,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hemoglobina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&gt;8,0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g/dl,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niewykluczone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jest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podawanie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preparatów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krwiopodobnych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486758D7" w14:textId="428A8086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odpowiednia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czynność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wątroby: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aktywność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aminotransferazy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alaninowej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(AlAT)/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aminotrasferazy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asparaginianowej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(AspAT)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&lt;5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razy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górna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granica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normy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FC81988" w14:textId="559059AE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odpowiednia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czynność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nerek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A883FAF" w14:textId="1DCD5A7B" w:rsidR="00A042E8" w:rsidRPr="00166B52" w:rsidRDefault="00BD42FD" w:rsidP="00166B52">
            <w:pPr>
              <w:pStyle w:val="Akapitzlist"/>
              <w:numPr>
                <w:ilvl w:val="3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obowiązkowe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trakcie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cyklu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immunoterapii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77195" w:rsidRPr="00166B52">
              <w:rPr>
                <w:rFonts w:ascii="Times New Roman" w:hAnsi="Times New Roman"/>
                <w:sz w:val="20"/>
                <w:szCs w:val="20"/>
              </w:rPr>
              <w:t>(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pierwszy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dzień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802D8" w:rsidRPr="00166B52">
              <w:rPr>
                <w:rFonts w:ascii="Times New Roman" w:hAnsi="Times New Roman"/>
                <w:sz w:val="20"/>
                <w:szCs w:val="20"/>
              </w:rPr>
              <w:t>dinutuksymabu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beta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to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57D49"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dzień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cyklu)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8000F23" w14:textId="3C1EDA70" w:rsidR="00A042E8" w:rsidRPr="00166B52" w:rsidRDefault="00A042E8" w:rsidP="00166B52">
            <w:pPr>
              <w:pStyle w:val="Akapitzlist"/>
              <w:numPr>
                <w:ilvl w:val="4"/>
                <w:numId w:val="7"/>
              </w:numPr>
              <w:tabs>
                <w:tab w:val="left" w:pos="720"/>
              </w:tabs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8</w:t>
            </w:r>
            <w:r w:rsidR="00D31BB1" w:rsidRPr="00166B52">
              <w:rPr>
                <w:rFonts w:ascii="Times New Roman" w:hAnsi="Times New Roman"/>
                <w:sz w:val="20"/>
                <w:szCs w:val="20"/>
              </w:rPr>
              <w:t xml:space="preserve"> 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D31BB1"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doba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551A794" w14:textId="7B6CB89A" w:rsidR="00A042E8" w:rsidRPr="00166B52" w:rsidRDefault="00A042E8" w:rsidP="00166B52">
            <w:pPr>
              <w:numPr>
                <w:ilvl w:val="4"/>
                <w:numId w:val="7"/>
              </w:numPr>
              <w:tabs>
                <w:tab w:val="left" w:pos="720"/>
              </w:tabs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biochemiczne: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8</w:t>
            </w:r>
            <w:r w:rsidR="00D31BB1" w:rsidRPr="00166B52">
              <w:rPr>
                <w:rFonts w:ascii="Times New Roman" w:hAnsi="Times New Roman"/>
                <w:sz w:val="20"/>
                <w:szCs w:val="20"/>
              </w:rPr>
              <w:t xml:space="preserve"> 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D31BB1"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doba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896A7E3" w14:textId="43B6BDDE" w:rsidR="00A042E8" w:rsidRPr="00166B52" w:rsidRDefault="00A042E8" w:rsidP="00166B52">
            <w:pPr>
              <w:numPr>
                <w:ilvl w:val="4"/>
                <w:numId w:val="7"/>
              </w:numPr>
              <w:tabs>
                <w:tab w:val="left" w:pos="720"/>
              </w:tabs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CRP: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8</w:t>
            </w:r>
            <w:r w:rsidR="00D31BB1" w:rsidRPr="00166B52">
              <w:rPr>
                <w:rFonts w:ascii="Times New Roman" w:hAnsi="Times New Roman"/>
                <w:sz w:val="20"/>
                <w:szCs w:val="20"/>
              </w:rPr>
              <w:t xml:space="preserve"> i</w:t>
            </w:r>
            <w:r w:rsidR="009241B1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D31BB1"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doba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46B3A879" w14:textId="6BADE8B1" w:rsidR="00A042E8" w:rsidRPr="00166B52" w:rsidRDefault="00A042E8" w:rsidP="00166B52">
            <w:pPr>
              <w:numPr>
                <w:ilvl w:val="4"/>
                <w:numId w:val="7"/>
              </w:numPr>
              <w:tabs>
                <w:tab w:val="left" w:pos="720"/>
              </w:tabs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układ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krzepnięcia: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doba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5531148" w14:textId="59A1112B" w:rsidR="00A042E8" w:rsidRPr="00166B52" w:rsidRDefault="00A042E8" w:rsidP="00166B52">
            <w:pPr>
              <w:numPr>
                <w:ilvl w:val="4"/>
                <w:numId w:val="7"/>
              </w:numPr>
              <w:tabs>
                <w:tab w:val="left" w:pos="720"/>
              </w:tabs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zdjęcie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radiologiczne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klatki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492DCE" w:rsidRPr="00166B52">
              <w:rPr>
                <w:rFonts w:ascii="Times New Roman" w:hAnsi="Times New Roman"/>
                <w:sz w:val="20"/>
                <w:szCs w:val="20"/>
              </w:rPr>
              <w:t>.</w:t>
            </w:r>
            <w:r w:rsidR="009241B1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dobie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cyklach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interleukiną-2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0ECAE382" w14:textId="4A598998" w:rsidR="00A042E8" w:rsidRPr="00166B52" w:rsidRDefault="00A042E8" w:rsidP="00166B52">
            <w:pPr>
              <w:numPr>
                <w:ilvl w:val="4"/>
                <w:numId w:val="7"/>
              </w:numPr>
              <w:tabs>
                <w:tab w:val="left" w:pos="720"/>
              </w:tabs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EKG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31BB1"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D31BB1"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d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obie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8869885" w14:textId="7663016F" w:rsidR="00A042E8" w:rsidRPr="00166B52" w:rsidRDefault="00A042E8" w:rsidP="00166B52">
            <w:pPr>
              <w:numPr>
                <w:ilvl w:val="4"/>
                <w:numId w:val="7"/>
              </w:numPr>
              <w:tabs>
                <w:tab w:val="left" w:pos="720"/>
              </w:tabs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poszerzenia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źrenic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subiektywnym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odczuciem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pogorszenia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wzroku,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podaniem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kolejnego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lastRenderedPageBreak/>
              <w:t>cyklu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obowiązuje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wykonanie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EEG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MRI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ośrodkowego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nerwowego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E95D2D2" w14:textId="7DF956C5" w:rsidR="00A042E8" w:rsidRPr="00166B52" w:rsidRDefault="00A042E8" w:rsidP="00166B52">
            <w:pPr>
              <w:pStyle w:val="Akapitzlist"/>
              <w:numPr>
                <w:ilvl w:val="3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Po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2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cyklach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802D8" w:rsidRPr="00166B52">
              <w:rPr>
                <w:rFonts w:ascii="Times New Roman" w:hAnsi="Times New Roman"/>
                <w:sz w:val="20"/>
                <w:szCs w:val="20"/>
              </w:rPr>
              <w:t>dinutuksymabu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beta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obowiązuje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kierunku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wykluczenia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obejmująca:</w:t>
            </w:r>
          </w:p>
          <w:p w14:paraId="54C5BE72" w14:textId="213C5FE7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lokalizacji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guza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pierwotnego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ewentualnych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miejsc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przerzutów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możliwych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oceny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badaniach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obrazowych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4127F481" w14:textId="0D9C8FB4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cytologiczna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szpiku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kostnego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4DBD194" w14:textId="516B4728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markerów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nowotworowych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(katecholaminy,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NSE,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LDH)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F32CDFB" w14:textId="7F224380" w:rsidR="00874DE3" w:rsidRPr="00166B52" w:rsidRDefault="00BF2341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Cs/>
                <w:sz w:val="20"/>
                <w:szCs w:val="20"/>
              </w:rPr>
              <w:t>o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cena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układu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kostnego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(scyntygrafia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użyciem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MIBG,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braku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wychwytu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tego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znacznika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guzie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pierwotnym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we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wstępnym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badaniu,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scyntygrafia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kości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użyciem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technetu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74DE3" w:rsidRPr="00166B52">
              <w:rPr>
                <w:rFonts w:ascii="Times New Roman" w:hAnsi="Times New Roman"/>
                <w:bCs/>
                <w:sz w:val="20"/>
                <w:szCs w:val="20"/>
              </w:rPr>
              <w:t>PET</w:t>
            </w:r>
            <w:r w:rsidR="0068621E" w:rsidRPr="00166B52">
              <w:rPr>
                <w:rFonts w:ascii="Times New Roman" w:hAnsi="Times New Roman"/>
                <w:bCs/>
                <w:sz w:val="20"/>
                <w:szCs w:val="20"/>
              </w:rPr>
              <w:t>)</w:t>
            </w:r>
            <w:r w:rsidR="001E347B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tylko w przypadku podejrzenia progresji lub wznowy choroby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  <w:p w14:paraId="7003F700" w14:textId="77777777" w:rsidR="00A042E8" w:rsidRPr="00166B52" w:rsidRDefault="00A042E8" w:rsidP="00166B52">
            <w:pPr>
              <w:spacing w:after="60"/>
              <w:ind w:left="149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327ABD7" w14:textId="52111564" w:rsidR="00A042E8" w:rsidRPr="00166B52" w:rsidRDefault="00A042E8" w:rsidP="00166B52">
            <w:pPr>
              <w:pStyle w:val="Akapitzlist"/>
              <w:numPr>
                <w:ilvl w:val="1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4" w:name="_Hlk95068295"/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Leczenie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nawrotowego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opornego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leczenie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nerwiaka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zarodkowego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współczulnego</w:t>
            </w:r>
          </w:p>
          <w:p w14:paraId="03F8463A" w14:textId="0A58E8FD" w:rsidR="00A042E8" w:rsidRPr="00166B52" w:rsidRDefault="00A042E8" w:rsidP="00166B52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przed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kwalifikacją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immunoterapii</w:t>
            </w:r>
          </w:p>
          <w:bookmarkEnd w:id="4"/>
          <w:p w14:paraId="66AAE0DB" w14:textId="596F453D" w:rsidR="00A042E8" w:rsidRPr="00166B52" w:rsidRDefault="009E58DB" w:rsidP="00166B52">
            <w:pPr>
              <w:pStyle w:val="Akapitzlist"/>
              <w:numPr>
                <w:ilvl w:val="3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p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ełna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ponowna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statusu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pomiędzy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przeszczepieniem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macierzystych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komórek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krwiotwórczych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minimalnej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resztkowej,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ale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dokonana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najmniej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8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tygodni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scyntygrafii,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6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tygodni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dla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innych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badań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przed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planowanym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-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obowiązuje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wykonanie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wszystkich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poniższych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badań,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niezależnie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od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wyników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badań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przed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leczenia:</w:t>
            </w:r>
          </w:p>
          <w:p w14:paraId="44811DD4" w14:textId="11AA068B" w:rsidR="00A042E8" w:rsidRPr="00166B52" w:rsidRDefault="00A042E8" w:rsidP="00166B52">
            <w:pPr>
              <w:pStyle w:val="Akapitzlist"/>
              <w:numPr>
                <w:ilvl w:val="4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lokalizacji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guza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pierwotnego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okolic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sąsiednich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(tj.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głowy,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klatki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jamy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brzusznej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miednicy)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286239EA" w14:textId="4F1A85D8" w:rsidR="00A042E8" w:rsidRPr="00166B52" w:rsidRDefault="00A042E8" w:rsidP="00166B52">
            <w:pPr>
              <w:pStyle w:val="Akapitzlist"/>
              <w:numPr>
                <w:ilvl w:val="4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wszystkich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innych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miejsc,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których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stwierdzona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była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obecność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NBL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momencie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diagnozy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B548F10" w14:textId="1D40BD35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kostnego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(scyntygrafia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użyciem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MIBG,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braku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wychwytu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znacznika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guzie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pierwotnym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wstępnym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badaniu,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scyntygrafię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użyciem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technetu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PET)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6013679" w14:textId="4B96CB7D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szpiku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kostnego: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biopsja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trepanobiopsja</w:t>
            </w:r>
            <w:r w:rsidR="009E58DB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07939BBF" w14:textId="1E912362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markerów: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enolazy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neurospecyficznej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(NSE)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ferrytyny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dehydrogenazy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mleczanowej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(LDH)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surowicy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stężeń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katecholamin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metabolitów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dobowej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zbiórce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moczu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4CAB56B" w14:textId="1D307D40" w:rsidR="00A042E8" w:rsidRPr="00166B52" w:rsidRDefault="00A042E8" w:rsidP="00166B52">
            <w:pPr>
              <w:pStyle w:val="Akapitzlist"/>
              <w:numPr>
                <w:ilvl w:val="3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Cs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Cs/>
                <w:sz w:val="20"/>
                <w:szCs w:val="20"/>
              </w:rPr>
              <w:t>funkcji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Cs/>
                <w:sz w:val="20"/>
                <w:szCs w:val="20"/>
              </w:rPr>
              <w:t>narządów:</w:t>
            </w:r>
          </w:p>
          <w:p w14:paraId="2F9EAB34" w14:textId="6FC627FB" w:rsidR="00A042E8" w:rsidRPr="00166B52" w:rsidRDefault="00A042E8" w:rsidP="00166B52">
            <w:pPr>
              <w:pStyle w:val="Akapitzlist"/>
              <w:numPr>
                <w:ilvl w:val="4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serca: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echo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serca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(frakcja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skurczowa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≥30%)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EKG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51AC1DB" w14:textId="22FBF471" w:rsidR="00A042E8" w:rsidRPr="00166B52" w:rsidRDefault="00A042E8" w:rsidP="00166B52">
            <w:pPr>
              <w:pStyle w:val="Akapitzlist"/>
              <w:numPr>
                <w:ilvl w:val="4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płuc: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spirometria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(FEV1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FVC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&gt;60%),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braku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możliwości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wykonania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spirometrii: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może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cech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duszności,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saturacja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tlenem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(SpO</w:t>
            </w:r>
            <w:r w:rsidRPr="00166B52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mierzona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pulsoksymetrem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oddychaniu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powietrzem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atmosferycznym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musi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wynosić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minimum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94%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E8BD1D7" w14:textId="65CCEDD6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szpiku: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prawidłowa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–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prawidłowa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definiowana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jako: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ANC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&gt;500/ul;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stabilna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liczba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płytek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&gt;20.000/ul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Hb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&gt;8.0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g/dl;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płytek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hemoglobiny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jest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wykluczone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przetaczanie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preparatów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krwiopochodnych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4FDF281" w14:textId="354ECA99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wątroby: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ALT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4D4D310E" w14:textId="01602B87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nerek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–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kreatyniny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obliczenie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eGFR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255FB909" w14:textId="020B003C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okulistyczna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–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oka,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dzieci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współpracujących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również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ostrości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wzroku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44A44AA" w14:textId="659F280E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słuchu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0392905" w14:textId="4F6C69B1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EEG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BE75092" w14:textId="73774181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kierunku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zakażeń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wirusowych: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anty-HBV,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anty-HCV,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HIV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40AF43C" w14:textId="48AE538C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zdjęcie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radiologiczne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klatki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B51977" w:rsidRPr="00166B52">
              <w:rPr>
                <w:rFonts w:ascii="Times New Roman" w:hAnsi="Times New Roman"/>
                <w:sz w:val="20"/>
                <w:szCs w:val="20"/>
              </w:rPr>
              <w:t xml:space="preserve"> w cyklach z interleukiną 2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348A418" w14:textId="77777777" w:rsidR="00A042E8" w:rsidRPr="00166B52" w:rsidRDefault="00A042E8" w:rsidP="00166B52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4CC281F" w14:textId="0D47824C" w:rsidR="00A042E8" w:rsidRPr="00166B52" w:rsidRDefault="00A042E8" w:rsidP="00166B52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Monitorowanie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leczenia</w:t>
            </w:r>
          </w:p>
          <w:p w14:paraId="572C33AF" w14:textId="17D9E8C3" w:rsidR="00A042E8" w:rsidRPr="00166B52" w:rsidRDefault="00A042E8" w:rsidP="00166B52">
            <w:pPr>
              <w:pStyle w:val="Akapitzlist"/>
              <w:numPr>
                <w:ilvl w:val="3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przed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każdego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cyklu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immunoterapii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dokonać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oceny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poniżej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wymienionych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parametrów;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wartości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nieprawidłowych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przesunąć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rozpoczęcie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kolejnego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cyklu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czasu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uzyskania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wartości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kwalifikujących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leczenia:</w:t>
            </w:r>
          </w:p>
          <w:p w14:paraId="55C79551" w14:textId="72DDA102" w:rsidR="00A042E8" w:rsidRPr="00166B52" w:rsidRDefault="00A042E8" w:rsidP="00166B52">
            <w:pPr>
              <w:pStyle w:val="Akapitzlist"/>
              <w:numPr>
                <w:ilvl w:val="4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odpowiednia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saturacja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00B5" w:rsidRPr="00166B52">
              <w:rPr>
                <w:rFonts w:ascii="Times New Roman" w:hAnsi="Times New Roman"/>
                <w:sz w:val="20"/>
                <w:szCs w:val="20"/>
              </w:rPr>
              <w:t>tlenem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(SpO</w:t>
            </w:r>
            <w:r w:rsidRPr="00166B52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mierzona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pulsoksymetrem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-&gt;94%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podczas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oddychania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powietrzem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atmosferycznym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4B82EF9" w14:textId="573BE07C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odpowiednia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czynność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szpiku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kostnego: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bezwzględna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liczba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D42FD" w:rsidRPr="00166B52">
              <w:rPr>
                <w:rFonts w:ascii="Times New Roman" w:hAnsi="Times New Roman"/>
                <w:sz w:val="20"/>
                <w:szCs w:val="20"/>
              </w:rPr>
              <w:t>granulocytów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D42FD" w:rsidRPr="00166B52">
              <w:rPr>
                <w:rFonts w:ascii="Times New Roman" w:hAnsi="Times New Roman"/>
                <w:sz w:val="20"/>
                <w:szCs w:val="20"/>
              </w:rPr>
              <w:t>obojętnochłonnych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≥500/µl,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liczba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płytek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≥20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000/µl,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hemoglobina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&gt;8,0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g/dl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08EEEB8A" w14:textId="74E8AE42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odpowiednia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czynność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wątroby: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aktywność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aminotransferazy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alaninowej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(AlAT)/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aminotra</w:t>
            </w:r>
            <w:r w:rsidR="00D70877" w:rsidRPr="00166B52">
              <w:rPr>
                <w:rFonts w:ascii="Times New Roman" w:hAnsi="Times New Roman"/>
                <w:sz w:val="20"/>
                <w:szCs w:val="20"/>
              </w:rPr>
              <w:t>n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sferazy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asparaginianowej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(AspAT)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&lt;5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razy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górna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granica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normy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0CEC1E2" w14:textId="5AE9BE80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odpowiednia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czynność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nerek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6F0D026" w14:textId="2F058AB2" w:rsidR="00A042E8" w:rsidRPr="00166B52" w:rsidRDefault="00BD42FD" w:rsidP="00166B52">
            <w:pPr>
              <w:pStyle w:val="Akapitzlist"/>
              <w:numPr>
                <w:ilvl w:val="3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obowiązkowe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trakcie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cyklu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immunoterapii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(pierwszy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dzień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podania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802D8" w:rsidRPr="00166B52">
              <w:rPr>
                <w:rFonts w:ascii="Times New Roman" w:hAnsi="Times New Roman"/>
                <w:sz w:val="20"/>
                <w:szCs w:val="20"/>
              </w:rPr>
              <w:t>dinutuksymabu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beta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to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9781D"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dzień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cyklu)</w:t>
            </w:r>
            <w:r w:rsidR="00177195" w:rsidRPr="00166B52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7F6DFB7F" w14:textId="3E62FCE0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8</w:t>
            </w:r>
            <w:r w:rsidR="00057D1F" w:rsidRPr="00166B52">
              <w:rPr>
                <w:rFonts w:ascii="Times New Roman" w:hAnsi="Times New Roman"/>
                <w:sz w:val="20"/>
                <w:szCs w:val="20"/>
              </w:rPr>
              <w:t xml:space="preserve"> 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057D1F"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050CB4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doba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9563218" w14:textId="6F4D908B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biochemiczne: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8</w:t>
            </w:r>
            <w:r w:rsidR="00057D1F" w:rsidRPr="00166B52">
              <w:rPr>
                <w:rFonts w:ascii="Times New Roman" w:hAnsi="Times New Roman"/>
                <w:sz w:val="20"/>
                <w:szCs w:val="20"/>
              </w:rPr>
              <w:t xml:space="preserve"> 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057D1F"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doba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ACC9F68" w14:textId="100C1C36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CRP: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8</w:t>
            </w:r>
            <w:r w:rsidR="00057D1F" w:rsidRPr="00166B52">
              <w:rPr>
                <w:rFonts w:ascii="Times New Roman" w:hAnsi="Times New Roman"/>
                <w:sz w:val="20"/>
                <w:szCs w:val="20"/>
              </w:rPr>
              <w:t xml:space="preserve"> 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057D1F"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doba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70C26B5" w14:textId="154B9DE0" w:rsidR="00A042E8" w:rsidRPr="00166B52" w:rsidRDefault="00BB2DFE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układ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krzepnięcia: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doba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1ACEA1A" w14:textId="4441BE37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EKG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8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057D1F" w:rsidRPr="00166B52">
              <w:rPr>
                <w:rFonts w:ascii="Times New Roman" w:hAnsi="Times New Roman"/>
                <w:sz w:val="20"/>
                <w:szCs w:val="20"/>
              </w:rPr>
              <w:t>1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dobie,</w:t>
            </w:r>
          </w:p>
          <w:p w14:paraId="319DA078" w14:textId="654E07E8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poszerzenia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źrenic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subiektywnym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odczuciem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pogorszenia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wzroku,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przed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podaniem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kolejnego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cyklu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obowiązuje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wykonanie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EEG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MRI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ośrodkowego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nerwowego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721D7D7" w14:textId="7ACD06DE" w:rsidR="00A042E8" w:rsidRPr="00166B52" w:rsidRDefault="002E0535" w:rsidP="00166B52">
            <w:pPr>
              <w:pStyle w:val="Akapitzlist"/>
              <w:numPr>
                <w:ilvl w:val="3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p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2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cyklach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802D8" w:rsidRPr="00166B52">
              <w:rPr>
                <w:rFonts w:ascii="Times New Roman" w:hAnsi="Times New Roman"/>
                <w:sz w:val="20"/>
                <w:szCs w:val="20"/>
              </w:rPr>
              <w:t>dinutuksymabu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beta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obowiązuje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kierunku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wykluczenia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obejmująca:</w:t>
            </w:r>
          </w:p>
          <w:p w14:paraId="38620815" w14:textId="0AFBEC19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lokalizacji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guza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pierwotnego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ewentualnych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miejsc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przerzutów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możliwych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oceny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badaniach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obrazowych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23DCD137" w14:textId="13BC425B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cytologiczna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szpiku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kostnego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952FEAC" w14:textId="15E96A7B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markerów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nowotworowych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(katecholaminy,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NSE,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LDH)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0010891" w14:textId="7CBDAF5E" w:rsidR="00A042E8" w:rsidRPr="00166B52" w:rsidRDefault="00A042E8" w:rsidP="00166B52">
            <w:pPr>
              <w:numPr>
                <w:ilvl w:val="4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kostnego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(scyntygrafia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użyciem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MIBG,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braku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wychwytu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znacznika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guzie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pierwotnym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wstępnym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badaniu,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scyntygrafia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użyciem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technetu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00E23"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PET).</w:t>
            </w:r>
          </w:p>
          <w:p w14:paraId="49D8162B" w14:textId="77777777" w:rsidR="00BB2DFE" w:rsidRPr="00166B52" w:rsidRDefault="00BB2DFE" w:rsidP="00166B52">
            <w:pPr>
              <w:spacing w:after="60"/>
              <w:ind w:left="624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2B274B9" w14:textId="26EE91F6" w:rsidR="00A042E8" w:rsidRPr="00166B52" w:rsidRDefault="00A042E8" w:rsidP="00166B52">
            <w:pPr>
              <w:pStyle w:val="Akapitzlist"/>
              <w:numPr>
                <w:ilvl w:val="1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po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zakończeniu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immunoterapii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dla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obu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protokołów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leczniczych</w:t>
            </w:r>
          </w:p>
          <w:p w14:paraId="0334B314" w14:textId="7252C286" w:rsidR="00A042E8" w:rsidRPr="00166B52" w:rsidRDefault="00A042E8" w:rsidP="00166B52">
            <w:pPr>
              <w:pStyle w:val="Akapitzlist"/>
              <w:numPr>
                <w:ilvl w:val="3"/>
                <w:numId w:val="7"/>
              </w:numPr>
              <w:tabs>
                <w:tab w:val="left" w:pos="363"/>
              </w:tabs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lokalizacji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guza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pierwotnego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okolic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sąsiednich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(tj.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głowy,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klatki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jamy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brzusznej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miednicy)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7C6BFE3" w14:textId="311454A8" w:rsidR="00A042E8" w:rsidRPr="00166B52" w:rsidRDefault="00A042E8" w:rsidP="00166B52">
            <w:pPr>
              <w:pStyle w:val="Akapitzlist"/>
              <w:numPr>
                <w:ilvl w:val="3"/>
                <w:numId w:val="7"/>
              </w:numPr>
              <w:tabs>
                <w:tab w:val="left" w:pos="363"/>
              </w:tabs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ocen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kostnego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(scyntygrafia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użyciem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MIBG,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braku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wychwytu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znacznika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guzie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pierwotnym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wstępnym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badaniu,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scyntygrafię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użyciem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technetu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EBC3518" w14:textId="7C3F7E54" w:rsidR="00A042E8" w:rsidRPr="00166B52" w:rsidRDefault="00A042E8" w:rsidP="00166B52">
            <w:pPr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szpiku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kostnego: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biopsja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trepanobiopsja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54DAB17" w14:textId="2D6D09A0" w:rsidR="00A042E8" w:rsidRPr="00166B52" w:rsidRDefault="00A042E8" w:rsidP="00166B52">
            <w:pPr>
              <w:numPr>
                <w:ilvl w:val="3"/>
                <w:numId w:val="7"/>
              </w:numPr>
              <w:tabs>
                <w:tab w:val="left" w:pos="505"/>
              </w:tabs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markerów: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enolazy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neurospecyficznej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(NSE)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ferrytyny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dehydrogenazy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mleczanowej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(LDH)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surowicy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stężeń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katecholamin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metabolitów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dobowej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zbiórce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moczu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FA9753D" w14:textId="1FD40830" w:rsidR="00A042E8" w:rsidRPr="00166B52" w:rsidRDefault="00A042E8" w:rsidP="00166B52">
            <w:pPr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Cs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Cs/>
                <w:sz w:val="20"/>
                <w:szCs w:val="20"/>
              </w:rPr>
              <w:t>funkcji</w:t>
            </w:r>
            <w:r w:rsidR="00BB2DFE"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Cs/>
                <w:sz w:val="20"/>
                <w:szCs w:val="20"/>
              </w:rPr>
              <w:t>narządów:</w:t>
            </w:r>
          </w:p>
          <w:p w14:paraId="43035D82" w14:textId="50390896" w:rsidR="00A042E8" w:rsidRPr="00166B52" w:rsidRDefault="00A042E8" w:rsidP="00166B52">
            <w:pPr>
              <w:numPr>
                <w:ilvl w:val="4"/>
                <w:numId w:val="7"/>
              </w:numPr>
              <w:tabs>
                <w:tab w:val="left" w:pos="788"/>
              </w:tabs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serca: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echo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serca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(frakcja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skurczowa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≥30%)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EKG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3270E7A" w14:textId="43EB6800" w:rsidR="00A042E8" w:rsidRPr="00166B52" w:rsidRDefault="00A042E8" w:rsidP="00166B52">
            <w:pPr>
              <w:numPr>
                <w:ilvl w:val="4"/>
                <w:numId w:val="7"/>
              </w:numPr>
              <w:tabs>
                <w:tab w:val="left" w:pos="788"/>
              </w:tabs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płuc: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spirometria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(FEV1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FVC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&gt;60%),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braku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możliwości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wykonania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spirometrii: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może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cech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duszności,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saturacja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krwi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tlenem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(SpO</w:t>
            </w:r>
            <w:r w:rsidRPr="00166B52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mierzona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pulsoksymetrem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oddychaniu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powietrzem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atmosferycznym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musi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wynosić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minimum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94%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C635EBF" w14:textId="0F963C2D" w:rsidR="00A042E8" w:rsidRPr="00166B52" w:rsidRDefault="002E0535" w:rsidP="00166B52">
            <w:pPr>
              <w:numPr>
                <w:ilvl w:val="4"/>
                <w:numId w:val="7"/>
              </w:numPr>
              <w:tabs>
                <w:tab w:val="left" w:pos="788"/>
              </w:tabs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szpiku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kostnego: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krwi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obwodowej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4B36AC1D" w14:textId="1E9C1B61" w:rsidR="00A042E8" w:rsidRPr="00166B52" w:rsidRDefault="00A042E8" w:rsidP="00166B52">
            <w:pPr>
              <w:numPr>
                <w:ilvl w:val="4"/>
                <w:numId w:val="7"/>
              </w:numPr>
              <w:tabs>
                <w:tab w:val="left" w:pos="788"/>
              </w:tabs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wątroby: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ALT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AST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166B52" w:rsidRPr="00166B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0B75AF80" w14:textId="531B7912" w:rsidR="00A042E8" w:rsidRPr="00166B52" w:rsidRDefault="00A042E8" w:rsidP="00166B52">
            <w:pPr>
              <w:numPr>
                <w:ilvl w:val="4"/>
                <w:numId w:val="7"/>
              </w:numPr>
              <w:tabs>
                <w:tab w:val="left" w:pos="788"/>
              </w:tabs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funkcja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nerek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–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kreatyniny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obliczenie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eGFR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CDA889C" w14:textId="0F16F06A" w:rsidR="00A042E8" w:rsidRPr="00166B52" w:rsidRDefault="00A042E8" w:rsidP="00166B52">
            <w:pPr>
              <w:numPr>
                <w:ilvl w:val="3"/>
                <w:numId w:val="7"/>
              </w:numPr>
              <w:tabs>
                <w:tab w:val="left" w:pos="363"/>
              </w:tabs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okulistyczna</w:t>
            </w:r>
            <w:r w:rsidR="002E0535" w:rsidRPr="00166B52">
              <w:rPr>
                <w:rFonts w:ascii="Times New Roman" w:hAnsi="Times New Roman"/>
                <w:sz w:val="20"/>
                <w:szCs w:val="20"/>
              </w:rPr>
              <w:t>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oka,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dzieci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współpracujących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również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ostrości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wzroku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6B78A9C" w14:textId="0980B642" w:rsidR="00A042E8" w:rsidRPr="00166B52" w:rsidRDefault="00A042E8" w:rsidP="00166B52">
            <w:pPr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słuchu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A4D5684" w14:textId="14F5E020" w:rsidR="00A042E8" w:rsidRPr="00166B52" w:rsidRDefault="00A042E8" w:rsidP="00166B52">
            <w:pPr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EEG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3FCE99C" w14:textId="238D874F" w:rsidR="00A042E8" w:rsidRPr="00166B52" w:rsidRDefault="00A042E8" w:rsidP="00166B52">
            <w:pPr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kierunku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zakażeń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wirusowych: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anty-HBV,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anty-HCV,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HIV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89ACF7B" w14:textId="3CB2F26D" w:rsidR="00A042E8" w:rsidRPr="00166B52" w:rsidRDefault="00A042E8" w:rsidP="00166B52">
            <w:pPr>
              <w:numPr>
                <w:ilvl w:val="3"/>
                <w:numId w:val="7"/>
              </w:numPr>
              <w:tabs>
                <w:tab w:val="left" w:pos="363"/>
              </w:tabs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zdjęcie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radiologiczne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klatki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dzieci,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które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miały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wykonanej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tomografii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klatki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piersiowej)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61651F0" w14:textId="1CD5EF9F" w:rsidR="00A042E8" w:rsidRPr="00166B52" w:rsidRDefault="00A042E8" w:rsidP="00166B52">
            <w:pPr>
              <w:numPr>
                <w:ilvl w:val="3"/>
                <w:numId w:val="7"/>
              </w:numPr>
              <w:tabs>
                <w:tab w:val="left" w:pos="363"/>
              </w:tabs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hormonów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tarczycy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1523D21" w14:textId="4A45D615" w:rsidR="00A042E8" w:rsidRPr="00166B52" w:rsidRDefault="00A042E8" w:rsidP="00166B52">
            <w:pPr>
              <w:numPr>
                <w:ilvl w:val="3"/>
                <w:numId w:val="7"/>
              </w:numPr>
              <w:tabs>
                <w:tab w:val="left" w:pos="363"/>
              </w:tabs>
              <w:spacing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immunologicznego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immunoglobulin,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ocena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odporności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komórkowej).</w:t>
            </w:r>
          </w:p>
          <w:p w14:paraId="1AFFE5C5" w14:textId="038BF0BA" w:rsidR="00A042E8" w:rsidRPr="00166B52" w:rsidRDefault="00A042E8" w:rsidP="00166B52">
            <w:pPr>
              <w:tabs>
                <w:tab w:val="left" w:pos="1440"/>
              </w:tabs>
              <w:spacing w:after="60"/>
              <w:ind w:left="505" w:hanging="45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A9EBD21" w14:textId="7F16F770" w:rsidR="00D26A90" w:rsidRPr="00166B52" w:rsidRDefault="00213DD2" w:rsidP="00166B52">
            <w:pPr>
              <w:pStyle w:val="Akapitzlist"/>
              <w:numPr>
                <w:ilvl w:val="1"/>
                <w:numId w:val="7"/>
              </w:numPr>
              <w:tabs>
                <w:tab w:val="left" w:pos="1440"/>
              </w:tabs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Monitorowanie </w:t>
            </w:r>
            <w:r w:rsidR="00B94455" w:rsidRPr="00166B52">
              <w:rPr>
                <w:rFonts w:ascii="Times New Roman" w:hAnsi="Times New Roman"/>
                <w:b/>
                <w:sz w:val="20"/>
                <w:szCs w:val="20"/>
              </w:rPr>
              <w:t>efektów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B94455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leczenia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po zakończeniu immunoterapii </w:t>
            </w:r>
            <w:r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Co 12 </w:t>
            </w:r>
            <w:r w:rsidR="00B94455" w:rsidRPr="00166B52">
              <w:rPr>
                <w:rFonts w:ascii="Times New Roman" w:hAnsi="Times New Roman"/>
                <w:bCs/>
                <w:sz w:val="20"/>
                <w:szCs w:val="20"/>
              </w:rPr>
              <w:t>miesięcy</w:t>
            </w:r>
            <w:r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od zakończenia </w:t>
            </w:r>
            <w:r w:rsidR="00B94455" w:rsidRPr="00166B52">
              <w:rPr>
                <w:rFonts w:ascii="Times New Roman" w:hAnsi="Times New Roman"/>
                <w:bCs/>
                <w:sz w:val="20"/>
                <w:szCs w:val="20"/>
              </w:rPr>
              <w:t>immunoterapii</w:t>
            </w:r>
            <w:r w:rsidRPr="00166B52">
              <w:rPr>
                <w:rFonts w:ascii="Times New Roman" w:hAnsi="Times New Roman"/>
                <w:bCs/>
                <w:sz w:val="20"/>
                <w:szCs w:val="20"/>
              </w:rPr>
              <w:t xml:space="preserve"> przez okres 5 lat informacja o progresji lub wznowie choroby.</w:t>
            </w:r>
          </w:p>
          <w:p w14:paraId="6D8930BC" w14:textId="77777777" w:rsidR="00166B52" w:rsidRPr="00166B52" w:rsidRDefault="00166B52" w:rsidP="00166B52">
            <w:pPr>
              <w:pStyle w:val="Akapitzlist"/>
              <w:tabs>
                <w:tab w:val="left" w:pos="1440"/>
              </w:tabs>
              <w:spacing w:after="60"/>
              <w:ind w:left="227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61E74AE" w14:textId="759F65F2" w:rsidR="00A042E8" w:rsidRPr="00166B52" w:rsidRDefault="00A042E8" w:rsidP="00166B52">
            <w:pPr>
              <w:pStyle w:val="Akapitzlist"/>
              <w:numPr>
                <w:ilvl w:val="1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Monitorowanie</w:t>
            </w:r>
            <w:r w:rsidR="00BB2DFE" w:rsidRPr="00166B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b/>
                <w:sz w:val="20"/>
                <w:szCs w:val="20"/>
              </w:rPr>
              <w:t>programu</w:t>
            </w:r>
          </w:p>
          <w:p w14:paraId="396F274E" w14:textId="40A2E05E" w:rsidR="00A042E8" w:rsidRPr="00166B52" w:rsidRDefault="00A042E8" w:rsidP="00166B52">
            <w:pPr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gromadzenie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dokumentacji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medycznej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pacjenta,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tym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danych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każdorazowe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przedstawianie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żądanie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kontrolerów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Narodowego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Funduszu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Zdrowia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Koordynującego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ds.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„Leczenia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7128" w:rsidRPr="00166B52">
              <w:rPr>
                <w:rFonts w:ascii="Times New Roman" w:hAnsi="Times New Roman"/>
                <w:sz w:val="20"/>
                <w:szCs w:val="20"/>
              </w:rPr>
              <w:t>d</w:t>
            </w:r>
            <w:r w:rsidR="00D70877" w:rsidRPr="00166B52">
              <w:rPr>
                <w:rFonts w:ascii="Times New Roman" w:hAnsi="Times New Roman"/>
                <w:sz w:val="20"/>
                <w:szCs w:val="20"/>
              </w:rPr>
              <w:t>inutuksy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mabem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beta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Nerwiakiem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Zarodkowym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Współczulnym”</w:t>
            </w:r>
            <w:r w:rsidR="00D70877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843AAFB" w14:textId="39B1FB64" w:rsidR="00A042E8" w:rsidRPr="00166B52" w:rsidRDefault="00A042E8" w:rsidP="00166B52">
            <w:pPr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uzupełnianie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danych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5E1E" w:rsidRPr="00166B52">
              <w:rPr>
                <w:rFonts w:ascii="Times New Roman" w:hAnsi="Times New Roman"/>
                <w:sz w:val="20"/>
                <w:szCs w:val="20"/>
              </w:rPr>
              <w:t xml:space="preserve">zawartych w elektronicznym systemie monitorowania programów lekowych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(SMPT)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dostępnym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pomocą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aplikacji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internetowej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udostępnionej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NFZ,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częstotliwością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zgodną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opisem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oraz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zakończenie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5703629B" w14:textId="4AFB9A62" w:rsidR="00A042E8" w:rsidRPr="00166B52" w:rsidRDefault="00A042E8" w:rsidP="00166B52">
            <w:pPr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przekazywanie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informacji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sprawozdawczo-rozliczeniowych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NFZ: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informacje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przekazuje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się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NFZ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formie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papierowej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lub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formie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elektronicznej,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wymaganiami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opublikowanymi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przez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Narodowy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Fundusz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Zdrowia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7EAC53A" w14:textId="315E7466" w:rsidR="00A042E8" w:rsidRPr="00166B52" w:rsidRDefault="00BF2341" w:rsidP="00166B52">
            <w:pPr>
              <w:pStyle w:val="Akapitzlist"/>
              <w:numPr>
                <w:ilvl w:val="3"/>
                <w:numId w:val="7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głaszanie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działań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niepożądanych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Urzędu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Rejestracji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Leków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Produktów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042E8" w:rsidRPr="00166B52">
              <w:rPr>
                <w:rFonts w:ascii="Times New Roman" w:hAnsi="Times New Roman"/>
                <w:sz w:val="20"/>
                <w:szCs w:val="20"/>
              </w:rPr>
              <w:t>Leczniczych</w:t>
            </w:r>
            <w:r w:rsidR="003E4045" w:rsidRPr="00166B52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8EBE5B4" w14:textId="76E5B6D0" w:rsidR="00A042E8" w:rsidRPr="00166B52" w:rsidRDefault="00A042E8" w:rsidP="00166B52">
            <w:pPr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6B52">
              <w:rPr>
                <w:rFonts w:ascii="Times New Roman" w:hAnsi="Times New Roman"/>
                <w:sz w:val="20"/>
                <w:szCs w:val="20"/>
              </w:rPr>
              <w:t>zgłaszanie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ciężkich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działań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niepożądanych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(stopień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3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i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4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WHO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CTC)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Koordynującego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ds.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„Leczenia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7128" w:rsidRPr="00166B52">
              <w:rPr>
                <w:rFonts w:ascii="Times New Roman" w:hAnsi="Times New Roman"/>
                <w:sz w:val="20"/>
                <w:szCs w:val="20"/>
              </w:rPr>
              <w:t>d</w:t>
            </w:r>
            <w:r w:rsidR="00D70877" w:rsidRPr="00166B52">
              <w:rPr>
                <w:rFonts w:ascii="Times New Roman" w:hAnsi="Times New Roman"/>
                <w:sz w:val="20"/>
                <w:szCs w:val="20"/>
              </w:rPr>
              <w:t>in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utu</w:t>
            </w:r>
            <w:r w:rsidR="00D70877" w:rsidRPr="00166B52">
              <w:rPr>
                <w:rFonts w:ascii="Times New Roman" w:hAnsi="Times New Roman"/>
                <w:sz w:val="20"/>
                <w:szCs w:val="20"/>
              </w:rPr>
              <w:t>ksy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mabem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beta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Nerwiakiem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Zarodkowym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66B52">
              <w:rPr>
                <w:rFonts w:ascii="Times New Roman" w:hAnsi="Times New Roman"/>
                <w:sz w:val="20"/>
                <w:szCs w:val="20"/>
              </w:rPr>
              <w:t>Współczulnym”.</w:t>
            </w:r>
            <w:r w:rsidR="00BB2DFE" w:rsidRPr="00166B5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49D11A5" w14:textId="6CD3EB04" w:rsidR="0022592D" w:rsidRPr="00166B52" w:rsidRDefault="0022592D" w:rsidP="00166B52">
            <w:pPr>
              <w:spacing w:after="60"/>
              <w:ind w:left="45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EF2D0CC" w14:textId="77777777" w:rsidR="00A042E8" w:rsidRDefault="00A042E8">
      <w:pPr>
        <w:tabs>
          <w:tab w:val="left" w:pos="1180"/>
        </w:tabs>
        <w:spacing w:line="240" w:lineRule="auto"/>
        <w:rPr>
          <w:rFonts w:ascii="Times New Roman" w:hAnsi="Times New Roman"/>
          <w:sz w:val="20"/>
        </w:rPr>
      </w:pPr>
    </w:p>
    <w:sectPr w:rsidR="00A042E8" w:rsidSect="004032C2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A58F" w14:textId="77777777" w:rsidR="00205702" w:rsidRDefault="00205702" w:rsidP="0001299F">
      <w:pPr>
        <w:spacing w:after="0" w:line="240" w:lineRule="auto"/>
      </w:pPr>
      <w:r>
        <w:separator/>
      </w:r>
    </w:p>
  </w:endnote>
  <w:endnote w:type="continuationSeparator" w:id="0">
    <w:p w14:paraId="03DD9C86" w14:textId="77777777" w:rsidR="00205702" w:rsidRDefault="00205702" w:rsidP="00012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51DF4" w14:textId="77777777" w:rsidR="00205702" w:rsidRDefault="00205702" w:rsidP="0001299F">
      <w:pPr>
        <w:spacing w:after="0" w:line="240" w:lineRule="auto"/>
      </w:pPr>
      <w:r>
        <w:separator/>
      </w:r>
    </w:p>
  </w:footnote>
  <w:footnote w:type="continuationSeparator" w:id="0">
    <w:p w14:paraId="71C5B70F" w14:textId="77777777" w:rsidR="00205702" w:rsidRDefault="00205702" w:rsidP="00012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73CB"/>
    <w:multiLevelType w:val="multilevel"/>
    <w:tmpl w:val="6B14546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strike w:val="0"/>
      </w:rPr>
    </w:lvl>
    <w:lvl w:ilvl="1">
      <w:start w:val="1"/>
      <w:numFmt w:val="upperLetter"/>
      <w:lvlText w:val="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284" w:hanging="227"/>
      </w:pPr>
      <w:rPr>
        <w:rFonts w:hint="default"/>
        <w:b/>
        <w:b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24" w:hanging="227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6">
      <w:start w:val="1"/>
      <w:numFmt w:val="bullet"/>
      <w:lvlText w:val=""/>
      <w:lvlJc w:val="left"/>
      <w:pPr>
        <w:ind w:left="1701" w:hanging="794"/>
      </w:pPr>
      <w:rPr>
        <w:rFonts w:ascii="Symbol" w:hAnsi="Symbol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13E57F46"/>
    <w:multiLevelType w:val="multilevel"/>
    <w:tmpl w:val="6B14546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strike w:val="0"/>
      </w:rPr>
    </w:lvl>
    <w:lvl w:ilvl="1">
      <w:start w:val="1"/>
      <w:numFmt w:val="upperLetter"/>
      <w:lvlText w:val="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284" w:hanging="227"/>
      </w:pPr>
      <w:rPr>
        <w:rFonts w:hint="default"/>
        <w:b/>
        <w:b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24" w:hanging="227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6">
      <w:start w:val="1"/>
      <w:numFmt w:val="bullet"/>
      <w:lvlText w:val=""/>
      <w:lvlJc w:val="left"/>
      <w:pPr>
        <w:ind w:left="1701" w:hanging="794"/>
      </w:pPr>
      <w:rPr>
        <w:rFonts w:ascii="Symbol" w:hAnsi="Symbol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17EA2170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1DEC2504"/>
    <w:multiLevelType w:val="multilevel"/>
    <w:tmpl w:val="27DA3F9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strike w:val="0"/>
      </w:rPr>
    </w:lvl>
    <w:lvl w:ilvl="1">
      <w:start w:val="1"/>
      <w:numFmt w:val="upperLetter"/>
      <w:lvlText w:val="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284" w:hanging="227"/>
      </w:pPr>
      <w:rPr>
        <w:rFonts w:hint="default"/>
        <w:b/>
        <w:b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24" w:hanging="22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6">
      <w:start w:val="1"/>
      <w:numFmt w:val="bullet"/>
      <w:lvlText w:val=""/>
      <w:lvlJc w:val="left"/>
      <w:pPr>
        <w:ind w:left="1701" w:hanging="794"/>
      </w:pPr>
      <w:rPr>
        <w:rFonts w:ascii="Symbol" w:hAnsi="Symbol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320E0366"/>
    <w:multiLevelType w:val="multilevel"/>
    <w:tmpl w:val="27DA3F9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strike w:val="0"/>
      </w:rPr>
    </w:lvl>
    <w:lvl w:ilvl="1">
      <w:start w:val="1"/>
      <w:numFmt w:val="upperLetter"/>
      <w:lvlText w:val="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284" w:hanging="227"/>
      </w:pPr>
      <w:rPr>
        <w:rFonts w:hint="default"/>
        <w:b/>
        <w:b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24" w:hanging="22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6">
      <w:start w:val="1"/>
      <w:numFmt w:val="bullet"/>
      <w:lvlText w:val=""/>
      <w:lvlJc w:val="left"/>
      <w:pPr>
        <w:ind w:left="1701" w:hanging="794"/>
      </w:pPr>
      <w:rPr>
        <w:rFonts w:ascii="Symbol" w:hAnsi="Symbol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4BAF43AC"/>
    <w:multiLevelType w:val="multilevel"/>
    <w:tmpl w:val="744847D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strike w:val="0"/>
      </w:rPr>
    </w:lvl>
    <w:lvl w:ilvl="1">
      <w:start w:val="1"/>
      <w:numFmt w:val="upperLetter"/>
      <w:lvlText w:val="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284" w:hanging="227"/>
      </w:pPr>
      <w:rPr>
        <w:rFonts w:hint="default"/>
        <w:b/>
        <w:b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</w:rPr>
    </w:lvl>
    <w:lvl w:ilvl="4">
      <w:start w:val="1"/>
      <w:numFmt w:val="lowerLetter"/>
      <w:suff w:val="space"/>
      <w:lvlText w:val="%5)"/>
      <w:lvlJc w:val="left"/>
      <w:pPr>
        <w:ind w:left="624" w:hanging="227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6">
      <w:start w:val="1"/>
      <w:numFmt w:val="bullet"/>
      <w:lvlText w:val=""/>
      <w:lvlJc w:val="left"/>
      <w:pPr>
        <w:ind w:left="1701" w:hanging="794"/>
      </w:pPr>
      <w:rPr>
        <w:rFonts w:ascii="Symbol" w:hAnsi="Symbol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7A2C3E18"/>
    <w:multiLevelType w:val="multilevel"/>
    <w:tmpl w:val="4D24E0A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strike w:val="0"/>
      </w:rPr>
    </w:lvl>
    <w:lvl w:ilvl="1">
      <w:start w:val="1"/>
      <w:numFmt w:val="upperLetter"/>
      <w:lvlText w:val="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340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1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24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865408235">
    <w:abstractNumId w:val="6"/>
  </w:num>
  <w:num w:numId="2" w16cid:durableId="1881353956">
    <w:abstractNumId w:val="3"/>
  </w:num>
  <w:num w:numId="3" w16cid:durableId="1470631656">
    <w:abstractNumId w:val="1"/>
  </w:num>
  <w:num w:numId="4" w16cid:durableId="282226060">
    <w:abstractNumId w:val="0"/>
  </w:num>
  <w:num w:numId="5" w16cid:durableId="642277239">
    <w:abstractNumId w:val="2"/>
  </w:num>
  <w:num w:numId="6" w16cid:durableId="514468190">
    <w:abstractNumId w:val="4"/>
  </w:num>
  <w:num w:numId="7" w16cid:durableId="188667278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861"/>
    <w:rsid w:val="0001299F"/>
    <w:rsid w:val="00043070"/>
    <w:rsid w:val="00050CB4"/>
    <w:rsid w:val="00057A76"/>
    <w:rsid w:val="00057D1F"/>
    <w:rsid w:val="00060265"/>
    <w:rsid w:val="00085D90"/>
    <w:rsid w:val="00096F09"/>
    <w:rsid w:val="000A2B77"/>
    <w:rsid w:val="001054DE"/>
    <w:rsid w:val="00126685"/>
    <w:rsid w:val="00145ACD"/>
    <w:rsid w:val="00166B52"/>
    <w:rsid w:val="001705FE"/>
    <w:rsid w:val="00177195"/>
    <w:rsid w:val="001850C5"/>
    <w:rsid w:val="0019609D"/>
    <w:rsid w:val="001B58F7"/>
    <w:rsid w:val="001B74F8"/>
    <w:rsid w:val="001D0963"/>
    <w:rsid w:val="001D3861"/>
    <w:rsid w:val="001E347B"/>
    <w:rsid w:val="001E4E92"/>
    <w:rsid w:val="00204FA6"/>
    <w:rsid w:val="00205702"/>
    <w:rsid w:val="00213DD2"/>
    <w:rsid w:val="002141B4"/>
    <w:rsid w:val="0022592D"/>
    <w:rsid w:val="002277DE"/>
    <w:rsid w:val="002B32BA"/>
    <w:rsid w:val="002C7F31"/>
    <w:rsid w:val="002E0535"/>
    <w:rsid w:val="002F34E0"/>
    <w:rsid w:val="003003C0"/>
    <w:rsid w:val="00307B2E"/>
    <w:rsid w:val="00321AA9"/>
    <w:rsid w:val="003636CC"/>
    <w:rsid w:val="003677B3"/>
    <w:rsid w:val="003742C5"/>
    <w:rsid w:val="0037621B"/>
    <w:rsid w:val="0038410A"/>
    <w:rsid w:val="003A5DE0"/>
    <w:rsid w:val="003A70EC"/>
    <w:rsid w:val="003B2888"/>
    <w:rsid w:val="003D7E82"/>
    <w:rsid w:val="003E4045"/>
    <w:rsid w:val="003F225D"/>
    <w:rsid w:val="003F3D1C"/>
    <w:rsid w:val="004004CD"/>
    <w:rsid w:val="00400E23"/>
    <w:rsid w:val="00403241"/>
    <w:rsid w:val="004032C2"/>
    <w:rsid w:val="0043196E"/>
    <w:rsid w:val="00431FB7"/>
    <w:rsid w:val="00433293"/>
    <w:rsid w:val="00451880"/>
    <w:rsid w:val="004550B3"/>
    <w:rsid w:val="004575E7"/>
    <w:rsid w:val="0046741C"/>
    <w:rsid w:val="00467FE4"/>
    <w:rsid w:val="004700C9"/>
    <w:rsid w:val="00476277"/>
    <w:rsid w:val="00492DCE"/>
    <w:rsid w:val="004C3917"/>
    <w:rsid w:val="004F4FA1"/>
    <w:rsid w:val="00504A59"/>
    <w:rsid w:val="005158DA"/>
    <w:rsid w:val="00516891"/>
    <w:rsid w:val="00534D45"/>
    <w:rsid w:val="00535982"/>
    <w:rsid w:val="0054188C"/>
    <w:rsid w:val="005474F0"/>
    <w:rsid w:val="00556C1A"/>
    <w:rsid w:val="00565D3E"/>
    <w:rsid w:val="00571450"/>
    <w:rsid w:val="00572917"/>
    <w:rsid w:val="00576FD6"/>
    <w:rsid w:val="00583507"/>
    <w:rsid w:val="005843C7"/>
    <w:rsid w:val="005C0274"/>
    <w:rsid w:val="005E1168"/>
    <w:rsid w:val="0061712B"/>
    <w:rsid w:val="0063725C"/>
    <w:rsid w:val="00647753"/>
    <w:rsid w:val="006529EB"/>
    <w:rsid w:val="0067094E"/>
    <w:rsid w:val="0068621E"/>
    <w:rsid w:val="006D5B92"/>
    <w:rsid w:val="007214F5"/>
    <w:rsid w:val="007234CC"/>
    <w:rsid w:val="0075108D"/>
    <w:rsid w:val="00757CD3"/>
    <w:rsid w:val="00770820"/>
    <w:rsid w:val="00775B2A"/>
    <w:rsid w:val="00783DB3"/>
    <w:rsid w:val="007B4102"/>
    <w:rsid w:val="007D5FB1"/>
    <w:rsid w:val="007E1352"/>
    <w:rsid w:val="007F3F3D"/>
    <w:rsid w:val="007F6863"/>
    <w:rsid w:val="00810D2D"/>
    <w:rsid w:val="008315D5"/>
    <w:rsid w:val="008678EC"/>
    <w:rsid w:val="00874DE3"/>
    <w:rsid w:val="008924E1"/>
    <w:rsid w:val="00895633"/>
    <w:rsid w:val="008B1BE9"/>
    <w:rsid w:val="008F00B5"/>
    <w:rsid w:val="008F3EF5"/>
    <w:rsid w:val="00907673"/>
    <w:rsid w:val="0091094A"/>
    <w:rsid w:val="009241B1"/>
    <w:rsid w:val="00925A71"/>
    <w:rsid w:val="009402D2"/>
    <w:rsid w:val="00963C4C"/>
    <w:rsid w:val="00970B7A"/>
    <w:rsid w:val="009802D8"/>
    <w:rsid w:val="00983139"/>
    <w:rsid w:val="009853A1"/>
    <w:rsid w:val="009D04AF"/>
    <w:rsid w:val="009E58DB"/>
    <w:rsid w:val="00A042E8"/>
    <w:rsid w:val="00A57D49"/>
    <w:rsid w:val="00A82232"/>
    <w:rsid w:val="00A8562C"/>
    <w:rsid w:val="00AA5D05"/>
    <w:rsid w:val="00AB31DE"/>
    <w:rsid w:val="00AB5A48"/>
    <w:rsid w:val="00AD63A3"/>
    <w:rsid w:val="00AE6D0B"/>
    <w:rsid w:val="00B0654C"/>
    <w:rsid w:val="00B153DA"/>
    <w:rsid w:val="00B22267"/>
    <w:rsid w:val="00B42F11"/>
    <w:rsid w:val="00B51977"/>
    <w:rsid w:val="00B55FBF"/>
    <w:rsid w:val="00B94455"/>
    <w:rsid w:val="00BB2DFE"/>
    <w:rsid w:val="00BB6AD1"/>
    <w:rsid w:val="00BD42FD"/>
    <w:rsid w:val="00BE39BD"/>
    <w:rsid w:val="00BF2341"/>
    <w:rsid w:val="00BF258E"/>
    <w:rsid w:val="00BF421D"/>
    <w:rsid w:val="00C13C61"/>
    <w:rsid w:val="00C244FD"/>
    <w:rsid w:val="00C3781F"/>
    <w:rsid w:val="00C442A8"/>
    <w:rsid w:val="00C46DB0"/>
    <w:rsid w:val="00C53FD9"/>
    <w:rsid w:val="00C60CEA"/>
    <w:rsid w:val="00C62B63"/>
    <w:rsid w:val="00C955BC"/>
    <w:rsid w:val="00CB0C67"/>
    <w:rsid w:val="00CC44F8"/>
    <w:rsid w:val="00D10FE8"/>
    <w:rsid w:val="00D11A26"/>
    <w:rsid w:val="00D26A90"/>
    <w:rsid w:val="00D31BB1"/>
    <w:rsid w:val="00D403CB"/>
    <w:rsid w:val="00D55424"/>
    <w:rsid w:val="00D55E1E"/>
    <w:rsid w:val="00D70877"/>
    <w:rsid w:val="00DA7D74"/>
    <w:rsid w:val="00DD412B"/>
    <w:rsid w:val="00E03FFA"/>
    <w:rsid w:val="00E23ECA"/>
    <w:rsid w:val="00E30AAC"/>
    <w:rsid w:val="00E3219A"/>
    <w:rsid w:val="00E52D51"/>
    <w:rsid w:val="00E62DCB"/>
    <w:rsid w:val="00E7137E"/>
    <w:rsid w:val="00E86ED0"/>
    <w:rsid w:val="00E87F93"/>
    <w:rsid w:val="00E9781D"/>
    <w:rsid w:val="00EB1B92"/>
    <w:rsid w:val="00EC184F"/>
    <w:rsid w:val="00ED2DF0"/>
    <w:rsid w:val="00EF366E"/>
    <w:rsid w:val="00EF7BFF"/>
    <w:rsid w:val="00F30B6B"/>
    <w:rsid w:val="00F37128"/>
    <w:rsid w:val="00F466D5"/>
    <w:rsid w:val="00F644BA"/>
    <w:rsid w:val="00F7754E"/>
    <w:rsid w:val="00FD20EB"/>
    <w:rsid w:val="00FD264F"/>
    <w:rsid w:val="00FD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AC0A8B"/>
  <w15:docId w15:val="{829972A7-61F4-41D9-B541-43D33EC9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19A"/>
    <w:pPr>
      <w:spacing w:after="200" w:line="276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757CD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rsid w:val="00012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link w:val="Nagwek"/>
    <w:uiPriority w:val="99"/>
    <w:semiHidden/>
    <w:locked/>
    <w:rsid w:val="0001299F"/>
    <w:rPr>
      <w:rFonts w:cs="Times New Roman"/>
    </w:rPr>
  </w:style>
  <w:style w:type="paragraph" w:styleId="Stopka">
    <w:name w:val="footer"/>
    <w:basedOn w:val="Normalny"/>
    <w:link w:val="StopkaZnak"/>
    <w:uiPriority w:val="99"/>
    <w:semiHidden/>
    <w:rsid w:val="00012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link w:val="Stopka"/>
    <w:uiPriority w:val="99"/>
    <w:semiHidden/>
    <w:locked/>
    <w:rsid w:val="0001299F"/>
    <w:rPr>
      <w:rFonts w:cs="Times New Roman"/>
    </w:rPr>
  </w:style>
  <w:style w:type="character" w:styleId="Wyrnieniedelikatne">
    <w:name w:val="Subtle Emphasis"/>
    <w:uiPriority w:val="99"/>
    <w:qFormat/>
    <w:rsid w:val="0001299F"/>
    <w:rPr>
      <w:rFonts w:cs="Times New Roman"/>
      <w:i/>
      <w:iCs/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6D0B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46DB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46DB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46DB0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46DB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46DB0"/>
    <w:rPr>
      <w:b/>
      <w:bCs/>
    </w:rPr>
  </w:style>
  <w:style w:type="paragraph" w:styleId="Poprawka">
    <w:name w:val="Revision"/>
    <w:hidden/>
    <w:uiPriority w:val="99"/>
    <w:semiHidden/>
    <w:rsid w:val="003677B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8301FDFD71B4E88EEC40DDDD8D6C4" ma:contentTypeVersion="13" ma:contentTypeDescription="Create a new document." ma:contentTypeScope="" ma:versionID="d7e78d439491bdfcc2bbca6b1118e509">
  <xsd:schema xmlns:xsd="http://www.w3.org/2001/XMLSchema" xmlns:xs="http://www.w3.org/2001/XMLSchema" xmlns:p="http://schemas.microsoft.com/office/2006/metadata/properties" xmlns:ns3="961df496-c4ce-42bb-969f-14552dd0895c" xmlns:ns4="20ec5282-9fef-4e6e-b0b7-22779ceebecd" targetNamespace="http://schemas.microsoft.com/office/2006/metadata/properties" ma:root="true" ma:fieldsID="17d3008e2d7109383a21111750cc8b56" ns3:_="" ns4:_="">
    <xsd:import namespace="961df496-c4ce-42bb-969f-14552dd0895c"/>
    <xsd:import namespace="20ec5282-9fef-4e6e-b0b7-22779ceebe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df496-c4ce-42bb-969f-14552dd08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c5282-9fef-4e6e-b0b7-22779ceebec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472370-4176-4A4E-A59D-C5F02D4C94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57ED69-5A80-4F54-BCDA-98C85F84E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4E3CD-4795-4210-93C8-5B322A86AF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78D07A-4249-41CB-9ABC-7CC0C887C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1df496-c4ce-42bb-969f-14552dd0895c"/>
    <ds:schemaRef ds:uri="20ec5282-9fef-4e6e-b0b7-22779ceeb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2873</Words>
  <Characters>18578</Characters>
  <Application>Microsoft Office Word</Application>
  <DocSecurity>0</DocSecurity>
  <Lines>154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Bołzan Renata</dc:creator>
  <cp:lastModifiedBy>Królak-Buzakowska Joanna</cp:lastModifiedBy>
  <cp:revision>5</cp:revision>
  <dcterms:created xsi:type="dcterms:W3CDTF">2022-08-09T23:32:00Z</dcterms:created>
  <dcterms:modified xsi:type="dcterms:W3CDTF">2022-08-10T11:52:00Z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0x0101003668301FDFD71B4E88EEC40DDDD8D6C4</vt:lpwstr>
  </property>
</Properties>
</file>