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D9162" w14:textId="77777777" w:rsidR="00887CC2" w:rsidRDefault="00887CC2" w:rsidP="00C15ABA">
      <w:pPr>
        <w:ind w:right="89"/>
        <w:rPr>
          <w:sz w:val="22"/>
          <w:szCs w:val="22"/>
          <w:lang w:val="pl-PL"/>
        </w:rPr>
      </w:pPr>
      <w:r w:rsidRPr="00887CC2">
        <w:rPr>
          <w:sz w:val="22"/>
          <w:szCs w:val="22"/>
          <w:lang w:val="pl-PL"/>
        </w:rPr>
        <w:t>Załącznik B.11</w:t>
      </w:r>
      <w:r>
        <w:rPr>
          <w:sz w:val="22"/>
          <w:szCs w:val="22"/>
          <w:lang w:val="pl-PL"/>
        </w:rPr>
        <w:t>1</w:t>
      </w:r>
      <w:r w:rsidRPr="00887CC2">
        <w:rPr>
          <w:sz w:val="22"/>
          <w:szCs w:val="22"/>
          <w:lang w:val="pl-PL"/>
        </w:rPr>
        <w:t>.</w:t>
      </w:r>
    </w:p>
    <w:p w14:paraId="33BF50B4" w14:textId="77777777" w:rsidR="005713A2" w:rsidRPr="00887CC2" w:rsidRDefault="005713A2" w:rsidP="00C15ABA">
      <w:pPr>
        <w:ind w:right="89"/>
        <w:rPr>
          <w:sz w:val="22"/>
          <w:szCs w:val="22"/>
          <w:lang w:val="pl-PL"/>
        </w:rPr>
      </w:pPr>
    </w:p>
    <w:p w14:paraId="4D87E16E" w14:textId="472A1942" w:rsidR="00A036A1" w:rsidRPr="00654924" w:rsidRDefault="00A036A1" w:rsidP="00C15ABA">
      <w:pPr>
        <w:spacing w:after="240"/>
        <w:ind w:right="89"/>
        <w:jc w:val="both"/>
        <w:rPr>
          <w:b/>
          <w:color w:val="000000"/>
          <w:sz w:val="28"/>
          <w:szCs w:val="22"/>
          <w:lang w:val="pl-PL"/>
        </w:rPr>
      </w:pPr>
      <w:r>
        <w:rPr>
          <w:b/>
          <w:color w:val="000000"/>
          <w:sz w:val="28"/>
          <w:szCs w:val="22"/>
          <w:lang w:val="pl-PL"/>
        </w:rPr>
        <w:t xml:space="preserve">LECZENIE CIĘŻKIEGO NIEDOBORU HORMONU WZROSTU </w:t>
      </w:r>
      <w:r w:rsidR="00335E69">
        <w:rPr>
          <w:b/>
          <w:color w:val="000000"/>
          <w:sz w:val="28"/>
          <w:szCs w:val="22"/>
          <w:lang w:val="pl-PL"/>
        </w:rPr>
        <w:t xml:space="preserve">U </w:t>
      </w:r>
      <w:r>
        <w:rPr>
          <w:b/>
          <w:color w:val="000000"/>
          <w:sz w:val="28"/>
          <w:szCs w:val="22"/>
          <w:lang w:val="pl-PL"/>
        </w:rPr>
        <w:t>PACJENTÓW DOROSŁYCH</w:t>
      </w:r>
      <w:r w:rsidR="00596145">
        <w:rPr>
          <w:b/>
          <w:color w:val="000000"/>
          <w:sz w:val="28"/>
          <w:szCs w:val="22"/>
          <w:lang w:val="pl-PL"/>
        </w:rPr>
        <w:t xml:space="preserve"> </w:t>
      </w:r>
      <w:r w:rsidRPr="00A67F56">
        <w:rPr>
          <w:b/>
          <w:color w:val="000000"/>
          <w:sz w:val="28"/>
          <w:szCs w:val="22"/>
          <w:lang w:val="pl-PL"/>
        </w:rPr>
        <w:t>ORAZ</w:t>
      </w:r>
      <w:r w:rsidR="009E1BC4">
        <w:rPr>
          <w:b/>
          <w:color w:val="000000"/>
          <w:sz w:val="28"/>
          <w:szCs w:val="22"/>
          <w:lang w:val="pl-PL"/>
        </w:rPr>
        <w:t xml:space="preserve"> </w:t>
      </w:r>
      <w:r w:rsidR="00335E69">
        <w:rPr>
          <w:b/>
          <w:color w:val="000000"/>
          <w:sz w:val="28"/>
          <w:szCs w:val="22"/>
          <w:lang w:val="pl-PL"/>
        </w:rPr>
        <w:t>U</w:t>
      </w:r>
      <w:r w:rsidR="009E1BC4">
        <w:rPr>
          <w:b/>
          <w:color w:val="000000"/>
          <w:sz w:val="28"/>
          <w:szCs w:val="22"/>
          <w:lang w:val="pl-PL"/>
        </w:rPr>
        <w:t xml:space="preserve"> </w:t>
      </w:r>
      <w:r w:rsidRPr="00A67F56">
        <w:rPr>
          <w:b/>
          <w:color w:val="000000"/>
          <w:sz w:val="28"/>
          <w:szCs w:val="22"/>
          <w:lang w:val="pl-PL"/>
        </w:rPr>
        <w:t xml:space="preserve">MŁODZIEŻY PO ZAKOŃCZENIU </w:t>
      </w:r>
      <w:r w:rsidR="007F0BA3">
        <w:rPr>
          <w:b/>
          <w:color w:val="000000"/>
          <w:sz w:val="28"/>
          <w:szCs w:val="22"/>
          <w:lang w:val="pl-PL"/>
        </w:rPr>
        <w:t xml:space="preserve">PROCESU </w:t>
      </w:r>
      <w:r w:rsidR="00BB38E7" w:rsidRPr="00A67F56">
        <w:rPr>
          <w:b/>
          <w:color w:val="000000"/>
          <w:sz w:val="28"/>
          <w:szCs w:val="22"/>
          <w:lang w:val="pl-PL"/>
        </w:rPr>
        <w:t>WZRASTANI</w:t>
      </w:r>
      <w:r w:rsidR="00BB38E7">
        <w:rPr>
          <w:b/>
          <w:color w:val="000000"/>
          <w:sz w:val="28"/>
          <w:szCs w:val="22"/>
          <w:lang w:val="pl-PL"/>
        </w:rPr>
        <w:t>A</w:t>
      </w:r>
      <w:r w:rsidR="00BB38E7" w:rsidRPr="00A67F56">
        <w:rPr>
          <w:b/>
          <w:color w:val="000000"/>
          <w:sz w:val="28"/>
          <w:szCs w:val="22"/>
          <w:lang w:val="pl-PL"/>
        </w:rPr>
        <w:t xml:space="preserve"> </w:t>
      </w:r>
      <w:r w:rsidRPr="00A67F56">
        <w:rPr>
          <w:b/>
          <w:color w:val="000000"/>
          <w:sz w:val="28"/>
          <w:szCs w:val="22"/>
          <w:lang w:val="pl-PL"/>
        </w:rPr>
        <w:t>(ICD-10 E23.0)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08"/>
        <w:gridCol w:w="3825"/>
        <w:gridCol w:w="5755"/>
      </w:tblGrid>
      <w:tr w:rsidR="00A036A1" w:rsidRPr="00654924" w14:paraId="61B397D2" w14:textId="77777777" w:rsidTr="00547BEA">
        <w:trPr>
          <w:trHeight w:val="567"/>
        </w:trPr>
        <w:tc>
          <w:tcPr>
            <w:tcW w:w="5000" w:type="pct"/>
            <w:gridSpan w:val="3"/>
            <w:vAlign w:val="center"/>
          </w:tcPr>
          <w:p w14:paraId="70E02335" w14:textId="77777777" w:rsidR="00A036A1" w:rsidRPr="00654924" w:rsidRDefault="00A036A1" w:rsidP="002C7F4F">
            <w:pPr>
              <w:autoSpaceDE w:val="0"/>
              <w:autoSpaceDN w:val="0"/>
              <w:adjustRightInd w:val="0"/>
              <w:jc w:val="center"/>
              <w:rPr>
                <w:sz w:val="20"/>
                <w:lang w:val="pl-PL"/>
              </w:rPr>
            </w:pPr>
            <w:r w:rsidRPr="00654924">
              <w:rPr>
                <w:b/>
                <w:bCs/>
                <w:sz w:val="20"/>
                <w:lang w:val="pl-PL"/>
              </w:rPr>
              <w:t>ZAKRES ŚWIADCZENIA GWARANTOWANEGO</w:t>
            </w:r>
          </w:p>
        </w:tc>
      </w:tr>
      <w:tr w:rsidR="00A036A1" w:rsidRPr="00B34923" w14:paraId="31B97581" w14:textId="77777777" w:rsidTr="00D7666F">
        <w:trPr>
          <w:trHeight w:val="567"/>
        </w:trPr>
        <w:tc>
          <w:tcPr>
            <w:tcW w:w="1887" w:type="pct"/>
            <w:vAlign w:val="center"/>
          </w:tcPr>
          <w:p w14:paraId="41D43EF6" w14:textId="77777777" w:rsidR="00A036A1" w:rsidRPr="00654924" w:rsidRDefault="00A036A1" w:rsidP="002C7F4F">
            <w:pPr>
              <w:autoSpaceDE w:val="0"/>
              <w:autoSpaceDN w:val="0"/>
              <w:adjustRightInd w:val="0"/>
              <w:jc w:val="center"/>
              <w:rPr>
                <w:sz w:val="20"/>
                <w:lang w:val="pl-PL"/>
              </w:rPr>
            </w:pPr>
            <w:r w:rsidRPr="00654924">
              <w:rPr>
                <w:b/>
                <w:bCs/>
                <w:sz w:val="20"/>
                <w:lang w:val="pl-PL"/>
              </w:rPr>
              <w:t>ŚWIADCZENIOBIORCY</w:t>
            </w:r>
          </w:p>
        </w:tc>
        <w:tc>
          <w:tcPr>
            <w:tcW w:w="1243" w:type="pct"/>
            <w:vAlign w:val="center"/>
          </w:tcPr>
          <w:p w14:paraId="06803DE2" w14:textId="77777777" w:rsidR="00A036A1" w:rsidRPr="00654924" w:rsidRDefault="00A036A1" w:rsidP="002C7F4F">
            <w:pPr>
              <w:autoSpaceDE w:val="0"/>
              <w:autoSpaceDN w:val="0"/>
              <w:adjustRightInd w:val="0"/>
              <w:jc w:val="center"/>
              <w:rPr>
                <w:sz w:val="20"/>
                <w:lang w:val="pl-PL"/>
              </w:rPr>
            </w:pPr>
            <w:r w:rsidRPr="00654924">
              <w:rPr>
                <w:b/>
                <w:bCs/>
                <w:sz w:val="20"/>
                <w:lang w:val="pl-PL"/>
              </w:rPr>
              <w:t xml:space="preserve">SCHEMAT DAWKOWANIA LEKÓW </w:t>
            </w:r>
            <w:r w:rsidR="00D7666F">
              <w:rPr>
                <w:b/>
                <w:bCs/>
                <w:sz w:val="20"/>
                <w:lang w:val="pl-PL"/>
              </w:rPr>
              <w:br/>
            </w:r>
            <w:r w:rsidRPr="00654924">
              <w:rPr>
                <w:b/>
                <w:bCs/>
                <w:sz w:val="20"/>
                <w:lang w:val="pl-PL"/>
              </w:rPr>
              <w:t>W PROGRAMIE</w:t>
            </w:r>
          </w:p>
        </w:tc>
        <w:tc>
          <w:tcPr>
            <w:tcW w:w="1870" w:type="pct"/>
            <w:vAlign w:val="center"/>
          </w:tcPr>
          <w:p w14:paraId="00D2CAC4" w14:textId="77777777" w:rsidR="00A036A1" w:rsidRPr="00654924" w:rsidRDefault="00A036A1" w:rsidP="002C7F4F">
            <w:pPr>
              <w:autoSpaceDE w:val="0"/>
              <w:autoSpaceDN w:val="0"/>
              <w:adjustRightInd w:val="0"/>
              <w:jc w:val="center"/>
              <w:rPr>
                <w:sz w:val="20"/>
                <w:lang w:val="pl-PL"/>
              </w:rPr>
            </w:pPr>
            <w:r w:rsidRPr="00654924">
              <w:rPr>
                <w:b/>
                <w:bCs/>
                <w:sz w:val="20"/>
                <w:lang w:val="pl-PL"/>
              </w:rPr>
              <w:t xml:space="preserve">BADANIA DIAGNOSTYCZNE WYKONYWANE </w:t>
            </w:r>
            <w:r w:rsidR="00D7666F">
              <w:rPr>
                <w:b/>
                <w:bCs/>
                <w:sz w:val="20"/>
                <w:lang w:val="pl-PL"/>
              </w:rPr>
              <w:br/>
            </w:r>
            <w:r w:rsidRPr="00654924">
              <w:rPr>
                <w:b/>
                <w:bCs/>
                <w:sz w:val="20"/>
                <w:lang w:val="pl-PL"/>
              </w:rPr>
              <w:t>W</w:t>
            </w:r>
            <w:r w:rsidR="008A76CF">
              <w:rPr>
                <w:b/>
                <w:bCs/>
                <w:sz w:val="20"/>
                <w:lang w:val="pl-PL"/>
              </w:rPr>
              <w:t> </w:t>
            </w:r>
            <w:r w:rsidRPr="00654924">
              <w:rPr>
                <w:b/>
                <w:bCs/>
                <w:sz w:val="20"/>
                <w:lang w:val="pl-PL"/>
              </w:rPr>
              <w:t>RAMACH PROGRAMU</w:t>
            </w:r>
          </w:p>
        </w:tc>
      </w:tr>
      <w:tr w:rsidR="006A12A8" w:rsidRPr="00B34923" w14:paraId="1906A805" w14:textId="77777777" w:rsidTr="00D7666F">
        <w:trPr>
          <w:trHeight w:val="20"/>
        </w:trPr>
        <w:tc>
          <w:tcPr>
            <w:tcW w:w="1887" w:type="pct"/>
          </w:tcPr>
          <w:p w14:paraId="4F2BD7AE" w14:textId="0AD66BFB" w:rsidR="00596145" w:rsidRDefault="00A036A1" w:rsidP="009E1BC4">
            <w:pPr>
              <w:pStyle w:val="Boldnumerowanywtabeli"/>
              <w:spacing w:after="60"/>
              <w:jc w:val="both"/>
              <w:rPr>
                <w:b w:val="0"/>
              </w:rPr>
            </w:pPr>
            <w:r w:rsidRPr="006A12A8">
              <w:rPr>
                <w:b w:val="0"/>
              </w:rPr>
              <w:t xml:space="preserve">Do programu kwalifikuje Zespół Koordynacyjny ds. Stosowania Hormonu Wzrostu </w:t>
            </w:r>
            <w:r w:rsidR="00D02CDA">
              <w:rPr>
                <w:b w:val="0"/>
              </w:rPr>
              <w:t xml:space="preserve">u </w:t>
            </w:r>
            <w:r w:rsidR="00100627" w:rsidRPr="00F24EA1">
              <w:rPr>
                <w:b w:val="0"/>
              </w:rPr>
              <w:t>P</w:t>
            </w:r>
            <w:r w:rsidR="00D02CDA" w:rsidRPr="00F24EA1">
              <w:rPr>
                <w:b w:val="0"/>
              </w:rPr>
              <w:t xml:space="preserve">acjentów </w:t>
            </w:r>
            <w:r w:rsidR="00100627" w:rsidRPr="00F24EA1">
              <w:rPr>
                <w:b w:val="0"/>
              </w:rPr>
              <w:t>D</w:t>
            </w:r>
            <w:r w:rsidR="00F01953" w:rsidRPr="00F24EA1">
              <w:rPr>
                <w:b w:val="0"/>
              </w:rPr>
              <w:t xml:space="preserve">orosłych </w:t>
            </w:r>
            <w:r w:rsidR="00100627">
              <w:rPr>
                <w:b w:val="0"/>
              </w:rPr>
              <w:t xml:space="preserve">oraz u Młodzieży po Zakończeniu </w:t>
            </w:r>
            <w:r w:rsidR="007F0BA3">
              <w:rPr>
                <w:b w:val="0"/>
              </w:rPr>
              <w:t>Procesu Wzrastania</w:t>
            </w:r>
            <w:r w:rsidR="00100627">
              <w:rPr>
                <w:b w:val="0"/>
              </w:rPr>
              <w:t xml:space="preserve"> </w:t>
            </w:r>
            <w:r w:rsidRPr="006A12A8">
              <w:rPr>
                <w:b w:val="0"/>
              </w:rPr>
              <w:t>powoływany przez Prezesa Narodowego Funduszu Zdrowia.</w:t>
            </w:r>
          </w:p>
          <w:p w14:paraId="3738D24C" w14:textId="77777777" w:rsidR="009E1BC4" w:rsidRDefault="009E1BC4" w:rsidP="009E1BC4">
            <w:pPr>
              <w:pStyle w:val="Boldnumerowanywtabeli"/>
              <w:spacing w:before="60" w:after="60"/>
              <w:jc w:val="both"/>
              <w:rPr>
                <w:b w:val="0"/>
              </w:rPr>
            </w:pPr>
          </w:p>
          <w:p w14:paraId="5FFDFDA2" w14:textId="77777777" w:rsidR="00A036A1" w:rsidRPr="006A12A8" w:rsidRDefault="00A036A1" w:rsidP="00447748">
            <w:pPr>
              <w:pStyle w:val="Boldnumerowanywtabeli"/>
              <w:numPr>
                <w:ilvl w:val="0"/>
                <w:numId w:val="22"/>
              </w:numPr>
              <w:spacing w:before="0" w:after="60"/>
              <w:jc w:val="both"/>
            </w:pPr>
            <w:r w:rsidRPr="006A12A8">
              <w:t>Kryteria kwalifikacji</w:t>
            </w:r>
          </w:p>
          <w:p w14:paraId="2DF81E5F" w14:textId="77777777" w:rsidR="00A036A1" w:rsidRPr="006A12A8" w:rsidRDefault="00A036A1" w:rsidP="00447748">
            <w:pPr>
              <w:pStyle w:val="Poziom1numerowanywtabeli"/>
              <w:numPr>
                <w:ilvl w:val="2"/>
                <w:numId w:val="22"/>
              </w:numPr>
              <w:spacing w:after="60"/>
            </w:pPr>
            <w:r w:rsidRPr="006A12A8">
              <w:t>objawy niedoboru hormonu wzrostu</w:t>
            </w:r>
            <w:r w:rsidR="00AE5749" w:rsidRPr="006A12A8">
              <w:t xml:space="preserve"> (GH)</w:t>
            </w:r>
            <w:r w:rsidRPr="006A12A8">
              <w:t>;</w:t>
            </w:r>
          </w:p>
          <w:p w14:paraId="22B1F948" w14:textId="3AEBC85C" w:rsidR="00A036A1" w:rsidRPr="006A12A8" w:rsidRDefault="00A036A1" w:rsidP="00447748">
            <w:pPr>
              <w:pStyle w:val="Poziom1numerowanywtabeli"/>
              <w:numPr>
                <w:ilvl w:val="2"/>
                <w:numId w:val="22"/>
              </w:numPr>
              <w:spacing w:after="60"/>
            </w:pPr>
            <w:r w:rsidRPr="006A12A8">
              <w:t>stężenie IGF-</w:t>
            </w:r>
            <w:r w:rsidR="003F3283">
              <w:t>1</w:t>
            </w:r>
            <w:r w:rsidR="003F3283" w:rsidRPr="006A12A8">
              <w:t xml:space="preserve"> </w:t>
            </w:r>
            <w:r w:rsidRPr="006A12A8">
              <w:t xml:space="preserve">poniżej zakresu wartości prawidłowych lub w dolnym przedziale </w:t>
            </w:r>
            <w:r w:rsidR="00AE5749" w:rsidRPr="006A12A8">
              <w:t>zakresu referencyjnego</w:t>
            </w:r>
            <w:r w:rsidRPr="006A12A8">
              <w:t>;</w:t>
            </w:r>
          </w:p>
          <w:p w14:paraId="20B4FFAC" w14:textId="77777777" w:rsidR="00A036A1" w:rsidRPr="006A12A8" w:rsidRDefault="00A036A1" w:rsidP="00447748">
            <w:pPr>
              <w:pStyle w:val="Poziom1numerowanywtabeli"/>
              <w:numPr>
                <w:ilvl w:val="2"/>
                <w:numId w:val="22"/>
              </w:numPr>
              <w:spacing w:after="60"/>
            </w:pPr>
            <w:r w:rsidRPr="006A12A8">
              <w:t xml:space="preserve">potwierdzenie ciężkiego niedoboru </w:t>
            </w:r>
            <w:r w:rsidR="00AE5749" w:rsidRPr="006A12A8">
              <w:t>GH</w:t>
            </w:r>
            <w:r w:rsidR="00596145">
              <w:t xml:space="preserve"> </w:t>
            </w:r>
            <w:r w:rsidR="00AE5749" w:rsidRPr="006A12A8">
              <w:t>(GHD)</w:t>
            </w:r>
            <w:r w:rsidRPr="006A12A8">
              <w:t xml:space="preserve"> na podstawie:</w:t>
            </w:r>
          </w:p>
          <w:p w14:paraId="5AC12C05" w14:textId="06E3E947" w:rsidR="00A036A1" w:rsidRPr="006A12A8" w:rsidRDefault="00A036A1" w:rsidP="00447748">
            <w:pPr>
              <w:pStyle w:val="Poziom2numerowanywtabeli"/>
              <w:numPr>
                <w:ilvl w:val="3"/>
                <w:numId w:val="22"/>
              </w:numPr>
              <w:spacing w:after="60"/>
              <w:jc w:val="both"/>
            </w:pPr>
            <w:r w:rsidRPr="006A12A8">
              <w:t xml:space="preserve">u osób dorosłych </w:t>
            </w:r>
            <w:r w:rsidR="00BB38E7">
              <w:t xml:space="preserve">i u młodzieży po zakończonym procesie wzrastania (wiek kostny </w:t>
            </w:r>
            <w:r w:rsidR="000141D4">
              <w:t xml:space="preserve">starszy </w:t>
            </w:r>
            <w:r w:rsidR="00BB38E7">
              <w:t>niż 14 lat u dziewcząt i 16 lat u chłopców)</w:t>
            </w:r>
            <w:r w:rsidR="006E5C8F">
              <w:t>,</w:t>
            </w:r>
            <w:r w:rsidR="00BB38E7">
              <w:t xml:space="preserve"> zarówno </w:t>
            </w:r>
            <w:r w:rsidRPr="006A12A8">
              <w:t>nieleczonych w dzieciństwie z powodu GHD (</w:t>
            </w:r>
            <w:r w:rsidR="00D92C85">
              <w:t>adult</w:t>
            </w:r>
            <w:r w:rsidR="00596145">
              <w:t>-</w:t>
            </w:r>
            <w:r w:rsidR="00D92C85">
              <w:t xml:space="preserve">onset GHD – </w:t>
            </w:r>
            <w:r w:rsidRPr="006A12A8">
              <w:t>AO</w:t>
            </w:r>
            <w:r w:rsidR="00D92C85">
              <w:t>-</w:t>
            </w:r>
            <w:r w:rsidRPr="006A12A8">
              <w:t>GHD)</w:t>
            </w:r>
            <w:r w:rsidR="00BB38E7">
              <w:t xml:space="preserve">, jak i leczonych w dzieciństwie </w:t>
            </w:r>
            <w:r w:rsidR="00BB38E7" w:rsidRPr="006A12A8">
              <w:t>z powodu GHD (</w:t>
            </w:r>
            <w:r w:rsidR="00BB38E7">
              <w:t xml:space="preserve">childhood-onset GHD </w:t>
            </w:r>
            <w:r w:rsidR="00447748">
              <w:t>–</w:t>
            </w:r>
            <w:r w:rsidR="00BB38E7">
              <w:t xml:space="preserve"> </w:t>
            </w:r>
            <w:r w:rsidR="00BB38E7" w:rsidRPr="006A12A8">
              <w:t>CO</w:t>
            </w:r>
            <w:r w:rsidR="00BB38E7">
              <w:t>-GHD)</w:t>
            </w:r>
            <w:r w:rsidR="00447748">
              <w:t xml:space="preserve"> </w:t>
            </w:r>
            <w:r w:rsidR="00AE5749" w:rsidRPr="006A12A8">
              <w:t xml:space="preserve">– </w:t>
            </w:r>
            <w:r w:rsidRPr="006A12A8">
              <w:t>obniżone</w:t>
            </w:r>
            <w:r w:rsidR="00596145">
              <w:t xml:space="preserve"> </w:t>
            </w:r>
            <w:r w:rsidRPr="006A12A8">
              <w:t>wydzielanie GH (poniżej 3 ng/ml) w dwóch różnych testach stymulacyjnych w przypadku izolowane</w:t>
            </w:r>
            <w:r w:rsidR="006E5C8F">
              <w:t>go</w:t>
            </w:r>
            <w:r w:rsidRPr="006A12A8">
              <w:t xml:space="preserve"> GHD lub w jednym teście stymulacyjnym w przypadku wielohormonalnej niedoczynności przysadki</w:t>
            </w:r>
            <w:r w:rsidR="00596145">
              <w:t xml:space="preserve"> </w:t>
            </w:r>
            <w:r w:rsidRPr="006A12A8">
              <w:t xml:space="preserve">(testy muszą być wykonane po wcześniejszym właściwym wyrównaniu </w:t>
            </w:r>
            <w:r w:rsidR="006E5C8F" w:rsidRPr="006A12A8">
              <w:t xml:space="preserve">niedoboru </w:t>
            </w:r>
            <w:r w:rsidRPr="006A12A8">
              <w:t>co najmniej kortyzolu i L-tyroksyny)</w:t>
            </w:r>
            <w:r w:rsidR="009E1BC4">
              <w:t>,</w:t>
            </w:r>
          </w:p>
          <w:p w14:paraId="28A90C0C" w14:textId="40EF45BA" w:rsidR="00A036A1" w:rsidRDefault="00AE5749" w:rsidP="00447748">
            <w:pPr>
              <w:pStyle w:val="Poziom2numerowanywtabeli"/>
              <w:numPr>
                <w:ilvl w:val="3"/>
                <w:numId w:val="22"/>
              </w:numPr>
              <w:spacing w:after="60"/>
              <w:jc w:val="both"/>
            </w:pPr>
            <w:r w:rsidRPr="006A12A8">
              <w:lastRenderedPageBreak/>
              <w:t xml:space="preserve">w </w:t>
            </w:r>
            <w:r w:rsidR="00A036A1" w:rsidRPr="006A12A8">
              <w:t>przypadku występowania wielohormonalnej niedoczynności przysadki w zakresie wszystkich osi (z wyjątkiem prolaktyny) i potwierdzeni</w:t>
            </w:r>
            <w:r w:rsidR="006E5C8F">
              <w:t>a</w:t>
            </w:r>
            <w:r w:rsidR="00A036A1" w:rsidRPr="006A12A8">
              <w:t xml:space="preserve"> przyczyny organicznej </w:t>
            </w:r>
            <w:r w:rsidR="006E5C8F">
              <w:t>i/</w:t>
            </w:r>
            <w:r w:rsidR="00A036A1" w:rsidRPr="006A12A8">
              <w:t xml:space="preserve">lub genetycznej tego stanu, możliwe jest odstąpienie od </w:t>
            </w:r>
            <w:r w:rsidR="00CA09ED">
              <w:t xml:space="preserve">wykonania testów stymulacyjnych </w:t>
            </w:r>
            <w:r w:rsidR="00A036A1" w:rsidRPr="006A12A8">
              <w:t>i kwalifikacja do leczenia rhGH po potwierdzeniu obniżonego stężenia IGF-</w:t>
            </w:r>
            <w:r w:rsidR="003F3283">
              <w:t>1</w:t>
            </w:r>
            <w:r w:rsidR="00A036A1" w:rsidRPr="006A12A8">
              <w:t>;</w:t>
            </w:r>
          </w:p>
          <w:p w14:paraId="48AD06B4" w14:textId="77777777" w:rsidR="00A036A1" w:rsidRPr="006A12A8" w:rsidRDefault="00A036A1" w:rsidP="00261C94">
            <w:pPr>
              <w:pStyle w:val="Poziom1numerowanywtabeli"/>
              <w:numPr>
                <w:ilvl w:val="2"/>
                <w:numId w:val="22"/>
              </w:numPr>
              <w:spacing w:after="60"/>
            </w:pPr>
            <w:r w:rsidRPr="006A12A8">
              <w:t>brak przeciwwskazań do terapii GH stwierdzonych na podstawie wyników badań ogólnych lu</w:t>
            </w:r>
            <w:r w:rsidR="006A12A8">
              <w:t xml:space="preserve">b obrazowych (w szczególności </w:t>
            </w:r>
            <w:r w:rsidR="00191A68">
              <w:t xml:space="preserve">badania </w:t>
            </w:r>
            <w:r w:rsidR="006A12A8">
              <w:t>MR</w:t>
            </w:r>
            <w:r w:rsidRPr="006A12A8">
              <w:t xml:space="preserve"> okolicy podwzgórzowo-przysadkowej lub </w:t>
            </w:r>
            <w:r w:rsidR="00191A68">
              <w:t xml:space="preserve">badania </w:t>
            </w:r>
            <w:r w:rsidRPr="006A12A8">
              <w:t>TK z kontrastem) w celu wykluczenia czynnego procesu nowotworowego</w:t>
            </w:r>
            <w:r w:rsidR="005F4091">
              <w:t>.</w:t>
            </w:r>
          </w:p>
          <w:p w14:paraId="30E6F4F1" w14:textId="77777777" w:rsidR="00A036A1" w:rsidRDefault="00A036A1" w:rsidP="00261C94">
            <w:pPr>
              <w:pStyle w:val="Poziom2numerowanywtabeli"/>
              <w:numPr>
                <w:ilvl w:val="0"/>
                <w:numId w:val="0"/>
              </w:numPr>
              <w:spacing w:after="60"/>
              <w:jc w:val="both"/>
            </w:pPr>
            <w:r w:rsidRPr="006A12A8">
              <w:t xml:space="preserve">Kryteria kwalifikacji muszą być spełnione łącznie. </w:t>
            </w:r>
          </w:p>
          <w:p w14:paraId="274F9B51" w14:textId="77777777" w:rsidR="00261C94" w:rsidRPr="006A12A8" w:rsidRDefault="00261C94" w:rsidP="00261C94">
            <w:pPr>
              <w:pStyle w:val="Poziom2numerowanywtabeli"/>
              <w:numPr>
                <w:ilvl w:val="0"/>
                <w:numId w:val="0"/>
              </w:numPr>
              <w:spacing w:after="60"/>
              <w:jc w:val="both"/>
            </w:pPr>
          </w:p>
          <w:p w14:paraId="34063D21" w14:textId="77777777" w:rsidR="00A036A1" w:rsidRPr="006A12A8" w:rsidRDefault="00A036A1" w:rsidP="00547BEA">
            <w:pPr>
              <w:pStyle w:val="Boldnumerowanywtabeli"/>
              <w:numPr>
                <w:ilvl w:val="0"/>
                <w:numId w:val="22"/>
              </w:numPr>
              <w:spacing w:before="0" w:after="60"/>
              <w:jc w:val="both"/>
            </w:pPr>
            <w:r w:rsidRPr="006A12A8">
              <w:t>Określenie czasu leczenia w programie</w:t>
            </w:r>
          </w:p>
          <w:p w14:paraId="6E63F87F" w14:textId="2D234B71" w:rsidR="00A036A1" w:rsidRDefault="00A036A1" w:rsidP="00261C9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lang w:val="pl-PL"/>
              </w:rPr>
            </w:pPr>
            <w:r w:rsidRPr="006A12A8">
              <w:rPr>
                <w:sz w:val="20"/>
                <w:lang w:val="pl-PL"/>
              </w:rPr>
              <w:t>Leczenie trwa do czasu podjęcia przez lekarza prowadzącego lub</w:t>
            </w:r>
            <w:r w:rsidR="00191A68">
              <w:rPr>
                <w:sz w:val="20"/>
                <w:lang w:val="pl-PL"/>
              </w:rPr>
              <w:t xml:space="preserve"> </w:t>
            </w:r>
            <w:r w:rsidR="00AE5749" w:rsidRPr="006A12A8">
              <w:rPr>
                <w:sz w:val="20"/>
                <w:lang w:val="pl-PL"/>
              </w:rPr>
              <w:t>Zespół Koordynacyjny</w:t>
            </w:r>
            <w:r w:rsidR="00191A68">
              <w:rPr>
                <w:sz w:val="20"/>
                <w:lang w:val="pl-PL"/>
              </w:rPr>
              <w:t xml:space="preserve"> programu B.111 </w:t>
            </w:r>
            <w:r w:rsidRPr="006A12A8">
              <w:rPr>
                <w:sz w:val="20"/>
                <w:lang w:val="pl-PL"/>
              </w:rPr>
              <w:t>decyzji o wyłączeniu świadczeniobiorcy z programu</w:t>
            </w:r>
            <w:r w:rsidR="00206E82">
              <w:rPr>
                <w:sz w:val="20"/>
                <w:lang w:val="pl-PL"/>
              </w:rPr>
              <w:t>,</w:t>
            </w:r>
            <w:r w:rsidRPr="006A12A8">
              <w:rPr>
                <w:sz w:val="20"/>
                <w:lang w:val="pl-PL"/>
              </w:rPr>
              <w:t xml:space="preserve"> zgodnie z kryteriami wyłączenia.</w:t>
            </w:r>
          </w:p>
          <w:p w14:paraId="0C41145B" w14:textId="77777777" w:rsidR="00261C94" w:rsidRPr="006A12A8" w:rsidRDefault="00261C94" w:rsidP="00261C9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lang w:val="pl-PL"/>
              </w:rPr>
            </w:pPr>
          </w:p>
          <w:p w14:paraId="37B6900C" w14:textId="77777777" w:rsidR="00A036A1" w:rsidRPr="006A12A8" w:rsidRDefault="00A036A1" w:rsidP="00547BEA">
            <w:pPr>
              <w:pStyle w:val="Boldnumerowanywtabeli"/>
              <w:numPr>
                <w:ilvl w:val="0"/>
                <w:numId w:val="22"/>
              </w:numPr>
              <w:spacing w:before="0" w:after="60"/>
              <w:jc w:val="both"/>
            </w:pPr>
            <w:r w:rsidRPr="006A12A8">
              <w:t>Kryteria wyłączenia z programu</w:t>
            </w:r>
          </w:p>
          <w:p w14:paraId="71C0DD8B" w14:textId="77777777" w:rsidR="00A036A1" w:rsidRPr="006A12A8" w:rsidRDefault="00A036A1" w:rsidP="00447748">
            <w:pPr>
              <w:pStyle w:val="Poziom1numerowanywtabeli"/>
              <w:numPr>
                <w:ilvl w:val="2"/>
                <w:numId w:val="22"/>
              </w:numPr>
              <w:spacing w:after="60"/>
            </w:pPr>
            <w:r w:rsidRPr="006A12A8">
              <w:t>ujawnienie lub wznowa czynnego procesu nowotworowego;</w:t>
            </w:r>
          </w:p>
          <w:p w14:paraId="0F001EC0" w14:textId="77777777" w:rsidR="00A036A1" w:rsidRPr="006A12A8" w:rsidRDefault="00A036A1" w:rsidP="00447748">
            <w:pPr>
              <w:pStyle w:val="Poziom1numerowanywtabeli"/>
              <w:numPr>
                <w:ilvl w:val="2"/>
                <w:numId w:val="22"/>
              </w:numPr>
              <w:spacing w:after="60"/>
            </w:pPr>
            <w:r w:rsidRPr="006A12A8">
              <w:t>ciężkie stany zagrażające życiu;</w:t>
            </w:r>
          </w:p>
          <w:p w14:paraId="12A86BF7" w14:textId="7C651349" w:rsidR="00A036A1" w:rsidRPr="006A12A8" w:rsidRDefault="00A036A1" w:rsidP="00447748">
            <w:pPr>
              <w:pStyle w:val="Poziom1numerowanywtabeli"/>
              <w:numPr>
                <w:ilvl w:val="2"/>
                <w:numId w:val="22"/>
              </w:numPr>
              <w:spacing w:after="60"/>
            </w:pPr>
            <w:r w:rsidRPr="006A12A8">
              <w:t>cukrzyca nie dająca się wyrównać</w:t>
            </w:r>
            <w:r w:rsidR="006E5C8F">
              <w:t xml:space="preserve"> </w:t>
            </w:r>
            <w:r w:rsidRPr="006A12A8">
              <w:t>w warunkach leczenia rhGH</w:t>
            </w:r>
            <w:r w:rsidR="00447748">
              <w:t>;</w:t>
            </w:r>
          </w:p>
          <w:p w14:paraId="6242AFC1" w14:textId="43D0DB39" w:rsidR="00A036A1" w:rsidRPr="006A12A8" w:rsidRDefault="00A036A1" w:rsidP="00447748">
            <w:pPr>
              <w:pStyle w:val="Poziom1numerowanywtabeli"/>
              <w:numPr>
                <w:ilvl w:val="2"/>
                <w:numId w:val="22"/>
              </w:numPr>
              <w:spacing w:after="60"/>
              <w:rPr>
                <w:b/>
              </w:rPr>
            </w:pPr>
            <w:r w:rsidRPr="006A12A8">
              <w:t>utrzymujące się podwyższone stężenie IGF-</w:t>
            </w:r>
            <w:r w:rsidR="003F3283">
              <w:t>1</w:t>
            </w:r>
            <w:r w:rsidRPr="006A12A8">
              <w:t>, pomimo zmniejszenia dawki leku do minimalnej (0,1 mg/dzie</w:t>
            </w:r>
            <w:r w:rsidR="005F4091">
              <w:t>nnie</w:t>
            </w:r>
            <w:r w:rsidRPr="006A12A8">
              <w:t>);</w:t>
            </w:r>
          </w:p>
          <w:p w14:paraId="335D74D4" w14:textId="4CA1CA29" w:rsidR="00A036A1" w:rsidRPr="006A12A8" w:rsidRDefault="00A036A1" w:rsidP="00447748">
            <w:pPr>
              <w:pStyle w:val="Poziom1numerowanywtabeli"/>
              <w:numPr>
                <w:ilvl w:val="2"/>
                <w:numId w:val="22"/>
              </w:numPr>
              <w:spacing w:after="60"/>
              <w:rPr>
                <w:b/>
              </w:rPr>
            </w:pPr>
            <w:r w:rsidRPr="006A12A8">
              <w:t>wystąpienie nowych lub brak poprawy istniejących zaburzeń metabolicznych i pogorszenie jakości życia;</w:t>
            </w:r>
          </w:p>
          <w:p w14:paraId="2357AA35" w14:textId="77777777" w:rsidR="00A036A1" w:rsidRPr="006A12A8" w:rsidRDefault="00A036A1" w:rsidP="00447748">
            <w:pPr>
              <w:pStyle w:val="Poziom1numerowanywtabeli"/>
              <w:numPr>
                <w:ilvl w:val="2"/>
                <w:numId w:val="22"/>
              </w:numPr>
              <w:spacing w:after="60"/>
              <w:rPr>
                <w:b/>
              </w:rPr>
            </w:pPr>
            <w:r w:rsidRPr="006A12A8">
              <w:t>brak zgody świadczeniobiorcy na kontynuację leczenia lub brak współpracy świadczeniobiorcy.</w:t>
            </w:r>
          </w:p>
        </w:tc>
        <w:tc>
          <w:tcPr>
            <w:tcW w:w="1243" w:type="pct"/>
          </w:tcPr>
          <w:p w14:paraId="752967C7" w14:textId="77777777" w:rsidR="00A036A1" w:rsidRPr="006A12A8" w:rsidRDefault="00A036A1" w:rsidP="00261C94">
            <w:pPr>
              <w:pStyle w:val="Boldnumerowanywtabeli"/>
              <w:numPr>
                <w:ilvl w:val="0"/>
                <w:numId w:val="23"/>
              </w:numPr>
              <w:spacing w:after="60"/>
              <w:jc w:val="both"/>
            </w:pPr>
            <w:r w:rsidRPr="006A12A8">
              <w:lastRenderedPageBreak/>
              <w:t xml:space="preserve">Dawkowanie </w:t>
            </w:r>
          </w:p>
          <w:p w14:paraId="507F23CB" w14:textId="190DFFF7" w:rsidR="00A036A1" w:rsidRPr="006A12A8" w:rsidRDefault="00033479" w:rsidP="00DD622E">
            <w:pPr>
              <w:pStyle w:val="Poziom1numerowanywtabeli"/>
              <w:numPr>
                <w:ilvl w:val="0"/>
                <w:numId w:val="0"/>
              </w:numPr>
              <w:spacing w:after="60"/>
            </w:pPr>
            <w:r>
              <w:t xml:space="preserve">Somatotropina podawana codziennie </w:t>
            </w:r>
            <w:r w:rsidR="003918B5" w:rsidRPr="006A12A8">
              <w:t>wieczorem</w:t>
            </w:r>
            <w:r w:rsidR="00DD622E">
              <w:t xml:space="preserve"> </w:t>
            </w:r>
            <w:r w:rsidR="00100627" w:rsidRPr="00F24EA1">
              <w:t>w postaci</w:t>
            </w:r>
            <w:r w:rsidR="00F678B3" w:rsidRPr="00F24EA1">
              <w:t xml:space="preserve"> iniekcji podskórnych</w:t>
            </w:r>
            <w:r w:rsidR="00DD622E">
              <w:t xml:space="preserve"> </w:t>
            </w:r>
            <w:r>
              <w:t xml:space="preserve">w dawce </w:t>
            </w:r>
            <w:r w:rsidR="003918B5" w:rsidRPr="006A12A8">
              <w:t>0,1-</w:t>
            </w:r>
            <w:r w:rsidR="00DD622E">
              <w:t>1,0</w:t>
            </w:r>
            <w:r w:rsidR="003918B5" w:rsidRPr="006A12A8">
              <w:t xml:space="preserve"> mg</w:t>
            </w:r>
            <w:r w:rsidR="00FF1418">
              <w:t>.</w:t>
            </w:r>
          </w:p>
        </w:tc>
        <w:tc>
          <w:tcPr>
            <w:tcW w:w="1870" w:type="pct"/>
          </w:tcPr>
          <w:p w14:paraId="388D0F2B" w14:textId="77777777" w:rsidR="00A036A1" w:rsidRPr="006A12A8" w:rsidRDefault="00A036A1" w:rsidP="00261C94">
            <w:pPr>
              <w:pStyle w:val="Boldnumerowanywtabeli"/>
              <w:numPr>
                <w:ilvl w:val="0"/>
                <w:numId w:val="24"/>
              </w:numPr>
              <w:spacing w:after="60"/>
              <w:jc w:val="both"/>
            </w:pPr>
            <w:r w:rsidRPr="006A12A8">
              <w:t>Badania przy kwalifikacji do leczenia</w:t>
            </w:r>
          </w:p>
          <w:p w14:paraId="01697D24" w14:textId="77777777" w:rsidR="00D80BF1" w:rsidRPr="006A12A8" w:rsidRDefault="00D80BF1" w:rsidP="00D80BF1">
            <w:pPr>
              <w:pStyle w:val="Poziom1numerowanywtabeli"/>
              <w:numPr>
                <w:ilvl w:val="2"/>
                <w:numId w:val="24"/>
              </w:numPr>
              <w:spacing w:after="60"/>
            </w:pPr>
            <w:r w:rsidRPr="006A12A8">
              <w:t xml:space="preserve">ocena </w:t>
            </w:r>
            <w:r>
              <w:t xml:space="preserve">wzrostu, </w:t>
            </w:r>
            <w:r w:rsidRPr="006A12A8">
              <w:t>masy ciała i obwodu talii (wskaźnik BMI i WHR), zalecane: ocena składu ciała metodą bioimpedancji</w:t>
            </w:r>
            <w:r>
              <w:t>;</w:t>
            </w:r>
          </w:p>
          <w:p w14:paraId="09223189" w14:textId="77777777" w:rsidR="00A036A1" w:rsidRPr="006A12A8" w:rsidRDefault="00A036A1" w:rsidP="00261C94">
            <w:pPr>
              <w:pStyle w:val="Poziom1numerowanywtabeli"/>
              <w:numPr>
                <w:ilvl w:val="2"/>
                <w:numId w:val="24"/>
              </w:numPr>
              <w:spacing w:after="60"/>
            </w:pPr>
            <w:r w:rsidRPr="006A12A8">
              <w:t xml:space="preserve">pomiar ciśnienia tętniczego krwi; </w:t>
            </w:r>
          </w:p>
          <w:p w14:paraId="7FD30CD0" w14:textId="77777777" w:rsidR="00A036A1" w:rsidRPr="006A12A8" w:rsidRDefault="00A036A1" w:rsidP="00261C94">
            <w:pPr>
              <w:pStyle w:val="Poziom1numerowanywtabeli"/>
              <w:numPr>
                <w:ilvl w:val="2"/>
                <w:numId w:val="24"/>
              </w:numPr>
              <w:spacing w:after="60"/>
            </w:pPr>
            <w:r w:rsidRPr="006A12A8">
              <w:t>morfologia krwi z rozmazem</w:t>
            </w:r>
            <w:r w:rsidR="00CA09ED">
              <w:t>;</w:t>
            </w:r>
          </w:p>
          <w:p w14:paraId="5E9F82AB" w14:textId="77777777" w:rsidR="00DD622E" w:rsidRDefault="00204ED9" w:rsidP="00261C94">
            <w:pPr>
              <w:pStyle w:val="Poziom1numerowanywtabeli"/>
              <w:numPr>
                <w:ilvl w:val="2"/>
                <w:numId w:val="24"/>
              </w:numPr>
              <w:spacing w:after="60"/>
            </w:pPr>
            <w:r>
              <w:t xml:space="preserve">ocena stężenia 25OHD oraz </w:t>
            </w:r>
            <w:r w:rsidR="00A036A1" w:rsidRPr="006A12A8">
              <w:t>jonogram</w:t>
            </w:r>
            <w:r>
              <w:t>u</w:t>
            </w:r>
            <w:r w:rsidR="00A036A1" w:rsidRPr="006A12A8">
              <w:t xml:space="preserve"> surowicy krwi (co najmniej stężenie Na, K i Ca)</w:t>
            </w:r>
            <w:r w:rsidR="009827CF">
              <w:t>;</w:t>
            </w:r>
            <w:r w:rsidR="00DD622E">
              <w:t xml:space="preserve"> </w:t>
            </w:r>
          </w:p>
          <w:p w14:paraId="2864C4BF" w14:textId="384C2CBB" w:rsidR="00A036A1" w:rsidRPr="006A12A8" w:rsidRDefault="00CA09ED" w:rsidP="00261C94">
            <w:pPr>
              <w:pStyle w:val="Poziom1numerowanywtabeli"/>
              <w:numPr>
                <w:ilvl w:val="2"/>
                <w:numId w:val="24"/>
              </w:numPr>
              <w:spacing w:after="60"/>
            </w:pPr>
            <w:r>
              <w:t>ocena stężenia IGF-</w:t>
            </w:r>
            <w:r w:rsidR="003F3283">
              <w:t>1</w:t>
            </w:r>
            <w:r>
              <w:t>;</w:t>
            </w:r>
          </w:p>
          <w:p w14:paraId="3CDC9912" w14:textId="77777777" w:rsidR="00A036A1" w:rsidRPr="006A12A8" w:rsidRDefault="00A036A1" w:rsidP="00261C94">
            <w:pPr>
              <w:numPr>
                <w:ilvl w:val="2"/>
                <w:numId w:val="24"/>
              </w:numPr>
              <w:spacing w:after="60" w:line="276" w:lineRule="auto"/>
              <w:jc w:val="both"/>
              <w:rPr>
                <w:sz w:val="20"/>
                <w:lang w:val="pl-PL"/>
              </w:rPr>
            </w:pPr>
            <w:r w:rsidRPr="006A12A8">
              <w:rPr>
                <w:sz w:val="20"/>
                <w:lang w:val="pl-PL"/>
              </w:rPr>
              <w:t xml:space="preserve">ocena gospodarki węglowodanowej: oznaczenie stężenia glukozy </w:t>
            </w:r>
            <w:r w:rsidR="00F9528F">
              <w:rPr>
                <w:sz w:val="20"/>
                <w:lang w:val="pl-PL"/>
              </w:rPr>
              <w:t xml:space="preserve">na czczo </w:t>
            </w:r>
            <w:r w:rsidRPr="006A12A8">
              <w:rPr>
                <w:sz w:val="20"/>
                <w:lang w:val="pl-PL"/>
              </w:rPr>
              <w:t>i odsetka hemoglobiny glikowanej</w:t>
            </w:r>
            <w:r w:rsidR="006E5C8F">
              <w:rPr>
                <w:sz w:val="20"/>
                <w:lang w:val="pl-PL"/>
              </w:rPr>
              <w:t xml:space="preserve"> </w:t>
            </w:r>
            <w:r w:rsidR="00D813FB" w:rsidRPr="006A12A8">
              <w:rPr>
                <w:sz w:val="20"/>
                <w:lang w:val="pl-PL"/>
              </w:rPr>
              <w:t>(HbA</w:t>
            </w:r>
            <w:r w:rsidR="00395D10">
              <w:rPr>
                <w:sz w:val="20"/>
                <w:lang w:val="pl-PL"/>
              </w:rPr>
              <w:t>1c</w:t>
            </w:r>
            <w:r w:rsidR="00D813FB" w:rsidRPr="006A12A8">
              <w:rPr>
                <w:sz w:val="20"/>
                <w:lang w:val="pl-PL"/>
              </w:rPr>
              <w:t xml:space="preserve">) </w:t>
            </w:r>
            <w:r w:rsidR="00232152">
              <w:rPr>
                <w:sz w:val="20"/>
                <w:lang w:val="pl-PL"/>
              </w:rPr>
              <w:t xml:space="preserve">lub </w:t>
            </w:r>
            <w:r w:rsidR="00061D88">
              <w:rPr>
                <w:sz w:val="20"/>
                <w:lang w:val="pl-PL"/>
              </w:rPr>
              <w:t>w</w:t>
            </w:r>
            <w:r w:rsidR="00191A68">
              <w:rPr>
                <w:sz w:val="20"/>
                <w:lang w:val="pl-PL"/>
              </w:rPr>
              <w:t>y</w:t>
            </w:r>
            <w:r w:rsidR="00061D88">
              <w:rPr>
                <w:sz w:val="20"/>
                <w:lang w:val="pl-PL"/>
              </w:rPr>
              <w:t xml:space="preserve">konanie </w:t>
            </w:r>
            <w:r w:rsidR="00232152">
              <w:rPr>
                <w:sz w:val="20"/>
                <w:lang w:val="pl-PL"/>
              </w:rPr>
              <w:t>test</w:t>
            </w:r>
            <w:r w:rsidR="00191A68">
              <w:rPr>
                <w:sz w:val="20"/>
                <w:lang w:val="pl-PL"/>
              </w:rPr>
              <w:t>u</w:t>
            </w:r>
            <w:r w:rsidR="00232152">
              <w:rPr>
                <w:sz w:val="20"/>
                <w:lang w:val="pl-PL"/>
              </w:rPr>
              <w:t xml:space="preserve"> </w:t>
            </w:r>
            <w:r w:rsidR="00F9528F">
              <w:rPr>
                <w:sz w:val="20"/>
                <w:lang w:val="pl-PL"/>
              </w:rPr>
              <w:t xml:space="preserve">doustnego </w:t>
            </w:r>
            <w:r w:rsidR="00232152">
              <w:rPr>
                <w:sz w:val="20"/>
                <w:lang w:val="pl-PL"/>
              </w:rPr>
              <w:t>obciążenia glukozą</w:t>
            </w:r>
            <w:r w:rsidR="009827CF">
              <w:rPr>
                <w:sz w:val="20"/>
                <w:lang w:val="pl-PL"/>
              </w:rPr>
              <w:t xml:space="preserve"> </w:t>
            </w:r>
            <w:r w:rsidR="00232152">
              <w:rPr>
                <w:sz w:val="20"/>
                <w:lang w:val="pl-PL"/>
              </w:rPr>
              <w:t>-</w:t>
            </w:r>
            <w:r w:rsidR="009827CF">
              <w:rPr>
                <w:sz w:val="20"/>
                <w:lang w:val="pl-PL"/>
              </w:rPr>
              <w:t xml:space="preserve"> </w:t>
            </w:r>
            <w:r w:rsidRPr="006A12A8">
              <w:rPr>
                <w:sz w:val="20"/>
                <w:lang w:val="pl-PL"/>
              </w:rPr>
              <w:t>z oceną glikemii i insulinemii;</w:t>
            </w:r>
          </w:p>
          <w:p w14:paraId="75E91E87" w14:textId="77777777" w:rsidR="00A036A1" w:rsidRPr="006A12A8" w:rsidRDefault="00A036A1" w:rsidP="00261C94">
            <w:pPr>
              <w:pStyle w:val="Poziom1numerowanywtabeli"/>
              <w:numPr>
                <w:ilvl w:val="2"/>
                <w:numId w:val="24"/>
              </w:numPr>
              <w:spacing w:after="60"/>
            </w:pPr>
            <w:r w:rsidRPr="006A12A8">
              <w:t xml:space="preserve">ocena gospodarki lipidowej: ocena stężenia </w:t>
            </w:r>
            <w:r w:rsidR="00E51CBE" w:rsidRPr="006A12A8">
              <w:t>triglicerydów</w:t>
            </w:r>
            <w:r w:rsidRPr="006A12A8">
              <w:t>, całkowitego cholesterolu, frakcji HDL cholesterolu i LDL cholesterolu;</w:t>
            </w:r>
          </w:p>
          <w:p w14:paraId="756FA730" w14:textId="77777777" w:rsidR="00A036A1" w:rsidRDefault="00A036A1" w:rsidP="00261C94">
            <w:pPr>
              <w:pStyle w:val="Poziom1numerowanywtabeli"/>
              <w:numPr>
                <w:ilvl w:val="2"/>
                <w:numId w:val="24"/>
              </w:numPr>
              <w:spacing w:after="60"/>
            </w:pPr>
            <w:r w:rsidRPr="006A12A8">
              <w:t xml:space="preserve">ocena jakości życia </w:t>
            </w:r>
            <w:r w:rsidR="00F9528F">
              <w:t xml:space="preserve">poprzez użycie </w:t>
            </w:r>
            <w:r w:rsidRPr="006A12A8">
              <w:t>odpowiedni</w:t>
            </w:r>
            <w:r w:rsidR="00F9528F">
              <w:t>ego</w:t>
            </w:r>
            <w:r w:rsidRPr="006A12A8">
              <w:t xml:space="preserve"> </w:t>
            </w:r>
            <w:r w:rsidRPr="000B3CC0">
              <w:t>kwestionariusz</w:t>
            </w:r>
            <w:r w:rsidR="00F9528F" w:rsidRPr="000B3CC0">
              <w:t>a quality of life (</w:t>
            </w:r>
            <w:r w:rsidRPr="000B3CC0">
              <w:t>QoL)</w:t>
            </w:r>
            <w:r w:rsidR="009827CF">
              <w:t xml:space="preserve"> </w:t>
            </w:r>
            <w:r w:rsidR="000E644D" w:rsidRPr="000B3CC0">
              <w:rPr>
                <w:i/>
              </w:rPr>
              <w:t>[Endokrynol. Pol. 2008;59(5):374-384]</w:t>
            </w:r>
            <w:r w:rsidR="00CA09ED" w:rsidRPr="000B3CC0">
              <w:t>;</w:t>
            </w:r>
          </w:p>
          <w:p w14:paraId="576DC2CA" w14:textId="77777777" w:rsidR="00191A68" w:rsidRPr="000B3CC0" w:rsidRDefault="00191A68" w:rsidP="00191A68">
            <w:pPr>
              <w:pStyle w:val="Poziom1numerowanywtabeli"/>
              <w:numPr>
                <w:ilvl w:val="2"/>
                <w:numId w:val="24"/>
              </w:numPr>
              <w:spacing w:after="60"/>
            </w:pPr>
            <w:r w:rsidRPr="006A12A8">
              <w:t>oznaczenie</w:t>
            </w:r>
            <w:r>
              <w:t xml:space="preserve"> </w:t>
            </w:r>
            <w:r w:rsidRPr="006A12A8">
              <w:t>stężenia TSH i FT4</w:t>
            </w:r>
            <w:r>
              <w:t>;</w:t>
            </w:r>
          </w:p>
          <w:p w14:paraId="28D69E05" w14:textId="156E63A9" w:rsidR="00AE6D3E" w:rsidRDefault="003F3283" w:rsidP="000B3CC0">
            <w:pPr>
              <w:pStyle w:val="Poziom1numerowanywtabeli"/>
              <w:numPr>
                <w:ilvl w:val="2"/>
                <w:numId w:val="24"/>
              </w:numPr>
              <w:tabs>
                <w:tab w:val="clear" w:pos="426"/>
                <w:tab w:val="left" w:pos="0"/>
              </w:tabs>
              <w:spacing w:after="60"/>
              <w:rPr>
                <w:sz w:val="24"/>
                <w:szCs w:val="24"/>
              </w:rPr>
            </w:pPr>
            <w:r w:rsidRPr="003F3283">
              <w:t>u osób nieprzyjmujących substytucji hormonalnej osi kortykotropowej</w:t>
            </w:r>
            <w:r w:rsidR="00191A68">
              <w:t xml:space="preserve"> -</w:t>
            </w:r>
            <w:r w:rsidRPr="003F3283">
              <w:t xml:space="preserve"> pomiar stężenia kortyzolu w godzinach </w:t>
            </w:r>
            <w:r w:rsidRPr="003F3283">
              <w:lastRenderedPageBreak/>
              <w:t xml:space="preserve">porannych, a w przypadku obniżonego wyniku </w:t>
            </w:r>
            <w:r w:rsidR="006149BD">
              <w:t>-</w:t>
            </w:r>
            <w:r w:rsidRPr="003F3283">
              <w:t xml:space="preserve"> oznaczenie stężenia kortyzolu w teście stymulacyjnym po podaniu </w:t>
            </w:r>
            <w:r w:rsidR="00191A68">
              <w:t>syntetycznego ACTH lub g</w:t>
            </w:r>
            <w:r w:rsidRPr="003F3283">
              <w:t>lukagon</w:t>
            </w:r>
            <w:r w:rsidR="00191A68">
              <w:t>u</w:t>
            </w:r>
            <w:r w:rsidRPr="003F3283">
              <w:t>. W przypadku osób przyjmujących substytucję hormonalną (prep. hydrocortison</w:t>
            </w:r>
            <w:r w:rsidR="00191A68">
              <w:t>um</w:t>
            </w:r>
            <w:r w:rsidRPr="003F3283">
              <w:t xml:space="preserve">) </w:t>
            </w:r>
            <w:r w:rsidR="006149BD">
              <w:t>-</w:t>
            </w:r>
            <w:r w:rsidRPr="003F3283">
              <w:t xml:space="preserve"> oznaczenie stężenia kortyzolu po 2 godzinach od przyjęcia porannej dawki leku</w:t>
            </w:r>
            <w:r w:rsidR="00191A68">
              <w:t>;</w:t>
            </w:r>
          </w:p>
          <w:p w14:paraId="4C78E91A" w14:textId="4F69AEF2" w:rsidR="00A036A1" w:rsidRPr="006A12A8" w:rsidRDefault="00AE6D3E" w:rsidP="00261C94">
            <w:pPr>
              <w:pStyle w:val="Poziom1numerowanywtabeli"/>
              <w:numPr>
                <w:ilvl w:val="2"/>
                <w:numId w:val="24"/>
              </w:numPr>
              <w:spacing w:after="60"/>
            </w:pPr>
            <w:r>
              <w:t>u osób stosujących substytucję w zakresie hormonów płciowych oznaczenie poziomu estrogenów u kobiet</w:t>
            </w:r>
            <w:r w:rsidR="00191A68">
              <w:t>;</w:t>
            </w:r>
          </w:p>
          <w:p w14:paraId="559368A1" w14:textId="7BDBBBB9" w:rsidR="00D813FB" w:rsidRPr="006A12A8" w:rsidRDefault="00A036A1" w:rsidP="00261C94">
            <w:pPr>
              <w:pStyle w:val="Poziom1numerowanywtabeli"/>
              <w:numPr>
                <w:ilvl w:val="2"/>
                <w:numId w:val="24"/>
              </w:numPr>
              <w:spacing w:after="60"/>
            </w:pPr>
            <w:r w:rsidRPr="006A12A8">
              <w:t xml:space="preserve">jeden lub dwa testy </w:t>
            </w:r>
            <w:r w:rsidR="00D813FB" w:rsidRPr="006A12A8">
              <w:t xml:space="preserve">stymulujące </w:t>
            </w:r>
            <w:r w:rsidRPr="006A12A8">
              <w:t xml:space="preserve">sekrecję </w:t>
            </w:r>
            <w:r w:rsidR="00D813FB" w:rsidRPr="006A12A8">
              <w:t xml:space="preserve">GH, </w:t>
            </w:r>
            <w:r w:rsidRPr="006A12A8">
              <w:t xml:space="preserve">zgodnie z </w:t>
            </w:r>
            <w:r w:rsidR="006149BD">
              <w:t>k</w:t>
            </w:r>
            <w:r w:rsidRPr="006A12A8">
              <w:t xml:space="preserve">ryteriami </w:t>
            </w:r>
            <w:r w:rsidR="006149BD">
              <w:t>k</w:t>
            </w:r>
            <w:r w:rsidRPr="006A12A8">
              <w:t xml:space="preserve">walifikacji do </w:t>
            </w:r>
            <w:r w:rsidR="006149BD">
              <w:t>p</w:t>
            </w:r>
            <w:r w:rsidRPr="006A12A8">
              <w:t>rogramu; podstawowym testem powinien być test stymulacyjny z zastosowaniem insuliny podanej dożylnie, w przypadku przeciwwskazań do w/w testu lub konieczności wykonania dwóch testów należy wykonać test z glukagonem, L-DOPA lub z argininą;</w:t>
            </w:r>
          </w:p>
          <w:p w14:paraId="1321CEB2" w14:textId="75E5B944" w:rsidR="00A036A1" w:rsidRPr="006A12A8" w:rsidRDefault="00A036A1" w:rsidP="00261C94">
            <w:pPr>
              <w:pStyle w:val="Poziom1numerowanywtabeli"/>
              <w:numPr>
                <w:ilvl w:val="2"/>
                <w:numId w:val="24"/>
              </w:numPr>
              <w:spacing w:after="60"/>
            </w:pPr>
            <w:r w:rsidRPr="006A12A8">
              <w:t>obrazowanie okoli</w:t>
            </w:r>
            <w:r w:rsidR="0001367A">
              <w:t>cy podwzgórzowo-przysadkowej (</w:t>
            </w:r>
            <w:r w:rsidR="00191A68">
              <w:t xml:space="preserve">badanie </w:t>
            </w:r>
            <w:r w:rsidR="0001367A">
              <w:t xml:space="preserve">MR </w:t>
            </w:r>
            <w:r w:rsidRPr="006A12A8">
              <w:t>lub TK z kontrastem)</w:t>
            </w:r>
            <w:r w:rsidR="00CA09ED">
              <w:t>;</w:t>
            </w:r>
          </w:p>
          <w:p w14:paraId="13032CDA" w14:textId="77777777" w:rsidR="00A036A1" w:rsidRPr="006A12A8" w:rsidRDefault="00191A68" w:rsidP="00261C94">
            <w:pPr>
              <w:pStyle w:val="Poziom1numerowanywtabeli"/>
              <w:numPr>
                <w:ilvl w:val="2"/>
                <w:numId w:val="24"/>
              </w:numPr>
              <w:spacing w:after="60"/>
            </w:pPr>
            <w:r>
              <w:t xml:space="preserve">badanie </w:t>
            </w:r>
            <w:r w:rsidR="00A036A1" w:rsidRPr="006A12A8">
              <w:t>USG jamy brzusznej;</w:t>
            </w:r>
          </w:p>
          <w:p w14:paraId="7BDC64C8" w14:textId="77777777" w:rsidR="00A036A1" w:rsidRPr="006A12A8" w:rsidRDefault="00191A68" w:rsidP="00261C94">
            <w:pPr>
              <w:pStyle w:val="Poziom1numerowanywtabeli"/>
              <w:numPr>
                <w:ilvl w:val="2"/>
                <w:numId w:val="24"/>
              </w:numPr>
              <w:spacing w:after="60"/>
            </w:pPr>
            <w:r>
              <w:t>wykonanie</w:t>
            </w:r>
            <w:r w:rsidR="00A036A1" w:rsidRPr="006A12A8">
              <w:t xml:space="preserve"> EKG</w:t>
            </w:r>
            <w:r w:rsidR="00F9528F">
              <w:t>,</w:t>
            </w:r>
            <w:r w:rsidR="00A036A1" w:rsidRPr="006A12A8">
              <w:t xml:space="preserve"> ewentualnie </w:t>
            </w:r>
            <w:r>
              <w:t xml:space="preserve">badanie </w:t>
            </w:r>
            <w:r w:rsidR="00A036A1" w:rsidRPr="006A12A8">
              <w:t>USG serca</w:t>
            </w:r>
            <w:r w:rsidR="00CA09ED">
              <w:t>;</w:t>
            </w:r>
          </w:p>
          <w:p w14:paraId="511358B2" w14:textId="77777777" w:rsidR="00A036A1" w:rsidRDefault="00D813FB" w:rsidP="00261C94">
            <w:pPr>
              <w:pStyle w:val="Poziom1numerowanywtabeli"/>
              <w:numPr>
                <w:ilvl w:val="2"/>
                <w:numId w:val="24"/>
              </w:numPr>
              <w:spacing w:after="60"/>
            </w:pPr>
            <w:r w:rsidRPr="006A12A8">
              <w:t xml:space="preserve">badanie </w:t>
            </w:r>
            <w:r w:rsidR="00CA09ED">
              <w:t>dna oka;</w:t>
            </w:r>
          </w:p>
          <w:p w14:paraId="6E3E913C" w14:textId="77777777" w:rsidR="003F3283" w:rsidRDefault="003F3283" w:rsidP="006E5C8F">
            <w:pPr>
              <w:pStyle w:val="Poziom1numerowanywtabeli"/>
              <w:numPr>
                <w:ilvl w:val="2"/>
                <w:numId w:val="24"/>
              </w:numPr>
              <w:spacing w:after="60"/>
            </w:pPr>
            <w:r w:rsidRPr="003F3283">
              <w:t>badanie gęstości mineralnej kości metodą DXA [odcinek lędźwiowy kręgosłupa oraz densytometria całego ciała (total body)</w:t>
            </w:r>
            <w:r w:rsidR="00756E20">
              <w:t xml:space="preserve"> z </w:t>
            </w:r>
            <w:r w:rsidRPr="003F3283">
              <w:t>ocen</w:t>
            </w:r>
            <w:r w:rsidR="00756E20">
              <w:t>ą</w:t>
            </w:r>
            <w:r w:rsidRPr="003F3283">
              <w:t xml:space="preserve"> składu ciała]</w:t>
            </w:r>
            <w:r>
              <w:t>;</w:t>
            </w:r>
          </w:p>
          <w:p w14:paraId="71568C33" w14:textId="37BDB393" w:rsidR="006E5C8F" w:rsidRDefault="006E5C8F" w:rsidP="00FA40EB">
            <w:pPr>
              <w:pStyle w:val="Poziom1numerowanywtabeli"/>
              <w:numPr>
                <w:ilvl w:val="2"/>
                <w:numId w:val="24"/>
              </w:numPr>
              <w:spacing w:after="60"/>
            </w:pPr>
            <w:r>
              <w:t>u pacjentów &lt; 18 r</w:t>
            </w:r>
            <w:r w:rsidR="006149BD">
              <w:t>ż.</w:t>
            </w:r>
            <w:r>
              <w:t xml:space="preserve"> - ocena wieku kostnego na podstawie badania radiologicznego kośćca nadgarstka i ręki niedominującej.</w:t>
            </w:r>
          </w:p>
          <w:p w14:paraId="204D85D4" w14:textId="77777777" w:rsidR="00BB38E7" w:rsidRDefault="00A036A1" w:rsidP="00261C94">
            <w:pPr>
              <w:pStyle w:val="Poziom1numerowanywtabeli"/>
              <w:numPr>
                <w:ilvl w:val="2"/>
                <w:numId w:val="24"/>
              </w:numPr>
              <w:spacing w:after="60"/>
            </w:pPr>
            <w:r w:rsidRPr="006A12A8">
              <w:t>inne badania i konsultacje w zależności od potrzeb</w:t>
            </w:r>
            <w:r w:rsidR="00BB38E7">
              <w:t>.</w:t>
            </w:r>
          </w:p>
          <w:p w14:paraId="5913CEE3" w14:textId="77777777" w:rsidR="00400197" w:rsidRPr="006A12A8" w:rsidRDefault="00400197" w:rsidP="00547BEA">
            <w:pPr>
              <w:pStyle w:val="Poziom1numerowanywtabeli"/>
              <w:numPr>
                <w:ilvl w:val="0"/>
                <w:numId w:val="0"/>
              </w:numPr>
              <w:spacing w:after="60"/>
              <w:ind w:left="426"/>
            </w:pPr>
          </w:p>
          <w:p w14:paraId="67F4AF22" w14:textId="77777777" w:rsidR="00A036A1" w:rsidRPr="006A12A8" w:rsidRDefault="00A036A1" w:rsidP="00261C94">
            <w:pPr>
              <w:pStyle w:val="Poziom1numerowanywtabeli"/>
              <w:numPr>
                <w:ilvl w:val="0"/>
                <w:numId w:val="24"/>
              </w:numPr>
              <w:spacing w:after="60"/>
              <w:rPr>
                <w:b/>
              </w:rPr>
            </w:pPr>
            <w:r w:rsidRPr="006A12A8">
              <w:rPr>
                <w:b/>
              </w:rPr>
              <w:t>Monitorowanie leczenia</w:t>
            </w:r>
          </w:p>
          <w:p w14:paraId="30EF8EEF" w14:textId="000E1BF7" w:rsidR="00A036A1" w:rsidRPr="001021AE" w:rsidRDefault="001543E9" w:rsidP="00261C94">
            <w:pPr>
              <w:pStyle w:val="Poziom1numerowanywtabeli"/>
              <w:numPr>
                <w:ilvl w:val="2"/>
                <w:numId w:val="24"/>
              </w:numPr>
              <w:spacing w:after="60"/>
              <w:rPr>
                <w:bCs/>
              </w:rPr>
            </w:pPr>
            <w:r w:rsidRPr="001021AE">
              <w:rPr>
                <w:bCs/>
              </w:rPr>
              <w:t xml:space="preserve">po </w:t>
            </w:r>
            <w:r w:rsidR="008B424E">
              <w:rPr>
                <w:bCs/>
              </w:rPr>
              <w:t xml:space="preserve">4-6 tygodniach </w:t>
            </w:r>
            <w:r w:rsidR="00A036A1" w:rsidRPr="001021AE">
              <w:rPr>
                <w:bCs/>
              </w:rPr>
              <w:t xml:space="preserve"> od rozpoczęcia terapii</w:t>
            </w:r>
            <w:r w:rsidR="000E644D" w:rsidRPr="001021AE">
              <w:rPr>
                <w:bCs/>
              </w:rPr>
              <w:t>:</w:t>
            </w:r>
          </w:p>
          <w:p w14:paraId="714B29A8" w14:textId="2BF6B2F6" w:rsidR="00A036A1" w:rsidRPr="006A12A8" w:rsidRDefault="00A036A1" w:rsidP="00261C94">
            <w:pPr>
              <w:pStyle w:val="Poziom1numerowanywtabeli"/>
              <w:numPr>
                <w:ilvl w:val="3"/>
                <w:numId w:val="24"/>
              </w:numPr>
              <w:spacing w:after="60"/>
            </w:pPr>
            <w:r w:rsidRPr="006A12A8">
              <w:lastRenderedPageBreak/>
              <w:t>pomiar stężenia IGF-</w:t>
            </w:r>
            <w:r w:rsidR="003F3283">
              <w:t>1</w:t>
            </w:r>
            <w:r w:rsidR="003F3283" w:rsidRPr="006A12A8">
              <w:t xml:space="preserve"> </w:t>
            </w:r>
            <w:r w:rsidRPr="006A12A8">
              <w:t>w celu ustalenia dawki optymalnej</w:t>
            </w:r>
            <w:r w:rsidR="008B424E">
              <w:t xml:space="preserve"> (dalsze monitorowanie co 6 tyg</w:t>
            </w:r>
            <w:r w:rsidR="00206E82">
              <w:t>odni</w:t>
            </w:r>
            <w:r w:rsidR="008B424E">
              <w:t xml:space="preserve"> w przypadku zmiany dawki)</w:t>
            </w:r>
            <w:r w:rsidR="009E1BC4">
              <w:t>;</w:t>
            </w:r>
          </w:p>
          <w:p w14:paraId="6B8A1321" w14:textId="323C42DD" w:rsidR="00A036A1" w:rsidRPr="001021AE" w:rsidRDefault="00A036A1" w:rsidP="00261C94">
            <w:pPr>
              <w:pStyle w:val="Poziom1numerowanywtabeli"/>
              <w:numPr>
                <w:ilvl w:val="2"/>
                <w:numId w:val="24"/>
              </w:numPr>
              <w:spacing w:after="60"/>
              <w:rPr>
                <w:bCs/>
              </w:rPr>
            </w:pPr>
            <w:r w:rsidRPr="001021AE">
              <w:rPr>
                <w:bCs/>
              </w:rPr>
              <w:t xml:space="preserve">co </w:t>
            </w:r>
            <w:r w:rsidR="008B424E">
              <w:rPr>
                <w:bCs/>
              </w:rPr>
              <w:t>6 miesięcy</w:t>
            </w:r>
            <w:r w:rsidR="000E644D" w:rsidRPr="001021AE">
              <w:rPr>
                <w:bCs/>
              </w:rPr>
              <w:t>:</w:t>
            </w:r>
          </w:p>
          <w:p w14:paraId="6A95D9C6" w14:textId="2B67459A" w:rsidR="00D80BF1" w:rsidRPr="006A12A8" w:rsidRDefault="00D80BF1" w:rsidP="00447748">
            <w:pPr>
              <w:pStyle w:val="Poziom1numerowanywtabeli"/>
              <w:numPr>
                <w:ilvl w:val="3"/>
                <w:numId w:val="24"/>
              </w:numPr>
              <w:spacing w:after="60"/>
            </w:pPr>
            <w:r w:rsidRPr="006A12A8">
              <w:t xml:space="preserve">ocena </w:t>
            </w:r>
            <w:r>
              <w:t xml:space="preserve">wzrostu, </w:t>
            </w:r>
            <w:r w:rsidRPr="006A12A8">
              <w:t>masy ciała i obwodu talii (wskaźnik BMI i WHR), zalecane: ocena składu ciała metodą bioimpedancji</w:t>
            </w:r>
            <w:r w:rsidR="009E1BC4">
              <w:t>,</w:t>
            </w:r>
          </w:p>
          <w:p w14:paraId="26C7009E" w14:textId="15AF01C3" w:rsidR="00A036A1" w:rsidRPr="006A12A8" w:rsidRDefault="00A036A1" w:rsidP="00261C94">
            <w:pPr>
              <w:pStyle w:val="Poziom1numerowanywtabeli"/>
              <w:numPr>
                <w:ilvl w:val="3"/>
                <w:numId w:val="24"/>
              </w:numPr>
              <w:spacing w:after="60"/>
            </w:pPr>
            <w:r w:rsidRPr="006A12A8">
              <w:t>pomiar ciśnienia tętniczego krwi</w:t>
            </w:r>
            <w:r w:rsidR="009E1BC4">
              <w:t>,</w:t>
            </w:r>
          </w:p>
          <w:p w14:paraId="3B6F82F8" w14:textId="2A1EEA02" w:rsidR="003E7A62" w:rsidRPr="006A12A8" w:rsidRDefault="00A546FB" w:rsidP="00AF50F1">
            <w:pPr>
              <w:pStyle w:val="Poziom1numerowanywtabeli"/>
              <w:numPr>
                <w:ilvl w:val="3"/>
                <w:numId w:val="24"/>
              </w:numPr>
              <w:spacing w:after="60"/>
            </w:pPr>
            <w:r>
              <w:t xml:space="preserve">ocena stężenia </w:t>
            </w:r>
            <w:r w:rsidR="00312944">
              <w:t>25OHD</w:t>
            </w:r>
            <w:r>
              <w:t xml:space="preserve"> oraz </w:t>
            </w:r>
            <w:r w:rsidRPr="006A12A8">
              <w:t>jonogram</w:t>
            </w:r>
            <w:r w:rsidR="00AF50F1">
              <w:t>u</w:t>
            </w:r>
            <w:r>
              <w:t xml:space="preserve"> </w:t>
            </w:r>
            <w:r w:rsidR="00206E82">
              <w:t xml:space="preserve">w </w:t>
            </w:r>
            <w:r w:rsidR="00A036A1" w:rsidRPr="006A12A8">
              <w:t>surowicy</w:t>
            </w:r>
            <w:r w:rsidR="00AF50F1">
              <w:t xml:space="preserve"> </w:t>
            </w:r>
            <w:r w:rsidR="00A036A1" w:rsidRPr="006A12A8">
              <w:t>krwi (co najmniej stężenie Na, K i Ca)</w:t>
            </w:r>
            <w:r w:rsidR="009E1BC4">
              <w:t>,</w:t>
            </w:r>
          </w:p>
          <w:p w14:paraId="40002834" w14:textId="5900491D" w:rsidR="003E7A62" w:rsidRPr="006A12A8" w:rsidRDefault="00A036A1" w:rsidP="00261C94">
            <w:pPr>
              <w:pStyle w:val="Poziom1numerowanywtabeli"/>
              <w:numPr>
                <w:ilvl w:val="3"/>
                <w:numId w:val="24"/>
              </w:numPr>
              <w:spacing w:after="60"/>
            </w:pPr>
            <w:r w:rsidRPr="006A12A8">
              <w:t xml:space="preserve">określenie odsetka </w:t>
            </w:r>
            <w:r w:rsidR="00CA09ED">
              <w:t>HbA1</w:t>
            </w:r>
            <w:r w:rsidR="007E46A2" w:rsidRPr="006A12A8">
              <w:t>c</w:t>
            </w:r>
            <w:r w:rsidR="009E1BC4">
              <w:t>,</w:t>
            </w:r>
          </w:p>
          <w:p w14:paraId="61133100" w14:textId="0ADC3B73" w:rsidR="00A036A1" w:rsidRPr="006A12A8" w:rsidRDefault="00A036A1" w:rsidP="00261C94">
            <w:pPr>
              <w:pStyle w:val="Poziom1numerowanywtabeli"/>
              <w:numPr>
                <w:ilvl w:val="3"/>
                <w:numId w:val="24"/>
              </w:numPr>
              <w:spacing w:after="60"/>
            </w:pPr>
            <w:r w:rsidRPr="006A12A8">
              <w:t xml:space="preserve">ocena stężenia </w:t>
            </w:r>
            <w:r w:rsidR="007E46A2" w:rsidRPr="006A12A8">
              <w:t>IGF-</w:t>
            </w:r>
            <w:r w:rsidR="003F3283">
              <w:t>1</w:t>
            </w:r>
            <w:r w:rsidR="009E1BC4">
              <w:t>,</w:t>
            </w:r>
          </w:p>
          <w:p w14:paraId="384BAC3C" w14:textId="0931BD91" w:rsidR="00A036A1" w:rsidRPr="006A12A8" w:rsidRDefault="00A036A1" w:rsidP="00261C94">
            <w:pPr>
              <w:numPr>
                <w:ilvl w:val="3"/>
                <w:numId w:val="24"/>
              </w:numPr>
              <w:spacing w:after="60" w:line="276" w:lineRule="auto"/>
              <w:jc w:val="both"/>
              <w:rPr>
                <w:sz w:val="20"/>
                <w:lang w:val="pl-PL"/>
              </w:rPr>
            </w:pPr>
            <w:r w:rsidRPr="006A12A8">
              <w:rPr>
                <w:sz w:val="20"/>
                <w:lang w:val="pl-PL"/>
              </w:rPr>
              <w:t>oznaczenie</w:t>
            </w:r>
            <w:r w:rsidR="00206E82">
              <w:rPr>
                <w:sz w:val="20"/>
                <w:lang w:val="pl-PL"/>
              </w:rPr>
              <w:t xml:space="preserve"> </w:t>
            </w:r>
            <w:r w:rsidRPr="006A12A8">
              <w:rPr>
                <w:sz w:val="20"/>
                <w:lang w:val="pl-PL"/>
              </w:rPr>
              <w:t>stężenia TSH i FT4</w:t>
            </w:r>
            <w:r w:rsidR="009E1BC4">
              <w:rPr>
                <w:sz w:val="20"/>
                <w:lang w:val="pl-PL"/>
              </w:rPr>
              <w:t>,</w:t>
            </w:r>
          </w:p>
          <w:p w14:paraId="4A1B4E77" w14:textId="05B5CDE6" w:rsidR="00A036A1" w:rsidRPr="006A12A8" w:rsidRDefault="00A036A1" w:rsidP="00261C94">
            <w:pPr>
              <w:numPr>
                <w:ilvl w:val="3"/>
                <w:numId w:val="24"/>
              </w:numPr>
              <w:spacing w:after="60" w:line="276" w:lineRule="auto"/>
              <w:jc w:val="both"/>
              <w:rPr>
                <w:sz w:val="20"/>
                <w:lang w:val="pl-PL"/>
              </w:rPr>
            </w:pPr>
            <w:r w:rsidRPr="006A12A8">
              <w:rPr>
                <w:sz w:val="20"/>
                <w:lang w:val="pl-PL"/>
              </w:rPr>
              <w:t xml:space="preserve">ocena stężenia </w:t>
            </w:r>
            <w:r w:rsidR="00DF0E30" w:rsidRPr="006A12A8">
              <w:rPr>
                <w:sz w:val="20"/>
                <w:lang w:val="pl-PL"/>
              </w:rPr>
              <w:t>triglicerydów</w:t>
            </w:r>
            <w:r w:rsidR="00CA09ED">
              <w:rPr>
                <w:sz w:val="20"/>
                <w:lang w:val="pl-PL"/>
              </w:rPr>
              <w:t>, całkowitego cholesterolu</w:t>
            </w:r>
            <w:r w:rsidR="001543E9">
              <w:rPr>
                <w:sz w:val="20"/>
                <w:lang w:val="pl-PL"/>
              </w:rPr>
              <w:t xml:space="preserve">, </w:t>
            </w:r>
            <w:r w:rsidRPr="006A12A8">
              <w:rPr>
                <w:sz w:val="20"/>
                <w:lang w:val="pl-PL"/>
              </w:rPr>
              <w:t>frakcji HDL cholesterolu i LDL cholesterolu</w:t>
            </w:r>
            <w:r w:rsidR="009E1BC4">
              <w:rPr>
                <w:sz w:val="20"/>
                <w:lang w:val="pl-PL"/>
              </w:rPr>
              <w:t>,</w:t>
            </w:r>
          </w:p>
          <w:p w14:paraId="149E0ED0" w14:textId="1FD5392C" w:rsidR="00A036A1" w:rsidRPr="006A12A8" w:rsidRDefault="00767BA9" w:rsidP="00261C94">
            <w:pPr>
              <w:pStyle w:val="Poziom1numerowanywtabeli"/>
              <w:numPr>
                <w:ilvl w:val="3"/>
                <w:numId w:val="24"/>
              </w:numPr>
              <w:spacing w:after="60"/>
            </w:pPr>
            <w:r w:rsidRPr="00767BA9">
              <w:t>ocena jakości życia poprzez użycie odpowiedniego kwestionariusza quality of life (QoL)</w:t>
            </w:r>
            <w:r w:rsidR="009E1BC4">
              <w:t>,</w:t>
            </w:r>
          </w:p>
          <w:p w14:paraId="0EAB0467" w14:textId="75267AC4" w:rsidR="007E46A2" w:rsidRDefault="00127631" w:rsidP="00261C94">
            <w:pPr>
              <w:pStyle w:val="Poziom1numerowanywtabeli"/>
              <w:numPr>
                <w:ilvl w:val="3"/>
                <w:numId w:val="24"/>
              </w:numPr>
              <w:spacing w:after="60"/>
            </w:pPr>
            <w:r w:rsidRPr="006A12A8">
              <w:t>i</w:t>
            </w:r>
            <w:r w:rsidR="007E46A2" w:rsidRPr="006A12A8">
              <w:t>nne badania i konsultacje w zależności od potrzeb</w:t>
            </w:r>
            <w:r w:rsidR="009E1BC4">
              <w:t>;</w:t>
            </w:r>
          </w:p>
          <w:p w14:paraId="51D497CB" w14:textId="77777777" w:rsidR="006F0AA1" w:rsidRDefault="00767BA9" w:rsidP="006F0AA1">
            <w:pPr>
              <w:pStyle w:val="Poziom1numerowanywtabeli"/>
              <w:numPr>
                <w:ilvl w:val="2"/>
                <w:numId w:val="24"/>
              </w:numPr>
              <w:spacing w:after="60"/>
            </w:pPr>
            <w:r>
              <w:t xml:space="preserve">dodatkowo </w:t>
            </w:r>
            <w:r w:rsidR="006F0AA1">
              <w:t>co 2 lata:</w:t>
            </w:r>
          </w:p>
          <w:p w14:paraId="63D01F4F" w14:textId="3222FFEB" w:rsidR="00D7666F" w:rsidRDefault="006F0AA1" w:rsidP="009E1BC4">
            <w:pPr>
              <w:pStyle w:val="Poziom1numerowanywtabeli"/>
              <w:numPr>
                <w:ilvl w:val="3"/>
                <w:numId w:val="24"/>
              </w:numPr>
              <w:spacing w:after="60"/>
            </w:pPr>
            <w:r>
              <w:t xml:space="preserve">badanie gęstości mineralnej kości metodą DXA </w:t>
            </w:r>
            <w:r w:rsidR="003F3283" w:rsidRPr="003F3283">
              <w:t>[odcinek lędźwiowy kręgosłupa oraz densytometria całego ciała (total body)</w:t>
            </w:r>
            <w:r w:rsidR="00756E20">
              <w:t xml:space="preserve"> z </w:t>
            </w:r>
            <w:r w:rsidR="003F3283" w:rsidRPr="003F3283">
              <w:t>ocen</w:t>
            </w:r>
            <w:r w:rsidR="00756E20">
              <w:t>ą</w:t>
            </w:r>
            <w:r w:rsidR="003F3283" w:rsidRPr="003F3283">
              <w:t xml:space="preserve"> składu ciała]</w:t>
            </w:r>
            <w:r w:rsidR="003F3283">
              <w:t>.</w:t>
            </w:r>
          </w:p>
          <w:p w14:paraId="424E0E5D" w14:textId="77777777" w:rsidR="006B050B" w:rsidRPr="006A12A8" w:rsidRDefault="006B050B" w:rsidP="003F3283">
            <w:pPr>
              <w:pStyle w:val="Poziom1numerowanywtabeli"/>
              <w:numPr>
                <w:ilvl w:val="0"/>
                <w:numId w:val="0"/>
              </w:numPr>
              <w:tabs>
                <w:tab w:val="clear" w:pos="426"/>
              </w:tabs>
              <w:spacing w:after="60"/>
              <w:ind w:left="763" w:hanging="337"/>
            </w:pPr>
          </w:p>
          <w:p w14:paraId="4789D881" w14:textId="77777777" w:rsidR="00A036A1" w:rsidRPr="006A12A8" w:rsidRDefault="00A036A1" w:rsidP="00261C94">
            <w:pPr>
              <w:pStyle w:val="Boldnumerowanywtabeli"/>
              <w:numPr>
                <w:ilvl w:val="0"/>
                <w:numId w:val="24"/>
              </w:numPr>
              <w:spacing w:before="0" w:after="60"/>
              <w:jc w:val="both"/>
            </w:pPr>
            <w:r w:rsidRPr="006A12A8">
              <w:t>Monitorowanie programu</w:t>
            </w:r>
          </w:p>
          <w:p w14:paraId="0E43BB16" w14:textId="77777777" w:rsidR="00A036A1" w:rsidRPr="006A12A8" w:rsidRDefault="00A036A1" w:rsidP="00D7666F">
            <w:pPr>
              <w:pStyle w:val="Poziom1numerowanywtabeli"/>
              <w:numPr>
                <w:ilvl w:val="2"/>
                <w:numId w:val="24"/>
              </w:numPr>
              <w:spacing w:after="60"/>
            </w:pPr>
            <w:r w:rsidRPr="006A12A8">
              <w:t>gromadzenie w dokumentacji medycznej świadczeniobiorcy</w:t>
            </w:r>
            <w:r w:rsidR="00767BA9">
              <w:t xml:space="preserve"> </w:t>
            </w:r>
            <w:r w:rsidRPr="006A12A8">
              <w:t>danych dotyczących monitorowania leczenia i każdorazowe ich przedstawianie na żądanie kontrolerów Narodowego Funduszu Zdrowia;</w:t>
            </w:r>
          </w:p>
          <w:p w14:paraId="576CF5E2" w14:textId="77777777" w:rsidR="00A036A1" w:rsidRPr="006A12A8" w:rsidRDefault="00A036A1" w:rsidP="00D7666F">
            <w:pPr>
              <w:pStyle w:val="Poziom1numerowanywtabeli"/>
              <w:numPr>
                <w:ilvl w:val="2"/>
                <w:numId w:val="24"/>
              </w:numPr>
              <w:spacing w:after="60"/>
            </w:pPr>
            <w:r w:rsidRPr="006A12A8">
              <w:t xml:space="preserve">uzupełnienie danych zawartych w rejestrze (SMPT) dostępnym za pomocą aplikacji internetowej udostępnionej przez OW NFZ, </w:t>
            </w:r>
            <w:r w:rsidRPr="006A12A8">
              <w:lastRenderedPageBreak/>
              <w:t>z częstotliwością zgodną z opisem programu</w:t>
            </w:r>
            <w:r w:rsidR="006E4B08">
              <w:t xml:space="preserve"> oraz na zakończenie leczenia</w:t>
            </w:r>
            <w:r w:rsidRPr="006A12A8">
              <w:t>;</w:t>
            </w:r>
          </w:p>
          <w:p w14:paraId="0A21D677" w14:textId="77777777" w:rsidR="007E46A2" w:rsidRPr="006A12A8" w:rsidRDefault="007E46A2" w:rsidP="00D7666F">
            <w:pPr>
              <w:pStyle w:val="Akapitzlist"/>
              <w:numPr>
                <w:ilvl w:val="2"/>
                <w:numId w:val="24"/>
              </w:numPr>
              <w:spacing w:after="60" w:line="276" w:lineRule="auto"/>
              <w:contextualSpacing w:val="0"/>
              <w:jc w:val="both"/>
              <w:rPr>
                <w:sz w:val="20"/>
                <w:lang w:val="pl-PL"/>
              </w:rPr>
            </w:pPr>
            <w:r w:rsidRPr="006A12A8">
              <w:rPr>
                <w:sz w:val="20"/>
                <w:lang w:val="pl-PL"/>
              </w:rPr>
              <w:t>przekazywanie informacji sprawozdawczo-rozliczeniowych do NFZ: informacje przekazuje się do NFZ w formie papierowej lub w formie elektronicznej, zgodnie z wymaganiami opublikowanymi przez Narodowy Fundusz Zdrowia.</w:t>
            </w:r>
          </w:p>
          <w:p w14:paraId="4F2D5445" w14:textId="77777777" w:rsidR="00A036A1" w:rsidRPr="006A12A8" w:rsidRDefault="00A036A1" w:rsidP="00547BEA">
            <w:pPr>
              <w:pStyle w:val="Poziom1numerowanywtabeli"/>
              <w:numPr>
                <w:ilvl w:val="0"/>
                <w:numId w:val="0"/>
              </w:numPr>
              <w:spacing w:after="60"/>
              <w:ind w:left="786"/>
            </w:pPr>
          </w:p>
        </w:tc>
      </w:tr>
    </w:tbl>
    <w:p w14:paraId="2F689033" w14:textId="77777777" w:rsidR="006E4B08" w:rsidRPr="000E644D" w:rsidRDefault="006E4B08" w:rsidP="000E644D">
      <w:pPr>
        <w:jc w:val="both"/>
        <w:rPr>
          <w:i/>
          <w:sz w:val="20"/>
          <w:lang w:val="pl-PL"/>
        </w:rPr>
      </w:pPr>
    </w:p>
    <w:sectPr w:rsidR="006E4B08" w:rsidRPr="000E644D" w:rsidSect="00547BEA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0CBC"/>
    <w:multiLevelType w:val="hybridMultilevel"/>
    <w:tmpl w:val="63FAD0CC"/>
    <w:lvl w:ilvl="0" w:tplc="6DEA3C22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8" w:hanging="360"/>
      </w:pPr>
    </w:lvl>
    <w:lvl w:ilvl="2" w:tplc="0415001B" w:tentative="1">
      <w:start w:val="1"/>
      <w:numFmt w:val="lowerRoman"/>
      <w:lvlText w:val="%3."/>
      <w:lvlJc w:val="right"/>
      <w:pPr>
        <w:ind w:left="1868" w:hanging="180"/>
      </w:pPr>
    </w:lvl>
    <w:lvl w:ilvl="3" w:tplc="0415000F" w:tentative="1">
      <w:start w:val="1"/>
      <w:numFmt w:val="decimal"/>
      <w:lvlText w:val="%4."/>
      <w:lvlJc w:val="left"/>
      <w:pPr>
        <w:ind w:left="2588" w:hanging="360"/>
      </w:pPr>
    </w:lvl>
    <w:lvl w:ilvl="4" w:tplc="04150019" w:tentative="1">
      <w:start w:val="1"/>
      <w:numFmt w:val="lowerLetter"/>
      <w:lvlText w:val="%5."/>
      <w:lvlJc w:val="left"/>
      <w:pPr>
        <w:ind w:left="3308" w:hanging="360"/>
      </w:pPr>
    </w:lvl>
    <w:lvl w:ilvl="5" w:tplc="0415001B" w:tentative="1">
      <w:start w:val="1"/>
      <w:numFmt w:val="lowerRoman"/>
      <w:lvlText w:val="%6."/>
      <w:lvlJc w:val="right"/>
      <w:pPr>
        <w:ind w:left="4028" w:hanging="180"/>
      </w:pPr>
    </w:lvl>
    <w:lvl w:ilvl="6" w:tplc="0415000F" w:tentative="1">
      <w:start w:val="1"/>
      <w:numFmt w:val="decimal"/>
      <w:lvlText w:val="%7."/>
      <w:lvlJc w:val="left"/>
      <w:pPr>
        <w:ind w:left="4748" w:hanging="360"/>
      </w:pPr>
    </w:lvl>
    <w:lvl w:ilvl="7" w:tplc="04150019" w:tentative="1">
      <w:start w:val="1"/>
      <w:numFmt w:val="lowerLetter"/>
      <w:lvlText w:val="%8."/>
      <w:lvlJc w:val="left"/>
      <w:pPr>
        <w:ind w:left="5468" w:hanging="360"/>
      </w:pPr>
    </w:lvl>
    <w:lvl w:ilvl="8" w:tplc="0415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" w15:restartNumberingAfterBreak="0">
    <w:nsid w:val="111458CC"/>
    <w:multiLevelType w:val="hybridMultilevel"/>
    <w:tmpl w:val="C152D8B2"/>
    <w:lvl w:ilvl="0" w:tplc="B150DC86">
      <w:start w:val="2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5B73103"/>
    <w:multiLevelType w:val="hybridMultilevel"/>
    <w:tmpl w:val="14B23844"/>
    <w:lvl w:ilvl="0" w:tplc="0415000F">
      <w:start w:val="1"/>
      <w:numFmt w:val="decimal"/>
      <w:lvlText w:val="%1."/>
      <w:lvlJc w:val="left"/>
      <w:pPr>
        <w:ind w:left="426" w:hanging="360"/>
      </w:pPr>
    </w:lvl>
    <w:lvl w:ilvl="1" w:tplc="04150019" w:tentative="1">
      <w:start w:val="1"/>
      <w:numFmt w:val="lowerLetter"/>
      <w:lvlText w:val="%2."/>
      <w:lvlJc w:val="left"/>
      <w:pPr>
        <w:ind w:left="1146" w:hanging="360"/>
      </w:pPr>
    </w:lvl>
    <w:lvl w:ilvl="2" w:tplc="0415001B" w:tentative="1">
      <w:start w:val="1"/>
      <w:numFmt w:val="lowerRoman"/>
      <w:lvlText w:val="%3."/>
      <w:lvlJc w:val="right"/>
      <w:pPr>
        <w:ind w:left="1866" w:hanging="180"/>
      </w:pPr>
    </w:lvl>
    <w:lvl w:ilvl="3" w:tplc="0415000F" w:tentative="1">
      <w:start w:val="1"/>
      <w:numFmt w:val="decimal"/>
      <w:lvlText w:val="%4."/>
      <w:lvlJc w:val="left"/>
      <w:pPr>
        <w:ind w:left="2586" w:hanging="360"/>
      </w:pPr>
    </w:lvl>
    <w:lvl w:ilvl="4" w:tplc="04150019" w:tentative="1">
      <w:start w:val="1"/>
      <w:numFmt w:val="lowerLetter"/>
      <w:lvlText w:val="%5."/>
      <w:lvlJc w:val="left"/>
      <w:pPr>
        <w:ind w:left="3306" w:hanging="360"/>
      </w:pPr>
    </w:lvl>
    <w:lvl w:ilvl="5" w:tplc="0415001B" w:tentative="1">
      <w:start w:val="1"/>
      <w:numFmt w:val="lowerRoman"/>
      <w:lvlText w:val="%6."/>
      <w:lvlJc w:val="right"/>
      <w:pPr>
        <w:ind w:left="4026" w:hanging="180"/>
      </w:pPr>
    </w:lvl>
    <w:lvl w:ilvl="6" w:tplc="0415000F" w:tentative="1">
      <w:start w:val="1"/>
      <w:numFmt w:val="decimal"/>
      <w:lvlText w:val="%7."/>
      <w:lvlJc w:val="left"/>
      <w:pPr>
        <w:ind w:left="4746" w:hanging="360"/>
      </w:pPr>
    </w:lvl>
    <w:lvl w:ilvl="7" w:tplc="04150019" w:tentative="1">
      <w:start w:val="1"/>
      <w:numFmt w:val="lowerLetter"/>
      <w:lvlText w:val="%8."/>
      <w:lvlJc w:val="left"/>
      <w:pPr>
        <w:ind w:left="5466" w:hanging="360"/>
      </w:pPr>
    </w:lvl>
    <w:lvl w:ilvl="8" w:tplc="0415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198C47F3"/>
    <w:multiLevelType w:val="hybridMultilevel"/>
    <w:tmpl w:val="C978BF3A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34D00"/>
    <w:multiLevelType w:val="hybridMultilevel"/>
    <w:tmpl w:val="91362CFC"/>
    <w:lvl w:ilvl="0" w:tplc="10C4774E">
      <w:start w:val="1"/>
      <w:numFmt w:val="decimal"/>
      <w:lvlText w:val="%1.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5101F66"/>
    <w:multiLevelType w:val="multilevel"/>
    <w:tmpl w:val="29C0017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  <w:sz w:val="20"/>
        <w:szCs w:val="20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26D3273E"/>
    <w:multiLevelType w:val="hybridMultilevel"/>
    <w:tmpl w:val="1E54E36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C2253"/>
    <w:multiLevelType w:val="hybridMultilevel"/>
    <w:tmpl w:val="E8361688"/>
    <w:lvl w:ilvl="0" w:tplc="04150011">
      <w:start w:val="1"/>
      <w:numFmt w:val="decimal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29131A6"/>
    <w:multiLevelType w:val="hybridMultilevel"/>
    <w:tmpl w:val="8D3E0C2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3FB8BFDC">
      <w:start w:val="1"/>
      <w:numFmt w:val="decimal"/>
      <w:lvlText w:val="%3.)"/>
      <w:lvlJc w:val="left"/>
      <w:pPr>
        <w:ind w:left="2055" w:hanging="4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BD0082"/>
    <w:multiLevelType w:val="hybridMultilevel"/>
    <w:tmpl w:val="176293C2"/>
    <w:lvl w:ilvl="0" w:tplc="0415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908248F"/>
    <w:multiLevelType w:val="hybridMultilevel"/>
    <w:tmpl w:val="8D3E0C2C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3FB8BFDC">
      <w:start w:val="1"/>
      <w:numFmt w:val="decimal"/>
      <w:lvlText w:val="%3.)"/>
      <w:lvlJc w:val="left"/>
      <w:pPr>
        <w:ind w:left="2481" w:hanging="4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9A6580A"/>
    <w:multiLevelType w:val="hybridMultilevel"/>
    <w:tmpl w:val="EB607FEA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B0298"/>
    <w:multiLevelType w:val="multilevel"/>
    <w:tmpl w:val="71C4F776"/>
    <w:lvl w:ilvl="0">
      <w:start w:val="1"/>
      <w:numFmt w:val="decimal"/>
      <w:pStyle w:val="Poziom1numerowanywtabeli"/>
      <w:lvlText w:val="%1."/>
      <w:lvlJc w:val="left"/>
      <w:pPr>
        <w:ind w:left="426" w:hanging="360"/>
      </w:pPr>
      <w:rPr>
        <w:rFonts w:hint="default"/>
        <w:b w:val="0"/>
      </w:rPr>
    </w:lvl>
    <w:lvl w:ilvl="1">
      <w:start w:val="1"/>
      <w:numFmt w:val="lowerLetter"/>
      <w:pStyle w:val="Poziom2numerowanywtabeli"/>
      <w:lvlText w:val="%2)"/>
      <w:lvlJc w:val="left"/>
      <w:pPr>
        <w:ind w:left="858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pStyle w:val="Poziom3numerowanywtabeli"/>
      <w:lvlText w:val="%1.%2.%3."/>
      <w:lvlJc w:val="left"/>
      <w:pPr>
        <w:ind w:left="129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86" w:hanging="1440"/>
      </w:pPr>
      <w:rPr>
        <w:rFonts w:hint="default"/>
      </w:rPr>
    </w:lvl>
  </w:abstractNum>
  <w:abstractNum w:abstractNumId="13" w15:restartNumberingAfterBreak="0">
    <w:nsid w:val="3A410310"/>
    <w:multiLevelType w:val="hybridMultilevel"/>
    <w:tmpl w:val="BDF2638C"/>
    <w:lvl w:ilvl="0" w:tplc="FD4ABEF2">
      <w:start w:val="2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6" w:hanging="360"/>
      </w:pPr>
    </w:lvl>
    <w:lvl w:ilvl="2" w:tplc="0415001B" w:tentative="1">
      <w:start w:val="1"/>
      <w:numFmt w:val="lowerRoman"/>
      <w:lvlText w:val="%3."/>
      <w:lvlJc w:val="right"/>
      <w:pPr>
        <w:ind w:left="1866" w:hanging="180"/>
      </w:pPr>
    </w:lvl>
    <w:lvl w:ilvl="3" w:tplc="0415000F" w:tentative="1">
      <w:start w:val="1"/>
      <w:numFmt w:val="decimal"/>
      <w:lvlText w:val="%4."/>
      <w:lvlJc w:val="left"/>
      <w:pPr>
        <w:ind w:left="2586" w:hanging="360"/>
      </w:pPr>
    </w:lvl>
    <w:lvl w:ilvl="4" w:tplc="04150019" w:tentative="1">
      <w:start w:val="1"/>
      <w:numFmt w:val="lowerLetter"/>
      <w:lvlText w:val="%5."/>
      <w:lvlJc w:val="left"/>
      <w:pPr>
        <w:ind w:left="3306" w:hanging="360"/>
      </w:pPr>
    </w:lvl>
    <w:lvl w:ilvl="5" w:tplc="0415001B" w:tentative="1">
      <w:start w:val="1"/>
      <w:numFmt w:val="lowerRoman"/>
      <w:lvlText w:val="%6."/>
      <w:lvlJc w:val="right"/>
      <w:pPr>
        <w:ind w:left="4026" w:hanging="180"/>
      </w:pPr>
    </w:lvl>
    <w:lvl w:ilvl="6" w:tplc="0415000F" w:tentative="1">
      <w:start w:val="1"/>
      <w:numFmt w:val="decimal"/>
      <w:lvlText w:val="%7."/>
      <w:lvlJc w:val="left"/>
      <w:pPr>
        <w:ind w:left="4746" w:hanging="360"/>
      </w:pPr>
    </w:lvl>
    <w:lvl w:ilvl="7" w:tplc="04150019" w:tentative="1">
      <w:start w:val="1"/>
      <w:numFmt w:val="lowerLetter"/>
      <w:lvlText w:val="%8."/>
      <w:lvlJc w:val="left"/>
      <w:pPr>
        <w:ind w:left="5466" w:hanging="360"/>
      </w:pPr>
    </w:lvl>
    <w:lvl w:ilvl="8" w:tplc="0415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4" w15:restartNumberingAfterBreak="0">
    <w:nsid w:val="3C97206F"/>
    <w:multiLevelType w:val="hybridMultilevel"/>
    <w:tmpl w:val="3594CB8C"/>
    <w:lvl w:ilvl="0" w:tplc="80047A60">
      <w:start w:val="2"/>
      <w:numFmt w:val="upperLetter"/>
      <w:lvlText w:val="%1."/>
      <w:lvlJc w:val="left"/>
      <w:pPr>
        <w:ind w:left="42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6" w:hanging="360"/>
      </w:pPr>
    </w:lvl>
    <w:lvl w:ilvl="2" w:tplc="0415001B" w:tentative="1">
      <w:start w:val="1"/>
      <w:numFmt w:val="lowerRoman"/>
      <w:lvlText w:val="%3."/>
      <w:lvlJc w:val="right"/>
      <w:pPr>
        <w:ind w:left="1866" w:hanging="180"/>
      </w:pPr>
    </w:lvl>
    <w:lvl w:ilvl="3" w:tplc="0415000F" w:tentative="1">
      <w:start w:val="1"/>
      <w:numFmt w:val="decimal"/>
      <w:lvlText w:val="%4."/>
      <w:lvlJc w:val="left"/>
      <w:pPr>
        <w:ind w:left="2586" w:hanging="360"/>
      </w:pPr>
    </w:lvl>
    <w:lvl w:ilvl="4" w:tplc="04150019" w:tentative="1">
      <w:start w:val="1"/>
      <w:numFmt w:val="lowerLetter"/>
      <w:lvlText w:val="%5."/>
      <w:lvlJc w:val="left"/>
      <w:pPr>
        <w:ind w:left="3306" w:hanging="360"/>
      </w:pPr>
    </w:lvl>
    <w:lvl w:ilvl="5" w:tplc="0415001B" w:tentative="1">
      <w:start w:val="1"/>
      <w:numFmt w:val="lowerRoman"/>
      <w:lvlText w:val="%6."/>
      <w:lvlJc w:val="right"/>
      <w:pPr>
        <w:ind w:left="4026" w:hanging="180"/>
      </w:pPr>
    </w:lvl>
    <w:lvl w:ilvl="6" w:tplc="0415000F" w:tentative="1">
      <w:start w:val="1"/>
      <w:numFmt w:val="decimal"/>
      <w:lvlText w:val="%7."/>
      <w:lvlJc w:val="left"/>
      <w:pPr>
        <w:ind w:left="4746" w:hanging="360"/>
      </w:pPr>
    </w:lvl>
    <w:lvl w:ilvl="7" w:tplc="04150019" w:tentative="1">
      <w:start w:val="1"/>
      <w:numFmt w:val="lowerLetter"/>
      <w:lvlText w:val="%8."/>
      <w:lvlJc w:val="left"/>
      <w:pPr>
        <w:ind w:left="5466" w:hanging="360"/>
      </w:pPr>
    </w:lvl>
    <w:lvl w:ilvl="8" w:tplc="0415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5" w15:restartNumberingAfterBreak="0">
    <w:nsid w:val="3F6F4F94"/>
    <w:multiLevelType w:val="multilevel"/>
    <w:tmpl w:val="842AE2D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42933A3A"/>
    <w:multiLevelType w:val="hybridMultilevel"/>
    <w:tmpl w:val="E37EFDEA"/>
    <w:lvl w:ilvl="0" w:tplc="04150017">
      <w:start w:val="1"/>
      <w:numFmt w:val="lowerLetter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46D4EF4"/>
    <w:multiLevelType w:val="hybridMultilevel"/>
    <w:tmpl w:val="DE7012BA"/>
    <w:lvl w:ilvl="0" w:tplc="9880D78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CF80465"/>
    <w:multiLevelType w:val="multilevel"/>
    <w:tmpl w:val="6E2278A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5E6A5327"/>
    <w:multiLevelType w:val="multilevel"/>
    <w:tmpl w:val="6FFA515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5F864FD5"/>
    <w:multiLevelType w:val="hybridMultilevel"/>
    <w:tmpl w:val="8F52B67A"/>
    <w:lvl w:ilvl="0" w:tplc="D2A21FC8">
      <w:start w:val="11"/>
      <w:numFmt w:val="decimal"/>
      <w:lvlText w:val="%1."/>
      <w:lvlJc w:val="left"/>
      <w:pPr>
        <w:ind w:left="426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146" w:hanging="360"/>
      </w:pPr>
    </w:lvl>
    <w:lvl w:ilvl="2" w:tplc="0415001B" w:tentative="1">
      <w:start w:val="1"/>
      <w:numFmt w:val="lowerRoman"/>
      <w:lvlText w:val="%3."/>
      <w:lvlJc w:val="right"/>
      <w:pPr>
        <w:ind w:left="1866" w:hanging="180"/>
      </w:pPr>
    </w:lvl>
    <w:lvl w:ilvl="3" w:tplc="0415000F" w:tentative="1">
      <w:start w:val="1"/>
      <w:numFmt w:val="decimal"/>
      <w:lvlText w:val="%4."/>
      <w:lvlJc w:val="left"/>
      <w:pPr>
        <w:ind w:left="2586" w:hanging="360"/>
      </w:pPr>
    </w:lvl>
    <w:lvl w:ilvl="4" w:tplc="04150019" w:tentative="1">
      <w:start w:val="1"/>
      <w:numFmt w:val="lowerLetter"/>
      <w:lvlText w:val="%5."/>
      <w:lvlJc w:val="left"/>
      <w:pPr>
        <w:ind w:left="3306" w:hanging="360"/>
      </w:pPr>
    </w:lvl>
    <w:lvl w:ilvl="5" w:tplc="0415001B" w:tentative="1">
      <w:start w:val="1"/>
      <w:numFmt w:val="lowerRoman"/>
      <w:lvlText w:val="%6."/>
      <w:lvlJc w:val="right"/>
      <w:pPr>
        <w:ind w:left="4026" w:hanging="180"/>
      </w:pPr>
    </w:lvl>
    <w:lvl w:ilvl="6" w:tplc="0415000F" w:tentative="1">
      <w:start w:val="1"/>
      <w:numFmt w:val="decimal"/>
      <w:lvlText w:val="%7."/>
      <w:lvlJc w:val="left"/>
      <w:pPr>
        <w:ind w:left="4746" w:hanging="360"/>
      </w:pPr>
    </w:lvl>
    <w:lvl w:ilvl="7" w:tplc="04150019" w:tentative="1">
      <w:start w:val="1"/>
      <w:numFmt w:val="lowerLetter"/>
      <w:lvlText w:val="%8."/>
      <w:lvlJc w:val="left"/>
      <w:pPr>
        <w:ind w:left="5466" w:hanging="360"/>
      </w:pPr>
    </w:lvl>
    <w:lvl w:ilvl="8" w:tplc="0415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7476148A"/>
    <w:multiLevelType w:val="hybridMultilevel"/>
    <w:tmpl w:val="1A9AF7E8"/>
    <w:lvl w:ilvl="0" w:tplc="01BAAFB4">
      <w:start w:val="1"/>
      <w:numFmt w:val="decimal"/>
      <w:lvlText w:val="%1.)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76252C27"/>
    <w:multiLevelType w:val="hybridMultilevel"/>
    <w:tmpl w:val="1A4407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944337">
    <w:abstractNumId w:val="12"/>
  </w:num>
  <w:num w:numId="2" w16cid:durableId="9205288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91487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5895350">
    <w:abstractNumId w:val="21"/>
  </w:num>
  <w:num w:numId="5" w16cid:durableId="1367753294">
    <w:abstractNumId w:val="4"/>
  </w:num>
  <w:num w:numId="6" w16cid:durableId="1368027560">
    <w:abstractNumId w:val="10"/>
  </w:num>
  <w:num w:numId="7" w16cid:durableId="1630091481">
    <w:abstractNumId w:val="22"/>
  </w:num>
  <w:num w:numId="8" w16cid:durableId="1061633616">
    <w:abstractNumId w:val="2"/>
  </w:num>
  <w:num w:numId="9" w16cid:durableId="713189870">
    <w:abstractNumId w:val="9"/>
  </w:num>
  <w:num w:numId="10" w16cid:durableId="1104228041">
    <w:abstractNumId w:val="7"/>
  </w:num>
  <w:num w:numId="11" w16cid:durableId="50811522">
    <w:abstractNumId w:val="8"/>
  </w:num>
  <w:num w:numId="12" w16cid:durableId="1667786199">
    <w:abstractNumId w:val="13"/>
  </w:num>
  <w:num w:numId="13" w16cid:durableId="2119985096">
    <w:abstractNumId w:val="14"/>
  </w:num>
  <w:num w:numId="14" w16cid:durableId="734350707">
    <w:abstractNumId w:val="1"/>
  </w:num>
  <w:num w:numId="15" w16cid:durableId="1542546996">
    <w:abstractNumId w:val="16"/>
  </w:num>
  <w:num w:numId="16" w16cid:durableId="1029380442">
    <w:abstractNumId w:val="17"/>
  </w:num>
  <w:num w:numId="17" w16cid:durableId="503400439">
    <w:abstractNumId w:val="0"/>
  </w:num>
  <w:num w:numId="18" w16cid:durableId="564146242">
    <w:abstractNumId w:val="18"/>
  </w:num>
  <w:num w:numId="19" w16cid:durableId="1845315070">
    <w:abstractNumId w:val="3"/>
  </w:num>
  <w:num w:numId="20" w16cid:durableId="98648532">
    <w:abstractNumId w:val="11"/>
  </w:num>
  <w:num w:numId="21" w16cid:durableId="45304926">
    <w:abstractNumId w:val="6"/>
  </w:num>
  <w:num w:numId="22" w16cid:durableId="1741443208">
    <w:abstractNumId w:val="19"/>
  </w:num>
  <w:num w:numId="23" w16cid:durableId="799806335">
    <w:abstractNumId w:val="15"/>
  </w:num>
  <w:num w:numId="24" w16cid:durableId="1407923417">
    <w:abstractNumId w:val="5"/>
  </w:num>
  <w:num w:numId="25" w16cid:durableId="162667902">
    <w:abstractNumId w:val="20"/>
  </w:num>
  <w:num w:numId="26" w16cid:durableId="2622305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EF"/>
    <w:rsid w:val="00002EA5"/>
    <w:rsid w:val="0001367A"/>
    <w:rsid w:val="000141D4"/>
    <w:rsid w:val="00033479"/>
    <w:rsid w:val="00061D88"/>
    <w:rsid w:val="000B3CC0"/>
    <w:rsid w:val="000D4350"/>
    <w:rsid w:val="000E644D"/>
    <w:rsid w:val="00100627"/>
    <w:rsid w:val="001021AE"/>
    <w:rsid w:val="00103488"/>
    <w:rsid w:val="001108A3"/>
    <w:rsid w:val="00127631"/>
    <w:rsid w:val="001410EF"/>
    <w:rsid w:val="001543E9"/>
    <w:rsid w:val="00162CD1"/>
    <w:rsid w:val="0018324A"/>
    <w:rsid w:val="00191A68"/>
    <w:rsid w:val="00204ED9"/>
    <w:rsid w:val="00206E82"/>
    <w:rsid w:val="00220571"/>
    <w:rsid w:val="002278D2"/>
    <w:rsid w:val="00232152"/>
    <w:rsid w:val="00261C94"/>
    <w:rsid w:val="002829F4"/>
    <w:rsid w:val="002C3C43"/>
    <w:rsid w:val="002C7F4F"/>
    <w:rsid w:val="00312944"/>
    <w:rsid w:val="00335E69"/>
    <w:rsid w:val="0034454C"/>
    <w:rsid w:val="0037608F"/>
    <w:rsid w:val="003918B5"/>
    <w:rsid w:val="00395D10"/>
    <w:rsid w:val="003A27C7"/>
    <w:rsid w:val="003E7A62"/>
    <w:rsid w:val="003F3283"/>
    <w:rsid w:val="00400197"/>
    <w:rsid w:val="0041422F"/>
    <w:rsid w:val="00424D9C"/>
    <w:rsid w:val="00437974"/>
    <w:rsid w:val="00447748"/>
    <w:rsid w:val="004E0B55"/>
    <w:rsid w:val="004E116E"/>
    <w:rsid w:val="005356AC"/>
    <w:rsid w:val="00547BEA"/>
    <w:rsid w:val="005525FE"/>
    <w:rsid w:val="005566DC"/>
    <w:rsid w:val="005713A2"/>
    <w:rsid w:val="00596145"/>
    <w:rsid w:val="005A370C"/>
    <w:rsid w:val="005F4091"/>
    <w:rsid w:val="00606C4C"/>
    <w:rsid w:val="006149BD"/>
    <w:rsid w:val="00663166"/>
    <w:rsid w:val="006659C2"/>
    <w:rsid w:val="0067134C"/>
    <w:rsid w:val="006A12A8"/>
    <w:rsid w:val="006A6D37"/>
    <w:rsid w:val="006B050B"/>
    <w:rsid w:val="006E4B08"/>
    <w:rsid w:val="006E5C8F"/>
    <w:rsid w:val="006F0AA1"/>
    <w:rsid w:val="00741B5A"/>
    <w:rsid w:val="00756E20"/>
    <w:rsid w:val="00767BA9"/>
    <w:rsid w:val="007B4537"/>
    <w:rsid w:val="007C50BE"/>
    <w:rsid w:val="007E46A2"/>
    <w:rsid w:val="007F0BA3"/>
    <w:rsid w:val="00811142"/>
    <w:rsid w:val="00880F44"/>
    <w:rsid w:val="00887CC2"/>
    <w:rsid w:val="008A290F"/>
    <w:rsid w:val="008A76CF"/>
    <w:rsid w:val="008B424E"/>
    <w:rsid w:val="008D5479"/>
    <w:rsid w:val="008E3BD0"/>
    <w:rsid w:val="008E70E4"/>
    <w:rsid w:val="008F0E0C"/>
    <w:rsid w:val="00931B5B"/>
    <w:rsid w:val="0094597A"/>
    <w:rsid w:val="00955EC4"/>
    <w:rsid w:val="00966DFD"/>
    <w:rsid w:val="009827CF"/>
    <w:rsid w:val="009C0305"/>
    <w:rsid w:val="009E1BC4"/>
    <w:rsid w:val="00A036A1"/>
    <w:rsid w:val="00A164B0"/>
    <w:rsid w:val="00A546FB"/>
    <w:rsid w:val="00A64353"/>
    <w:rsid w:val="00A707DF"/>
    <w:rsid w:val="00AE5749"/>
    <w:rsid w:val="00AE6D3E"/>
    <w:rsid w:val="00AF3BB1"/>
    <w:rsid w:val="00AF489B"/>
    <w:rsid w:val="00AF50F1"/>
    <w:rsid w:val="00B2616A"/>
    <w:rsid w:val="00B335E7"/>
    <w:rsid w:val="00B34923"/>
    <w:rsid w:val="00B52C5E"/>
    <w:rsid w:val="00B801ED"/>
    <w:rsid w:val="00BB38E7"/>
    <w:rsid w:val="00BC3744"/>
    <w:rsid w:val="00BE1266"/>
    <w:rsid w:val="00C14964"/>
    <w:rsid w:val="00C15ABA"/>
    <w:rsid w:val="00C36CE4"/>
    <w:rsid w:val="00CA09ED"/>
    <w:rsid w:val="00CE3375"/>
    <w:rsid w:val="00D02CDA"/>
    <w:rsid w:val="00D7666F"/>
    <w:rsid w:val="00D80565"/>
    <w:rsid w:val="00D80BF1"/>
    <w:rsid w:val="00D813FB"/>
    <w:rsid w:val="00D92C85"/>
    <w:rsid w:val="00DD622E"/>
    <w:rsid w:val="00DF0E30"/>
    <w:rsid w:val="00E36036"/>
    <w:rsid w:val="00E51CBE"/>
    <w:rsid w:val="00EA10A1"/>
    <w:rsid w:val="00EF119F"/>
    <w:rsid w:val="00F01953"/>
    <w:rsid w:val="00F24EA1"/>
    <w:rsid w:val="00F3434E"/>
    <w:rsid w:val="00F678B3"/>
    <w:rsid w:val="00F87D8A"/>
    <w:rsid w:val="00F93DC0"/>
    <w:rsid w:val="00F9528F"/>
    <w:rsid w:val="00FA40EB"/>
    <w:rsid w:val="00FE5976"/>
    <w:rsid w:val="00FF14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5260"/>
  <w15:docId w15:val="{BCE5F347-CB55-49F4-B4F3-F27BB332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036A1"/>
    <w:rPr>
      <w:rFonts w:ascii="Times New Roman" w:eastAsia="Times New Roman" w:hAnsi="Times New Roman"/>
      <w:sz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oldnumerowanywtabeli">
    <w:name w:val="Bold numerowany w tabeli"/>
    <w:basedOn w:val="Normalny"/>
    <w:qFormat/>
    <w:rsid w:val="00A036A1"/>
    <w:pPr>
      <w:autoSpaceDE w:val="0"/>
      <w:autoSpaceDN w:val="0"/>
      <w:adjustRightInd w:val="0"/>
      <w:spacing w:before="120" w:line="276" w:lineRule="auto"/>
    </w:pPr>
    <w:rPr>
      <w:b/>
      <w:bCs/>
      <w:sz w:val="20"/>
      <w:lang w:val="pl-PL"/>
    </w:rPr>
  </w:style>
  <w:style w:type="paragraph" w:customStyle="1" w:styleId="Poziom1numerowanywtabeli">
    <w:name w:val="Poziom 1 numerowany w tabeli"/>
    <w:basedOn w:val="Normalny"/>
    <w:qFormat/>
    <w:rsid w:val="00A036A1"/>
    <w:pPr>
      <w:numPr>
        <w:numId w:val="1"/>
      </w:numPr>
      <w:tabs>
        <w:tab w:val="left" w:pos="426"/>
      </w:tabs>
      <w:autoSpaceDE w:val="0"/>
      <w:autoSpaceDN w:val="0"/>
      <w:adjustRightInd w:val="0"/>
      <w:spacing w:line="276" w:lineRule="auto"/>
      <w:jc w:val="both"/>
    </w:pPr>
    <w:rPr>
      <w:sz w:val="20"/>
      <w:lang w:val="pl-PL"/>
    </w:rPr>
  </w:style>
  <w:style w:type="paragraph" w:customStyle="1" w:styleId="Poziom2numerowanywtabeli">
    <w:name w:val="Poziom 2 numerowany w tabeli"/>
    <w:basedOn w:val="Normalny"/>
    <w:qFormat/>
    <w:rsid w:val="00A036A1"/>
    <w:pPr>
      <w:numPr>
        <w:ilvl w:val="1"/>
        <w:numId w:val="1"/>
      </w:numPr>
      <w:tabs>
        <w:tab w:val="left" w:pos="284"/>
        <w:tab w:val="left" w:pos="851"/>
      </w:tabs>
      <w:autoSpaceDE w:val="0"/>
      <w:autoSpaceDN w:val="0"/>
      <w:adjustRightInd w:val="0"/>
      <w:spacing w:line="276" w:lineRule="auto"/>
    </w:pPr>
    <w:rPr>
      <w:sz w:val="20"/>
      <w:lang w:val="pl-PL"/>
    </w:rPr>
  </w:style>
  <w:style w:type="paragraph" w:customStyle="1" w:styleId="Poziom3numerowanywtabeli">
    <w:name w:val="Poziom 3 numerowany w tabeli"/>
    <w:basedOn w:val="Normalny"/>
    <w:qFormat/>
    <w:rsid w:val="00A036A1"/>
    <w:pPr>
      <w:numPr>
        <w:ilvl w:val="2"/>
        <w:numId w:val="1"/>
      </w:numPr>
      <w:tabs>
        <w:tab w:val="left" w:pos="284"/>
        <w:tab w:val="left" w:pos="709"/>
        <w:tab w:val="left" w:pos="1276"/>
      </w:tabs>
      <w:autoSpaceDE w:val="0"/>
      <w:autoSpaceDN w:val="0"/>
      <w:adjustRightInd w:val="0"/>
      <w:spacing w:line="276" w:lineRule="auto"/>
    </w:pPr>
    <w:rPr>
      <w:sz w:val="20"/>
      <w:lang w:val="pl-PL"/>
    </w:rPr>
  </w:style>
  <w:style w:type="paragraph" w:styleId="Akapitzlist">
    <w:name w:val="List Paragraph"/>
    <w:basedOn w:val="Normalny"/>
    <w:uiPriority w:val="34"/>
    <w:qFormat/>
    <w:rsid w:val="007E46A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D5479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8D5479"/>
    <w:rPr>
      <w:rFonts w:ascii="Tahoma" w:eastAsia="Times New Roman" w:hAnsi="Tahoma" w:cs="Tahoma"/>
      <w:sz w:val="16"/>
      <w:szCs w:val="16"/>
      <w:lang w:val="en-US"/>
    </w:rPr>
  </w:style>
  <w:style w:type="paragraph" w:styleId="Poprawka">
    <w:name w:val="Revision"/>
    <w:hidden/>
    <w:uiPriority w:val="99"/>
    <w:semiHidden/>
    <w:rsid w:val="001108A3"/>
    <w:rPr>
      <w:rFonts w:ascii="Times New Roman" w:eastAsia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B8DDC-04FD-4D95-B0E4-352616A1E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913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Ministerstwo Zdrowia</Company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Bołzan Renata</dc:creator>
  <cp:lastModifiedBy>Wilk Justyna</cp:lastModifiedBy>
  <cp:revision>4</cp:revision>
  <cp:lastPrinted>2020-09-29T08:31:00Z</cp:lastPrinted>
  <dcterms:created xsi:type="dcterms:W3CDTF">2024-11-26T21:54:00Z</dcterms:created>
  <dcterms:modified xsi:type="dcterms:W3CDTF">2024-12-12T10:55:00Z</dcterms:modified>
</cp:coreProperties>
</file>