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5FDC" w14:textId="57B41920" w:rsidR="002A7278" w:rsidRPr="002A7278" w:rsidRDefault="002A7278" w:rsidP="002A7278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2A7278">
        <w:rPr>
          <w:rFonts w:ascii="Times New Roman" w:eastAsia="Times New Roman" w:hAnsi="Times New Roman"/>
          <w:lang w:eastAsia="pl-PL"/>
        </w:rPr>
        <w:t>Załącznik</w:t>
      </w:r>
      <w:r w:rsidR="005C0A64">
        <w:rPr>
          <w:rFonts w:ascii="Times New Roman" w:eastAsia="Times New Roman" w:hAnsi="Times New Roman"/>
          <w:lang w:eastAsia="pl-PL"/>
        </w:rPr>
        <w:t xml:space="preserve"> </w:t>
      </w:r>
      <w:r w:rsidRPr="002A7278">
        <w:rPr>
          <w:rFonts w:ascii="Times New Roman" w:eastAsia="Times New Roman" w:hAnsi="Times New Roman"/>
          <w:lang w:eastAsia="pl-PL"/>
        </w:rPr>
        <w:t>B.11</w:t>
      </w:r>
      <w:r>
        <w:rPr>
          <w:rFonts w:ascii="Times New Roman" w:eastAsia="Times New Roman" w:hAnsi="Times New Roman"/>
          <w:lang w:eastAsia="pl-PL"/>
        </w:rPr>
        <w:t>8</w:t>
      </w:r>
      <w:r w:rsidRPr="002A7278">
        <w:rPr>
          <w:rFonts w:ascii="Times New Roman" w:eastAsia="Times New Roman" w:hAnsi="Times New Roman"/>
          <w:lang w:eastAsia="pl-PL"/>
        </w:rPr>
        <w:t>.</w:t>
      </w:r>
    </w:p>
    <w:p w14:paraId="3E7759DC" w14:textId="77777777" w:rsidR="002A7278" w:rsidRPr="002A7278" w:rsidRDefault="002A7278" w:rsidP="002A7278">
      <w:pPr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7A3962E3" w14:textId="35E345A6" w:rsidR="009A72B7" w:rsidRPr="004944D9" w:rsidRDefault="00E55AD1" w:rsidP="004944D9">
      <w:pPr>
        <w:spacing w:after="24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</w:pPr>
      <w:r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LECZENIE</w:t>
      </w:r>
      <w:r w:rsidR="005C0A64"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 </w:t>
      </w:r>
      <w:r w:rsidR="00231F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PACJENTÓW Z </w:t>
      </w:r>
      <w:r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CHOROB</w:t>
      </w:r>
      <w:r w:rsidR="00231F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Ą</w:t>
      </w:r>
      <w:r w:rsidR="005C0A64"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 </w:t>
      </w:r>
      <w:r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CUSHINGA</w:t>
      </w:r>
      <w:r w:rsidR="005C0A64"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 </w:t>
      </w:r>
      <w:r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(ICD-10</w:t>
      </w:r>
      <w:r w:rsidR="00231F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:</w:t>
      </w:r>
      <w:r w:rsidR="005C0A64"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 </w:t>
      </w:r>
      <w:r w:rsidRPr="004944D9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E24.0)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9A72B7" w:rsidRPr="004F5F51" w14:paraId="65F911EF" w14:textId="77777777" w:rsidTr="005152B2">
        <w:trPr>
          <w:trHeight w:val="567"/>
        </w:trPr>
        <w:tc>
          <w:tcPr>
            <w:tcW w:w="15388" w:type="dxa"/>
            <w:gridSpan w:val="3"/>
            <w:shd w:val="clear" w:color="auto" w:fill="auto"/>
            <w:vAlign w:val="center"/>
            <w:hideMark/>
          </w:tcPr>
          <w:p w14:paraId="06938F9C" w14:textId="0876B08A" w:rsidR="009A72B7" w:rsidRPr="004F5F51" w:rsidRDefault="009A72B7" w:rsidP="002A72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ZAKRES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ŚWIADCZENIA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GWARANTOWANEGO</w:t>
            </w:r>
          </w:p>
        </w:tc>
      </w:tr>
      <w:tr w:rsidR="009A72B7" w:rsidRPr="004F5F51" w14:paraId="54BC93DB" w14:textId="77777777" w:rsidTr="005152B2">
        <w:trPr>
          <w:trHeight w:val="567"/>
        </w:trPr>
        <w:tc>
          <w:tcPr>
            <w:tcW w:w="5665" w:type="dxa"/>
            <w:shd w:val="clear" w:color="auto" w:fill="auto"/>
            <w:vAlign w:val="center"/>
          </w:tcPr>
          <w:p w14:paraId="1F31FBDB" w14:textId="77777777" w:rsidR="009A72B7" w:rsidRPr="004F5F51" w:rsidRDefault="009A72B7" w:rsidP="002A72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B97C7F7" w14:textId="09210F94" w:rsidR="009A72B7" w:rsidRPr="004F5F51" w:rsidRDefault="009A72B7" w:rsidP="002A72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SCHEMAT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DAWKOWANIA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LEKÓW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br/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68DF2C8A" w14:textId="545F6027" w:rsidR="009A72B7" w:rsidRPr="004F5F51" w:rsidRDefault="009A72B7" w:rsidP="002A72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BADANIA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DIAGNOSTYCZNE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WYKONYWANE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br/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RAMACH</w:t>
            </w:r>
            <w:r w:rsidR="005C0A6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4F5F5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PROGRAMU</w:t>
            </w:r>
          </w:p>
        </w:tc>
      </w:tr>
      <w:tr w:rsidR="009A72B7" w:rsidRPr="004F5F51" w14:paraId="2BA1B80D" w14:textId="77777777" w:rsidTr="005152B2">
        <w:trPr>
          <w:trHeight w:val="20"/>
        </w:trPr>
        <w:tc>
          <w:tcPr>
            <w:tcW w:w="5665" w:type="dxa"/>
            <w:shd w:val="clear" w:color="auto" w:fill="auto"/>
          </w:tcPr>
          <w:p w14:paraId="61811DB6" w14:textId="0E6EC620" w:rsidR="00E55AD1" w:rsidRPr="002A7278" w:rsidRDefault="00E55AD1" w:rsidP="00F0204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315DB133" w14:textId="524E6D49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dorośli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chorzy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34F8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wiek</w:t>
            </w:r>
            <w:r w:rsidR="00334F8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najmniej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18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lat;</w:t>
            </w:r>
          </w:p>
          <w:p w14:paraId="7263C272" w14:textId="69B8E6A4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choroba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Cushinga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potwierdzona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klinicznie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i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biochemicznie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pacjentów,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których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wykonanie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zabiegu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operacyjnego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guza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przysadki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jest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możliwe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zakończyło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się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niepowodzeniem;</w:t>
            </w:r>
          </w:p>
          <w:p w14:paraId="78279635" w14:textId="32442FFC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choroba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Cushinga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spełniająca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momencie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poniższe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7231E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:</w:t>
            </w:r>
          </w:p>
          <w:p w14:paraId="21BA66C4" w14:textId="71A9080B" w:rsidR="00E55AD1" w:rsidRPr="00254D95" w:rsidRDefault="00265530" w:rsidP="00F0204F">
            <w:pPr>
              <w:pStyle w:val="Akapitzlist"/>
              <w:numPr>
                <w:ilvl w:val="4"/>
                <w:numId w:val="1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pl-PL"/>
              </w:rPr>
            </w:pP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podwyższone wydalanie wolnego kortyzolu w dobowej zbiórce moczu </w:t>
            </w:r>
            <w:r w:rsidRPr="00254D95">
              <w:rPr>
                <w:rFonts w:ascii="Times New Roman" w:eastAsia="Times New Roman" w:hAnsi="Times New Roman" w:cs="Times New Roman"/>
                <w:bCs/>
                <w:sz w:val="20"/>
              </w:rPr>
              <w:t>lub późnowieczorne</w:t>
            </w:r>
            <w:r w:rsidR="004D517B" w:rsidRPr="00254D9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254D9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stężenie </w:t>
            </w:r>
            <w:r w:rsidR="004D517B" w:rsidRPr="00254D95">
              <w:rPr>
                <w:rFonts w:ascii="Times New Roman" w:eastAsia="Times New Roman" w:hAnsi="Times New Roman" w:cs="Times New Roman"/>
                <w:bCs/>
                <w:sz w:val="20"/>
              </w:rPr>
              <w:t>kortyzolu w ślinie</w:t>
            </w:r>
            <w:r w:rsidRPr="00254D9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lub surowicy</w:t>
            </w:r>
            <w:r w:rsidR="004D517B" w:rsidRPr="00254D9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powyżej </w:t>
            </w:r>
            <w:r w:rsidRPr="00254D95">
              <w:rPr>
                <w:rFonts w:ascii="Times New Roman" w:eastAsia="Times New Roman" w:hAnsi="Times New Roman" w:cs="Times New Roman"/>
                <w:bCs/>
                <w:sz w:val="20"/>
              </w:rPr>
              <w:t>wartości</w:t>
            </w:r>
            <w:r w:rsidR="00231FD9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254D95">
              <w:rPr>
                <w:rFonts w:ascii="Times New Roman" w:eastAsia="Times New Roman" w:hAnsi="Times New Roman" w:cs="Times New Roman"/>
                <w:bCs/>
                <w:sz w:val="20"/>
              </w:rPr>
              <w:t>referencyjnej</w:t>
            </w:r>
            <w:r w:rsidR="007231ED">
              <w:rPr>
                <w:rFonts w:ascii="Times New Roman" w:eastAsia="Times New Roman" w:hAnsi="Times New Roman" w:cs="Times New Roman"/>
                <w:bCs/>
                <w:sz w:val="20"/>
              </w:rPr>
              <w:t>,</w:t>
            </w:r>
          </w:p>
          <w:p w14:paraId="6EE5554A" w14:textId="6B1AF100" w:rsidR="00E55AD1" w:rsidRPr="00254D95" w:rsidRDefault="00E55AD1" w:rsidP="00F0204F">
            <w:pPr>
              <w:pStyle w:val="Akapitzlist"/>
              <w:numPr>
                <w:ilvl w:val="4"/>
                <w:numId w:val="1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podwyższone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niezahamowane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stężenie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ACTH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osoczu</w:t>
            </w:r>
            <w:r w:rsidR="007231E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.</w:t>
            </w:r>
          </w:p>
          <w:p w14:paraId="6F05E341" w14:textId="7E7C40A4" w:rsidR="00E55AD1" w:rsidRPr="00CF531A" w:rsidRDefault="00E55AD1" w:rsidP="00CF531A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</w:pP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5C0A64"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5C0A64"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muszą</w:t>
            </w:r>
            <w:r w:rsidR="005C0A64"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być</w:t>
            </w:r>
            <w:r w:rsidR="005C0A64"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spełnione</w:t>
            </w:r>
            <w:r w:rsidR="005C0A64"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F531A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pl-PL"/>
              </w:rPr>
              <w:t>łącznie.</w:t>
            </w:r>
          </w:p>
          <w:p w14:paraId="4FEC19B1" w14:textId="0A346CC0" w:rsidR="00E55AD1" w:rsidRPr="00CF531A" w:rsidRDefault="000A3767" w:rsidP="00CF531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</w:pPr>
            <w:r w:rsidRPr="00CF531A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Ponadto do programu lekowego, w celu zapewnienia kontynuacji terapii, są kwalifikowani pacjenci uprzednio leczeni pasyreotydem w ramach innego sposobu finansowania terapii, pod warunkiem, że w chwili rozpoczęcia leczenia spełniali kryteria kwalifikacji do niniejszego programu lekowego</w:t>
            </w:r>
            <w:r w:rsidR="00E55AD1" w:rsidRPr="00CF531A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.</w:t>
            </w:r>
          </w:p>
          <w:p w14:paraId="37F2EB08" w14:textId="77777777" w:rsidR="002A7278" w:rsidRPr="002A7278" w:rsidRDefault="002A7278" w:rsidP="004944D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</w:pPr>
          </w:p>
          <w:p w14:paraId="2FA2767D" w14:textId="3555C03E" w:rsidR="00E55AD1" w:rsidRPr="002A7278" w:rsidRDefault="00E55AD1" w:rsidP="00F0204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06A8756D" w14:textId="732FA518" w:rsidR="00E55AD1" w:rsidRPr="00CF531A" w:rsidRDefault="00E55AD1" w:rsidP="00CF531A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Leczenie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trwa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czasu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podjęcia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lekarza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prowadzącego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decyzji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wyłączeniu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świadczeniobiorcy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programu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zgodnie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kryteriami</w:t>
            </w:r>
            <w:r w:rsidR="005C0A64" w:rsidRPr="00CF531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eastAsia="Times New Roman" w:hAnsi="Times New Roman"/>
                <w:sz w:val="20"/>
                <w:szCs w:val="20"/>
              </w:rPr>
              <w:t>wyłączenia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.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5ED2249" w14:textId="77777777" w:rsidR="002A7278" w:rsidRPr="002A7278" w:rsidRDefault="002A7278" w:rsidP="004944D9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7AD8C2D" w14:textId="0DD1E359" w:rsidR="00E55AD1" w:rsidRPr="002A7278" w:rsidRDefault="00E55AD1" w:rsidP="00F0204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27E748F4" w14:textId="55ACEE80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zespół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Cushinga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wyniku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ektopowego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wydzielania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ACTH;</w:t>
            </w:r>
          </w:p>
          <w:p w14:paraId="6EE691BA" w14:textId="13270B76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ucisk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skrzyżowania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nerwów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wzrokowych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przez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guz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powodujący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istotne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zaburzenia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pola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widzenia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pacjentów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kwalifikujących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się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odbarczającego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neurochirurgicznego</w:t>
            </w:r>
            <w:r w:rsidRPr="002A7278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  <w:lang w:eastAsia="pl-PL"/>
              </w:rPr>
              <w:t>;</w:t>
            </w:r>
            <w:r w:rsidR="005C0A64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E718BA7" w14:textId="1973F144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cukrzyca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niewyrównana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metabolicznie</w:t>
            </w:r>
            <w:r w:rsidR="00231F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pomimo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podjęcia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próby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optymalizacji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zgodnie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punktem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3.1.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Schematu</w:t>
            </w:r>
            <w:r w:rsidR="005C0A6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dawkowania;</w:t>
            </w:r>
          </w:p>
          <w:p w14:paraId="05073B8C" w14:textId="18E03210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objawowa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kamica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żółciowa;</w:t>
            </w:r>
          </w:p>
          <w:p w14:paraId="01840DFB" w14:textId="25F367A5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ciężkie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zaburzenia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czynności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wątroby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(klasa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C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wg.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bookmarkStart w:id="0" w:name="_Hlk114742278"/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skali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Child-Pugh</w:t>
            </w:r>
            <w:bookmarkEnd w:id="0"/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);</w:t>
            </w:r>
          </w:p>
          <w:p w14:paraId="4218F86D" w14:textId="07CBB22C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żółtaczka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inne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objawy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sugerujące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klinicznie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istotną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dysfunkcję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wątroby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utrzymywanie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się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zwiększonej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aktywności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AspAT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poziomie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najmniej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GGN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(górna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granica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normy)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wzrost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aktywności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AspAT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przekraczający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GGN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jednoczesnym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wzrostem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bilirubiny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powyżej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GGN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2FF47D0" w14:textId="44AA54FF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niewyrównan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niedoczynnoś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ć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tarczycy;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672D02E" w14:textId="3B968A5E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brak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odpowiedzi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sytuacji</w:t>
            </w:r>
            <w:r w:rsidR="00231FD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gdy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odpowiedź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definiujemy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jako: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wolnego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kortyzolu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dobowej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zbiórce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moczu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przekraczające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górnej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granicy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normy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laboratoryjnej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zmniejszenie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stężenia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wolnego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kortyzolu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dobowej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zbiórce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moczu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najmniej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50%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względem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wartości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wyjściowej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-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co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najmniej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6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miesiącach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leczenia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pasyreotydem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najwyższej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tolerowanej</w:t>
            </w:r>
            <w:r w:rsidR="005C0A6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t>dawce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DA9317B" w14:textId="424420CD" w:rsidR="00E55AD1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pl-PL"/>
              </w:rPr>
              <w:lastRenderedPageBreak/>
              <w:t>n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adwrażliwość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pasyreotyd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którąkolwiek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substancję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pomocniczą</w:t>
            </w:r>
            <w:r w:rsidR="005C0A6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Theme="minorHAnsi" w:hAnsi="Times New Roman" w:cs="Times New Roman"/>
                <w:sz w:val="20"/>
                <w:szCs w:val="20"/>
              </w:rPr>
              <w:t>leku;</w:t>
            </w:r>
          </w:p>
          <w:p w14:paraId="7EDBFB12" w14:textId="0A0EFDDA" w:rsidR="004979B6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ciąża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karmienia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piersią;</w:t>
            </w:r>
          </w:p>
          <w:p w14:paraId="18481174" w14:textId="4424556A" w:rsidR="009A72B7" w:rsidRPr="002A7278" w:rsidRDefault="00E55AD1" w:rsidP="00F0204F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rezygnacja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pacjenta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wycofanie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zgody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pacjenta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leczenie</w:t>
            </w:r>
            <w:r w:rsidR="004979B6"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83BD501" w14:textId="3FC589E6" w:rsidR="002A7278" w:rsidRPr="002A7278" w:rsidRDefault="002A7278" w:rsidP="004944D9">
            <w:pPr>
              <w:pStyle w:val="Akapitzlist"/>
              <w:suppressAutoHyphens w:val="0"/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A675DC2" w14:textId="77777777" w:rsidR="00E55AD1" w:rsidRPr="002A7278" w:rsidRDefault="00E55AD1" w:rsidP="00F0204F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1CB5468F" w14:textId="112ED8E2" w:rsidR="002A7278" w:rsidRPr="00CF531A" w:rsidRDefault="003873E3" w:rsidP="00CF531A">
            <w:pPr>
              <w:spacing w:after="60"/>
              <w:ind w:right="2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531A">
              <w:rPr>
                <w:rFonts w:ascii="Times New Roman" w:hAnsi="Times New Roman"/>
                <w:sz w:val="20"/>
                <w:szCs w:val="20"/>
              </w:rPr>
              <w:t>Zalecana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dawka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początkowa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Cushinga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wynosi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10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mg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pasyreotydu</w:t>
            </w:r>
            <w:r w:rsidR="002A7278" w:rsidRPr="00CF531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EE131BC" w14:textId="21FD3EE9" w:rsidR="00334F87" w:rsidRPr="00CF531A" w:rsidRDefault="003873E3" w:rsidP="00CF531A">
            <w:pPr>
              <w:spacing w:after="60"/>
              <w:ind w:right="2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531A">
              <w:rPr>
                <w:rFonts w:ascii="Times New Roman" w:hAnsi="Times New Roman"/>
                <w:sz w:val="20"/>
                <w:szCs w:val="20"/>
              </w:rPr>
              <w:t>Dawkę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można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stopniowo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dostosować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co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2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do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4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miesięcy,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zależności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od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na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tolerancji.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Maksymalna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dawka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Signifor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chorobie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Cushinga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wynosi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40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mg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co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4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tygodnie.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AE5AEDD" w14:textId="22F6B399" w:rsidR="009A72B7" w:rsidRPr="00CF531A" w:rsidRDefault="00E55AD1" w:rsidP="00CF531A">
            <w:pPr>
              <w:spacing w:after="60"/>
              <w:ind w:right="2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531A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,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modyfikacji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dawkowania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,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podania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oraz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środki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4F87" w:rsidRPr="00CF531A">
              <w:rPr>
                <w:rFonts w:ascii="Times New Roman" w:hAnsi="Times New Roman"/>
                <w:sz w:val="20"/>
                <w:szCs w:val="20"/>
              </w:rPr>
              <w:t>ostrożności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określone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są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w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Charakterystyce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979B6" w:rsidRPr="00CF531A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C0A64" w:rsidRPr="00CF53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531A">
              <w:rPr>
                <w:rFonts w:ascii="Times New Roman" w:hAnsi="Times New Roman"/>
                <w:sz w:val="20"/>
                <w:szCs w:val="20"/>
              </w:rPr>
              <w:t>Leczniczego.</w:t>
            </w:r>
          </w:p>
        </w:tc>
        <w:tc>
          <w:tcPr>
            <w:tcW w:w="5612" w:type="dxa"/>
            <w:shd w:val="clear" w:color="auto" w:fill="auto"/>
          </w:tcPr>
          <w:p w14:paraId="587251B7" w14:textId="205B506E" w:rsidR="00E55AD1" w:rsidRPr="002A7278" w:rsidRDefault="00E55AD1" w:rsidP="00F0204F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34B5B605" w14:textId="24D39999" w:rsidR="00E55AD1" w:rsidRPr="00254D95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podmiotowe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przedmiotowe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0204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występowanie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typowych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objawów</w:t>
            </w:r>
            <w:r w:rsidR="005C0A64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hiperkortyzolemii</w:t>
            </w:r>
            <w:r w:rsidR="00334F87" w:rsidRPr="00254D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3F6C652" w14:textId="25BD9BFB" w:rsidR="00E55AD1" w:rsidRPr="00254D95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ocena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wydalania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wolnego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kortyzolu</w:t>
            </w:r>
            <w:r w:rsidR="00DC293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dobowej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zbiórce</w:t>
            </w:r>
            <w:r w:rsidR="005C0A64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moczu</w:t>
            </w:r>
            <w:r w:rsidR="00334F87" w:rsidRPr="00254D95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D231380" w14:textId="126AC077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oznaczanie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stężenia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ACTH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osoczu</w:t>
            </w:r>
            <w:r w:rsidR="00334F87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5AFFBED" w14:textId="07CFE4A8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wyrównania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czynności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tarczycy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B60989F" w14:textId="1461FF19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rezonans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magnetyczny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układu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bCs/>
                <w:sz w:val="20"/>
                <w:szCs w:val="20"/>
              </w:rPr>
              <w:t>podwzgórzowo-przysadkowego</w:t>
            </w:r>
            <w:r w:rsidR="005C0A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wcześniej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niż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okresie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poprzedzających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kwalifikację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pasyreotydem</w:t>
            </w:r>
            <w:r w:rsidR="00334F8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CC10C2" w14:textId="340D4C49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pola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widzenia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przypadku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makrogruczolaka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przysadki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(guz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średnicy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≥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cm)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06ABCC34" w14:textId="4481644B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badania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laboratoryjne: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glukozy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osoczu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krwi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żylnej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czczo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odsetek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hemoglobiny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glikowanej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(HbA1c),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sodu,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potasu,</w:t>
            </w:r>
            <w:r w:rsidR="00231F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kreatyniny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GFR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07C5A5AF" w14:textId="7BE81499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funkcji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wątroby: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AspAT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bilirubiny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całkowitej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471E64B" w14:textId="6463CC52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ultrasonograficzna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jamy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brzusznej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szczególnym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uwzględnieniem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pęcherzyka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żółciowego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dróg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żółciowych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(jeśli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była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wykonywana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okresie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poprzedzających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miesięcy)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09C9C2B" w14:textId="56A5CB6C" w:rsidR="00E55AD1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układu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krążenia: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ciśnienia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tętniczego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badanie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EKG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uważną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oceną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odstępu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QT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ewentualnych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zaburzeń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rytmu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serca,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razie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wątpliwości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obciążającego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wywiadu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zakresie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chorób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układu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krążenia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konsultacja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kardiologiczna</w:t>
            </w:r>
            <w:r w:rsidR="00334F8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301AE79" w14:textId="77777777" w:rsidR="00334F87" w:rsidRPr="002A7278" w:rsidRDefault="00334F87" w:rsidP="004944D9">
            <w:pPr>
              <w:pStyle w:val="Akapitzlist"/>
              <w:suppressAutoHyphens w:val="0"/>
              <w:spacing w:after="60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1FFE0D" w14:textId="2BB4C7C5" w:rsidR="00E55AD1" w:rsidRDefault="00E55AD1" w:rsidP="00F0204F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C0A6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A727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26FA6820" w14:textId="059A8808" w:rsidR="00334F87" w:rsidRPr="00231FD9" w:rsidRDefault="00334F87" w:rsidP="00231FD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231FD9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ocenić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korzyści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kliniczne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u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po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pierwszym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miesiącu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a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następnie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oceniać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je</w:t>
            </w:r>
            <w:r w:rsidR="005C0A64" w:rsidRPr="00231FD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31FD9">
              <w:rPr>
                <w:rFonts w:ascii="Times New Roman" w:hAnsi="Times New Roman"/>
                <w:sz w:val="20"/>
                <w:szCs w:val="20"/>
              </w:rPr>
              <w:t>okresowo.</w:t>
            </w:r>
          </w:p>
          <w:p w14:paraId="2D623029" w14:textId="092ACE3C" w:rsidR="00E55AD1" w:rsidRPr="000A3767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ocena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wydalania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wolnego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kortyzolu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dobowej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zbiórce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moczu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(po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leczenia,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miesiącach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leczenia,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następnie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miesiące)</w:t>
            </w:r>
            <w:r w:rsidR="00334F87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ADE5D0D" w14:textId="2FA7ED42" w:rsidR="00E55AD1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oznaczanie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stężenia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ACTH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osoczu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kortyzolu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surowicy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krwi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(po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miesiącu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leczenia,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miesiącach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leczenia,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następnie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5C0A64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miesiące)</w:t>
            </w:r>
            <w:r w:rsidR="00334F87" w:rsidRPr="000A3767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55CB23CF" w14:textId="039C88C9" w:rsidR="00DC2938" w:rsidRPr="00B82DE8" w:rsidRDefault="00DC2938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2DE8">
              <w:rPr>
                <w:rFonts w:ascii="Times New Roman" w:hAnsi="Times New Roman" w:cs="Times New Roman"/>
                <w:bCs/>
                <w:sz w:val="20"/>
                <w:szCs w:val="20"/>
              </w:rPr>
              <w:t>po 6 i 12 miesiącach od rozpoczęcia leczenia należy wykonać badanie rezonansu magnetycznego układu podwzgórzowo-przysadkowego. Począwszy od drugiego roku leczenia badanie to należy wykonywać co 12 miesięcy lub też niezwłocznie w przypadku pojawienia się nowych ubytków w polu widzenia lub innych wskazań klinicznych</w:t>
            </w:r>
            <w:r w:rsidR="00081ACD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5794AC49" w14:textId="6CF8D7FB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oznaczanie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glukozy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osoczu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żylnej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czczo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samokontrola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glukozy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glukometru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tydzień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okresowo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wskazaniami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klinicznymi,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zwiększeniu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dawki.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monitorować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wartość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="00334F8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glukozy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osoczu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czczo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tygodniach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34F8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A2556A" w14:textId="67322B4B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72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ocena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odsetka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HbA1c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909" w:rsidRPr="002A727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począwszy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drugiego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hAnsi="Times New Roman" w:cs="Times New Roman"/>
                <w:sz w:val="20"/>
                <w:szCs w:val="20"/>
              </w:rPr>
              <w:t>pasyreotydem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B3CF19" w14:textId="40A5CD39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badanie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EKG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oceną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odstępu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QT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tygodniach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rozpoczęcia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zwiększenia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dawki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leku,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następnie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miesiąc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przez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miesiące,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potem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rzadziej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niż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trakcie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trwania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częściej,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zależności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wskazań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klinicznych</w:t>
            </w:r>
            <w:r w:rsidR="005C0A6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81CDB35" w14:textId="2B399A20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oznaczenie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aktywności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AspAT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stężenia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bilirubiny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całkowitej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tygodniach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podania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pierwszej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dawki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leku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zwiększenia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jego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dawki,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następnie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częstością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miesiąc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przez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miesiące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leczenia.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Następne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monitorowanie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powinno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odbyć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się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zależności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potrzeb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klinicznych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6125405" w14:textId="27383D32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oznaczenie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poziomu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sodu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potasu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według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wskazań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klinicznych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82E46DE" w14:textId="1D9886BA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USG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pęcherzyka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dróg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żółciowych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rzadziej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niż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okresie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jego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zakończeniu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26180A6" w14:textId="6E897A2E" w:rsidR="00E55AD1" w:rsidRPr="002A7278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pola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widzenia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przypadku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makrogruczolaków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przysadki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rzadziej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niż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raz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roku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zawsze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przypadku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wystąpienia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nowych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ubytków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polu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widzenia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subiektywnego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pogorszenia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pola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widzenia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1913D84" w14:textId="1702E6BA" w:rsidR="00E55AD1" w:rsidRPr="00334F87" w:rsidRDefault="00E55AD1" w:rsidP="00F0204F">
            <w:pPr>
              <w:pStyle w:val="Akapitzlist"/>
              <w:numPr>
                <w:ilvl w:val="3"/>
                <w:numId w:val="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ocena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wyrównania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czynności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tarczycy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5C0A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miesięcy.</w:t>
            </w:r>
          </w:p>
          <w:p w14:paraId="1C197B94" w14:textId="77777777" w:rsidR="00334F87" w:rsidRPr="002A7278" w:rsidRDefault="00334F87" w:rsidP="004944D9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BF1C94B" w14:textId="4DB29B08" w:rsidR="00E55AD1" w:rsidRPr="002A7278" w:rsidRDefault="00E55AD1" w:rsidP="00F0204F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/>
                <w:b/>
                <w:sz w:val="20"/>
                <w:szCs w:val="20"/>
              </w:rPr>
              <w:t>Monitorowanie</w:t>
            </w:r>
            <w:r w:rsidR="005C0A6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b/>
                <w:sz w:val="20"/>
                <w:szCs w:val="20"/>
              </w:rPr>
              <w:t>programu</w:t>
            </w:r>
          </w:p>
          <w:p w14:paraId="15C42202" w14:textId="0C6B1AFD" w:rsidR="00E55AD1" w:rsidRPr="002A7278" w:rsidRDefault="00E55AD1" w:rsidP="00F0204F">
            <w:pPr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gromadzenie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dokumentacji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medycznej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danych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dotyczących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monitorowania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leczenia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każdorazowe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ich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przedstawienie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żądanie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kontrolerów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Narodowego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Funduszu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Zdrowia;</w:t>
            </w:r>
          </w:p>
          <w:p w14:paraId="20595F73" w14:textId="4583C59F" w:rsidR="006B2F2E" w:rsidRPr="002A7278" w:rsidRDefault="00E55AD1" w:rsidP="00F0204F">
            <w:pPr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uzupełnianie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danych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zawartych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rejestrze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(SMPT),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dostępnym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pomocą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aplikacji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internetowej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udostępnionej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OW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NFZ,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częstotliwością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zgodną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opisem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programu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zakończenie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leczenia;</w:t>
            </w:r>
          </w:p>
          <w:p w14:paraId="2B4FF7A8" w14:textId="276B4EDC" w:rsidR="009A72B7" w:rsidRDefault="00E55AD1" w:rsidP="00F0204F">
            <w:pPr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przekazywanie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informacji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sprawozdawczo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rozliczeniowych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NFZ: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informacje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przekazuje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się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NFZ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formie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papierowej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formie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elektronicznej,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zgodnie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wymaganiami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opublikowanymi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5C0A6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231FD9">
              <w:rPr>
                <w:rFonts w:ascii="Times New Roman" w:eastAsia="Times New Roman" w:hAnsi="Times New Roman"/>
                <w:sz w:val="20"/>
                <w:szCs w:val="20"/>
              </w:rPr>
              <w:t>NFZ</w:t>
            </w:r>
            <w:r w:rsidRPr="002A727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14:paraId="1FAF8583" w14:textId="22E0F627" w:rsidR="00334F87" w:rsidRPr="002A7278" w:rsidRDefault="00334F87" w:rsidP="004944D9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61E8CCE" w14:textId="77777777" w:rsidR="00407C5C" w:rsidRPr="004F5F51" w:rsidRDefault="00407C5C" w:rsidP="001D68BE">
      <w:pPr>
        <w:rPr>
          <w:rFonts w:ascii="Times New Roman" w:hAnsi="Times New Roman"/>
        </w:rPr>
      </w:pPr>
    </w:p>
    <w:sectPr w:rsidR="00407C5C" w:rsidRPr="004F5F51" w:rsidSect="002A7278">
      <w:footerReference w:type="even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6931" w14:textId="77777777" w:rsidR="00B0757C" w:rsidRDefault="00B0757C">
      <w:pPr>
        <w:spacing w:after="0" w:line="240" w:lineRule="auto"/>
      </w:pPr>
      <w:r>
        <w:separator/>
      </w:r>
    </w:p>
  </w:endnote>
  <w:endnote w:type="continuationSeparator" w:id="0">
    <w:p w14:paraId="2FF84D44" w14:textId="77777777" w:rsidR="00B0757C" w:rsidRDefault="00B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5F" w14:textId="77777777" w:rsidR="00C634B5" w:rsidRDefault="00C634B5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7859196" w14:textId="77777777" w:rsidR="00C634B5" w:rsidRDefault="00C634B5">
    <w:pPr>
      <w:pStyle w:val="Stopka"/>
    </w:pPr>
  </w:p>
  <w:p w14:paraId="7A2ED485" w14:textId="77777777" w:rsidR="00C634B5" w:rsidRDefault="00C634B5"/>
  <w:p w14:paraId="719BF8E3" w14:textId="77777777" w:rsidR="00C634B5" w:rsidRDefault="00C634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4A51" w14:textId="77777777" w:rsidR="00B0757C" w:rsidRDefault="00B0757C">
      <w:pPr>
        <w:spacing w:after="0" w:line="240" w:lineRule="auto"/>
      </w:pPr>
      <w:r>
        <w:separator/>
      </w:r>
    </w:p>
  </w:footnote>
  <w:footnote w:type="continuationSeparator" w:id="0">
    <w:p w14:paraId="68D5D7ED" w14:textId="77777777" w:rsidR="00B0757C" w:rsidRDefault="00B0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F5A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1324031D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47D042C0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97021951">
    <w:abstractNumId w:val="2"/>
  </w:num>
  <w:num w:numId="2" w16cid:durableId="1950310281">
    <w:abstractNumId w:val="0"/>
  </w:num>
  <w:num w:numId="3" w16cid:durableId="70236370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D4"/>
    <w:rsid w:val="0005263A"/>
    <w:rsid w:val="00053B88"/>
    <w:rsid w:val="00065437"/>
    <w:rsid w:val="00067159"/>
    <w:rsid w:val="00080552"/>
    <w:rsid w:val="00080B29"/>
    <w:rsid w:val="00081ACD"/>
    <w:rsid w:val="0009276F"/>
    <w:rsid w:val="000A3767"/>
    <w:rsid w:val="000D45C4"/>
    <w:rsid w:val="000E4E3E"/>
    <w:rsid w:val="000F0C80"/>
    <w:rsid w:val="001040B3"/>
    <w:rsid w:val="00122CC6"/>
    <w:rsid w:val="00135B01"/>
    <w:rsid w:val="001A3AEA"/>
    <w:rsid w:val="001A610A"/>
    <w:rsid w:val="001D68BE"/>
    <w:rsid w:val="001F699E"/>
    <w:rsid w:val="00231FD9"/>
    <w:rsid w:val="00244274"/>
    <w:rsid w:val="00254D95"/>
    <w:rsid w:val="00260E0D"/>
    <w:rsid w:val="00265530"/>
    <w:rsid w:val="002954D5"/>
    <w:rsid w:val="002A7278"/>
    <w:rsid w:val="002A72D9"/>
    <w:rsid w:val="00314FDD"/>
    <w:rsid w:val="00321FEA"/>
    <w:rsid w:val="003239A8"/>
    <w:rsid w:val="0033113C"/>
    <w:rsid w:val="00334F87"/>
    <w:rsid w:val="00335595"/>
    <w:rsid w:val="00370DC8"/>
    <w:rsid w:val="00374705"/>
    <w:rsid w:val="003873E3"/>
    <w:rsid w:val="003A2D70"/>
    <w:rsid w:val="003B55CD"/>
    <w:rsid w:val="003C0944"/>
    <w:rsid w:val="003C5131"/>
    <w:rsid w:val="003D1601"/>
    <w:rsid w:val="003D30A6"/>
    <w:rsid w:val="003D68F2"/>
    <w:rsid w:val="003E4CDC"/>
    <w:rsid w:val="00407C5C"/>
    <w:rsid w:val="004312B1"/>
    <w:rsid w:val="004724EF"/>
    <w:rsid w:val="00475A55"/>
    <w:rsid w:val="00485796"/>
    <w:rsid w:val="00491E98"/>
    <w:rsid w:val="004944D9"/>
    <w:rsid w:val="004979B6"/>
    <w:rsid w:val="004D517B"/>
    <w:rsid w:val="004F5F51"/>
    <w:rsid w:val="00505BE9"/>
    <w:rsid w:val="00513ECE"/>
    <w:rsid w:val="0051418A"/>
    <w:rsid w:val="005152B2"/>
    <w:rsid w:val="005218F4"/>
    <w:rsid w:val="00552D5D"/>
    <w:rsid w:val="00556968"/>
    <w:rsid w:val="00564FE8"/>
    <w:rsid w:val="00577A88"/>
    <w:rsid w:val="005C0A64"/>
    <w:rsid w:val="005E0E3F"/>
    <w:rsid w:val="00601669"/>
    <w:rsid w:val="00631CAD"/>
    <w:rsid w:val="00632590"/>
    <w:rsid w:val="006361F6"/>
    <w:rsid w:val="0065316E"/>
    <w:rsid w:val="00660167"/>
    <w:rsid w:val="00684EE1"/>
    <w:rsid w:val="00697036"/>
    <w:rsid w:val="006B2F2E"/>
    <w:rsid w:val="006B5045"/>
    <w:rsid w:val="006C7169"/>
    <w:rsid w:val="007231ED"/>
    <w:rsid w:val="00750BFA"/>
    <w:rsid w:val="0076228C"/>
    <w:rsid w:val="00792236"/>
    <w:rsid w:val="007B570E"/>
    <w:rsid w:val="007C2E70"/>
    <w:rsid w:val="007C665B"/>
    <w:rsid w:val="007D0BB1"/>
    <w:rsid w:val="007D523B"/>
    <w:rsid w:val="007F1C61"/>
    <w:rsid w:val="00815023"/>
    <w:rsid w:val="0082418D"/>
    <w:rsid w:val="0084586F"/>
    <w:rsid w:val="00852909"/>
    <w:rsid w:val="00853A7E"/>
    <w:rsid w:val="008A67A0"/>
    <w:rsid w:val="008A67AA"/>
    <w:rsid w:val="008B0097"/>
    <w:rsid w:val="008C17AA"/>
    <w:rsid w:val="008F438A"/>
    <w:rsid w:val="009050C0"/>
    <w:rsid w:val="00972C11"/>
    <w:rsid w:val="009A13D2"/>
    <w:rsid w:val="009A72B7"/>
    <w:rsid w:val="009C20E5"/>
    <w:rsid w:val="009C382F"/>
    <w:rsid w:val="009D0798"/>
    <w:rsid w:val="009D674F"/>
    <w:rsid w:val="00A1609E"/>
    <w:rsid w:val="00A27AA1"/>
    <w:rsid w:val="00A30C75"/>
    <w:rsid w:val="00A332E4"/>
    <w:rsid w:val="00A81C3F"/>
    <w:rsid w:val="00AB106D"/>
    <w:rsid w:val="00AB3B8F"/>
    <w:rsid w:val="00AD5B84"/>
    <w:rsid w:val="00B0757C"/>
    <w:rsid w:val="00B31512"/>
    <w:rsid w:val="00B3523B"/>
    <w:rsid w:val="00B450F0"/>
    <w:rsid w:val="00B61B57"/>
    <w:rsid w:val="00B64EC3"/>
    <w:rsid w:val="00B82DE8"/>
    <w:rsid w:val="00BB26A4"/>
    <w:rsid w:val="00BC1339"/>
    <w:rsid w:val="00BE7C3A"/>
    <w:rsid w:val="00C1110A"/>
    <w:rsid w:val="00C13ACF"/>
    <w:rsid w:val="00C634B5"/>
    <w:rsid w:val="00CC39F4"/>
    <w:rsid w:val="00CE14CC"/>
    <w:rsid w:val="00CF531A"/>
    <w:rsid w:val="00D05260"/>
    <w:rsid w:val="00D11F99"/>
    <w:rsid w:val="00D54E59"/>
    <w:rsid w:val="00D8173B"/>
    <w:rsid w:val="00DA2BAD"/>
    <w:rsid w:val="00DC277D"/>
    <w:rsid w:val="00DC2938"/>
    <w:rsid w:val="00DE506B"/>
    <w:rsid w:val="00DF2147"/>
    <w:rsid w:val="00E14C82"/>
    <w:rsid w:val="00E24ED4"/>
    <w:rsid w:val="00E47647"/>
    <w:rsid w:val="00E55AD1"/>
    <w:rsid w:val="00E74BE9"/>
    <w:rsid w:val="00E7761E"/>
    <w:rsid w:val="00EA600B"/>
    <w:rsid w:val="00EB1B5D"/>
    <w:rsid w:val="00EE5BAF"/>
    <w:rsid w:val="00F0204F"/>
    <w:rsid w:val="00F31E72"/>
    <w:rsid w:val="00F366C8"/>
    <w:rsid w:val="00F45164"/>
    <w:rsid w:val="00F4794A"/>
    <w:rsid w:val="00F5685D"/>
    <w:rsid w:val="00FA1A58"/>
    <w:rsid w:val="00FA742A"/>
    <w:rsid w:val="00FE651D"/>
    <w:rsid w:val="00FF1907"/>
    <w:rsid w:val="00FF6943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6BC89"/>
  <w15:chartTrackingRefBased/>
  <w15:docId w15:val="{D437C997-A707-41A9-9680-38848875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E24ED4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pismamzZnak">
    <w:name w:val="pisma_mz Znak"/>
    <w:link w:val="pismamz"/>
    <w:rsid w:val="00E24ED4"/>
    <w:rPr>
      <w:rFonts w:ascii="Arial" w:hAnsi="Arial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NagwekZnak">
    <w:name w:val="Nagłówek Znak"/>
    <w:link w:val="Nagwek"/>
    <w:uiPriority w:val="99"/>
    <w:rsid w:val="00E24ED4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StopkaZnak">
    <w:name w:val="Stopka Znak"/>
    <w:link w:val="Stopka"/>
    <w:uiPriority w:val="99"/>
    <w:rsid w:val="00E24ED4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rsid w:val="00E24ED4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TekstpodstawowyZnak">
    <w:name w:val="Tekst podstawowy Znak"/>
    <w:link w:val="Tekstpodstawowy"/>
    <w:uiPriority w:val="99"/>
    <w:rsid w:val="00E24ED4"/>
    <w:rPr>
      <w:rFonts w:ascii="Times New Roman" w:eastAsia="Times New Roman" w:hAnsi="Times New Roman"/>
      <w:sz w:val="24"/>
      <w:lang w:eastAsia="ar-SA"/>
    </w:rPr>
  </w:style>
  <w:style w:type="paragraph" w:styleId="Akapitzlist">
    <w:name w:val="List Paragraph"/>
    <w:basedOn w:val="Normalny"/>
    <w:link w:val="AkapitzlistZnak"/>
    <w:uiPriority w:val="34"/>
    <w:qFormat/>
    <w:rsid w:val="00E24ED4"/>
    <w:pPr>
      <w:suppressAutoHyphens/>
    </w:pPr>
    <w:rPr>
      <w:rFonts w:eastAsia="SimSun" w:cs="Calibri"/>
      <w:kern w:val="1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24ED4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9A72B7"/>
    <w:pPr>
      <w:jc w:val="both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9A72B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uiPriority w:val="99"/>
    <w:rsid w:val="009A72B7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0D45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45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D45C4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45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D45C4"/>
    <w:rPr>
      <w:b/>
      <w:bCs/>
      <w:lang w:eastAsia="en-US"/>
    </w:rPr>
  </w:style>
  <w:style w:type="character" w:customStyle="1" w:styleId="Nagwek1">
    <w:name w:val="Nagłówek #1_"/>
    <w:basedOn w:val="Domylnaczcionkaakapitu"/>
    <w:link w:val="Nagwek10"/>
    <w:rsid w:val="00491E98"/>
    <w:rPr>
      <w:rFonts w:ascii="Times New Roman" w:eastAsia="Times New Roman" w:hAnsi="Times New Roman"/>
      <w:b/>
      <w:bCs/>
      <w:sz w:val="28"/>
      <w:szCs w:val="28"/>
      <w:shd w:val="clear" w:color="auto" w:fill="FFFFFF"/>
    </w:rPr>
  </w:style>
  <w:style w:type="character" w:customStyle="1" w:styleId="Teksttreci">
    <w:name w:val="Tekst treści_"/>
    <w:basedOn w:val="Domylnaczcionkaakapitu"/>
    <w:rsid w:val="00491E9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ksttreci0">
    <w:name w:val="Tekst treści"/>
    <w:basedOn w:val="Teksttreci"/>
    <w:rsid w:val="00491E9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paragraph" w:customStyle="1" w:styleId="Nagwek10">
    <w:name w:val="Nagłówek #1"/>
    <w:basedOn w:val="Normalny"/>
    <w:link w:val="Nagwek1"/>
    <w:rsid w:val="00491E98"/>
    <w:pPr>
      <w:widowControl w:val="0"/>
      <w:shd w:val="clear" w:color="auto" w:fill="FFFFFF"/>
      <w:spacing w:after="240" w:line="0" w:lineRule="atLeast"/>
      <w:outlineLvl w:val="0"/>
    </w:pPr>
    <w:rPr>
      <w:rFonts w:ascii="Times New Roman" w:eastAsia="Times New Roman" w:hAnsi="Times New Roman"/>
      <w:b/>
      <w:bCs/>
      <w:sz w:val="28"/>
      <w:szCs w:val="28"/>
      <w:lang w:eastAsia="pl-PL"/>
    </w:rPr>
  </w:style>
  <w:style w:type="character" w:customStyle="1" w:styleId="Nagwek2">
    <w:name w:val="Nagłówek #2_"/>
    <w:basedOn w:val="Domylnaczcionkaakapitu"/>
    <w:link w:val="Nagwek20"/>
    <w:rsid w:val="00491E98"/>
    <w:rPr>
      <w:rFonts w:ascii="Times New Roman" w:eastAsia="Times New Roman" w:hAnsi="Times New Roman"/>
      <w:b/>
      <w:bCs/>
      <w:sz w:val="19"/>
      <w:szCs w:val="19"/>
      <w:shd w:val="clear" w:color="auto" w:fill="FFFFFF"/>
    </w:rPr>
  </w:style>
  <w:style w:type="character" w:customStyle="1" w:styleId="Teksttreci2">
    <w:name w:val="Tekst treści (2)_"/>
    <w:basedOn w:val="Domylnaczcionkaakapitu"/>
    <w:link w:val="Teksttreci20"/>
    <w:rsid w:val="00491E98"/>
    <w:rPr>
      <w:rFonts w:ascii="Times New Roman" w:eastAsia="Times New Roman" w:hAnsi="Times New Roman"/>
      <w:i/>
      <w:iCs/>
      <w:sz w:val="19"/>
      <w:szCs w:val="19"/>
      <w:shd w:val="clear" w:color="auto" w:fill="FFFFFF"/>
    </w:rPr>
  </w:style>
  <w:style w:type="paragraph" w:customStyle="1" w:styleId="Nagwek20">
    <w:name w:val="Nagłówek #2"/>
    <w:basedOn w:val="Normalny"/>
    <w:link w:val="Nagwek2"/>
    <w:rsid w:val="00491E98"/>
    <w:pPr>
      <w:widowControl w:val="0"/>
      <w:shd w:val="clear" w:color="auto" w:fill="FFFFFF"/>
      <w:spacing w:after="0" w:line="264" w:lineRule="exact"/>
      <w:outlineLvl w:val="1"/>
    </w:pPr>
    <w:rPr>
      <w:rFonts w:ascii="Times New Roman" w:eastAsia="Times New Roman" w:hAnsi="Times New Roman"/>
      <w:b/>
      <w:bCs/>
      <w:sz w:val="19"/>
      <w:szCs w:val="19"/>
      <w:lang w:eastAsia="pl-PL"/>
    </w:rPr>
  </w:style>
  <w:style w:type="paragraph" w:customStyle="1" w:styleId="Teksttreci20">
    <w:name w:val="Tekst treści (2)"/>
    <w:basedOn w:val="Normalny"/>
    <w:link w:val="Teksttreci2"/>
    <w:rsid w:val="00491E98"/>
    <w:pPr>
      <w:widowControl w:val="0"/>
      <w:shd w:val="clear" w:color="auto" w:fill="FFFFFF"/>
      <w:spacing w:after="60" w:line="259" w:lineRule="exact"/>
    </w:pPr>
    <w:rPr>
      <w:rFonts w:ascii="Times New Roman" w:eastAsia="Times New Roman" w:hAnsi="Times New Roman"/>
      <w:i/>
      <w:iCs/>
      <w:sz w:val="19"/>
      <w:szCs w:val="19"/>
      <w:lang w:eastAsia="pl-PL"/>
    </w:rPr>
  </w:style>
  <w:style w:type="character" w:customStyle="1" w:styleId="TeksttreciPogrubienie">
    <w:name w:val="Tekst treści + Pogrubienie"/>
    <w:basedOn w:val="Teksttreci"/>
    <w:rsid w:val="00491E9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E55AD1"/>
    <w:rPr>
      <w:rFonts w:eastAsia="SimSun" w:cs="Calibri"/>
      <w:kern w:val="1"/>
      <w:sz w:val="22"/>
      <w:szCs w:val="22"/>
      <w:lang w:eastAsia="ar-SA"/>
    </w:rPr>
  </w:style>
  <w:style w:type="paragraph" w:customStyle="1" w:styleId="Text">
    <w:name w:val="Text"/>
    <w:basedOn w:val="Normalny"/>
    <w:link w:val="TextChar"/>
    <w:rsid w:val="00E55AD1"/>
    <w:pPr>
      <w:spacing w:before="120" w:after="0" w:line="240" w:lineRule="auto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TextChar">
    <w:name w:val="Text Char"/>
    <w:link w:val="Text"/>
    <w:rsid w:val="00E55AD1"/>
    <w:rPr>
      <w:rFonts w:ascii="Times New Roman" w:eastAsia="MS Mincho" w:hAnsi="Times New Roman"/>
      <w:sz w:val="24"/>
      <w:lang w:eastAsia="en-US"/>
    </w:rPr>
  </w:style>
  <w:style w:type="paragraph" w:styleId="Poprawka">
    <w:name w:val="Revision"/>
    <w:hidden/>
    <w:uiPriority w:val="99"/>
    <w:semiHidden/>
    <w:rsid w:val="008241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EB732-B8E1-4ED0-88CF-03893869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1022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Rybińska Barbara</dc:creator>
  <cp:keywords/>
  <cp:lastModifiedBy>Królak-Buzakowska Joanna</cp:lastModifiedBy>
  <cp:revision>4</cp:revision>
  <cp:lastPrinted>2017-05-19T09:23:00Z</cp:lastPrinted>
  <dcterms:created xsi:type="dcterms:W3CDTF">2022-09-22T10:19:00Z</dcterms:created>
  <dcterms:modified xsi:type="dcterms:W3CDTF">2022-10-11T10:29:00Z</dcterms:modified>
</cp:coreProperties>
</file>