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55DFD" w14:textId="15A5541B" w:rsidR="00E1797F" w:rsidRDefault="00E1797F" w:rsidP="00E1797F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r w:rsidRPr="0065200D">
        <w:rPr>
          <w:rFonts w:ascii="Times New Roman" w:eastAsia="Times New Roman" w:hAnsi="Times New Roman"/>
          <w:lang w:eastAsia="pl-PL"/>
        </w:rPr>
        <w:t>Załącznik</w:t>
      </w:r>
      <w:r w:rsidR="00FA4C31">
        <w:rPr>
          <w:rFonts w:ascii="Times New Roman" w:eastAsia="Times New Roman" w:hAnsi="Times New Roman"/>
          <w:lang w:eastAsia="pl-PL"/>
        </w:rPr>
        <w:t xml:space="preserve"> </w:t>
      </w:r>
      <w:r w:rsidRPr="0065200D">
        <w:rPr>
          <w:rFonts w:ascii="Times New Roman" w:eastAsia="Times New Roman" w:hAnsi="Times New Roman"/>
          <w:lang w:eastAsia="pl-PL"/>
        </w:rPr>
        <w:t>B.119.</w:t>
      </w:r>
      <w:r w:rsidR="00FA4C31">
        <w:rPr>
          <w:rFonts w:ascii="Times New Roman" w:eastAsia="Times New Roman" w:hAnsi="Times New Roman"/>
          <w:lang w:eastAsia="pl-PL"/>
        </w:rPr>
        <w:t xml:space="preserve"> </w:t>
      </w:r>
    </w:p>
    <w:p w14:paraId="06738A6E" w14:textId="77777777" w:rsidR="00E1797F" w:rsidRPr="0065200D" w:rsidRDefault="00E1797F" w:rsidP="00E1797F">
      <w:pPr>
        <w:spacing w:after="0" w:line="240" w:lineRule="auto"/>
        <w:rPr>
          <w:rFonts w:ascii="Times New Roman" w:eastAsia="Times New Roman" w:hAnsi="Times New Roman"/>
          <w:lang w:eastAsia="pl-PL"/>
        </w:rPr>
      </w:pPr>
    </w:p>
    <w:p w14:paraId="1992576F" w14:textId="2DF220D3" w:rsidR="00E1797F" w:rsidRPr="0065200D" w:rsidRDefault="00E1797F" w:rsidP="00FF27FA">
      <w:pPr>
        <w:spacing w:after="24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65200D">
        <w:rPr>
          <w:rFonts w:ascii="Times New Roman" w:hAnsi="Times New Roman"/>
          <w:b/>
          <w:sz w:val="28"/>
          <w:szCs w:val="28"/>
        </w:rPr>
        <w:t>LECZENIE</w:t>
      </w:r>
      <w:r w:rsidR="00FA4C31">
        <w:rPr>
          <w:rFonts w:ascii="Times New Roman" w:hAnsi="Times New Roman"/>
          <w:b/>
          <w:sz w:val="28"/>
          <w:szCs w:val="28"/>
        </w:rPr>
        <w:t xml:space="preserve"> </w:t>
      </w:r>
      <w:r w:rsidRPr="0065200D">
        <w:rPr>
          <w:rFonts w:ascii="Times New Roman" w:hAnsi="Times New Roman"/>
          <w:b/>
          <w:sz w:val="28"/>
          <w:szCs w:val="28"/>
        </w:rPr>
        <w:t>PACJENTÓW</w:t>
      </w:r>
      <w:r w:rsidR="00FA4C31">
        <w:rPr>
          <w:rFonts w:ascii="Times New Roman" w:hAnsi="Times New Roman"/>
          <w:b/>
          <w:sz w:val="28"/>
          <w:szCs w:val="28"/>
        </w:rPr>
        <w:t xml:space="preserve"> </w:t>
      </w:r>
      <w:r w:rsidRPr="0065200D">
        <w:rPr>
          <w:rFonts w:ascii="Times New Roman" w:hAnsi="Times New Roman"/>
          <w:b/>
          <w:sz w:val="28"/>
          <w:szCs w:val="28"/>
        </w:rPr>
        <w:t>Z</w:t>
      </w:r>
      <w:r>
        <w:rPr>
          <w:rFonts w:ascii="Times New Roman" w:hAnsi="Times New Roman"/>
          <w:b/>
          <w:sz w:val="28"/>
          <w:szCs w:val="28"/>
        </w:rPr>
        <w:t>E</w:t>
      </w:r>
      <w:r w:rsidR="00FA4C31">
        <w:rPr>
          <w:rFonts w:ascii="Times New Roman" w:hAnsi="Times New Roman"/>
          <w:b/>
          <w:sz w:val="28"/>
          <w:szCs w:val="28"/>
        </w:rPr>
        <w:t xml:space="preserve"> </w:t>
      </w:r>
      <w:r w:rsidRPr="0065200D">
        <w:rPr>
          <w:rFonts w:ascii="Times New Roman" w:hAnsi="Times New Roman"/>
          <w:b/>
          <w:sz w:val="28"/>
          <w:szCs w:val="28"/>
        </w:rPr>
        <w:t>ZRÓŻNICOWANYM</w:t>
      </w:r>
      <w:r w:rsidR="00FA4C31">
        <w:rPr>
          <w:rFonts w:ascii="Times New Roman" w:hAnsi="Times New Roman"/>
          <w:b/>
          <w:sz w:val="28"/>
          <w:szCs w:val="28"/>
        </w:rPr>
        <w:t xml:space="preserve"> </w:t>
      </w:r>
      <w:r w:rsidRPr="0065200D">
        <w:rPr>
          <w:rFonts w:ascii="Times New Roman" w:hAnsi="Times New Roman"/>
          <w:b/>
          <w:sz w:val="28"/>
          <w:szCs w:val="28"/>
        </w:rPr>
        <w:t>RAKIEM</w:t>
      </w:r>
      <w:r w:rsidR="00FA4C31">
        <w:rPr>
          <w:rFonts w:ascii="Times New Roman" w:hAnsi="Times New Roman"/>
          <w:b/>
          <w:sz w:val="28"/>
          <w:szCs w:val="28"/>
        </w:rPr>
        <w:t xml:space="preserve"> </w:t>
      </w:r>
      <w:r w:rsidRPr="0065200D">
        <w:rPr>
          <w:rFonts w:ascii="Times New Roman" w:hAnsi="Times New Roman"/>
          <w:b/>
          <w:sz w:val="28"/>
          <w:szCs w:val="28"/>
        </w:rPr>
        <w:t>TARCZYCY</w:t>
      </w:r>
      <w:r w:rsidR="00FA4C31">
        <w:rPr>
          <w:rFonts w:ascii="Times New Roman" w:hAnsi="Times New Roman"/>
          <w:b/>
          <w:sz w:val="28"/>
          <w:szCs w:val="28"/>
        </w:rPr>
        <w:t xml:space="preserve"> </w:t>
      </w:r>
      <w:r w:rsidRPr="0065200D">
        <w:rPr>
          <w:rFonts w:ascii="Times New Roman" w:hAnsi="Times New Roman"/>
          <w:b/>
          <w:sz w:val="28"/>
          <w:szCs w:val="28"/>
        </w:rPr>
        <w:t>(ICD-10</w:t>
      </w:r>
      <w:r w:rsidR="00FF27FA">
        <w:rPr>
          <w:rFonts w:ascii="Times New Roman" w:hAnsi="Times New Roman"/>
          <w:b/>
          <w:sz w:val="28"/>
          <w:szCs w:val="28"/>
        </w:rPr>
        <w:t>:</w:t>
      </w:r>
      <w:r w:rsidR="00FA4C31">
        <w:rPr>
          <w:rFonts w:ascii="Times New Roman" w:hAnsi="Times New Roman"/>
          <w:b/>
          <w:sz w:val="28"/>
          <w:szCs w:val="28"/>
        </w:rPr>
        <w:t xml:space="preserve"> </w:t>
      </w:r>
      <w:r w:rsidRPr="0065200D">
        <w:rPr>
          <w:rFonts w:ascii="Times New Roman" w:hAnsi="Times New Roman"/>
          <w:b/>
          <w:sz w:val="28"/>
          <w:szCs w:val="28"/>
        </w:rPr>
        <w:t>C</w:t>
      </w:r>
      <w:r w:rsidR="00FA4C31">
        <w:rPr>
          <w:rFonts w:ascii="Times New Roman" w:hAnsi="Times New Roman"/>
          <w:b/>
          <w:sz w:val="28"/>
          <w:szCs w:val="28"/>
        </w:rPr>
        <w:t xml:space="preserve"> </w:t>
      </w:r>
      <w:r w:rsidRPr="0065200D">
        <w:rPr>
          <w:rFonts w:ascii="Times New Roman" w:hAnsi="Times New Roman"/>
          <w:b/>
          <w:sz w:val="28"/>
          <w:szCs w:val="28"/>
        </w:rPr>
        <w:t>73)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5"/>
        <w:gridCol w:w="4111"/>
        <w:gridCol w:w="5614"/>
      </w:tblGrid>
      <w:tr w:rsidR="00E1797F" w:rsidRPr="0065200D" w14:paraId="58674510" w14:textId="77777777" w:rsidTr="00FF27FA">
        <w:trPr>
          <w:trHeight w:val="567"/>
        </w:trPr>
        <w:tc>
          <w:tcPr>
            <w:tcW w:w="15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0FD04" w14:textId="7DA8B8A1" w:rsidR="00E1797F" w:rsidRPr="0065200D" w:rsidRDefault="00E1797F" w:rsidP="00107CC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5200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ZAKRES</w:t>
            </w:r>
            <w:r w:rsidR="00FA4C3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65200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ŚWIADCZENIA</w:t>
            </w:r>
            <w:r w:rsidR="00FA4C3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65200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GWARANTOWANEGO</w:t>
            </w:r>
          </w:p>
        </w:tc>
      </w:tr>
      <w:tr w:rsidR="00E1797F" w:rsidRPr="0065200D" w14:paraId="12F4088B" w14:textId="77777777" w:rsidTr="00FA4C31">
        <w:trPr>
          <w:trHeight w:val="567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16303" w14:textId="77777777" w:rsidR="00E1797F" w:rsidRPr="0065200D" w:rsidRDefault="00E1797F" w:rsidP="00107CC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5200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ŚWIADCZENIOBIORCY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028A7" w14:textId="73E27AFB" w:rsidR="00E1797F" w:rsidRPr="0065200D" w:rsidRDefault="00E1797F" w:rsidP="00107CC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5200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SCHEMAT</w:t>
            </w:r>
            <w:r w:rsidR="00FA4C3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65200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DAWKOWANIA</w:t>
            </w:r>
            <w:r w:rsidR="00FA4C3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65200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LEKÓW</w:t>
            </w:r>
            <w:r w:rsidR="00FA4C3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="00FA4C3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br/>
            </w:r>
            <w:r w:rsidRPr="0065200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W</w:t>
            </w:r>
            <w:r w:rsidR="00FA4C3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65200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PROGRAMIE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48235" w14:textId="685083F0" w:rsidR="00E1797F" w:rsidRPr="0065200D" w:rsidRDefault="00E1797F" w:rsidP="00107CC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5200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BADANIA</w:t>
            </w:r>
            <w:r w:rsidR="00FA4C3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65200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DIAGNOSTYCZNE</w:t>
            </w:r>
            <w:r w:rsidR="00FA4C3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65200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WYKONYWANE</w:t>
            </w:r>
            <w:r w:rsidR="00FA4C3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="00FA4C3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br/>
            </w:r>
            <w:r w:rsidRPr="0065200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W</w:t>
            </w:r>
            <w:r w:rsidR="00FA4C3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65200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RAMACH</w:t>
            </w:r>
            <w:r w:rsidR="00FA4C3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65200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PROGRAMU</w:t>
            </w:r>
          </w:p>
        </w:tc>
      </w:tr>
      <w:tr w:rsidR="00E1797F" w:rsidRPr="004F5F51" w14:paraId="51CF6AEF" w14:textId="77777777" w:rsidTr="00FA4C31">
        <w:trPr>
          <w:trHeight w:val="20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FD26A" w14:textId="70D680BB" w:rsidR="00E1797F" w:rsidRPr="001006A7" w:rsidRDefault="00E1797F" w:rsidP="005341FB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programie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finansuje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</w:t>
            </w:r>
            <w:r w:rsidR="00422B3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zróżnicowanego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raka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tarczycy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1F0A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kabozantynib</w:t>
            </w:r>
            <w:r w:rsidR="00422B3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em</w:t>
            </w:r>
            <w:proofErr w:type="spellEnd"/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(druga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linia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leczenia)</w:t>
            </w:r>
            <w:r w:rsidR="001006A7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F0A66" w:rsidRPr="001006A7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FA4C31" w:rsidRPr="001006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0A66" w:rsidRPr="001006A7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FA4C31" w:rsidRPr="001006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0A66" w:rsidRPr="001006A7">
              <w:rPr>
                <w:rFonts w:ascii="Times New Roman" w:hAnsi="Times New Roman" w:cs="Times New Roman"/>
                <w:sz w:val="20"/>
                <w:szCs w:val="20"/>
              </w:rPr>
              <w:t>wskazanymi</w:t>
            </w:r>
            <w:r w:rsidR="00FA4C31" w:rsidRPr="001006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0A66" w:rsidRPr="001006A7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A4C31" w:rsidRPr="001006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0A66" w:rsidRPr="001006A7">
              <w:rPr>
                <w:rFonts w:ascii="Times New Roman" w:hAnsi="Times New Roman" w:cs="Times New Roman"/>
                <w:sz w:val="20"/>
                <w:szCs w:val="20"/>
              </w:rPr>
              <w:t>opisie</w:t>
            </w:r>
            <w:r w:rsidR="00FA4C31" w:rsidRPr="001006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0A66" w:rsidRPr="001006A7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FA4C31" w:rsidRPr="001006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0A66" w:rsidRPr="001006A7">
              <w:rPr>
                <w:rFonts w:ascii="Times New Roman" w:hAnsi="Times New Roman" w:cs="Times New Roman"/>
                <w:sz w:val="20"/>
                <w:szCs w:val="20"/>
              </w:rPr>
              <w:t>warunkami</w:t>
            </w:r>
            <w:r w:rsidR="00FA4C31" w:rsidRPr="001006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0A66" w:rsidRPr="001006A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FA4C31" w:rsidRPr="001006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0A66" w:rsidRPr="001006A7">
              <w:rPr>
                <w:rFonts w:ascii="Times New Roman" w:hAnsi="Times New Roman" w:cs="Times New Roman"/>
                <w:sz w:val="20"/>
                <w:szCs w:val="20"/>
              </w:rPr>
              <w:t>kryteriami.</w:t>
            </w:r>
          </w:p>
          <w:p w14:paraId="09D8BE00" w14:textId="77777777" w:rsidR="001F0A66" w:rsidRPr="001F0A66" w:rsidRDefault="001F0A66" w:rsidP="001F0A6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DB811AA" w14:textId="67259B77" w:rsidR="00E1797F" w:rsidRPr="001F0A66" w:rsidRDefault="00E1797F" w:rsidP="001F0A6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Spełnione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muszą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zostać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łącznie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ogólne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(1.1.)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szczegółowe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(1.2.).</w:t>
            </w:r>
          </w:p>
          <w:p w14:paraId="098A627B" w14:textId="77777777" w:rsidR="00E1797F" w:rsidRPr="001F0A66" w:rsidRDefault="00E1797F" w:rsidP="001F0A6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</w:p>
          <w:p w14:paraId="1CF0B33F" w14:textId="2BDD30A0" w:rsidR="00E1797F" w:rsidRPr="001F0A66" w:rsidRDefault="00E1797F" w:rsidP="001F0A66">
            <w:pPr>
              <w:pStyle w:val="Akapitzlist"/>
              <w:numPr>
                <w:ilvl w:val="0"/>
                <w:numId w:val="13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FA4C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</w:p>
          <w:p w14:paraId="591931F4" w14:textId="60EB1219" w:rsidR="00E1797F" w:rsidRPr="001F0A66" w:rsidRDefault="00E1797F" w:rsidP="001F0A66">
            <w:pPr>
              <w:pStyle w:val="Akapitzlist"/>
              <w:numPr>
                <w:ilvl w:val="1"/>
                <w:numId w:val="13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Ogólne</w:t>
            </w:r>
            <w:r w:rsidR="00FA4C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FA4C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</w:p>
          <w:p w14:paraId="369E5514" w14:textId="70454A79" w:rsidR="00E1797F" w:rsidRPr="001F0A66" w:rsidRDefault="00E1797F" w:rsidP="001F0A66">
            <w:pPr>
              <w:pStyle w:val="Akapitzlist"/>
              <w:numPr>
                <w:ilvl w:val="3"/>
                <w:numId w:val="13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histologiczne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rozpoznanie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zróżnicowanego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tarczycy,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tj.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Hlk181093545"/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brodawkowatego,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pęcherzykowego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onkocytarnego</w:t>
            </w:r>
            <w:bookmarkEnd w:id="0"/>
            <w:proofErr w:type="spellEnd"/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332A845" w14:textId="6B9BD8D7" w:rsidR="00E1797F" w:rsidRPr="001F0A66" w:rsidRDefault="00E1797F" w:rsidP="001F0A66">
            <w:pPr>
              <w:pStyle w:val="Akapitzlist"/>
              <w:numPr>
                <w:ilvl w:val="3"/>
                <w:numId w:val="13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wiek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powyżej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roku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życia;</w:t>
            </w:r>
          </w:p>
          <w:p w14:paraId="796E4E42" w14:textId="1E9D6706" w:rsidR="00E1797F" w:rsidRPr="001F0A66" w:rsidRDefault="00E1797F" w:rsidP="001F0A66">
            <w:pPr>
              <w:pStyle w:val="Akapitzlist"/>
              <w:numPr>
                <w:ilvl w:val="3"/>
                <w:numId w:val="13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zmiany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nowotworowe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możliwe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obiektywnej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badaniach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obrazowych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metodą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tomografii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komputerowej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F4312" w:rsidRPr="001F0A66">
              <w:rPr>
                <w:rFonts w:ascii="Times New Roman" w:hAnsi="Times New Roman" w:cs="Times New Roman"/>
                <w:sz w:val="20"/>
                <w:szCs w:val="20"/>
              </w:rPr>
              <w:t>KT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rezonansu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magnetycznego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(MR)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klasyfikacji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RECIST;</w:t>
            </w:r>
          </w:p>
          <w:p w14:paraId="17BD2919" w14:textId="01D22660" w:rsidR="00E1797F" w:rsidRPr="001F0A66" w:rsidRDefault="00E1797F" w:rsidP="001F0A66">
            <w:pPr>
              <w:pStyle w:val="Akapitzlist"/>
              <w:numPr>
                <w:ilvl w:val="3"/>
                <w:numId w:val="13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nieobecność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przerzutów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ośrodkowym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układzie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nerwowym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(dopuszczalne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wcześniejsze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wycięcie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przerzutów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radioterapia,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ile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utrzymuje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bezobjawowy);</w:t>
            </w:r>
          </w:p>
          <w:p w14:paraId="4EDE65F2" w14:textId="114024B2" w:rsidR="00E1797F" w:rsidRPr="001F0A66" w:rsidRDefault="00E1797F" w:rsidP="001F0A66">
            <w:pPr>
              <w:pStyle w:val="Akapitzlist"/>
              <w:numPr>
                <w:ilvl w:val="3"/>
                <w:numId w:val="13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wykluczenie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współwystępowania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innych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nowotworów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złośliwych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niekontrolowanych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leczeniem;</w:t>
            </w:r>
          </w:p>
          <w:p w14:paraId="44F9C1CA" w14:textId="26497551" w:rsidR="00E1797F" w:rsidRPr="001F0A66" w:rsidRDefault="00E1797F" w:rsidP="001F0A66">
            <w:pPr>
              <w:pStyle w:val="Akapitzlist"/>
              <w:numPr>
                <w:ilvl w:val="3"/>
                <w:numId w:val="13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adekwatna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wydolność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narządowa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określona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podstawie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wyników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laboratoryjnych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zapisami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aktualnej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ChPL</w:t>
            </w:r>
            <w:proofErr w:type="spellEnd"/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C8C4A29" w14:textId="35A51AA8" w:rsidR="00E1797F" w:rsidRPr="001F0A66" w:rsidRDefault="00E1797F" w:rsidP="001F0A66">
            <w:pPr>
              <w:pStyle w:val="Akapitzlist"/>
              <w:numPr>
                <w:ilvl w:val="3"/>
                <w:numId w:val="13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wykluczenie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ciąży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okresu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karmienia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1315DA4B" w14:textId="187B153E" w:rsidR="00E1797F" w:rsidRPr="00EF502D" w:rsidRDefault="00E1797F" w:rsidP="001F0A66">
            <w:pPr>
              <w:pStyle w:val="Akapitzlist"/>
              <w:numPr>
                <w:ilvl w:val="3"/>
                <w:numId w:val="13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niewystępowanie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stanów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klinicznych,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które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opinii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uniemożliwiają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włączenie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terapii.</w:t>
            </w:r>
          </w:p>
          <w:p w14:paraId="27C2F594" w14:textId="77777777" w:rsidR="00E1797F" w:rsidRPr="001F0A66" w:rsidRDefault="00E1797F" w:rsidP="001F0A66">
            <w:pPr>
              <w:pStyle w:val="Akapitzlist"/>
              <w:spacing w:after="60" w:line="276" w:lineRule="auto"/>
              <w:ind w:left="397"/>
              <w:contextualSpacing w:val="0"/>
              <w:jc w:val="both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  <w:p w14:paraId="7D53E516" w14:textId="4CD679B6" w:rsidR="00E1797F" w:rsidRPr="001F0A66" w:rsidRDefault="00E1797F" w:rsidP="000F68ED">
            <w:pPr>
              <w:pStyle w:val="Akapitzlist"/>
              <w:numPr>
                <w:ilvl w:val="1"/>
                <w:numId w:val="13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Terapia</w:t>
            </w:r>
            <w:r w:rsidR="00FA4C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F0A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kabozantynibem</w:t>
            </w:r>
            <w:proofErr w:type="spellEnd"/>
          </w:p>
          <w:p w14:paraId="16887149" w14:textId="39A35EB1" w:rsidR="00E1797F" w:rsidRPr="001F0A66" w:rsidRDefault="00E1797F" w:rsidP="001F0A66">
            <w:pPr>
              <w:pStyle w:val="Akapitzlist"/>
              <w:numPr>
                <w:ilvl w:val="3"/>
                <w:numId w:val="13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nowotwór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stadium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zaawansowanym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(miejscowy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nawrót,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wznowa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przerzuty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odległe),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który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kwalifikuje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miejscowego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opornością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jod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promieniotwórczy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(udokumentowana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nieskuteczność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radioaktywnym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jodem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rozumiana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jednej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zmiany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wychwytującej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jodu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progresji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pomimo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wychwytu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jodu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wyczerpanie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łącznej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kumulatywnej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jodu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wynoszącej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mCi</w:t>
            </w:r>
            <w:proofErr w:type="spellEnd"/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niekwalifikujący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tej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terapii,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pacjentów,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stwierdzono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progresję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czasie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uprzedniego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systemowego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jego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zakończeniu;</w:t>
            </w:r>
          </w:p>
          <w:p w14:paraId="0B6EAD67" w14:textId="3D8DA2EB" w:rsidR="00E1797F" w:rsidRPr="001F0A66" w:rsidRDefault="00E1797F" w:rsidP="001F0A66">
            <w:pPr>
              <w:pStyle w:val="Akapitzlist"/>
              <w:numPr>
                <w:ilvl w:val="3"/>
                <w:numId w:val="13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udokumentowane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niepowodzenie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wcześniejszego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zastosowaniem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inhibitora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kinaz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tyrozynowych;</w:t>
            </w:r>
          </w:p>
          <w:p w14:paraId="2FFEFE84" w14:textId="3272EF59" w:rsidR="00E1797F" w:rsidRPr="001F0A66" w:rsidRDefault="00E1797F" w:rsidP="001F0A66">
            <w:pPr>
              <w:pStyle w:val="Akapitzlist"/>
              <w:numPr>
                <w:ilvl w:val="3"/>
                <w:numId w:val="13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sprawności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ogólnej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stopniach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0-1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klasyfikacji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ECOG.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476ED56" w14:textId="77777777" w:rsidR="00E1797F" w:rsidRPr="001F0A66" w:rsidRDefault="00E1797F" w:rsidP="001F0A6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7BDED9" w14:textId="659727B9" w:rsidR="00E1797F" w:rsidRPr="00BA4579" w:rsidRDefault="00E1797F" w:rsidP="00BA4579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Ponadto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również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pacjenci,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byli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4C3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kabozantynibem</w:t>
            </w:r>
            <w:proofErr w:type="spellEnd"/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innego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sposobu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finansowania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terapii,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wyjątkiem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klinicznych,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warunkiem,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chwili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spełniali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(ogólne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szczegółowe)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lekowego.</w:t>
            </w:r>
          </w:p>
          <w:p w14:paraId="4821062B" w14:textId="77777777" w:rsidR="00E1797F" w:rsidRPr="001F0A66" w:rsidRDefault="00E1797F" w:rsidP="001F0A6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35F68992" w14:textId="2BC8AA1C" w:rsidR="00E1797F" w:rsidRPr="001F0A66" w:rsidRDefault="00E1797F" w:rsidP="001F0A66">
            <w:pPr>
              <w:pStyle w:val="Akapitzlist"/>
              <w:numPr>
                <w:ilvl w:val="0"/>
                <w:numId w:val="13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1F0A66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Określenie</w:t>
            </w:r>
            <w:r w:rsidR="00FA4C31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czasu</w:t>
            </w:r>
            <w:r w:rsidR="00FA4C31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leczenia</w:t>
            </w:r>
            <w:r w:rsidR="00FA4C31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FA4C31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programie</w:t>
            </w:r>
            <w:r w:rsidR="00FA4C31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</w:p>
          <w:p w14:paraId="4E0879BC" w14:textId="03E2D8E7" w:rsidR="00E1797F" w:rsidRPr="00BA4579" w:rsidRDefault="00E1797F" w:rsidP="00BA457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BA457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lastRenderedPageBreak/>
              <w:t>Leczenie</w:t>
            </w:r>
            <w:r w:rsidR="00FA4C3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trwa</w:t>
            </w:r>
            <w:r w:rsidR="00FA4C3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do</w:t>
            </w:r>
            <w:r w:rsidR="00FA4C3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czasu</w:t>
            </w:r>
            <w:r w:rsidR="00FA4C3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podjęcia</w:t>
            </w:r>
            <w:r w:rsidR="00FA4C3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przez</w:t>
            </w:r>
            <w:r w:rsidR="00FA4C3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lekarza</w:t>
            </w:r>
            <w:r w:rsidR="00FA4C3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prowadzącego</w:t>
            </w:r>
            <w:r w:rsidR="00FA4C3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decyzji</w:t>
            </w:r>
            <w:r w:rsidR="00FA4C3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o</w:t>
            </w:r>
            <w:r w:rsidR="00FA4C3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wyłączeniu</w:t>
            </w:r>
            <w:r w:rsidR="00FA4C3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świadczeniobiorcy</w:t>
            </w:r>
            <w:r w:rsidR="00FA4C3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</w:t>
            </w:r>
            <w:r w:rsidR="00FA4C3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programu,</w:t>
            </w:r>
            <w:r w:rsidR="00FA4C3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zgodnie</w:t>
            </w:r>
            <w:r w:rsidR="00FA4C3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</w:t>
            </w:r>
            <w:r w:rsidR="00FA4C3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kryteriami</w:t>
            </w:r>
            <w:r w:rsidR="00FA4C3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wyłączenia.</w:t>
            </w:r>
          </w:p>
          <w:p w14:paraId="3632F704" w14:textId="77777777" w:rsidR="00E1797F" w:rsidRPr="001F0A66" w:rsidRDefault="00E1797F" w:rsidP="001F0A6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</w:p>
          <w:p w14:paraId="5C3B2680" w14:textId="2F563FD5" w:rsidR="00E1797F" w:rsidRPr="001F0A66" w:rsidRDefault="00E1797F" w:rsidP="001F0A66">
            <w:pPr>
              <w:pStyle w:val="Akapitzlist"/>
              <w:numPr>
                <w:ilvl w:val="0"/>
                <w:numId w:val="13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1F0A66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FA4C31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wyłączenia</w:t>
            </w:r>
          </w:p>
          <w:p w14:paraId="6440D25E" w14:textId="57A0610C" w:rsidR="00E1797F" w:rsidRPr="001F0A66" w:rsidRDefault="00E1797F" w:rsidP="00BA4579">
            <w:pPr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udokumentowana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progresja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trakcie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stosowania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leku;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25D34022" w14:textId="5017DEBC" w:rsidR="00E1797F" w:rsidRPr="001F0A66" w:rsidRDefault="00E1797F" w:rsidP="00BA4579">
            <w:pPr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oligoprogresji</w:t>
            </w:r>
            <w:proofErr w:type="spellEnd"/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oligoprogresja</w:t>
            </w:r>
            <w:proofErr w:type="spellEnd"/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definiowana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sytuacja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kliniczna,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której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nastąpiła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progresja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ograniczonej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liczby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miejsc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nowotworu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przerzutami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≤5,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włączając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progresje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OUN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prowadzącego)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istnieje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możliwość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kontynuowania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zastosowaniu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skutecznego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miejscowego,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ile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pacjent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odnosi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korzyści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kliniczne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utrzymuje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odpowiedź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stabilizacja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pozostałych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zmian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chorobowych;</w:t>
            </w:r>
          </w:p>
          <w:p w14:paraId="345025FA" w14:textId="22CDF440" w:rsidR="00E1797F" w:rsidRPr="001F0A66" w:rsidRDefault="00E1797F" w:rsidP="00BA4579">
            <w:pPr>
              <w:pStyle w:val="Akapitzlist"/>
              <w:numPr>
                <w:ilvl w:val="3"/>
                <w:numId w:val="13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  <w:r w:rsidRPr="001F0A66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wystąpienie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nadwrażliwości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na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lek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lub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substancję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pomocniczą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uniemożliwiające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kontynuację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  <w:t>leczenia;</w:t>
            </w:r>
          </w:p>
          <w:p w14:paraId="01CDC88F" w14:textId="7490B4AF" w:rsidR="00E1797F" w:rsidRPr="001F0A66" w:rsidRDefault="00E1797F" w:rsidP="00BA4579">
            <w:pPr>
              <w:pStyle w:val="Akapitzlist"/>
              <w:numPr>
                <w:ilvl w:val="3"/>
                <w:numId w:val="13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nawracająca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nieakceptowalna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toksyczność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powyżej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stopnia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według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skali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WHO;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4E93B62B" w14:textId="3F81DA12" w:rsidR="00E1797F" w:rsidRPr="001F0A66" w:rsidRDefault="00E1797F" w:rsidP="00BA4579">
            <w:pPr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pogorszenie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stanu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sprawności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2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stopnie,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zależności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wartości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przy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kwalifikacji,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ale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maksymalnie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wartości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2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wg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ECOG;</w:t>
            </w:r>
          </w:p>
          <w:p w14:paraId="13C06D83" w14:textId="545AAA3A" w:rsidR="00E1797F" w:rsidRPr="001F0A66" w:rsidRDefault="00E1797F" w:rsidP="00BA4579">
            <w:pPr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wystąpienie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chorób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stanów,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które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opinii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lekarza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prowadzącego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uniemożliwiają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dalsze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prowadzenie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leczenia;</w:t>
            </w:r>
          </w:p>
          <w:p w14:paraId="5835F58F" w14:textId="585992E3" w:rsidR="00E1797F" w:rsidRPr="001F0A66" w:rsidRDefault="00E1797F" w:rsidP="00BA4579">
            <w:pPr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okres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ciąży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karmienia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piersią;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1ECEFCB1" w14:textId="77777777" w:rsidR="00BA4579" w:rsidRDefault="00E1797F" w:rsidP="00BA4579">
            <w:pPr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brak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współpracy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nieprzestrzeganie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zaleceń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lekarskich,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tym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zwłaszcza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dotyczących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okresowych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badań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kontrolnych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oceniających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skuteczność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bezpieczeństwo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ze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strony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świadczeniobiorcy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jego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prawnych</w:t>
            </w:r>
            <w:r w:rsidR="00FA4C3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opiekunów</w:t>
            </w:r>
            <w:r w:rsidR="00EF502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291A46EB" w14:textId="71F62C4C" w:rsidR="00EF502D" w:rsidRPr="00DE1124" w:rsidRDefault="00EF502D" w:rsidP="00EF502D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F6249" w14:textId="77777777" w:rsidR="00E1797F" w:rsidRPr="001F0A66" w:rsidRDefault="00E1797F" w:rsidP="00BA4579">
            <w:pPr>
              <w:pStyle w:val="Akapitzlist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1F0A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lastRenderedPageBreak/>
              <w:t>Dawkowanie</w:t>
            </w:r>
          </w:p>
          <w:p w14:paraId="7F0A7E35" w14:textId="34623286" w:rsidR="00E1797F" w:rsidRPr="00BA4579" w:rsidRDefault="00E1797F" w:rsidP="00BA4579">
            <w:pPr>
              <w:spacing w:after="60" w:line="276" w:lineRule="auto"/>
              <w:ind w:right="2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Sposób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podawania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ewentualne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czasowe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wstrzymania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leczenia,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prowadzone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aktualnymi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Charakterystykami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Produktu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Leczniczego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</w:t>
            </w:r>
            <w:proofErr w:type="spellStart"/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ChPL</w:t>
            </w:r>
            <w:proofErr w:type="spellEnd"/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przyjętą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praktyką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kliniczną.</w:t>
            </w:r>
          </w:p>
          <w:p w14:paraId="0A9DF977" w14:textId="44EAB421" w:rsidR="00E1797F" w:rsidRPr="00EF502D" w:rsidRDefault="00E1797F" w:rsidP="00EF502D">
            <w:pPr>
              <w:spacing w:after="60" w:line="276" w:lineRule="auto"/>
              <w:ind w:right="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Dopuszczalne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zmniejszenie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wymienionych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poniżej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dawek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aktualną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ChPL</w:t>
            </w:r>
            <w:proofErr w:type="spellEnd"/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poszczególnych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leków.</w:t>
            </w:r>
          </w:p>
          <w:p w14:paraId="4352E91A" w14:textId="77777777" w:rsidR="00E1797F" w:rsidRPr="001F0A66" w:rsidRDefault="00E1797F" w:rsidP="001F0A66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5EC561E3" w14:textId="2C895E18" w:rsidR="00E1797F" w:rsidRPr="001F0A66" w:rsidRDefault="00E1797F" w:rsidP="00BA4579">
            <w:pPr>
              <w:pStyle w:val="Akapitzlist"/>
              <w:numPr>
                <w:ilvl w:val="1"/>
                <w:numId w:val="14"/>
              </w:numPr>
              <w:spacing w:after="60" w:line="276" w:lineRule="auto"/>
              <w:ind w:right="25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F0A66">
              <w:rPr>
                <w:rFonts w:ascii="Times New Roman" w:hAnsi="Times New Roman" w:cs="Times New Roman"/>
                <w:b/>
                <w:sz w:val="20"/>
                <w:szCs w:val="20"/>
              </w:rPr>
              <w:t>Kabozantynib</w:t>
            </w:r>
            <w:proofErr w:type="spellEnd"/>
          </w:p>
          <w:p w14:paraId="55491A54" w14:textId="412DCA1D" w:rsidR="00E1797F" w:rsidRPr="00BA4579" w:rsidRDefault="00E1797F" w:rsidP="00BA4579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BA457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Kabozantynib</w:t>
            </w:r>
            <w:proofErr w:type="spellEnd"/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stosowany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dobowej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dawce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60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bez</w:t>
            </w:r>
            <w:r w:rsidR="00FA4C3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A457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przerw.</w:t>
            </w:r>
          </w:p>
          <w:p w14:paraId="7083F2B0" w14:textId="77777777" w:rsidR="00E1797F" w:rsidRPr="001F0A66" w:rsidRDefault="00E1797F" w:rsidP="001F0A66">
            <w:pPr>
              <w:pStyle w:val="Akapitzlist"/>
              <w:spacing w:after="60" w:line="276" w:lineRule="auto"/>
              <w:ind w:left="227" w:right="25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2328A" w14:textId="76C0ECD3" w:rsidR="00E1797F" w:rsidRPr="001F0A66" w:rsidRDefault="00E1797F" w:rsidP="00BA4579">
            <w:pPr>
              <w:pStyle w:val="Akapitzlist"/>
              <w:numPr>
                <w:ilvl w:val="0"/>
                <w:numId w:val="15"/>
              </w:numPr>
              <w:suppressAutoHyphens/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</w:t>
            </w:r>
            <w:r w:rsidR="00FA4C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przy</w:t>
            </w:r>
            <w:r w:rsidR="00FA4C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  <w:r w:rsidR="00FA4C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  <w:r w:rsidR="00FA4C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  <w:r w:rsidR="00FA4C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F0A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kabozantynibem</w:t>
            </w:r>
            <w:proofErr w:type="spellEnd"/>
          </w:p>
          <w:p w14:paraId="1C59A17D" w14:textId="44E0FAF9" w:rsidR="00E1797F" w:rsidRPr="001F0A66" w:rsidRDefault="00E1797F" w:rsidP="00BA4579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histologiczne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potwierdzenie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zróżnicowanego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raka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tarczycy,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tj.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brodawkowatego,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pęcherzykowego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onkocytarnego</w:t>
            </w:r>
            <w:proofErr w:type="spellEnd"/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;</w:t>
            </w:r>
          </w:p>
          <w:p w14:paraId="35950B95" w14:textId="5E49CC16" w:rsidR="00E1797F" w:rsidRPr="001F0A66" w:rsidRDefault="00E1797F" w:rsidP="00BA4579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morfologia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krwi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z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rozmazem;</w:t>
            </w:r>
          </w:p>
          <w:p w14:paraId="31EA1E6F" w14:textId="6C66A588" w:rsidR="00E1797F" w:rsidRPr="001F0A66" w:rsidRDefault="00E1797F" w:rsidP="00BA4579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oznaczenie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stężenia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hemoglobiny;</w:t>
            </w:r>
          </w:p>
          <w:p w14:paraId="7D9E50DA" w14:textId="69AB8112" w:rsidR="00E1797F" w:rsidRPr="001F0A66" w:rsidRDefault="00E1797F" w:rsidP="00BA4579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oznaczenie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stężenia:</w:t>
            </w:r>
          </w:p>
          <w:p w14:paraId="3D90B4CE" w14:textId="3FBED754" w:rsidR="00E1797F" w:rsidRPr="001F0A66" w:rsidRDefault="00E1797F" w:rsidP="00BA4579">
            <w:pPr>
              <w:pStyle w:val="Akapitzlist"/>
              <w:numPr>
                <w:ilvl w:val="4"/>
                <w:numId w:val="15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surowicy,</w:t>
            </w:r>
          </w:p>
          <w:p w14:paraId="7375152E" w14:textId="77777777" w:rsidR="00E1797F" w:rsidRPr="001F0A66" w:rsidRDefault="00E1797F" w:rsidP="00BA4579">
            <w:pPr>
              <w:pStyle w:val="Akapitzlist"/>
              <w:numPr>
                <w:ilvl w:val="4"/>
                <w:numId w:val="15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kreatyniny;</w:t>
            </w:r>
          </w:p>
          <w:p w14:paraId="6DBA7773" w14:textId="4E75BACC" w:rsidR="00E1797F" w:rsidRPr="001F0A66" w:rsidRDefault="00E1797F" w:rsidP="00BA4579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oznaczenie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aktywności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transaminaz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AspAT</w:t>
            </w:r>
            <w:proofErr w:type="spellEnd"/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,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AlAT</w:t>
            </w:r>
            <w:proofErr w:type="spellEnd"/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oraz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fosfatazy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alkalicznej;</w:t>
            </w:r>
          </w:p>
          <w:p w14:paraId="25856CCB" w14:textId="3BD0DA74" w:rsidR="00E1797F" w:rsidRPr="001F0A66" w:rsidRDefault="00E1797F" w:rsidP="00BA4579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białka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moczu;</w:t>
            </w:r>
          </w:p>
          <w:p w14:paraId="0AAB5E86" w14:textId="5DE54A9A" w:rsidR="00E1797F" w:rsidRPr="001F0A66" w:rsidRDefault="00E1797F" w:rsidP="00BA4579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test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ciążowy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u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kobiet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w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wieku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rozrodczym;</w:t>
            </w:r>
          </w:p>
          <w:p w14:paraId="6B55E5B0" w14:textId="068FFB58" w:rsidR="00E1797F" w:rsidRPr="001F0A66" w:rsidRDefault="00E1797F" w:rsidP="00BA4579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scyntygrafia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kości;</w:t>
            </w:r>
          </w:p>
          <w:p w14:paraId="595974D1" w14:textId="71A1E9D8" w:rsidR="00E1797F" w:rsidRPr="001F0A66" w:rsidRDefault="00E1797F" w:rsidP="00BA4579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MR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A50449"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lub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CF4312"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KT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jamy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brzusznej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i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miednicy;</w:t>
            </w:r>
          </w:p>
          <w:p w14:paraId="57E354B5" w14:textId="1C5327BA" w:rsidR="00E1797F" w:rsidRPr="001F0A66" w:rsidRDefault="00CF4312" w:rsidP="00BA4579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RTG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1797F"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lub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KT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1797F"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klatki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1797F"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piersiowej;</w:t>
            </w:r>
          </w:p>
          <w:p w14:paraId="47359B57" w14:textId="3A3F522F" w:rsidR="00E1797F" w:rsidRPr="001F0A66" w:rsidRDefault="00E1797F" w:rsidP="00BA4579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elektrokardiogram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(EKG);</w:t>
            </w:r>
          </w:p>
          <w:p w14:paraId="6E952E8C" w14:textId="69FFC733" w:rsidR="00E1797F" w:rsidRPr="001F0A66" w:rsidRDefault="00E1797F" w:rsidP="00BA4579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pomiar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ciśnienia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tętniczego;</w:t>
            </w:r>
          </w:p>
          <w:p w14:paraId="6C2797CF" w14:textId="3DC077F8" w:rsidR="00E1797F" w:rsidRPr="001F0A66" w:rsidRDefault="00E1797F" w:rsidP="00BA4579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inne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badania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w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razie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wskazań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klinicznych.</w:t>
            </w:r>
          </w:p>
          <w:p w14:paraId="45F7D038" w14:textId="77777777" w:rsidR="00E1797F" w:rsidRPr="001F0A66" w:rsidRDefault="00E1797F" w:rsidP="001F0A66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FBBD19" w14:textId="037525FC" w:rsidR="00E1797F" w:rsidRPr="001F0A66" w:rsidRDefault="00E1797F" w:rsidP="00BA4579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1F0A6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lastRenderedPageBreak/>
              <w:t>Monitorowanie</w:t>
            </w:r>
            <w:r w:rsidR="00FA4C31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bezpieczeństwa</w:t>
            </w:r>
            <w:r w:rsidR="00FA4C31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i</w:t>
            </w:r>
            <w:r w:rsidR="00FA4C31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skuteczności</w:t>
            </w:r>
            <w:r w:rsidR="00FA4C31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leczenia</w:t>
            </w:r>
            <w:r w:rsidR="00FA4C31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F0A6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kabozantynibem</w:t>
            </w:r>
            <w:proofErr w:type="spellEnd"/>
          </w:p>
          <w:p w14:paraId="2A92503C" w14:textId="563623E0" w:rsidR="00E1797F" w:rsidRPr="001F0A66" w:rsidRDefault="00E1797F" w:rsidP="00BA4579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morfologia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krwi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z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rozmazem;</w:t>
            </w:r>
          </w:p>
          <w:p w14:paraId="4A1CD3B4" w14:textId="668EDAC8" w:rsidR="00E1797F" w:rsidRPr="001F0A66" w:rsidRDefault="00E1797F" w:rsidP="00BA4579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oznaczenie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krwi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stężenia:</w:t>
            </w:r>
          </w:p>
          <w:p w14:paraId="4EF28C49" w14:textId="77777777" w:rsidR="00E1797F" w:rsidRPr="001F0A66" w:rsidRDefault="00E1797F" w:rsidP="00BA4579">
            <w:pPr>
              <w:pStyle w:val="Akapitzlist"/>
              <w:numPr>
                <w:ilvl w:val="4"/>
                <w:numId w:val="15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bilirubiny,</w:t>
            </w:r>
          </w:p>
          <w:p w14:paraId="49FCBBF0" w14:textId="77777777" w:rsidR="00E1797F" w:rsidRPr="001F0A66" w:rsidRDefault="00E1797F" w:rsidP="00BA4579">
            <w:pPr>
              <w:pStyle w:val="Akapitzlist"/>
              <w:numPr>
                <w:ilvl w:val="4"/>
                <w:numId w:val="15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kreatyniny,</w:t>
            </w:r>
          </w:p>
          <w:p w14:paraId="7FC2C3D8" w14:textId="0DA2CE4A" w:rsidR="00E1797F" w:rsidRPr="001F0A66" w:rsidRDefault="00E1797F" w:rsidP="00BA4579">
            <w:pPr>
              <w:pStyle w:val="Akapitzlist"/>
              <w:numPr>
                <w:ilvl w:val="4"/>
                <w:numId w:val="15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transaminaz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AspAT</w:t>
            </w:r>
            <w:proofErr w:type="spellEnd"/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</w:p>
          <w:p w14:paraId="6DE0379E" w14:textId="77777777" w:rsidR="00E1797F" w:rsidRPr="001F0A66" w:rsidRDefault="00E1797F" w:rsidP="00BA4579">
            <w:pPr>
              <w:pStyle w:val="Akapitzlist"/>
              <w:numPr>
                <w:ilvl w:val="4"/>
                <w:numId w:val="15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wapnia,</w:t>
            </w:r>
          </w:p>
          <w:p w14:paraId="4DC295DE" w14:textId="77777777" w:rsidR="00E1797F" w:rsidRPr="001F0A66" w:rsidRDefault="00E1797F" w:rsidP="00BA4579">
            <w:pPr>
              <w:pStyle w:val="Akapitzlist"/>
              <w:numPr>
                <w:ilvl w:val="4"/>
                <w:numId w:val="15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TSH;</w:t>
            </w:r>
          </w:p>
          <w:p w14:paraId="3CFC4E06" w14:textId="653615EC" w:rsidR="00E1797F" w:rsidRPr="001F0A66" w:rsidRDefault="00E1797F" w:rsidP="00BA4579">
            <w:pPr>
              <w:pStyle w:val="Akapitzlist"/>
              <w:numPr>
                <w:ilvl w:val="3"/>
                <w:numId w:val="15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białka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moczu;</w:t>
            </w:r>
          </w:p>
          <w:p w14:paraId="364A16FE" w14:textId="26CA7493" w:rsidR="00E1797F" w:rsidRPr="001F0A66" w:rsidRDefault="00E1797F" w:rsidP="00BA4579">
            <w:pPr>
              <w:pStyle w:val="Akapitzlist"/>
              <w:numPr>
                <w:ilvl w:val="3"/>
                <w:numId w:val="15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fosfatazy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alkalicznej;</w:t>
            </w:r>
          </w:p>
          <w:p w14:paraId="5360EDCE" w14:textId="77777777" w:rsidR="00E1797F" w:rsidRPr="001F0A66" w:rsidRDefault="00E1797F" w:rsidP="00BA4579">
            <w:pPr>
              <w:pStyle w:val="Akapitzlist"/>
              <w:numPr>
                <w:ilvl w:val="3"/>
                <w:numId w:val="15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EKG;</w:t>
            </w:r>
          </w:p>
          <w:p w14:paraId="488FE861" w14:textId="7D8EC6ED" w:rsidR="00E1797F" w:rsidRPr="001F0A66" w:rsidRDefault="00CF4312" w:rsidP="00BA4579">
            <w:pPr>
              <w:pStyle w:val="Akapitzlist"/>
              <w:numPr>
                <w:ilvl w:val="3"/>
                <w:numId w:val="15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A50449" w:rsidRPr="001F0A66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797F" w:rsidRPr="001F0A6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0449" w:rsidRPr="001F0A66">
              <w:rPr>
                <w:rFonts w:ascii="Times New Roman" w:hAnsi="Times New Roman" w:cs="Times New Roman"/>
                <w:sz w:val="20"/>
                <w:szCs w:val="20"/>
              </w:rPr>
              <w:t>MR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797F" w:rsidRPr="001F0A66">
              <w:rPr>
                <w:rFonts w:ascii="Times New Roman" w:hAnsi="Times New Roman" w:cs="Times New Roman"/>
                <w:sz w:val="20"/>
                <w:szCs w:val="20"/>
              </w:rPr>
              <w:t>odpowiedniego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797F" w:rsidRPr="001F0A66">
              <w:rPr>
                <w:rFonts w:ascii="Times New Roman" w:hAnsi="Times New Roman" w:cs="Times New Roman"/>
                <w:sz w:val="20"/>
                <w:szCs w:val="20"/>
              </w:rPr>
              <w:t>obszaru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797F" w:rsidRPr="001F0A66">
              <w:rPr>
                <w:rFonts w:ascii="Times New Roman" w:hAnsi="Times New Roman" w:cs="Times New Roman"/>
                <w:sz w:val="20"/>
                <w:szCs w:val="20"/>
              </w:rPr>
              <w:t>ciała;</w:t>
            </w:r>
          </w:p>
          <w:p w14:paraId="53D2A455" w14:textId="7B9202FC" w:rsidR="00E1797F" w:rsidRPr="001F0A66" w:rsidRDefault="00E1797F" w:rsidP="00BA4579">
            <w:pPr>
              <w:pStyle w:val="Akapitzlist"/>
              <w:numPr>
                <w:ilvl w:val="3"/>
                <w:numId w:val="15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inne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razie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wskazań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0A66">
              <w:rPr>
                <w:rFonts w:ascii="Times New Roman" w:hAnsi="Times New Roman" w:cs="Times New Roman"/>
                <w:sz w:val="20"/>
                <w:szCs w:val="20"/>
              </w:rPr>
              <w:t>klinicznych.</w:t>
            </w:r>
          </w:p>
          <w:p w14:paraId="52F73B93" w14:textId="77777777" w:rsidR="00E1797F" w:rsidRPr="001F0A66" w:rsidRDefault="00E1797F" w:rsidP="001F0A6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B5696A" w14:textId="6DA483DB" w:rsidR="00E1797F" w:rsidRDefault="00E1797F" w:rsidP="00BA457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laboratoryjne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ocenę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stanu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klinicznego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wykonuje</w:t>
            </w:r>
            <w:r w:rsidR="00FA4C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1006A7"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co</w:t>
            </w:r>
            <w:r w:rsid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1006A7"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  <w:r w:rsid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1006A7" w:rsidRPr="001F0A66">
              <w:rPr>
                <w:rFonts w:ascii="Times New Roman" w:eastAsia="Calibri" w:hAnsi="Times New Roman" w:cs="Times New Roman"/>
                <w:sz w:val="20"/>
                <w:szCs w:val="20"/>
              </w:rPr>
              <w:t>tygodnie</w:t>
            </w:r>
            <w:r w:rsidR="001006A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FA75D26" w14:textId="77777777" w:rsidR="00BA4579" w:rsidRPr="00BA4579" w:rsidRDefault="00BA4579" w:rsidP="00BA457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8A799E5" w14:textId="77777777" w:rsidR="0036709C" w:rsidRDefault="00E1797F" w:rsidP="001006A7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Badania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obrazowe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(monitorowanie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skuteczności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leczenia)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wykonuje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się</w:t>
            </w:r>
            <w:r w:rsid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nie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rzadziej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niż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co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tygodni,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a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w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przypadku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prowadzenia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leczenia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dłużej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niż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przez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lata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badania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obrazowe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mogą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być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wykonywane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co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miesięcy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lub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w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przypadku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wystąpienia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objawów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klinicznych</w:t>
            </w:r>
            <w:r w:rsidR="001006A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361AABED" w14:textId="46013DAB" w:rsidR="00E1797F" w:rsidRPr="001006A7" w:rsidRDefault="001006A7" w:rsidP="001006A7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</w:t>
            </w:r>
            <w:r w:rsidR="00E1797F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onadto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1797F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badania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1797F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należy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1797F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wykonać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1797F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w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1797F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chwili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1797F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podjęcia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1797F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decyzji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1797F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o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1797F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wyłączeniu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1797F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z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1797F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programu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1797F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z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1797F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powodu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1797F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innego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1797F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niż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1797F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progresja</w:t>
            </w:r>
            <w:r w:rsidR="00FA4C31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1797F" w:rsidRPr="001006A7">
              <w:rPr>
                <w:rFonts w:ascii="Times New Roman" w:eastAsia="Calibri" w:hAnsi="Times New Roman" w:cs="Times New Roman"/>
                <w:sz w:val="20"/>
                <w:szCs w:val="20"/>
              </w:rPr>
              <w:t>choroby.</w:t>
            </w:r>
          </w:p>
          <w:p w14:paraId="384279F1" w14:textId="77777777" w:rsidR="00E1797F" w:rsidRPr="00BA4579" w:rsidRDefault="00E1797F" w:rsidP="00BA457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94CDA08" w14:textId="09BFC559" w:rsidR="00E1797F" w:rsidRPr="00BA4579" w:rsidRDefault="00E1797F" w:rsidP="00BA4579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BA457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Monitorowanie</w:t>
            </w:r>
            <w:r w:rsidR="00FA4C31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programu</w:t>
            </w:r>
          </w:p>
          <w:p w14:paraId="445549AF" w14:textId="300BD655" w:rsidR="00E1797F" w:rsidRPr="00BA4579" w:rsidRDefault="00E1797F" w:rsidP="00BA4579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gromadzenie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w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dokumentacji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medycznej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pacjenta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danych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dotyczących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monitorowania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leczenia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i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każdorazowe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ich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przedstawianie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na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żądanie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kontrolerów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Narodowego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Funduszu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Zdrowia;</w:t>
            </w:r>
          </w:p>
          <w:p w14:paraId="16F8A42E" w14:textId="06E21A4F" w:rsidR="00E1797F" w:rsidRPr="00BA4579" w:rsidRDefault="00E1797F" w:rsidP="00BA4579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uzupełnianie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danych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zawartych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w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elektronicznym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systemie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monitorowania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programów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lekowych,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w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tym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również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parametrów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dotyczących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skuteczności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leczenia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(całkowita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(CR)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lub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częściowa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odpowiedz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(PR),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stabilizacja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(SD)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lub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progresja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choroby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(PD)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oraz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czas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do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progresji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(PFS)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i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całkowite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przeżycie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(OS)),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dostępnym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za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pomocą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aplikacji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internetowej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udostępnionej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przez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OW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NFZ,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z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częstotliwością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zgodną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z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opisem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programu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oraz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na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zakończenie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leczenia;</w:t>
            </w:r>
          </w:p>
          <w:p w14:paraId="5BBF37E0" w14:textId="1ECAF7D5" w:rsidR="00E1797F" w:rsidRPr="001F0A66" w:rsidRDefault="00E1797F" w:rsidP="00BA4579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przekazywanie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informacji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sprawozdawczo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-rozliczeniowych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do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NFZ: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informacje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przekazuje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się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do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NFZ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w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formie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papierowej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lub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w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formie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elektronicznej,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zgodnie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z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wymaganiami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opublikowanymi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przez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Narodowy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Fundusz</w:t>
            </w:r>
            <w:r w:rsidR="00FA4C3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A4579">
              <w:rPr>
                <w:rFonts w:ascii="Times New Roman" w:eastAsia="Calibri" w:hAnsi="Times New Roman" w:cs="Times New Roman"/>
                <w:sz w:val="20"/>
                <w:szCs w:val="20"/>
              </w:rPr>
              <w:t>Zdrowia.</w:t>
            </w:r>
          </w:p>
        </w:tc>
      </w:tr>
    </w:tbl>
    <w:p w14:paraId="0E117708" w14:textId="77777777" w:rsidR="00CF4312" w:rsidRPr="00F30E39" w:rsidRDefault="00CF4312">
      <w:pPr>
        <w:rPr>
          <w:rFonts w:ascii="Lato" w:hAnsi="Lato"/>
        </w:rPr>
      </w:pPr>
    </w:p>
    <w:sectPr w:rsidR="00CF4312" w:rsidRPr="00F30E39" w:rsidSect="00FF27FA">
      <w:pgSz w:w="16840" w:h="11907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EE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3B87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" w15:restartNumberingAfterBreak="0">
    <w:nsid w:val="14DE2E55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" w15:restartNumberingAfterBreak="0">
    <w:nsid w:val="16B67220"/>
    <w:multiLevelType w:val="multilevel"/>
    <w:tmpl w:val="BDCCB13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" w15:restartNumberingAfterBreak="0">
    <w:nsid w:val="250A2D5B"/>
    <w:multiLevelType w:val="multilevel"/>
    <w:tmpl w:val="2252FC3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4" w15:restartNumberingAfterBreak="0">
    <w:nsid w:val="2BA511E3"/>
    <w:multiLevelType w:val="hybridMultilevel"/>
    <w:tmpl w:val="28EC3050"/>
    <w:lvl w:ilvl="0" w:tplc="E85255B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60E47"/>
    <w:multiLevelType w:val="multilevel"/>
    <w:tmpl w:val="0642735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41580870"/>
    <w:multiLevelType w:val="hybridMultilevel"/>
    <w:tmpl w:val="5D2CD1A8"/>
    <w:lvl w:ilvl="0" w:tplc="B516A732">
      <w:start w:val="1"/>
      <w:numFmt w:val="decimal"/>
      <w:lvlText w:val="%1)"/>
      <w:lvlJc w:val="left"/>
      <w:pPr>
        <w:ind w:left="-708" w:hanging="360"/>
      </w:pPr>
      <w:rPr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12" w:hanging="360"/>
      </w:pPr>
    </w:lvl>
    <w:lvl w:ilvl="2" w:tplc="0415001B">
      <w:start w:val="1"/>
      <w:numFmt w:val="lowerRoman"/>
      <w:lvlText w:val="%3."/>
      <w:lvlJc w:val="right"/>
      <w:pPr>
        <w:ind w:left="732" w:hanging="180"/>
      </w:pPr>
    </w:lvl>
    <w:lvl w:ilvl="3" w:tplc="0415000F">
      <w:start w:val="1"/>
      <w:numFmt w:val="decimal"/>
      <w:lvlText w:val="%4."/>
      <w:lvlJc w:val="left"/>
      <w:pPr>
        <w:ind w:left="1452" w:hanging="360"/>
      </w:pPr>
    </w:lvl>
    <w:lvl w:ilvl="4" w:tplc="04150019" w:tentative="1">
      <w:start w:val="1"/>
      <w:numFmt w:val="lowerLetter"/>
      <w:lvlText w:val="%5."/>
      <w:lvlJc w:val="left"/>
      <w:pPr>
        <w:ind w:left="2172" w:hanging="360"/>
      </w:pPr>
    </w:lvl>
    <w:lvl w:ilvl="5" w:tplc="0415001B" w:tentative="1">
      <w:start w:val="1"/>
      <w:numFmt w:val="lowerRoman"/>
      <w:lvlText w:val="%6."/>
      <w:lvlJc w:val="right"/>
      <w:pPr>
        <w:ind w:left="2892" w:hanging="180"/>
      </w:pPr>
    </w:lvl>
    <w:lvl w:ilvl="6" w:tplc="0415000F" w:tentative="1">
      <w:start w:val="1"/>
      <w:numFmt w:val="decimal"/>
      <w:lvlText w:val="%7."/>
      <w:lvlJc w:val="left"/>
      <w:pPr>
        <w:ind w:left="3612" w:hanging="360"/>
      </w:pPr>
    </w:lvl>
    <w:lvl w:ilvl="7" w:tplc="04150019" w:tentative="1">
      <w:start w:val="1"/>
      <w:numFmt w:val="lowerLetter"/>
      <w:lvlText w:val="%8."/>
      <w:lvlJc w:val="left"/>
      <w:pPr>
        <w:ind w:left="4332" w:hanging="360"/>
      </w:pPr>
    </w:lvl>
    <w:lvl w:ilvl="8" w:tplc="0415001B" w:tentative="1">
      <w:start w:val="1"/>
      <w:numFmt w:val="lowerRoman"/>
      <w:lvlText w:val="%9."/>
      <w:lvlJc w:val="right"/>
      <w:pPr>
        <w:ind w:left="5052" w:hanging="180"/>
      </w:pPr>
    </w:lvl>
  </w:abstractNum>
  <w:abstractNum w:abstractNumId="7" w15:restartNumberingAfterBreak="0">
    <w:nsid w:val="467671BA"/>
    <w:multiLevelType w:val="multilevel"/>
    <w:tmpl w:val="0642735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48646A38"/>
    <w:multiLevelType w:val="multilevel"/>
    <w:tmpl w:val="9A5894D0"/>
    <w:lvl w:ilvl="0">
      <w:start w:val="3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4B33227B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0" w15:restartNumberingAfterBreak="0">
    <w:nsid w:val="52607F0F"/>
    <w:multiLevelType w:val="hybridMultilevel"/>
    <w:tmpl w:val="DDD017A0"/>
    <w:lvl w:ilvl="0" w:tplc="07C0B9E4">
      <w:start w:val="1"/>
      <w:numFmt w:val="bullet"/>
      <w:lvlText w:val=""/>
      <w:lvlJc w:val="left"/>
      <w:pPr>
        <w:ind w:left="94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541C7047"/>
    <w:multiLevelType w:val="multilevel"/>
    <w:tmpl w:val="A37E85A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5E720431"/>
    <w:multiLevelType w:val="multilevel"/>
    <w:tmpl w:val="BDCCB13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3" w15:restartNumberingAfterBreak="0">
    <w:nsid w:val="63712BEE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4" w15:restartNumberingAfterBreak="0">
    <w:nsid w:val="683F1767"/>
    <w:multiLevelType w:val="multilevel"/>
    <w:tmpl w:val="E83E56A2"/>
    <w:lvl w:ilvl="0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cstheme="minorBid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cstheme="minorBidi" w:hint="default"/>
      </w:rPr>
    </w:lvl>
  </w:abstractNum>
  <w:abstractNum w:abstractNumId="15" w15:restartNumberingAfterBreak="0">
    <w:nsid w:val="6AA517AD"/>
    <w:multiLevelType w:val="multilevel"/>
    <w:tmpl w:val="FCA04CD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</w:lvl>
    <w:lvl w:ilvl="3">
      <w:start w:val="1"/>
      <w:numFmt w:val="decimal"/>
      <w:lvlText w:val="%4)"/>
      <w:lvlJc w:val="left"/>
      <w:pPr>
        <w:ind w:left="700" w:hanging="360"/>
      </w:pPr>
      <w:rPr>
        <w:b w:val="0"/>
        <w:bCs w:val="0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6" w15:restartNumberingAfterBreak="0">
    <w:nsid w:val="6E4172F9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7" w15:restartNumberingAfterBreak="0">
    <w:nsid w:val="760D2A53"/>
    <w:multiLevelType w:val="multilevel"/>
    <w:tmpl w:val="0642735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24907218">
    <w:abstractNumId w:val="7"/>
  </w:num>
  <w:num w:numId="2" w16cid:durableId="630936203">
    <w:abstractNumId w:val="11"/>
  </w:num>
  <w:num w:numId="3" w16cid:durableId="1142040693">
    <w:abstractNumId w:val="17"/>
  </w:num>
  <w:num w:numId="4" w16cid:durableId="59407267">
    <w:abstractNumId w:val="15"/>
  </w:num>
  <w:num w:numId="5" w16cid:durableId="1498768499">
    <w:abstractNumId w:val="10"/>
  </w:num>
  <w:num w:numId="6" w16cid:durableId="1592005242">
    <w:abstractNumId w:val="8"/>
  </w:num>
  <w:num w:numId="7" w16cid:durableId="195894354">
    <w:abstractNumId w:val="5"/>
  </w:num>
  <w:num w:numId="8" w16cid:durableId="10426293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92898252">
    <w:abstractNumId w:val="6"/>
  </w:num>
  <w:num w:numId="10" w16cid:durableId="2062633551">
    <w:abstractNumId w:val="4"/>
  </w:num>
  <w:num w:numId="11" w16cid:durableId="1491210484">
    <w:abstractNumId w:val="1"/>
  </w:num>
  <w:num w:numId="12" w16cid:durableId="1944610571">
    <w:abstractNumId w:val="14"/>
  </w:num>
  <w:num w:numId="13" w16cid:durableId="138572882">
    <w:abstractNumId w:val="9"/>
  </w:num>
  <w:num w:numId="14" w16cid:durableId="2124421621">
    <w:abstractNumId w:val="16"/>
  </w:num>
  <w:num w:numId="15" w16cid:durableId="33043940">
    <w:abstractNumId w:val="2"/>
  </w:num>
  <w:num w:numId="16" w16cid:durableId="1654875025">
    <w:abstractNumId w:val="0"/>
  </w:num>
  <w:num w:numId="17" w16cid:durableId="843318910">
    <w:abstractNumId w:val="3"/>
  </w:num>
  <w:num w:numId="18" w16cid:durableId="1983993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97F"/>
    <w:rsid w:val="00071C48"/>
    <w:rsid w:val="000F68ED"/>
    <w:rsid w:val="001006A7"/>
    <w:rsid w:val="001F0A66"/>
    <w:rsid w:val="002418F4"/>
    <w:rsid w:val="0036709C"/>
    <w:rsid w:val="003E349B"/>
    <w:rsid w:val="00422B3B"/>
    <w:rsid w:val="004A2DD1"/>
    <w:rsid w:val="004D291F"/>
    <w:rsid w:val="00521326"/>
    <w:rsid w:val="005341FB"/>
    <w:rsid w:val="00634048"/>
    <w:rsid w:val="007510F2"/>
    <w:rsid w:val="00792A18"/>
    <w:rsid w:val="00826C22"/>
    <w:rsid w:val="009A574B"/>
    <w:rsid w:val="00A50449"/>
    <w:rsid w:val="00A77330"/>
    <w:rsid w:val="00AA5E03"/>
    <w:rsid w:val="00BA4579"/>
    <w:rsid w:val="00C60B14"/>
    <w:rsid w:val="00CF4312"/>
    <w:rsid w:val="00D03C48"/>
    <w:rsid w:val="00D810EB"/>
    <w:rsid w:val="00DA66A0"/>
    <w:rsid w:val="00DE1124"/>
    <w:rsid w:val="00E12BA1"/>
    <w:rsid w:val="00E1797F"/>
    <w:rsid w:val="00EF502D"/>
    <w:rsid w:val="00F30E39"/>
    <w:rsid w:val="00F942F3"/>
    <w:rsid w:val="00FA4C31"/>
    <w:rsid w:val="00FD5F4E"/>
    <w:rsid w:val="00F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1485"/>
  <w15:chartTrackingRefBased/>
  <w15:docId w15:val="{212AF1B2-2B2C-46F4-B5CA-7B0AA4EB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1797F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Styl moj,Akapit z listą11,List Paragraph"/>
    <w:basedOn w:val="Normalny"/>
    <w:link w:val="AkapitzlistZnak"/>
    <w:uiPriority w:val="34"/>
    <w:qFormat/>
    <w:rsid w:val="00E1797F"/>
    <w:pPr>
      <w:ind w:left="720"/>
      <w:contextualSpacing/>
    </w:pPr>
  </w:style>
  <w:style w:type="character" w:customStyle="1" w:styleId="AkapitzlistZnak">
    <w:name w:val="Akapit z listą Znak"/>
    <w:aliases w:val="Styl moj Znak,Akapit z listą11 Znak,List Paragraph Znak"/>
    <w:basedOn w:val="Domylnaczcionkaakapitu"/>
    <w:link w:val="Akapitzlist"/>
    <w:uiPriority w:val="34"/>
    <w:locked/>
    <w:rsid w:val="00E1797F"/>
    <w:rPr>
      <w:kern w:val="0"/>
      <w14:ligatures w14:val="none"/>
    </w:rPr>
  </w:style>
  <w:style w:type="paragraph" w:styleId="Poprawka">
    <w:name w:val="Revision"/>
    <w:hidden/>
    <w:uiPriority w:val="99"/>
    <w:semiHidden/>
    <w:rsid w:val="00A50449"/>
    <w:pPr>
      <w:spacing w:after="0" w:line="240" w:lineRule="auto"/>
    </w:pPr>
    <w:rPr>
      <w:kern w:val="0"/>
      <w14:ligatures w14:val="non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418F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2418F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2418F4"/>
    <w:rPr>
      <w:kern w:val="0"/>
      <w:sz w:val="20"/>
      <w:szCs w:val="20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418F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418F4"/>
    <w:rPr>
      <w:b/>
      <w:bCs/>
      <w:kern w:val="0"/>
      <w:sz w:val="20"/>
      <w:szCs w:val="20"/>
      <w14:ligatures w14:val="non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81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10EB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1052c5-12a0-4c27-bedc-7393c5701b4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ECAFDC5CB17A4097EBE3B5694D46A9" ma:contentTypeVersion="12" ma:contentTypeDescription="Utwórz nowy dokument." ma:contentTypeScope="" ma:versionID="3d21d10d64ce3ff2ce69ca90c18147fe">
  <xsd:schema xmlns:xsd="http://www.w3.org/2001/XMLSchema" xmlns:xs="http://www.w3.org/2001/XMLSchema" xmlns:p="http://schemas.microsoft.com/office/2006/metadata/properties" xmlns:ns3="b31052c5-12a0-4c27-bedc-7393c5701b41" xmlns:ns4="ef972c8d-2ab0-46d9-84b7-3e9511fb8ac1" targetNamespace="http://schemas.microsoft.com/office/2006/metadata/properties" ma:root="true" ma:fieldsID="5f96bedecc9fd025dcac1589a1b2f2e1" ns3:_="" ns4:_="">
    <xsd:import namespace="b31052c5-12a0-4c27-bedc-7393c5701b41"/>
    <xsd:import namespace="ef972c8d-2ab0-46d9-84b7-3e9511fb8a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052c5-12a0-4c27-bedc-7393c5701b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72c8d-2ab0-46d9-84b7-3e9511fb8a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AA34C6-4F75-4699-B580-409AEC1FD7FF}">
  <ds:schemaRefs>
    <ds:schemaRef ds:uri="http://www.w3.org/XML/1998/namespace"/>
    <ds:schemaRef ds:uri="http://schemas.microsoft.com/office/2006/documentManagement/types"/>
    <ds:schemaRef ds:uri="http://purl.org/dc/elements/1.1/"/>
    <ds:schemaRef ds:uri="b31052c5-12a0-4c27-bedc-7393c5701b41"/>
    <ds:schemaRef ds:uri="http://purl.org/dc/terms/"/>
    <ds:schemaRef ds:uri="http://schemas.microsoft.com/office/infopath/2007/PartnerControls"/>
    <ds:schemaRef ds:uri="http://schemas.microsoft.com/office/2006/metadata/properties"/>
    <ds:schemaRef ds:uri="ef972c8d-2ab0-46d9-84b7-3e9511fb8ac1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53FF884-20C9-48E0-BC6C-B8FF98C413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51D61D-227D-47B8-A9AA-1F198A1CD3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1052c5-12a0-4c27-bedc-7393c5701b41"/>
    <ds:schemaRef ds:uri="ef972c8d-2ab0-46d9-84b7-3e9511fb8a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929</Words>
  <Characters>5576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Klimkowska Katarzyna</dc:creator>
  <cp:keywords/>
  <dc:description/>
  <cp:lastModifiedBy>Wilk Justyna</cp:lastModifiedBy>
  <cp:revision>4</cp:revision>
  <dcterms:created xsi:type="dcterms:W3CDTF">2025-02-27T17:32:00Z</dcterms:created>
  <dcterms:modified xsi:type="dcterms:W3CDTF">2025-02-27T17:37:00Z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0x01010084ECAFDC5CB17A4097EBE3B5694D46A9</vt:lpwstr>
  </property>
</Properties>
</file>