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0F8B" w14:textId="51679456" w:rsidR="006332C7" w:rsidRDefault="006332C7" w:rsidP="006332C7">
      <w:pPr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Załącznik</w:t>
      </w:r>
      <w:r w:rsidR="00D141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B.121</w:t>
      </w:r>
      <w:r w:rsidRPr="00483B61">
        <w:rPr>
          <w:rFonts w:ascii="Times New Roman" w:hAnsi="Times New Roman"/>
        </w:rPr>
        <w:t>.</w:t>
      </w:r>
    </w:p>
    <w:p w14:paraId="5932D007" w14:textId="77777777" w:rsidR="006332C7" w:rsidRDefault="006332C7" w:rsidP="006332C7">
      <w:pPr>
        <w:spacing w:before="0" w:after="0" w:line="240" w:lineRule="auto"/>
        <w:rPr>
          <w:rFonts w:ascii="Times New Roman" w:hAnsi="Times New Roman"/>
        </w:rPr>
      </w:pPr>
    </w:p>
    <w:p w14:paraId="59A8E68A" w14:textId="79DA67E4" w:rsidR="004578FD" w:rsidRPr="006332C7" w:rsidRDefault="006332C7" w:rsidP="006332C7">
      <w:pPr>
        <w:spacing w:before="0" w:after="240" w:line="240" w:lineRule="auto"/>
        <w:rPr>
          <w:rFonts w:ascii="Times New Roman" w:hAnsi="Times New Roman"/>
          <w:sz w:val="28"/>
          <w:szCs w:val="28"/>
        </w:rPr>
      </w:pPr>
      <w:bookmarkStart w:id="0" w:name="_Hlk80001131"/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LECZENIE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AMIFAMPRYDYNĄ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="00F245CA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PACJENTÓW Z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ZESPO</w:t>
      </w:r>
      <w:r w:rsidR="00F245CA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ŁEM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MIASTENICZNYM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LAMBERTA-EATONA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(ICD-10:</w:t>
      </w:r>
      <w:r w:rsidR="00D1411C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G73.1</w:t>
      </w:r>
      <w:r w:rsidRPr="00605C33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129"/>
        <w:gridCol w:w="5128"/>
        <w:gridCol w:w="5125"/>
      </w:tblGrid>
      <w:tr w:rsidR="004578FD" w14:paraId="21CF0364" w14:textId="77777777" w:rsidTr="00D1411C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bookmarkEnd w:id="0"/>
          <w:p w14:paraId="3FA115D3" w14:textId="214E6C61" w:rsidR="004578FD" w:rsidRDefault="004578FD" w:rsidP="00D1411C">
            <w:pPr>
              <w:widowControl w:val="0"/>
              <w:spacing w:before="0" w:after="0" w:line="240" w:lineRule="auto"/>
              <w:ind w:left="-12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pacing w:val="-3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="00D1411C">
              <w:rPr>
                <w:rFonts w:ascii="Times New Roman" w:eastAsia="Times New Roman" w:hAnsi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ŚWIADCZENIA</w:t>
            </w:r>
            <w:r w:rsidR="00D1411C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GWARANTOWANEGO</w:t>
            </w:r>
          </w:p>
        </w:tc>
      </w:tr>
      <w:tr w:rsidR="004578FD" w14:paraId="2911A2B7" w14:textId="77777777" w:rsidTr="002266AC">
        <w:trPr>
          <w:trHeight w:val="567"/>
        </w:trPr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1CE99" w14:textId="77777777" w:rsidR="004578FD" w:rsidRDefault="004578FD" w:rsidP="00D1411C">
            <w:pPr>
              <w:widowControl w:val="0"/>
              <w:spacing w:before="0" w:after="0" w:line="240" w:lineRule="auto"/>
              <w:ind w:right="-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ŚW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NIO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CY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910F" w14:textId="76B3C96D" w:rsidR="004578FD" w:rsidRDefault="004578FD" w:rsidP="00D1411C">
            <w:pPr>
              <w:widowControl w:val="0"/>
              <w:spacing w:before="0" w:after="0" w:line="240" w:lineRule="auto"/>
              <w:ind w:right="-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AT</w:t>
            </w:r>
            <w:r w:rsidR="00D1411C">
              <w:rPr>
                <w:rFonts w:ascii="Times New Roman" w:eastAsia="Times New Roman" w:hAnsi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DAW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WA</w:t>
            </w:r>
            <w:r>
              <w:rPr>
                <w:rFonts w:ascii="Times New Roman" w:eastAsia="Times New Roman" w:hAnsi="Times New Roman"/>
                <w:b/>
                <w:bCs/>
                <w:spacing w:val="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</w:t>
            </w:r>
            <w:r w:rsidR="00D1411C">
              <w:rPr>
                <w:rFonts w:ascii="Times New Roman" w:eastAsia="Times New Roman" w:hAnsi="Times New Roman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KÓ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 w:rsidR="002266AC">
              <w:rPr>
                <w:rFonts w:ascii="Times New Roman" w:eastAsia="Times New Roman" w:hAnsi="Times New Roman"/>
                <w:b/>
                <w:bCs/>
                <w:spacing w:val="-8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CBF3E" w14:textId="6A4346CB" w:rsidR="004578FD" w:rsidRDefault="004578FD" w:rsidP="00D1411C">
            <w:pPr>
              <w:widowControl w:val="0"/>
              <w:spacing w:before="0" w:after="0" w:line="240" w:lineRule="auto"/>
              <w:ind w:left="119" w:right="179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ADAN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</w:t>
            </w:r>
            <w:r w:rsidR="00D1411C">
              <w:rPr>
                <w:rFonts w:ascii="Times New Roman" w:eastAsia="Times New Roman" w:hAnsi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</w:t>
            </w:r>
            <w:r w:rsidR="00D1411C">
              <w:rPr>
                <w:rFonts w:ascii="Times New Roman" w:eastAsia="Times New Roman" w:hAnsi="Times New Roman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WY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NYWA</w:t>
            </w:r>
            <w:r>
              <w:rPr>
                <w:rFonts w:ascii="Times New Roman" w:eastAsia="Times New Roman" w:hAnsi="Times New Roman"/>
                <w:b/>
                <w:bCs/>
                <w:spacing w:val="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</w:t>
            </w:r>
            <w:r w:rsidR="00D1411C">
              <w:rPr>
                <w:rFonts w:ascii="Times New Roman" w:eastAsia="Times New Roman" w:hAnsi="Times New Roman"/>
                <w:b/>
                <w:bCs/>
                <w:spacing w:val="-17"/>
                <w:sz w:val="20"/>
                <w:szCs w:val="20"/>
              </w:rPr>
              <w:t xml:space="preserve"> </w:t>
            </w:r>
            <w:r w:rsidR="002266AC">
              <w:rPr>
                <w:rFonts w:ascii="Times New Roman" w:eastAsia="Times New Roman" w:hAnsi="Times New Roman"/>
                <w:b/>
                <w:bCs/>
                <w:spacing w:val="-17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ACH</w:t>
            </w:r>
            <w:r w:rsidR="00D1411C">
              <w:rPr>
                <w:rFonts w:ascii="Times New Roman" w:eastAsia="Times New Roman" w:hAnsi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U</w:t>
            </w:r>
          </w:p>
        </w:tc>
      </w:tr>
      <w:tr w:rsidR="004578FD" w14:paraId="0361663A" w14:textId="77777777" w:rsidTr="002266AC">
        <w:trPr>
          <w:trHeight w:val="20"/>
        </w:trPr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BFD41" w14:textId="56BB83C3" w:rsidR="004578FD" w:rsidRPr="001114B8" w:rsidRDefault="004578FD" w:rsidP="001114B8">
            <w:pPr>
              <w:spacing w:after="60" w:line="276" w:lineRule="auto"/>
              <w:ind w:right="56"/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</w:pP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Kwalifikacji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świadczeniobiorców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do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terapii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dokonuje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Zespół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Koordynacyjny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ds.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Chorób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Ultrarzadkich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powoływany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przez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Prezesa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Narodowego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Funduszu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Zdrowia.</w:t>
            </w:r>
          </w:p>
          <w:p w14:paraId="0F4F77FD" w14:textId="031CACBF" w:rsidR="004578FD" w:rsidRDefault="004578FD" w:rsidP="001114B8">
            <w:pPr>
              <w:spacing w:before="0" w:after="60" w:line="276" w:lineRule="auto"/>
              <w:ind w:right="56"/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</w:pP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Kwalifikacja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do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programu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oraz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weryfikacja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skuteczności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leczenia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odbywa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się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w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oparciu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ocenę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stanu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klinicznego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świadczeniobiorcy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oraz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ocenę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efektywności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zastosowanej</w:t>
            </w:r>
            <w:r w:rsidR="00D1411C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  <w:t>terapii.</w:t>
            </w:r>
          </w:p>
          <w:p w14:paraId="2D8ED479" w14:textId="77777777" w:rsidR="001114B8" w:rsidRPr="001114B8" w:rsidRDefault="001114B8" w:rsidP="001114B8">
            <w:pPr>
              <w:spacing w:before="0" w:after="60" w:line="276" w:lineRule="auto"/>
              <w:ind w:right="56"/>
              <w:rPr>
                <w:rFonts w:ascii="Times New Roman" w:eastAsia="Times New Roman" w:hAnsi="Times New Roman"/>
                <w:bCs/>
                <w:sz w:val="20"/>
                <w:szCs w:val="20"/>
                <w:lang w:bidi="en-US"/>
              </w:rPr>
            </w:pPr>
          </w:p>
          <w:p w14:paraId="76BAE26C" w14:textId="0B68CB23" w:rsidR="004578FD" w:rsidRPr="006332C7" w:rsidRDefault="004578FD" w:rsidP="001114B8">
            <w:pPr>
              <w:widowControl w:val="0"/>
              <w:numPr>
                <w:ilvl w:val="0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bidi="en-US"/>
              </w:rPr>
            </w:pPr>
            <w:r w:rsidRPr="006332C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bidi="en-US"/>
              </w:rPr>
              <w:t>Kryteria</w:t>
            </w:r>
            <w:r w:rsidR="00D1411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bidi="en-US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bidi="en-US"/>
              </w:rPr>
              <w:t>kwalifikacji</w:t>
            </w:r>
          </w:p>
          <w:p w14:paraId="7A8D4E4E" w14:textId="46F5335B" w:rsidR="004578FD" w:rsidRDefault="004578FD" w:rsidP="001114B8">
            <w:pPr>
              <w:widowControl w:val="0"/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programu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kwalifikowani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dorośli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pacjenci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zespołem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miastenicznym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Lamberta-Eatona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(LEMS),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których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przeprowadzono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komplet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badań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diagnostycznych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świadczących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przeprowadzeniu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diagnostyki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różnicowej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dokumentujących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rozpoznanie.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Rozpoznanie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LEMS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potwierdza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dodatni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wynik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przeciwciała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przeciwko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VGCC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wykazanie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cech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LEMS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elektrostymulacyjnej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próbie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męczliwości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pod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postacią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znamiennego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torowania.</w:t>
            </w:r>
          </w:p>
          <w:p w14:paraId="21040BAA" w14:textId="77777777" w:rsidR="001114B8" w:rsidRPr="001114B8" w:rsidRDefault="001114B8" w:rsidP="001114B8">
            <w:pPr>
              <w:widowControl w:val="0"/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  <w:p w14:paraId="1A01F6F5" w14:textId="227C3BD1" w:rsidR="004578FD" w:rsidRPr="006332C7" w:rsidRDefault="004578FD" w:rsidP="001114B8">
            <w:pPr>
              <w:widowControl w:val="0"/>
              <w:numPr>
                <w:ilvl w:val="0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Określenie</w:t>
            </w:r>
            <w:r w:rsidR="00D1411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czasu</w:t>
            </w:r>
            <w:r w:rsidR="00D1411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leczenia</w:t>
            </w:r>
            <w:r w:rsidR="00D1411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programie</w:t>
            </w:r>
          </w:p>
          <w:p w14:paraId="586BC8C7" w14:textId="42B65CEC" w:rsidR="004578FD" w:rsidRDefault="004578FD" w:rsidP="001114B8">
            <w:pPr>
              <w:widowControl w:val="0"/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Czas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leczenia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programie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określa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lekarz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podstawie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kryteriów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wyłączenia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1114B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programu.</w:t>
            </w:r>
          </w:p>
          <w:p w14:paraId="63351B06" w14:textId="77777777" w:rsidR="001114B8" w:rsidRPr="001114B8" w:rsidRDefault="001114B8" w:rsidP="001114B8">
            <w:pPr>
              <w:widowControl w:val="0"/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  <w:p w14:paraId="3A0267D7" w14:textId="428A611B" w:rsidR="004578FD" w:rsidRPr="006332C7" w:rsidRDefault="004578FD" w:rsidP="001114B8">
            <w:pPr>
              <w:widowControl w:val="0"/>
              <w:numPr>
                <w:ilvl w:val="0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Kryteria</w:t>
            </w:r>
            <w:r w:rsidR="00D1411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z w:val="20"/>
                <w:szCs w:val="20"/>
              </w:rPr>
              <w:t>wyłączenia</w:t>
            </w:r>
            <w:r w:rsidR="00D1411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sz w:val="20"/>
                <w:szCs w:val="20"/>
              </w:rPr>
              <w:t>programu</w:t>
            </w:r>
          </w:p>
          <w:p w14:paraId="09566C04" w14:textId="4F59C9E1" w:rsidR="004578FD" w:rsidRPr="006332C7" w:rsidRDefault="00D1411C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ciąża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karmienie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piersią;</w:t>
            </w:r>
          </w:p>
          <w:p w14:paraId="537A7ED0" w14:textId="7C488DAA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nadwrażliwość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fosforan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amifamprydyny</w:t>
            </w:r>
            <w:proofErr w:type="spellEnd"/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inny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składnik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preparatu;</w:t>
            </w:r>
          </w:p>
          <w:p w14:paraId="1D5FD598" w14:textId="352A8804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brak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skuteczności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leczenia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definiowany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jako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brak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złagodzenia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objawów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klinicznych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przy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podawaniu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prawidłowej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dawki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amifamprydyny</w:t>
            </w:r>
            <w:proofErr w:type="spellEnd"/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(ocena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kliniczna);</w:t>
            </w:r>
          </w:p>
          <w:p w14:paraId="0091EE81" w14:textId="77777777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padaczka;</w:t>
            </w:r>
          </w:p>
          <w:p w14:paraId="79778CDF" w14:textId="0BD3B5FC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niewyrównana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astma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oskrzelowa;</w:t>
            </w:r>
          </w:p>
          <w:p w14:paraId="7A644830" w14:textId="3660AC46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jednoczesne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stosowanie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sultoprydu</w:t>
            </w:r>
            <w:proofErr w:type="spellEnd"/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;</w:t>
            </w:r>
          </w:p>
          <w:p w14:paraId="74324482" w14:textId="4F12BE7F" w:rsidR="004578FD" w:rsidRPr="006332C7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jednoczesne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stosowanie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produktów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terapeutycznych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wąskim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indeksie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terapeutycznym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których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wiadomo,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że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mogą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wydłużać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odstęp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QT;</w:t>
            </w:r>
          </w:p>
          <w:p w14:paraId="700A0D06" w14:textId="77777777" w:rsidR="004578FD" w:rsidRDefault="004578FD" w:rsidP="001114B8">
            <w:pPr>
              <w:widowControl w:val="0"/>
              <w:numPr>
                <w:ilvl w:val="2"/>
                <w:numId w:val="8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występowanie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wrodzonego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zespołu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QT.</w:t>
            </w:r>
          </w:p>
          <w:p w14:paraId="477B1ECB" w14:textId="7613C8C4" w:rsidR="002266AC" w:rsidRPr="006332C7" w:rsidRDefault="002266AC" w:rsidP="002266AC">
            <w:pPr>
              <w:widowControl w:val="0"/>
              <w:spacing w:before="0" w:after="60" w:line="276" w:lineRule="auto"/>
              <w:ind w:left="397"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593D6B" w14:textId="77777777" w:rsidR="004578FD" w:rsidRPr="006332C7" w:rsidRDefault="004578FD" w:rsidP="001114B8">
            <w:pPr>
              <w:widowControl w:val="0"/>
              <w:numPr>
                <w:ilvl w:val="0"/>
                <w:numId w:val="10"/>
              </w:numPr>
              <w:spacing w:after="60" w:line="276" w:lineRule="auto"/>
              <w:ind w:right="57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lastRenderedPageBreak/>
              <w:t>Dawkowanie</w:t>
            </w:r>
          </w:p>
          <w:p w14:paraId="4F960C62" w14:textId="2DCE51D5" w:rsidR="004578FD" w:rsidRPr="006332C7" w:rsidRDefault="00D1411C" w:rsidP="001114B8">
            <w:pPr>
              <w:widowControl w:val="0"/>
              <w:numPr>
                <w:ilvl w:val="1"/>
                <w:numId w:val="10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Zalecana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dawka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początkowa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wynosi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dobę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podawana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doustnie.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Następnie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dawkę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można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zwiększać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4-5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dni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maksymalnej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dawki: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578FD" w:rsidRPr="006332C7">
              <w:rPr>
                <w:rFonts w:ascii="Times New Roman" w:eastAsia="Times New Roman" w:hAnsi="Times New Roman"/>
                <w:sz w:val="20"/>
                <w:szCs w:val="20"/>
              </w:rPr>
              <w:t>dobę.</w:t>
            </w:r>
          </w:p>
          <w:p w14:paraId="4A65F5A0" w14:textId="506A488C" w:rsidR="004578FD" w:rsidRPr="006332C7" w:rsidRDefault="004578FD" w:rsidP="001114B8">
            <w:pPr>
              <w:pStyle w:val="Akapitzlist"/>
              <w:widowControl w:val="0"/>
              <w:spacing w:before="0" w:after="60" w:line="276" w:lineRule="auto"/>
              <w:ind w:left="227"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Dawka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pojedyncza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powinna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być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większa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niż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mg.</w:t>
            </w:r>
          </w:p>
          <w:p w14:paraId="448CD5CA" w14:textId="0D16E6C2" w:rsidR="004578FD" w:rsidRPr="006332C7" w:rsidRDefault="004578FD" w:rsidP="001114B8">
            <w:pPr>
              <w:pStyle w:val="Akapitzlist"/>
              <w:widowControl w:val="0"/>
              <w:numPr>
                <w:ilvl w:val="1"/>
                <w:numId w:val="10"/>
              </w:numPr>
              <w:spacing w:before="0" w:after="60" w:line="276" w:lineRule="auto"/>
              <w:ind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Pacjenci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zaburzeniami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czynności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nerek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wątroby:</w:t>
            </w:r>
          </w:p>
          <w:p w14:paraId="69F277FA" w14:textId="2CA4DC3E" w:rsidR="004578FD" w:rsidRPr="006332C7" w:rsidRDefault="004578FD" w:rsidP="001114B8">
            <w:pPr>
              <w:pStyle w:val="Akapitzlist"/>
              <w:widowControl w:val="0"/>
              <w:numPr>
                <w:ilvl w:val="3"/>
                <w:numId w:val="10"/>
              </w:numPr>
              <w:spacing w:before="0" w:after="60" w:line="276" w:lineRule="auto"/>
              <w:ind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umiarkowane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ciężkie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zaburzenia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czynności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nerek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wątroby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zalecana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dawka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początkowa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wynosi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dobę;</w:t>
            </w:r>
          </w:p>
          <w:p w14:paraId="15F1AA9C" w14:textId="6454CE0D" w:rsidR="004578FD" w:rsidRPr="006332C7" w:rsidRDefault="004578FD" w:rsidP="001114B8">
            <w:pPr>
              <w:pStyle w:val="Akapitzlist"/>
              <w:widowControl w:val="0"/>
              <w:numPr>
                <w:ilvl w:val="3"/>
                <w:numId w:val="10"/>
              </w:numPr>
              <w:spacing w:before="0" w:after="60" w:line="276" w:lineRule="auto"/>
              <w:ind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łagodne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zaburzenia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czynności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nerek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wątroby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dobę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(5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dwa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razy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dobę).</w:t>
            </w:r>
          </w:p>
          <w:p w14:paraId="732ACEA7" w14:textId="3F92824F" w:rsidR="004578FD" w:rsidRPr="006332C7" w:rsidRDefault="004578FD" w:rsidP="001114B8">
            <w:pPr>
              <w:pStyle w:val="Akapitzlist"/>
              <w:widowControl w:val="0"/>
              <w:spacing w:before="0" w:after="60" w:line="276" w:lineRule="auto"/>
              <w:ind w:left="227"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Tempo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zwiększania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dawki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powinno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być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wolniejsze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niż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pacjentów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prawidłową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czynnością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nerek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wątroby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dni.</w:t>
            </w:r>
          </w:p>
          <w:p w14:paraId="09394B8B" w14:textId="77777777" w:rsidR="004578FD" w:rsidRDefault="004578FD" w:rsidP="001114B8">
            <w:pPr>
              <w:pStyle w:val="Akapitzlist"/>
              <w:widowControl w:val="0"/>
              <w:numPr>
                <w:ilvl w:val="1"/>
                <w:numId w:val="10"/>
              </w:numPr>
              <w:spacing w:before="0" w:after="60" w:line="276" w:lineRule="auto"/>
              <w:ind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wyjątkowych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okolicznościach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dopuszcza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się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stosowanie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maksymalnej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dawki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80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dobę.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Zwiększanie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dawki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80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dobę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powinno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następować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mg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co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  <w:r w:rsidR="00D1411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z w:val="20"/>
                <w:szCs w:val="20"/>
              </w:rPr>
              <w:t>dni.</w:t>
            </w:r>
          </w:p>
          <w:p w14:paraId="4C46CE69" w14:textId="0ACD8378" w:rsidR="002266AC" w:rsidRPr="006332C7" w:rsidRDefault="002266AC" w:rsidP="002266AC">
            <w:pPr>
              <w:pStyle w:val="Akapitzlist"/>
              <w:widowControl w:val="0"/>
              <w:spacing w:before="0" w:after="60" w:line="276" w:lineRule="auto"/>
              <w:ind w:left="227" w:right="56"/>
              <w:contextualSpacing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6961CB" w14:textId="5E27DDE6" w:rsidR="004578FD" w:rsidRPr="006332C7" w:rsidRDefault="004578FD" w:rsidP="001114B8">
            <w:pPr>
              <w:widowControl w:val="0"/>
              <w:numPr>
                <w:ilvl w:val="0"/>
                <w:numId w:val="11"/>
              </w:numPr>
              <w:spacing w:after="60" w:line="276" w:lineRule="auto"/>
              <w:ind w:right="57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Badania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przy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kwalifikacji</w:t>
            </w:r>
          </w:p>
          <w:p w14:paraId="0CD985CF" w14:textId="5AF4770C" w:rsidR="004578FD" w:rsidRPr="006332C7" w:rsidRDefault="004578FD" w:rsidP="00D1411C">
            <w:pPr>
              <w:pStyle w:val="Akapitzlist"/>
              <w:widowControl w:val="0"/>
              <w:numPr>
                <w:ilvl w:val="1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Pacjenci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wywiadem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objawów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LEMS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krótszym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niż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lata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(ryzyko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charakteru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paranowotworowego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choroby):</w:t>
            </w:r>
          </w:p>
          <w:p w14:paraId="0FEF209B" w14:textId="71E2E006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krwi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63C29BF2" w14:textId="126072B3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AlAT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BE57140" w14:textId="3B54AA47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C367206" w14:textId="6916B96A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ocena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obrazowa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śródpiersia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(tomografia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komputerowa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rezonans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magnetyczny);</w:t>
            </w:r>
          </w:p>
          <w:p w14:paraId="7FC13ED8" w14:textId="107CA9F1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USG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TK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jamy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3394EF9D" w14:textId="654A2927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przeciwciał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anty-VGCC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(lub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dodatni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wynik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potwierdzający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przeszłości);</w:t>
            </w:r>
          </w:p>
          <w:p w14:paraId="73B91959" w14:textId="717AB629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elektrofizjologiczne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(próba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męczliwości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dodatni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wynik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potwierdzający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przeszłości);</w:t>
            </w:r>
          </w:p>
          <w:p w14:paraId="1F0E57D5" w14:textId="56E5D86C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konsultacja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ginekologiczna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u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kobiet;</w:t>
            </w:r>
          </w:p>
          <w:p w14:paraId="044C3A75" w14:textId="58E0308E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EKG;</w:t>
            </w:r>
          </w:p>
          <w:p w14:paraId="7B6B5731" w14:textId="12DDECF2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kreatyniny.</w:t>
            </w:r>
          </w:p>
          <w:p w14:paraId="5FFCF7F2" w14:textId="6D3C3C6E" w:rsidR="004578FD" w:rsidRPr="00D1411C" w:rsidRDefault="00D1411C" w:rsidP="00D1411C">
            <w:pPr>
              <w:widowControl w:val="0"/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zestawie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badań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decyduje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lekarz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specjalista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podczas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kwalifikacji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8FD" w:rsidRPr="00D1411C">
              <w:rPr>
                <w:rFonts w:ascii="Times New Roman" w:hAnsi="Times New Roman"/>
                <w:sz w:val="20"/>
                <w:szCs w:val="20"/>
              </w:rPr>
              <w:t>programu.</w:t>
            </w:r>
          </w:p>
          <w:p w14:paraId="06C0F694" w14:textId="555B3B9A" w:rsidR="004578FD" w:rsidRPr="006332C7" w:rsidRDefault="004578FD" w:rsidP="00D1411C">
            <w:pPr>
              <w:pStyle w:val="Akapitzlist"/>
              <w:widowControl w:val="0"/>
              <w:numPr>
                <w:ilvl w:val="1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Pacjenci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z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wywiadem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objawów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LEMS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dłuższym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niż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="00D1411C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b/>
                <w:sz w:val="20"/>
                <w:szCs w:val="20"/>
              </w:rPr>
              <w:t>lata:</w:t>
            </w:r>
          </w:p>
          <w:p w14:paraId="33C04251" w14:textId="3B2A48D1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lastRenderedPageBreak/>
              <w:t>morfologia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krwi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71BCD9E4" w14:textId="37971382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AlAT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4FFF011" w14:textId="04CF2D3E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9A9C047" w14:textId="49765518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przeciwciał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anty-VGCC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(lub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dodatni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wynik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potwierdzający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przeszłości);</w:t>
            </w:r>
          </w:p>
          <w:p w14:paraId="20422043" w14:textId="071C26C4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elektrofizjologiczne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(próba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męczliwości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lub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dodatni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wynik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potwierdzający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w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przeszłości);</w:t>
            </w:r>
          </w:p>
          <w:p w14:paraId="23DC7439" w14:textId="6F8561E8" w:rsidR="004578FD" w:rsidRPr="006332C7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EKG;</w:t>
            </w:r>
          </w:p>
          <w:p w14:paraId="5B6365EE" w14:textId="191DA0E3" w:rsidR="004578FD" w:rsidRDefault="004578FD" w:rsidP="001114B8">
            <w:pPr>
              <w:pStyle w:val="Akapitzlist"/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kreatyniny.</w:t>
            </w:r>
          </w:p>
          <w:p w14:paraId="300AC006" w14:textId="77777777" w:rsidR="00D1411C" w:rsidRPr="006332C7" w:rsidRDefault="00D1411C" w:rsidP="00D1411C">
            <w:pPr>
              <w:pStyle w:val="Akapitzlist"/>
              <w:widowControl w:val="0"/>
              <w:spacing w:before="0" w:after="60" w:line="276" w:lineRule="auto"/>
              <w:ind w:left="397" w:right="56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  <w:p w14:paraId="0F4A3048" w14:textId="36E70E66" w:rsidR="004578FD" w:rsidRPr="006332C7" w:rsidRDefault="004578FD" w:rsidP="001114B8">
            <w:pPr>
              <w:widowControl w:val="0"/>
              <w:numPr>
                <w:ilvl w:val="0"/>
                <w:numId w:val="11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Monitorowanie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leczenia–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po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3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miesiącach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terapii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następnie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raz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6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miesięcy</w:t>
            </w:r>
          </w:p>
          <w:p w14:paraId="2C2B0550" w14:textId="623AAE43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krwi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z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rozmazem;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97788A9" w14:textId="2F012992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kreatyniny;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9C27085" w14:textId="76CA6119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AlAT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3636FD7" w14:textId="7B0D02A0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32C7">
              <w:rPr>
                <w:rFonts w:ascii="Times New Roman" w:hAnsi="Times New Roman"/>
                <w:sz w:val="20"/>
                <w:szCs w:val="20"/>
              </w:rPr>
              <w:t>AspAT</w:t>
            </w:r>
            <w:proofErr w:type="spellEnd"/>
            <w:r w:rsidRPr="006332C7">
              <w:rPr>
                <w:rFonts w:ascii="Times New Roman" w:hAnsi="Times New Roman"/>
                <w:sz w:val="20"/>
                <w:szCs w:val="20"/>
              </w:rPr>
              <w:t>;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8C6568F" w14:textId="2D1C7D89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EKG;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BF3826B" w14:textId="1671A8D6" w:rsidR="004578FD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hAnsi="Times New Roman"/>
                <w:sz w:val="20"/>
                <w:szCs w:val="20"/>
              </w:rPr>
            </w:pPr>
            <w:r w:rsidRPr="006332C7">
              <w:rPr>
                <w:rFonts w:ascii="Times New Roman" w:hAnsi="Times New Roman"/>
                <w:sz w:val="20"/>
                <w:szCs w:val="20"/>
              </w:rPr>
              <w:t>inne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indywidualnie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ustalone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przez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hAnsi="Times New Roman"/>
                <w:sz w:val="20"/>
                <w:szCs w:val="20"/>
              </w:rPr>
              <w:t>lekarza.</w:t>
            </w:r>
            <w:r w:rsidR="00D1411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BADFA8" w14:textId="77777777" w:rsidR="00D1411C" w:rsidRPr="006332C7" w:rsidRDefault="00D1411C" w:rsidP="00D1411C">
            <w:pPr>
              <w:widowControl w:val="0"/>
              <w:spacing w:before="0" w:after="60" w:line="276" w:lineRule="auto"/>
              <w:ind w:left="397" w:right="56"/>
              <w:rPr>
                <w:rFonts w:ascii="Times New Roman" w:hAnsi="Times New Roman"/>
                <w:sz w:val="20"/>
                <w:szCs w:val="20"/>
              </w:rPr>
            </w:pPr>
          </w:p>
          <w:p w14:paraId="57DF0DE0" w14:textId="7EC4DB8F" w:rsidR="004578FD" w:rsidRPr="006332C7" w:rsidRDefault="004578FD" w:rsidP="001114B8">
            <w:pPr>
              <w:widowControl w:val="0"/>
              <w:numPr>
                <w:ilvl w:val="0"/>
                <w:numId w:val="11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Monitorowanie</w:t>
            </w:r>
            <w:r w:rsidR="00D1411C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programu</w:t>
            </w:r>
          </w:p>
          <w:p w14:paraId="23241D66" w14:textId="163BAFBF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Gromadzenie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dokumentacji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medycznej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pacjenta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danych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dotyczących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monitorowania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leczenia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każdorazowe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przedstawianie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żądanie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kontrolerów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Narodowego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Funduszu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Zdrowia;</w:t>
            </w:r>
          </w:p>
          <w:p w14:paraId="3B888F6C" w14:textId="079D359F" w:rsidR="004578FD" w:rsidRPr="006332C7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Uzupełnianie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danych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zawartych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rejestrze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(SMPT)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dostępnym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pomocą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aplikacji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internetowej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udostępnionej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NFZ,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częstotliwością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zgodną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opisem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programu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oraz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zakończenie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leczenia;</w:t>
            </w:r>
          </w:p>
          <w:p w14:paraId="3B42C006" w14:textId="2B0F2074" w:rsidR="004578FD" w:rsidRPr="002266AC" w:rsidRDefault="004578FD" w:rsidP="00D1411C">
            <w:pPr>
              <w:widowControl w:val="0"/>
              <w:numPr>
                <w:ilvl w:val="2"/>
                <w:numId w:val="11"/>
              </w:numPr>
              <w:spacing w:before="0" w:after="60" w:line="276" w:lineRule="auto"/>
              <w:ind w:right="56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lastRenderedPageBreak/>
              <w:t>Przekazywanie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informacji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sprawozdawczo-rozliczeniowych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NFZ: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informacje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przekazuje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się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NFZ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formie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papierowej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lub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formie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elektronicznej,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zgodnie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wymaganiami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opublikowanymi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przez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Narodowy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Fundusz</w:t>
            </w:r>
            <w:r w:rsidR="00D1411C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Pr="006332C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Zdrowia.</w:t>
            </w:r>
          </w:p>
          <w:p w14:paraId="7E5CC1FA" w14:textId="77777777" w:rsidR="002266AC" w:rsidRPr="002266AC" w:rsidRDefault="002266AC" w:rsidP="002266AC">
            <w:pPr>
              <w:widowControl w:val="0"/>
              <w:spacing w:before="0" w:after="60" w:line="276" w:lineRule="auto"/>
              <w:ind w:left="397" w:right="56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</w:p>
          <w:p w14:paraId="00F2F303" w14:textId="31FFBEAD" w:rsidR="002266AC" w:rsidRPr="006332C7" w:rsidRDefault="002266AC" w:rsidP="002266AC">
            <w:pPr>
              <w:widowControl w:val="0"/>
              <w:spacing w:before="0" w:after="60" w:line="276" w:lineRule="auto"/>
              <w:ind w:left="397" w:right="56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</w:p>
        </w:tc>
      </w:tr>
    </w:tbl>
    <w:p w14:paraId="4A9B7206" w14:textId="77777777" w:rsidR="004578FD" w:rsidRDefault="004578FD" w:rsidP="004578FD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610EDDD0" w14:textId="77777777" w:rsidR="00025CCE" w:rsidRDefault="00F245CA"/>
    <w:sectPr w:rsidR="00025CCE" w:rsidSect="006332C7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A6"/>
    <w:multiLevelType w:val="multilevel"/>
    <w:tmpl w:val="1EDA1A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E27EF5"/>
    <w:multiLevelType w:val="hybridMultilevel"/>
    <w:tmpl w:val="2536DBB6"/>
    <w:lvl w:ilvl="0" w:tplc="83AA9B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FB58F76A">
      <w:start w:val="10"/>
      <w:numFmt w:val="bullet"/>
      <w:lvlText w:val=""/>
      <w:lvlJc w:val="left"/>
      <w:pPr>
        <w:ind w:left="1222" w:hanging="360"/>
      </w:pPr>
      <w:rPr>
        <w:rFonts w:ascii="Symbol" w:eastAsia="Calibri" w:hAnsi="Symbol" w:cs="Times New Roman" w:hint="default"/>
      </w:rPr>
    </w:lvl>
    <w:lvl w:ilvl="2" w:tplc="980EDF7C">
      <w:start w:val="1"/>
      <w:numFmt w:val="decimal"/>
      <w:lvlText w:val="%3)"/>
      <w:lvlJc w:val="left"/>
      <w:pPr>
        <w:ind w:left="2122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8FC0EC2"/>
    <w:multiLevelType w:val="multilevel"/>
    <w:tmpl w:val="EEC46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21" w:hanging="360"/>
      </w:pPr>
    </w:lvl>
    <w:lvl w:ilvl="2">
      <w:start w:val="1"/>
      <w:numFmt w:val="decimal"/>
      <w:lvlText w:val="%1.%2.%3."/>
      <w:lvlJc w:val="left"/>
      <w:pPr>
        <w:ind w:left="842" w:hanging="720"/>
      </w:pPr>
    </w:lvl>
    <w:lvl w:ilvl="3">
      <w:start w:val="1"/>
      <w:numFmt w:val="decimal"/>
      <w:lvlText w:val="%1.%2.%3.%4."/>
      <w:lvlJc w:val="left"/>
      <w:pPr>
        <w:ind w:left="903" w:hanging="720"/>
      </w:pPr>
    </w:lvl>
    <w:lvl w:ilvl="4">
      <w:start w:val="1"/>
      <w:numFmt w:val="decimal"/>
      <w:lvlText w:val="%1.%2.%3.%4.%5."/>
      <w:lvlJc w:val="left"/>
      <w:pPr>
        <w:ind w:left="1324" w:hanging="1080"/>
      </w:pPr>
    </w:lvl>
    <w:lvl w:ilvl="5">
      <w:start w:val="1"/>
      <w:numFmt w:val="decimal"/>
      <w:lvlText w:val="%1.%2.%3.%4.%5.%6."/>
      <w:lvlJc w:val="left"/>
      <w:pPr>
        <w:ind w:left="1385" w:hanging="1080"/>
      </w:pPr>
    </w:lvl>
    <w:lvl w:ilvl="6">
      <w:start w:val="1"/>
      <w:numFmt w:val="decimal"/>
      <w:lvlText w:val="%1.%2.%3.%4.%5.%6.%7."/>
      <w:lvlJc w:val="left"/>
      <w:pPr>
        <w:ind w:left="1446" w:hanging="1080"/>
      </w:pPr>
    </w:lvl>
    <w:lvl w:ilvl="7">
      <w:start w:val="1"/>
      <w:numFmt w:val="decimal"/>
      <w:lvlText w:val="%1.%2.%3.%4.%5.%6.%7.%8."/>
      <w:lvlJc w:val="left"/>
      <w:pPr>
        <w:ind w:left="1867" w:hanging="1440"/>
      </w:pPr>
    </w:lvl>
    <w:lvl w:ilvl="8">
      <w:start w:val="1"/>
      <w:numFmt w:val="decimal"/>
      <w:lvlText w:val="%1.%2.%3.%4.%5.%6.%7.%8.%9."/>
      <w:lvlJc w:val="left"/>
      <w:pPr>
        <w:ind w:left="1928" w:hanging="1440"/>
      </w:pPr>
    </w:lvl>
  </w:abstractNum>
  <w:abstractNum w:abstractNumId="3" w15:restartNumberingAfterBreak="0">
    <w:nsid w:val="2BB5052B"/>
    <w:multiLevelType w:val="multilevel"/>
    <w:tmpl w:val="EEC46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21" w:hanging="360"/>
      </w:pPr>
    </w:lvl>
    <w:lvl w:ilvl="2">
      <w:start w:val="1"/>
      <w:numFmt w:val="decimal"/>
      <w:lvlText w:val="%1.%2.%3."/>
      <w:lvlJc w:val="left"/>
      <w:pPr>
        <w:ind w:left="842" w:hanging="720"/>
      </w:pPr>
    </w:lvl>
    <w:lvl w:ilvl="3">
      <w:start w:val="1"/>
      <w:numFmt w:val="decimal"/>
      <w:lvlText w:val="%1.%2.%3.%4."/>
      <w:lvlJc w:val="left"/>
      <w:pPr>
        <w:ind w:left="903" w:hanging="720"/>
      </w:pPr>
    </w:lvl>
    <w:lvl w:ilvl="4">
      <w:start w:val="1"/>
      <w:numFmt w:val="decimal"/>
      <w:lvlText w:val="%1.%2.%3.%4.%5."/>
      <w:lvlJc w:val="left"/>
      <w:pPr>
        <w:ind w:left="1324" w:hanging="1080"/>
      </w:pPr>
    </w:lvl>
    <w:lvl w:ilvl="5">
      <w:start w:val="1"/>
      <w:numFmt w:val="decimal"/>
      <w:lvlText w:val="%1.%2.%3.%4.%5.%6."/>
      <w:lvlJc w:val="left"/>
      <w:pPr>
        <w:ind w:left="1385" w:hanging="1080"/>
      </w:pPr>
    </w:lvl>
    <w:lvl w:ilvl="6">
      <w:start w:val="1"/>
      <w:numFmt w:val="decimal"/>
      <w:lvlText w:val="%1.%2.%3.%4.%5.%6.%7."/>
      <w:lvlJc w:val="left"/>
      <w:pPr>
        <w:ind w:left="1446" w:hanging="1080"/>
      </w:pPr>
    </w:lvl>
    <w:lvl w:ilvl="7">
      <w:start w:val="1"/>
      <w:numFmt w:val="decimal"/>
      <w:lvlText w:val="%1.%2.%3.%4.%5.%6.%7.%8."/>
      <w:lvlJc w:val="left"/>
      <w:pPr>
        <w:ind w:left="1867" w:hanging="1440"/>
      </w:pPr>
    </w:lvl>
    <w:lvl w:ilvl="8">
      <w:start w:val="1"/>
      <w:numFmt w:val="decimal"/>
      <w:lvlText w:val="%1.%2.%3.%4.%5.%6.%7.%8.%9."/>
      <w:lvlJc w:val="left"/>
      <w:pPr>
        <w:ind w:left="1928" w:hanging="1440"/>
      </w:pPr>
    </w:lvl>
  </w:abstractNum>
  <w:abstractNum w:abstractNumId="4" w15:restartNumberingAfterBreak="0">
    <w:nsid w:val="3BD651DC"/>
    <w:multiLevelType w:val="hybridMultilevel"/>
    <w:tmpl w:val="10ACF22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40ED1"/>
    <w:multiLevelType w:val="multilevel"/>
    <w:tmpl w:val="9800E4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9BE486D"/>
    <w:multiLevelType w:val="hybridMultilevel"/>
    <w:tmpl w:val="B19EA48A"/>
    <w:lvl w:ilvl="0" w:tplc="0415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08D2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57AE7F94"/>
    <w:multiLevelType w:val="hybridMultilevel"/>
    <w:tmpl w:val="35CAD1F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122E2"/>
    <w:multiLevelType w:val="hybridMultilevel"/>
    <w:tmpl w:val="6FDAA1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3">
      <w:numFmt w:val="decima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numFmt w:val="decimal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numFmt w:val="decimal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numFmt w:val="decimal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numFmt w:val="decimal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numFmt w:val="decimal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numFmt w:val="decimal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numFmt w:val="decimal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FD"/>
    <w:rsid w:val="00083711"/>
    <w:rsid w:val="001114B8"/>
    <w:rsid w:val="002266AC"/>
    <w:rsid w:val="00426528"/>
    <w:rsid w:val="004578FD"/>
    <w:rsid w:val="006332C7"/>
    <w:rsid w:val="00D1411C"/>
    <w:rsid w:val="00ED3117"/>
    <w:rsid w:val="00F018AA"/>
    <w:rsid w:val="00F2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72E2"/>
  <w15:chartTrackingRefBased/>
  <w15:docId w15:val="{4E32F957-D74A-4D9A-9466-B2DBE7F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78FD"/>
    <w:pPr>
      <w:spacing w:before="120" w:after="120" w:line="360" w:lineRule="auto"/>
      <w:jc w:val="both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57A8F-9447-42BD-99D1-75445702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Królak-Buzakowska Joanna</cp:lastModifiedBy>
  <cp:revision>3</cp:revision>
  <dcterms:created xsi:type="dcterms:W3CDTF">2021-08-16T08:19:00Z</dcterms:created>
  <dcterms:modified xsi:type="dcterms:W3CDTF">2021-10-14T13:32:00Z</dcterms:modified>
</cp:coreProperties>
</file>