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C48F" w14:textId="3D4416A2" w:rsidR="003A699F" w:rsidRPr="0040465B" w:rsidRDefault="003A699F" w:rsidP="003A699F">
      <w:pPr>
        <w:spacing w:after="0" w:line="240" w:lineRule="auto"/>
        <w:rPr>
          <w:rFonts w:ascii="Times New Roman" w:hAnsi="Times New Roman" w:cs="Times New Roman"/>
        </w:rPr>
      </w:pPr>
      <w:r w:rsidRPr="00030E0A">
        <w:rPr>
          <w:rFonts w:ascii="Times New Roman" w:hAnsi="Times New Roman" w:cs="Times New Roman"/>
        </w:rPr>
        <w:t>Załącznik</w:t>
      </w:r>
      <w:r w:rsidR="00F8424D">
        <w:rPr>
          <w:rFonts w:ascii="Times New Roman" w:hAnsi="Times New Roman" w:cs="Times New Roman"/>
        </w:rPr>
        <w:t xml:space="preserve"> </w:t>
      </w:r>
      <w:r w:rsidRPr="00030E0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12</w:t>
      </w:r>
      <w:r w:rsidR="004701FE">
        <w:rPr>
          <w:rFonts w:ascii="Times New Roman" w:hAnsi="Times New Roman" w:cs="Times New Roman"/>
        </w:rPr>
        <w:t>9</w:t>
      </w:r>
      <w:r w:rsidRPr="00030E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FM.</w:t>
      </w:r>
    </w:p>
    <w:p w14:paraId="5F5A4936" w14:textId="77777777" w:rsidR="003A699F" w:rsidRPr="003A699F" w:rsidRDefault="003A699F" w:rsidP="003A699F">
      <w:pPr>
        <w:spacing w:after="0" w:line="240" w:lineRule="auto"/>
        <w:rPr>
          <w:rFonts w:ascii="Times New Roman" w:hAnsi="Times New Roman" w:cs="Times New Roman"/>
        </w:rPr>
      </w:pPr>
    </w:p>
    <w:p w14:paraId="38716472" w14:textId="53892305" w:rsidR="00E302B5" w:rsidRPr="0040465B" w:rsidRDefault="0040465B" w:rsidP="003A699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65B">
        <w:rPr>
          <w:rFonts w:ascii="Times New Roman" w:hAnsi="Times New Roman" w:cs="Times New Roman"/>
          <w:b/>
          <w:sz w:val="28"/>
          <w:szCs w:val="28"/>
        </w:rPr>
        <w:t>LECZENIE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>
        <w:rPr>
          <w:rFonts w:ascii="Times New Roman" w:hAnsi="Times New Roman" w:cs="Times New Roman"/>
          <w:b/>
          <w:sz w:val="28"/>
          <w:szCs w:val="28"/>
        </w:rPr>
        <w:t>CHORYCH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>
        <w:rPr>
          <w:rFonts w:ascii="Times New Roman" w:hAnsi="Times New Roman" w:cs="Times New Roman"/>
          <w:b/>
          <w:sz w:val="28"/>
          <w:szCs w:val="28"/>
        </w:rPr>
        <w:t>NA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>
        <w:rPr>
          <w:rFonts w:ascii="Times New Roman" w:hAnsi="Times New Roman" w:cs="Times New Roman"/>
          <w:b/>
          <w:sz w:val="28"/>
          <w:szCs w:val="28"/>
        </w:rPr>
        <w:t>PIERWOTNĄ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 w:rsidRPr="00911E98">
        <w:rPr>
          <w:rFonts w:ascii="Times New Roman" w:hAnsi="Times New Roman" w:cs="Times New Roman"/>
          <w:b/>
          <w:sz w:val="28"/>
          <w:szCs w:val="28"/>
        </w:rPr>
        <w:t>HIPEROKSALURI</w:t>
      </w:r>
      <w:r w:rsidR="00911E98">
        <w:rPr>
          <w:rFonts w:ascii="Times New Roman" w:hAnsi="Times New Roman" w:cs="Times New Roman"/>
          <w:b/>
          <w:sz w:val="28"/>
          <w:szCs w:val="28"/>
        </w:rPr>
        <w:t>Ę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 w:rsidRPr="00911E98">
        <w:rPr>
          <w:rFonts w:ascii="Times New Roman" w:hAnsi="Times New Roman" w:cs="Times New Roman"/>
          <w:b/>
          <w:sz w:val="28"/>
          <w:szCs w:val="28"/>
        </w:rPr>
        <w:t>TYPU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 w:rsidRPr="00911E98">
        <w:rPr>
          <w:rFonts w:ascii="Times New Roman" w:hAnsi="Times New Roman" w:cs="Times New Roman"/>
          <w:b/>
          <w:sz w:val="28"/>
          <w:szCs w:val="28"/>
        </w:rPr>
        <w:t>1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>
        <w:rPr>
          <w:rFonts w:ascii="Times New Roman" w:hAnsi="Times New Roman" w:cs="Times New Roman"/>
          <w:b/>
          <w:sz w:val="28"/>
          <w:szCs w:val="28"/>
        </w:rPr>
        <w:t>(ICD-10:</w:t>
      </w:r>
      <w:r w:rsidR="00F842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1087" w:rsidRPr="00A61087">
        <w:rPr>
          <w:rFonts w:ascii="Times New Roman" w:hAnsi="Times New Roman" w:cs="Times New Roman"/>
          <w:b/>
          <w:sz w:val="28"/>
          <w:szCs w:val="28"/>
        </w:rPr>
        <w:t>E74.8</w:t>
      </w:r>
      <w:r w:rsidR="0060135D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6"/>
        <w:gridCol w:w="4112"/>
        <w:gridCol w:w="5610"/>
      </w:tblGrid>
      <w:tr w:rsidR="00127F97" w:rsidRPr="003A699F" w14:paraId="0909F4C6" w14:textId="77777777" w:rsidTr="004D7A56">
        <w:trPr>
          <w:trHeight w:val="567"/>
        </w:trPr>
        <w:tc>
          <w:tcPr>
            <w:tcW w:w="5000" w:type="pct"/>
            <w:gridSpan w:val="3"/>
            <w:vAlign w:val="center"/>
          </w:tcPr>
          <w:p w14:paraId="71273ADC" w14:textId="29B1C46A" w:rsidR="00127F97" w:rsidRPr="003A699F" w:rsidRDefault="00127F97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25656E" w:rsidRPr="003A699F" w14:paraId="035A9F2B" w14:textId="77777777" w:rsidTr="00F8424D">
        <w:trPr>
          <w:trHeight w:val="567"/>
        </w:trPr>
        <w:tc>
          <w:tcPr>
            <w:tcW w:w="1841" w:type="pct"/>
            <w:vAlign w:val="center"/>
          </w:tcPr>
          <w:p w14:paraId="41B1FCE7" w14:textId="77777777" w:rsidR="00971D9B" w:rsidRPr="003A699F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6" w:type="pct"/>
            <w:vAlign w:val="center"/>
          </w:tcPr>
          <w:p w14:paraId="48A71F4B" w14:textId="5269F6F6" w:rsidR="00D35D9E" w:rsidRPr="003A699F" w:rsidRDefault="00E302B5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MAKSYMALNE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DAWKOWANIE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35D9E"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</w:p>
          <w:p w14:paraId="643FF837" w14:textId="70DC26C2" w:rsidR="00971D9B" w:rsidRPr="003A699F" w:rsidRDefault="003F5531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CZAS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</w:tc>
        <w:tc>
          <w:tcPr>
            <w:tcW w:w="1823" w:type="pct"/>
            <w:vAlign w:val="center"/>
          </w:tcPr>
          <w:p w14:paraId="1ECD8C01" w14:textId="4DCE18F3" w:rsidR="00D35D9E" w:rsidRPr="003A699F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400709" w14:textId="152A8C5B" w:rsidR="00971D9B" w:rsidRPr="003A699F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699F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25656E" w:rsidRPr="003A699F" w14:paraId="28EA420C" w14:textId="77777777" w:rsidTr="00F8424D">
        <w:tc>
          <w:tcPr>
            <w:tcW w:w="1841" w:type="pct"/>
          </w:tcPr>
          <w:p w14:paraId="256FC7C3" w14:textId="59DB50B0" w:rsidR="002732C8" w:rsidRPr="00F8424D" w:rsidRDefault="002732C8" w:rsidP="00F8424D">
            <w:pPr>
              <w:pStyle w:val="Akapitzlist"/>
              <w:numPr>
                <w:ilvl w:val="0"/>
                <w:numId w:val="39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728AAC90" w14:textId="77533EF4" w:rsidR="00FA0576" w:rsidRPr="00F8424D" w:rsidRDefault="005E6C5C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36550C9A" w14:textId="4601DAA9" w:rsidR="005E6C5C" w:rsidRPr="00F8424D" w:rsidRDefault="005E3496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467B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800D1FF" w14:textId="6E8C623A" w:rsidR="0093291C" w:rsidRPr="00F8424D" w:rsidRDefault="0093291C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PH1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molekularny</w:t>
            </w:r>
            <w:r w:rsidR="0072612A" w:rsidRPr="00F8424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0E90A14" w14:textId="50844197" w:rsidR="00A427E1" w:rsidRPr="00F8424D" w:rsidRDefault="00A427E1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przewlekła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stadium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I-III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(eGFR&gt;30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ml/min/1,73m</w:t>
            </w:r>
            <w:r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D597AD" w14:textId="4B96FA3F" w:rsidR="000125AC" w:rsidRPr="00F8424D" w:rsidRDefault="000125AC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średnie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dobowe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wydalanie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033"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≥0,70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mmol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/1,73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1B7CF8" w:rsidRPr="00F8424D">
              <w:rPr>
                <w:rFonts w:ascii="Times New Roman" w:hAnsi="Times New Roman" w:cs="Times New Roman"/>
                <w:sz w:val="20"/>
                <w:szCs w:val="20"/>
              </w:rPr>
              <w:t>/24</w:t>
            </w:r>
            <w:r w:rsidR="00B345C9" w:rsidRPr="00F8424D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B345C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EECF26" w14:textId="2F8C7647" w:rsidR="0093291C" w:rsidRPr="00F8424D" w:rsidRDefault="00A427E1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efektywności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witaminą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842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(pirydoksyną)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rozumianej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redukcja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dobowego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wydalania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3-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miesięcznym;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8DC1F1" w14:textId="55E03B69" w:rsidR="0093291C" w:rsidRPr="00F8424D" w:rsidRDefault="0093291C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pisemna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świadoma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zgoda</w:t>
            </w:r>
            <w:r w:rsid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>na</w:t>
            </w:r>
            <w:r w:rsid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7A6A37" w:rsidRP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>;</w:t>
            </w:r>
            <w:r w:rsidR="00F8424D">
              <w:rPr>
                <w:rStyle w:val="Odwoaniedokomentarza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40B" w:rsidRPr="00F8424D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zgoda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5AB" w:rsidRPr="00F8424D">
              <w:rPr>
                <w:rFonts w:ascii="Times New Roman" w:hAnsi="Times New Roman" w:cs="Times New Roman"/>
                <w:sz w:val="20"/>
                <w:szCs w:val="20"/>
              </w:rPr>
              <w:t>prawnego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BA8FA5" w14:textId="6543E440" w:rsidR="009D272B" w:rsidRPr="00F8424D" w:rsidRDefault="005E6C5C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94526908"/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7DACBC7B" w14:textId="502E63F4" w:rsidR="00A52F53" w:rsidRDefault="00A52F53" w:rsidP="00F8424D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D6A53" w14:textId="77777777" w:rsidR="000467BB" w:rsidRPr="00F8424D" w:rsidRDefault="000467BB" w:rsidP="00F8424D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bookmarkEnd w:id="0"/>
          <w:p w14:paraId="20091F8E" w14:textId="3392D98F" w:rsidR="00306B53" w:rsidRPr="00F8424D" w:rsidRDefault="009D272B" w:rsidP="00F8424D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Kryteria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stanowiące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przeciwskazania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włączenia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206EBED3" w14:textId="3D933FB2" w:rsidR="009D272B" w:rsidRPr="00F8424D" w:rsidRDefault="00883D2F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ml/min/1,73m</w:t>
            </w:r>
            <w:r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39B7533" w14:textId="07701E60" w:rsidR="009D272B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istotne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nieprawidłowe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(ALT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46898" w:rsidRPr="00F8424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2xULN;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&gt;1,5xULN;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1,5ULN</w:t>
            </w:r>
            <w:r w:rsidR="004369A1" w:rsidRPr="00F842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BC00CE" w14:textId="0DA3A5F7" w:rsidR="00883D2F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wirusem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WZW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WZW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E31AF66" w14:textId="53EBECF1" w:rsidR="009D272B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przeszczep</w:t>
            </w:r>
            <w:r w:rsidR="0072071B" w:rsidRPr="00F8424D">
              <w:rPr>
                <w:rFonts w:ascii="Times New Roman" w:hAnsi="Times New Roman" w:cs="Times New Roman"/>
                <w:sz w:val="20"/>
                <w:szCs w:val="20"/>
              </w:rPr>
              <w:t>ienie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nerki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22AD47" w14:textId="7C990111" w:rsidR="009D272B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nietolerancja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wstrzyknię</w:t>
            </w:r>
            <w:r w:rsidR="0072071B" w:rsidRPr="00F8424D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podskórn</w:t>
            </w:r>
            <w:r w:rsidR="0072071B" w:rsidRPr="00F8424D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412FECA" w14:textId="52469FFA" w:rsidR="009D272B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ciąża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98DD3F" w14:textId="46962980" w:rsidR="009D272B" w:rsidRPr="00F8424D" w:rsidRDefault="009D272B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6D42D69" w14:textId="047349BB" w:rsidR="00FA7F78" w:rsidRPr="00F8424D" w:rsidRDefault="00FA7F78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odmowa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antykoncepcji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kobiety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rozrodczym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CD54DA" w14:textId="711D19CA" w:rsidR="005E6C5C" w:rsidRPr="00F8424D" w:rsidRDefault="00790801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istoria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nadużywania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alkoholu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niemożność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niechęć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ograniczenia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spożycia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alkoholu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272B" w:rsidRPr="00F8424D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E6C5C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7B1843" w14:textId="75AE9FCF" w:rsidR="005E6C5C" w:rsidRPr="00F8424D" w:rsidRDefault="005E6C5C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lumazyranem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sodowym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lumazyranem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sodowym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lekowego).</w:t>
            </w:r>
          </w:p>
          <w:p w14:paraId="41BDE86B" w14:textId="77777777" w:rsidR="00790801" w:rsidRPr="00F8424D" w:rsidRDefault="00790801" w:rsidP="00F8424D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B93239" w14:textId="244BC734" w:rsidR="009D272B" w:rsidRPr="00F8424D" w:rsidRDefault="009D272B" w:rsidP="00F8424D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2C877C5" w14:textId="511B1493" w:rsidR="009D272B" w:rsidRPr="00F8424D" w:rsidRDefault="009D272B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wyłączenia.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C3453B" w14:textId="77777777" w:rsidR="00790801" w:rsidRPr="00F8424D" w:rsidRDefault="00790801" w:rsidP="00F8424D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7F12C7" w14:textId="1EC7AE1A" w:rsidR="00AB3A0B" w:rsidRPr="00F8424D" w:rsidRDefault="00AB3A0B" w:rsidP="00F8424D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</w:t>
            </w:r>
            <w:r w:rsidR="00011A01"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  <w:p w14:paraId="4284216E" w14:textId="334F86B1" w:rsidR="004369A1" w:rsidRPr="00F8424D" w:rsidRDefault="004369A1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nieprawidłowe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(ALT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E79F6" w:rsidRPr="00F8424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2xULN;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&gt;1,5xULN;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1,5ULN)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DD09EF" w14:textId="62B0DB92" w:rsidR="00413A53" w:rsidRPr="00F8424D" w:rsidRDefault="00481EC7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95392045"/>
            <w:r w:rsidRPr="00F842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stwierdzony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Zespól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rozumian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redukcji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wydalania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&gt;30%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wyjściowych;</w:t>
            </w:r>
          </w:p>
          <w:bookmarkEnd w:id="1"/>
          <w:p w14:paraId="421AAFFD" w14:textId="439390A8" w:rsidR="00481EC7" w:rsidRPr="00F8424D" w:rsidRDefault="00481EC7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osiągnięcie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stadium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PChN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(eGFR&lt;30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ml/min/1,73m</w:t>
            </w:r>
            <w:r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0BA656" w14:textId="05DEE7C8" w:rsidR="00413A53" w:rsidRPr="00F8424D" w:rsidRDefault="00413A53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lek;</w:t>
            </w:r>
          </w:p>
          <w:p w14:paraId="0671695E" w14:textId="77777777" w:rsidR="00413A53" w:rsidRPr="00F8424D" w:rsidRDefault="00413A53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ciąża;</w:t>
            </w:r>
          </w:p>
          <w:p w14:paraId="47E3DE4A" w14:textId="548366B4" w:rsidR="00413A53" w:rsidRPr="00F8424D" w:rsidRDefault="00413A53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0BD39DFE" w14:textId="49342A26" w:rsidR="00413A53" w:rsidRPr="00F8424D" w:rsidRDefault="00413A53" w:rsidP="00F8424D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wirusem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WZW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WZW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C.</w:t>
            </w:r>
          </w:p>
          <w:p w14:paraId="5BE8EFDB" w14:textId="33579B9C" w:rsidR="001E0C76" w:rsidRPr="00F8424D" w:rsidRDefault="001E0C76" w:rsidP="00F8424D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pct"/>
          </w:tcPr>
          <w:p w14:paraId="551E0845" w14:textId="78221DD8" w:rsidR="006A331D" w:rsidRPr="00F8424D" w:rsidRDefault="006A331D" w:rsidP="00F8424D">
            <w:pPr>
              <w:pStyle w:val="Akapitzlist"/>
              <w:numPr>
                <w:ilvl w:val="0"/>
                <w:numId w:val="40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4FDFD0E4" w14:textId="3F010B3E" w:rsidR="00E5171A" w:rsidRPr="00F8424D" w:rsidRDefault="00A52F53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Stosowanie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Oxlumo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obejmuje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nasycające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miesiące,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podtrzymujące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ostatniej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nasycającej,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zależne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ciała:</w:t>
            </w:r>
          </w:p>
          <w:p w14:paraId="205A8C7C" w14:textId="21B27843" w:rsidR="00E5171A" w:rsidRPr="00F8424D" w:rsidRDefault="00E5171A" w:rsidP="00F8424D">
            <w:pPr>
              <w:pStyle w:val="Akapitzlist"/>
              <w:numPr>
                <w:ilvl w:val="3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masa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CCC2BF1" w14:textId="4BCF6FFF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FBE8D8C" w14:textId="3B21A108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491B42" w14:textId="321EA4CD" w:rsidR="00E5171A" w:rsidRPr="00F8424D" w:rsidRDefault="00E5171A" w:rsidP="00F8424D">
            <w:pPr>
              <w:pStyle w:val="Akapitzlist"/>
              <w:numPr>
                <w:ilvl w:val="3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masa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mniej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BA7A64A" w14:textId="283F4D22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A353A0" w14:textId="142B7D63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1536CC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CC0CF3" w14:textId="466D1850" w:rsidR="00E5171A" w:rsidRPr="00F8424D" w:rsidRDefault="00E5171A" w:rsidP="00F8424D">
            <w:pPr>
              <w:pStyle w:val="Akapitzlist"/>
              <w:numPr>
                <w:ilvl w:val="3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masa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419885D" w14:textId="18055B80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nasycająca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913991" w14:textId="77BB9F43" w:rsidR="00E5171A" w:rsidRPr="00F8424D" w:rsidRDefault="00E5171A" w:rsidP="00F8424D">
            <w:pPr>
              <w:pStyle w:val="Akapitzlist"/>
              <w:numPr>
                <w:ilvl w:val="5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podtrzymująca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m.c.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71252E" w14:textId="70B558F2" w:rsidR="00DA1041" w:rsidRPr="00F8424D" w:rsidRDefault="00DA1041" w:rsidP="00F8424D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4DC222" w14:textId="5DD7B79D" w:rsidR="00011A01" w:rsidRPr="00F8424D" w:rsidRDefault="00011A01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Szczegółowe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warunki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opisane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ChPL.</w:t>
            </w:r>
          </w:p>
        </w:tc>
        <w:tc>
          <w:tcPr>
            <w:tcW w:w="1823" w:type="pct"/>
          </w:tcPr>
          <w:p w14:paraId="2C277D00" w14:textId="7031B60D" w:rsidR="006A331D" w:rsidRPr="00F8424D" w:rsidRDefault="006A331D" w:rsidP="00F8424D">
            <w:pPr>
              <w:pStyle w:val="Akapitzlist"/>
              <w:numPr>
                <w:ilvl w:val="0"/>
                <w:numId w:val="41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37E5AB1A" w14:textId="2891ACD2" w:rsidR="00E5171A" w:rsidRPr="00F8424D" w:rsidRDefault="007D5115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omiar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wzrostu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ciała;</w:t>
            </w:r>
          </w:p>
          <w:p w14:paraId="412C55FA" w14:textId="52133FEE" w:rsidR="0011136D" w:rsidRPr="00F8424D" w:rsidRDefault="00D35D9E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rozrodczy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m;</w:t>
            </w:r>
          </w:p>
          <w:p w14:paraId="12431DCF" w14:textId="566E6C77" w:rsidR="0011136D" w:rsidRPr="00F8424D" w:rsidRDefault="0011136D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określenia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AGXT</w:t>
            </w:r>
            <w:r w:rsidR="00D95953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9F5331" w14:textId="4C1EBF27" w:rsidR="0011136D" w:rsidRPr="00F8424D" w:rsidRDefault="0011136D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przesiewowe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HBV,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HCV;</w:t>
            </w:r>
          </w:p>
          <w:p w14:paraId="4ED0F90A" w14:textId="2EC9C6A4" w:rsidR="00E5171A" w:rsidRPr="00F8424D" w:rsidRDefault="00E5171A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laboratoryjna:</w:t>
            </w:r>
          </w:p>
          <w:p w14:paraId="074F469A" w14:textId="1B888510" w:rsidR="00ED78AE" w:rsidRPr="00F8424D" w:rsidRDefault="000263EA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dwukrotna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dobowego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wydalania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(mmol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/1,73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ED78AE" w:rsidRPr="00F8424D">
              <w:rPr>
                <w:rFonts w:ascii="Times New Roman" w:hAnsi="Times New Roman" w:cs="Times New Roman"/>
                <w:sz w:val="20"/>
                <w:szCs w:val="20"/>
              </w:rPr>
              <w:t>/24h)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1EEE03B" w14:textId="73D9D269" w:rsidR="00E5171A" w:rsidRPr="00F8424D" w:rsidRDefault="00F8424D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badani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krwi: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kreatynina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oceną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(formuła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MDRD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dorosłych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Schwartz’a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dzieci),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mocznik,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kwas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787" w:rsidRPr="00F8424D">
              <w:rPr>
                <w:rFonts w:ascii="Times New Roman" w:hAnsi="Times New Roman" w:cs="Times New Roman"/>
                <w:sz w:val="20"/>
                <w:szCs w:val="20"/>
              </w:rPr>
              <w:t>moczowy,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białko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całkowite,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albumina,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AST,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ALT,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ALP,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bilirubina,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elektrolity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(sód,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potas,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wapń,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fosforany,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chlorki),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układ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krzepnięcia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protrombinowy,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tromboplastyny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aktywacji-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APTT,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międzynarodowy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współczynnik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znormalizowany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171A" w:rsidRPr="00F8424D">
              <w:rPr>
                <w:rFonts w:ascii="Times New Roman" w:hAnsi="Times New Roman" w:cs="Times New Roman"/>
                <w:sz w:val="20"/>
                <w:szCs w:val="20"/>
              </w:rPr>
              <w:t>INR)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gazometria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07DA" w:rsidRPr="00F8424D">
              <w:rPr>
                <w:rFonts w:ascii="Times New Roman" w:hAnsi="Times New Roman" w:cs="Times New Roman"/>
                <w:sz w:val="20"/>
                <w:szCs w:val="20"/>
              </w:rPr>
              <w:t>żylnej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544473B" w14:textId="3A12E804" w:rsidR="0011136D" w:rsidRPr="00F8424D" w:rsidRDefault="00D05D69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883D2F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4B4303" w14:textId="54B91172" w:rsidR="0011136D" w:rsidRPr="00F8424D" w:rsidRDefault="00E5171A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moczowego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765EF1" w14:textId="77777777" w:rsidR="00011A01" w:rsidRPr="00F8424D" w:rsidRDefault="00011A01" w:rsidP="00F8424D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1FFFF" w14:textId="3D0C529F" w:rsidR="00011A01" w:rsidRPr="00F8424D" w:rsidRDefault="007E2D4B" w:rsidP="00F8424D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242F8B96" w14:textId="0669F6C4" w:rsidR="00301A8E" w:rsidRPr="00F8424D" w:rsidRDefault="00F8424D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27E1" w:rsidRPr="00F8424D">
              <w:rPr>
                <w:rFonts w:ascii="Times New Roman" w:hAnsi="Times New Roman" w:cs="Times New Roman"/>
                <w:sz w:val="20"/>
                <w:szCs w:val="20"/>
              </w:rPr>
              <w:t>sześciu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dokonywać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będzie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36D" w:rsidRPr="00F8424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65070D" w:rsidRP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0ABE47" w14:textId="4C11C982" w:rsidR="00301A8E" w:rsidRPr="00F8424D" w:rsidRDefault="0065070D" w:rsidP="00F8424D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1A8E" w:rsidRPr="00F842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301A8E" w:rsidRPr="00F8424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A3279E4" w14:textId="60948606" w:rsidR="00301A8E" w:rsidRPr="00F8424D" w:rsidRDefault="00D35D9E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01A8E" w:rsidRPr="00F8424D">
              <w:rPr>
                <w:rFonts w:ascii="Times New Roman" w:hAnsi="Times New Roman" w:cs="Times New Roman"/>
                <w:sz w:val="20"/>
                <w:szCs w:val="20"/>
              </w:rPr>
              <w:t>omiar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1A8E" w:rsidRPr="00F8424D">
              <w:rPr>
                <w:rFonts w:ascii="Times New Roman" w:hAnsi="Times New Roman" w:cs="Times New Roman"/>
                <w:sz w:val="20"/>
                <w:szCs w:val="20"/>
              </w:rPr>
              <w:t>wzrostu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6A37" w:rsidRPr="00F8424D">
              <w:rPr>
                <w:rFonts w:ascii="Times New Roman" w:hAnsi="Times New Roman" w:cs="Times New Roman"/>
                <w:sz w:val="20"/>
                <w:szCs w:val="20"/>
              </w:rPr>
              <w:t>(pacjenci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6A37" w:rsidRPr="00F8424D">
              <w:rPr>
                <w:rFonts w:ascii="Times New Roman" w:hAnsi="Times New Roman" w:cs="Times New Roman"/>
                <w:sz w:val="20"/>
                <w:szCs w:val="20"/>
              </w:rPr>
              <w:t>pediatryczni)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B53" w:rsidRPr="00F842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B53" w:rsidRPr="00F8424D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B53" w:rsidRPr="00F8424D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04D0889" w14:textId="743EEC20" w:rsidR="008C3604" w:rsidRPr="00F8424D" w:rsidRDefault="008C3604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laboratoryjna:</w:t>
            </w:r>
          </w:p>
          <w:p w14:paraId="06081E2E" w14:textId="1780C3D3" w:rsidR="008C3604" w:rsidRPr="00F8424D" w:rsidRDefault="00A427E1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dwukrotna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dobowego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wydalania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(mmol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/1,73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4C12" w:rsidRPr="00F8424D">
              <w:rPr>
                <w:rFonts w:ascii="Times New Roman" w:hAnsi="Times New Roman" w:cs="Times New Roman"/>
                <w:sz w:val="20"/>
                <w:szCs w:val="20"/>
              </w:rPr>
              <w:t>m2/24h)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6ADE403" w14:textId="2A2C70FB" w:rsidR="00130E0A" w:rsidRPr="00F8424D" w:rsidRDefault="001B7CF8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krwi: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morfologia,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kreatynina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oceną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(formuła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MDRD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dorosłych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Schwartz’a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dzieci),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mocznik,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kwas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moczowy,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białko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całkowite,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albumina,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AST,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ALT,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ALP,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bilirubina,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elektrolity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(sód,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potas,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wapń,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fosforany,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chlorki),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układ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krzepnięcia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(czas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protrombinowy,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tromboplastyny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aktywacji-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APTT,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międzynarodowy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współczynnik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znormalizowany-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INR),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gazometria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żylnej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413203B" w14:textId="5AD2F098" w:rsidR="00D95953" w:rsidRPr="00F8424D" w:rsidRDefault="008C3604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D69" w:rsidRPr="00F8424D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D69" w:rsidRPr="00F8424D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1FB30C3" w14:textId="69814497" w:rsidR="004105D9" w:rsidRPr="00F8424D" w:rsidRDefault="004105D9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USG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moczowego,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uznania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konieczne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EF58A50" w14:textId="05F7145F" w:rsidR="00011A01" w:rsidRDefault="00F66A9F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w/w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dokonywaną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Koordynacyjny.</w:t>
            </w:r>
          </w:p>
          <w:p w14:paraId="2BD780B7" w14:textId="77777777" w:rsidR="00F8424D" w:rsidRPr="00F8424D" w:rsidRDefault="00F8424D" w:rsidP="00F8424D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65EFC" w14:textId="21273E08" w:rsidR="007E2D4B" w:rsidRPr="00F8424D" w:rsidRDefault="007E2D4B" w:rsidP="00F8424D">
            <w:pPr>
              <w:numPr>
                <w:ilvl w:val="0"/>
                <w:numId w:val="41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F842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F8424D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4EC6B6CC" w14:textId="72D5230D" w:rsidR="007E2D4B" w:rsidRPr="00F8424D" w:rsidRDefault="00F8424D" w:rsidP="00F8424D">
            <w:pPr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romadzenie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55659AD" w14:textId="02B67730" w:rsidR="00FB5971" w:rsidRPr="00F8424D" w:rsidRDefault="00F8424D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72141048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zupełnianie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rejestrze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(SMPT)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D4B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FB5971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5971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5971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B5971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FB5971" w:rsidRPr="00F8424D">
              <w:rPr>
                <w:rFonts w:ascii="Times New Roman" w:hAnsi="Times New Roman" w:cs="Times New Roman"/>
                <w:sz w:val="20"/>
                <w:szCs w:val="20"/>
              </w:rPr>
              <w:t>rzekazywanie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971" w:rsidRPr="00F8424D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971" w:rsidRPr="00F8424D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971" w:rsidRPr="00F8424D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971" w:rsidRPr="00F8424D">
              <w:rPr>
                <w:rFonts w:ascii="Times New Roman" w:hAnsi="Times New Roman" w:cs="Times New Roman"/>
                <w:sz w:val="20"/>
                <w:szCs w:val="20"/>
              </w:rPr>
              <w:t>efektywności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5D16C95" w14:textId="6651EB19" w:rsidR="00306B53" w:rsidRPr="00F8424D" w:rsidRDefault="00306B53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procentowa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dobowego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wydalania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szczawianów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moczem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3C0B" w:rsidRPr="00F8424D">
              <w:rPr>
                <w:rFonts w:ascii="Times New Roman" w:hAnsi="Times New Roman" w:cs="Times New Roman"/>
                <w:sz w:val="20"/>
                <w:szCs w:val="20"/>
              </w:rPr>
              <w:t>(mmol/1,73m</w:t>
            </w:r>
            <w:r w:rsidR="00DF3C0B" w:rsidRPr="00F842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DF3C0B" w:rsidRPr="00F8424D">
              <w:rPr>
                <w:rFonts w:ascii="Times New Roman" w:hAnsi="Times New Roman" w:cs="Times New Roman"/>
                <w:sz w:val="20"/>
                <w:szCs w:val="20"/>
              </w:rPr>
              <w:t>/24h)</w:t>
            </w:r>
            <w:r w:rsidR="00A52F53" w:rsidRPr="00F842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5F945D" w14:textId="22AB37DA" w:rsidR="007E2D4B" w:rsidRPr="00F8424D" w:rsidRDefault="00FB5971" w:rsidP="00F8424D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zmiana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610A" w:rsidRPr="00F8424D">
              <w:rPr>
                <w:rFonts w:ascii="Times New Roman" w:hAnsi="Times New Roman" w:cs="Times New Roman"/>
                <w:sz w:val="20"/>
                <w:szCs w:val="20"/>
              </w:rPr>
              <w:t>funkcji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610A" w:rsidRPr="00F8424D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610A" w:rsidRPr="00F8424D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610A" w:rsidRPr="00F8424D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610A" w:rsidRPr="00F8424D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współczynnika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424D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r w:rsidR="00F842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bookmarkEnd w:id="2"/>
          <w:p w14:paraId="727CE127" w14:textId="4BA19F6C" w:rsidR="00B20109" w:rsidRPr="00F8424D" w:rsidRDefault="007E2D4B" w:rsidP="00F8424D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Narodowy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</w:t>
            </w:r>
            <w:r w:rsid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</w:t>
            </w:r>
            <w:r w:rsidR="00D35D9E" w:rsidRPr="00F8424D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7335FAE" w14:textId="42EBFE05" w:rsidR="00FB5971" w:rsidRPr="00F8424D" w:rsidRDefault="00FB5971" w:rsidP="00F8424D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F483CD" w14:textId="77777777" w:rsidR="00104C31" w:rsidRDefault="00104C31"/>
    <w:sectPr w:rsidR="00104C31" w:rsidSect="00AD7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24C0" w14:textId="77777777" w:rsidR="008D59D5" w:rsidRDefault="008D59D5" w:rsidP="0061616F">
      <w:pPr>
        <w:spacing w:after="0" w:line="240" w:lineRule="auto"/>
      </w:pPr>
      <w:r>
        <w:separator/>
      </w:r>
    </w:p>
  </w:endnote>
  <w:endnote w:type="continuationSeparator" w:id="0">
    <w:p w14:paraId="13C25332" w14:textId="77777777" w:rsidR="008D59D5" w:rsidRDefault="008D59D5" w:rsidP="0061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F5B2" w14:textId="77777777" w:rsidR="00F71E34" w:rsidRDefault="00F71E3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D53B" w14:textId="77777777" w:rsidR="00F71E34" w:rsidRDefault="00F71E3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0140" w14:textId="77777777" w:rsidR="00F71E34" w:rsidRDefault="00F71E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EB40" w14:textId="77777777" w:rsidR="008D59D5" w:rsidRDefault="008D59D5" w:rsidP="0061616F">
      <w:pPr>
        <w:spacing w:after="0" w:line="240" w:lineRule="auto"/>
      </w:pPr>
      <w:r>
        <w:separator/>
      </w:r>
    </w:p>
  </w:footnote>
  <w:footnote w:type="continuationSeparator" w:id="0">
    <w:p w14:paraId="75E11228" w14:textId="77777777" w:rsidR="008D59D5" w:rsidRDefault="008D59D5" w:rsidP="00616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8EE2" w14:textId="77777777" w:rsidR="00F71E34" w:rsidRDefault="00F71E3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65F" w14:textId="77777777" w:rsidR="00F71E34" w:rsidRDefault="00F71E3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3129" w14:textId="77777777" w:rsidR="00F71E34" w:rsidRDefault="00F71E3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C4341"/>
    <w:multiLevelType w:val="hybridMultilevel"/>
    <w:tmpl w:val="CB1743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C749B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90D5BDC"/>
    <w:multiLevelType w:val="multilevel"/>
    <w:tmpl w:val="6922BFD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0D49A9"/>
    <w:multiLevelType w:val="multilevel"/>
    <w:tmpl w:val="E3FCF0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B7A098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00E0FCA"/>
    <w:multiLevelType w:val="hybridMultilevel"/>
    <w:tmpl w:val="09D6D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A29AB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1FAEAA08">
      <w:start w:val="1"/>
      <w:numFmt w:val="bullet"/>
      <w:lvlText w:val=""/>
      <w:lvlJc w:val="left"/>
      <w:pPr>
        <w:ind w:left="2685" w:hanging="705"/>
      </w:pPr>
      <w:rPr>
        <w:rFonts w:ascii="Symbol" w:eastAsiaTheme="minorHAnsi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B444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10C34E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2F6292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9709AB"/>
    <w:multiLevelType w:val="multilevel"/>
    <w:tmpl w:val="55FAB6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93A65"/>
    <w:multiLevelType w:val="hybridMultilevel"/>
    <w:tmpl w:val="B5900218"/>
    <w:lvl w:ilvl="0" w:tplc="393AEF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03A799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370DF"/>
    <w:multiLevelType w:val="multilevel"/>
    <w:tmpl w:val="C9E29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101644B"/>
    <w:multiLevelType w:val="multilevel"/>
    <w:tmpl w:val="B80E5FD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2A95E7C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7093F82"/>
    <w:multiLevelType w:val="hybridMultilevel"/>
    <w:tmpl w:val="014C12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211AB"/>
    <w:multiLevelType w:val="hybridMultilevel"/>
    <w:tmpl w:val="8D2405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87D6A"/>
    <w:multiLevelType w:val="hybridMultilevel"/>
    <w:tmpl w:val="61AA4D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31DE5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9DF51C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BA26EB8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3C6A6A04"/>
    <w:multiLevelType w:val="hybridMultilevel"/>
    <w:tmpl w:val="A38CAB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50AA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47292233"/>
    <w:multiLevelType w:val="hybridMultilevel"/>
    <w:tmpl w:val="535C64EE"/>
    <w:lvl w:ilvl="0" w:tplc="04150001">
      <w:start w:val="1"/>
      <w:numFmt w:val="bullet"/>
      <w:lvlText w:val=""/>
      <w:lvlJc w:val="left"/>
      <w:pPr>
        <w:ind w:left="846" w:hanging="705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227EE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4D3F34EA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51852420"/>
    <w:multiLevelType w:val="hybridMultilevel"/>
    <w:tmpl w:val="F5B0F43E"/>
    <w:lvl w:ilvl="0" w:tplc="EE1A23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1EC5254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A09E39B4">
      <w:start w:val="1"/>
      <w:numFmt w:val="bullet"/>
      <w:lvlText w:val="•"/>
      <w:lvlJc w:val="left"/>
      <w:pPr>
        <w:ind w:left="2685" w:hanging="705"/>
      </w:pPr>
      <w:rPr>
        <w:rFonts w:ascii="Times New Roman" w:eastAsiaTheme="minorHAnsi" w:hAnsi="Times New Roman" w:cs="Times New Roman" w:hint="default"/>
      </w:rPr>
    </w:lvl>
    <w:lvl w:ilvl="3" w:tplc="9A0E9EEE">
      <w:start w:val="1"/>
      <w:numFmt w:val="bullet"/>
      <w:lvlText w:val=""/>
      <w:lvlJc w:val="left"/>
      <w:pPr>
        <w:ind w:left="3225" w:hanging="705"/>
      </w:pPr>
      <w:rPr>
        <w:rFonts w:ascii="Symbol" w:eastAsiaTheme="minorHAnsi" w:hAnsi="Symbol" w:cs="Times New Roman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436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55C80EB3"/>
    <w:multiLevelType w:val="multilevel"/>
    <w:tmpl w:val="38C0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7E11FAF"/>
    <w:multiLevelType w:val="multilevel"/>
    <w:tmpl w:val="40EA9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8EE5AE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621039E4"/>
    <w:multiLevelType w:val="hybridMultilevel"/>
    <w:tmpl w:val="4A867A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4125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275766C"/>
    <w:multiLevelType w:val="multilevel"/>
    <w:tmpl w:val="142654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385287D"/>
    <w:multiLevelType w:val="hybridMultilevel"/>
    <w:tmpl w:val="5DAAA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42CFC"/>
    <w:multiLevelType w:val="hybridMultilevel"/>
    <w:tmpl w:val="F05452D0"/>
    <w:lvl w:ilvl="0" w:tplc="7A4A0B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43C41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753D0802"/>
    <w:multiLevelType w:val="hybridMultilevel"/>
    <w:tmpl w:val="C17E8B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4610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7B84508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7B8D2F10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0" w15:restartNumberingAfterBreak="0">
    <w:nsid w:val="7D625F76"/>
    <w:multiLevelType w:val="hybridMultilevel"/>
    <w:tmpl w:val="37088A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4"/>
  </w:num>
  <w:num w:numId="4">
    <w:abstractNumId w:val="11"/>
  </w:num>
  <w:num w:numId="5">
    <w:abstractNumId w:val="36"/>
  </w:num>
  <w:num w:numId="6">
    <w:abstractNumId w:val="40"/>
  </w:num>
  <w:num w:numId="7">
    <w:abstractNumId w:val="15"/>
  </w:num>
  <w:num w:numId="8">
    <w:abstractNumId w:val="9"/>
  </w:num>
  <w:num w:numId="9">
    <w:abstractNumId w:val="33"/>
  </w:num>
  <w:num w:numId="10">
    <w:abstractNumId w:val="30"/>
  </w:num>
  <w:num w:numId="11">
    <w:abstractNumId w:val="20"/>
  </w:num>
  <w:num w:numId="12">
    <w:abstractNumId w:val="32"/>
  </w:num>
  <w:num w:numId="13">
    <w:abstractNumId w:val="3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21"/>
  </w:num>
  <w:num w:numId="16">
    <w:abstractNumId w:val="17"/>
  </w:num>
  <w:num w:numId="17">
    <w:abstractNumId w:val="12"/>
  </w:num>
  <w:num w:numId="18">
    <w:abstractNumId w:val="27"/>
  </w:num>
  <w:num w:numId="19">
    <w:abstractNumId w:val="14"/>
  </w:num>
  <w:num w:numId="20">
    <w:abstractNumId w:val="16"/>
  </w:num>
  <w:num w:numId="21">
    <w:abstractNumId w:val="24"/>
  </w:num>
  <w:num w:numId="22">
    <w:abstractNumId w:val="13"/>
  </w:num>
  <w:num w:numId="23">
    <w:abstractNumId w:val="18"/>
  </w:num>
  <w:num w:numId="24">
    <w:abstractNumId w:val="19"/>
  </w:num>
  <w:num w:numId="25">
    <w:abstractNumId w:val="37"/>
  </w:num>
  <w:num w:numId="26">
    <w:abstractNumId w:val="26"/>
  </w:num>
  <w:num w:numId="27">
    <w:abstractNumId w:val="6"/>
  </w:num>
  <w:num w:numId="28">
    <w:abstractNumId w:val="25"/>
  </w:num>
  <w:num w:numId="29">
    <w:abstractNumId w:val="3"/>
  </w:num>
  <w:num w:numId="30">
    <w:abstractNumId w:val="10"/>
  </w:num>
  <w:num w:numId="31">
    <w:abstractNumId w:val="8"/>
  </w:num>
  <w:num w:numId="32">
    <w:abstractNumId w:val="5"/>
  </w:num>
  <w:num w:numId="33">
    <w:abstractNumId w:val="1"/>
  </w:num>
  <w:num w:numId="34">
    <w:abstractNumId w:val="31"/>
  </w:num>
  <w:num w:numId="35">
    <w:abstractNumId w:val="29"/>
  </w:num>
  <w:num w:numId="36">
    <w:abstractNumId w:val="22"/>
  </w:num>
  <w:num w:numId="37">
    <w:abstractNumId w:val="0"/>
  </w:num>
  <w:num w:numId="38">
    <w:abstractNumId w:val="4"/>
  </w:num>
  <w:num w:numId="39">
    <w:abstractNumId w:val="7"/>
  </w:num>
  <w:num w:numId="40">
    <w:abstractNumId w:val="3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MDocumentId" w:val="EMEA_DMS!404598379.1"/>
    <w:docVar w:name="DMDocumentLibraryName" w:val="EMEA_DMS"/>
    <w:docVar w:name="DMReference" w:val="404598379-v2\EMEA_DMS"/>
  </w:docVars>
  <w:rsids>
    <w:rsidRoot w:val="00971D9B"/>
    <w:rsid w:val="00000263"/>
    <w:rsid w:val="000042CB"/>
    <w:rsid w:val="00011A01"/>
    <w:rsid w:val="000125AC"/>
    <w:rsid w:val="000179EB"/>
    <w:rsid w:val="00024FC0"/>
    <w:rsid w:val="000252C9"/>
    <w:rsid w:val="000263EA"/>
    <w:rsid w:val="0003037D"/>
    <w:rsid w:val="00032EC5"/>
    <w:rsid w:val="00037106"/>
    <w:rsid w:val="00037CFA"/>
    <w:rsid w:val="00046005"/>
    <w:rsid w:val="000467BB"/>
    <w:rsid w:val="00057A87"/>
    <w:rsid w:val="00060DB6"/>
    <w:rsid w:val="000640CC"/>
    <w:rsid w:val="00065DBA"/>
    <w:rsid w:val="00070AD8"/>
    <w:rsid w:val="000821A5"/>
    <w:rsid w:val="00085755"/>
    <w:rsid w:val="00097E02"/>
    <w:rsid w:val="000A0CB0"/>
    <w:rsid w:val="000B0278"/>
    <w:rsid w:val="000B5F9E"/>
    <w:rsid w:val="000B6367"/>
    <w:rsid w:val="000C6C35"/>
    <w:rsid w:val="000D0E52"/>
    <w:rsid w:val="000E79F6"/>
    <w:rsid w:val="000F39D8"/>
    <w:rsid w:val="000F50AA"/>
    <w:rsid w:val="000F77EF"/>
    <w:rsid w:val="00101076"/>
    <w:rsid w:val="0010159E"/>
    <w:rsid w:val="00104C31"/>
    <w:rsid w:val="00110032"/>
    <w:rsid w:val="0011136D"/>
    <w:rsid w:val="0011386C"/>
    <w:rsid w:val="00121A99"/>
    <w:rsid w:val="0012493A"/>
    <w:rsid w:val="00127F97"/>
    <w:rsid w:val="00130E0A"/>
    <w:rsid w:val="00132EAC"/>
    <w:rsid w:val="0014213C"/>
    <w:rsid w:val="001430A2"/>
    <w:rsid w:val="0014576A"/>
    <w:rsid w:val="001536CC"/>
    <w:rsid w:val="00154A12"/>
    <w:rsid w:val="00157D9D"/>
    <w:rsid w:val="00165B47"/>
    <w:rsid w:val="00165B8E"/>
    <w:rsid w:val="001743F0"/>
    <w:rsid w:val="001746F7"/>
    <w:rsid w:val="00195EAC"/>
    <w:rsid w:val="001B7CF8"/>
    <w:rsid w:val="001C30BB"/>
    <w:rsid w:val="001C3CA1"/>
    <w:rsid w:val="001C5F00"/>
    <w:rsid w:val="001D120F"/>
    <w:rsid w:val="001D793D"/>
    <w:rsid w:val="001E0C76"/>
    <w:rsid w:val="001E47C7"/>
    <w:rsid w:val="001E6CE7"/>
    <w:rsid w:val="0020079E"/>
    <w:rsid w:val="00202A04"/>
    <w:rsid w:val="00212B6F"/>
    <w:rsid w:val="002201C7"/>
    <w:rsid w:val="00221F54"/>
    <w:rsid w:val="00226CB5"/>
    <w:rsid w:val="002311E9"/>
    <w:rsid w:val="00231D81"/>
    <w:rsid w:val="002435D3"/>
    <w:rsid w:val="002441C5"/>
    <w:rsid w:val="0025478C"/>
    <w:rsid w:val="0025656E"/>
    <w:rsid w:val="00257206"/>
    <w:rsid w:val="00263665"/>
    <w:rsid w:val="00267CCC"/>
    <w:rsid w:val="002732C8"/>
    <w:rsid w:val="00284757"/>
    <w:rsid w:val="00291F18"/>
    <w:rsid w:val="00295848"/>
    <w:rsid w:val="002A0765"/>
    <w:rsid w:val="002B34A7"/>
    <w:rsid w:val="002B4593"/>
    <w:rsid w:val="002C3124"/>
    <w:rsid w:val="002C65CE"/>
    <w:rsid w:val="002C6D94"/>
    <w:rsid w:val="002D2DC4"/>
    <w:rsid w:val="002E1826"/>
    <w:rsid w:val="002F196E"/>
    <w:rsid w:val="00301A8E"/>
    <w:rsid w:val="00306B53"/>
    <w:rsid w:val="00314453"/>
    <w:rsid w:val="00333676"/>
    <w:rsid w:val="00336C2D"/>
    <w:rsid w:val="00344227"/>
    <w:rsid w:val="00361F3B"/>
    <w:rsid w:val="00376787"/>
    <w:rsid w:val="00381374"/>
    <w:rsid w:val="00381A9F"/>
    <w:rsid w:val="00381E4D"/>
    <w:rsid w:val="00382F66"/>
    <w:rsid w:val="003A20A5"/>
    <w:rsid w:val="003A3E38"/>
    <w:rsid w:val="003A699F"/>
    <w:rsid w:val="003B3CF5"/>
    <w:rsid w:val="003B5B5B"/>
    <w:rsid w:val="003C1F80"/>
    <w:rsid w:val="003C42CC"/>
    <w:rsid w:val="003C51C0"/>
    <w:rsid w:val="003C6619"/>
    <w:rsid w:val="003D1606"/>
    <w:rsid w:val="003D2959"/>
    <w:rsid w:val="003D60C1"/>
    <w:rsid w:val="003D7CFD"/>
    <w:rsid w:val="003E1CE2"/>
    <w:rsid w:val="003E7F52"/>
    <w:rsid w:val="003F5531"/>
    <w:rsid w:val="003F66BF"/>
    <w:rsid w:val="0040465B"/>
    <w:rsid w:val="00405EB8"/>
    <w:rsid w:val="0041002D"/>
    <w:rsid w:val="004105D9"/>
    <w:rsid w:val="00413A53"/>
    <w:rsid w:val="00414073"/>
    <w:rsid w:val="0042013B"/>
    <w:rsid w:val="00422D4D"/>
    <w:rsid w:val="00432394"/>
    <w:rsid w:val="004343AD"/>
    <w:rsid w:val="004369A1"/>
    <w:rsid w:val="00436A95"/>
    <w:rsid w:val="00454FFD"/>
    <w:rsid w:val="004701FE"/>
    <w:rsid w:val="00471EBA"/>
    <w:rsid w:val="00481EC7"/>
    <w:rsid w:val="00482098"/>
    <w:rsid w:val="0048640D"/>
    <w:rsid w:val="00491495"/>
    <w:rsid w:val="0049237F"/>
    <w:rsid w:val="004A79E8"/>
    <w:rsid w:val="004C4819"/>
    <w:rsid w:val="004D1919"/>
    <w:rsid w:val="004D1FAC"/>
    <w:rsid w:val="004D7A56"/>
    <w:rsid w:val="004E3993"/>
    <w:rsid w:val="004E61E0"/>
    <w:rsid w:val="004F44F0"/>
    <w:rsid w:val="004F60CA"/>
    <w:rsid w:val="004F65E6"/>
    <w:rsid w:val="004F7967"/>
    <w:rsid w:val="00501D31"/>
    <w:rsid w:val="00502399"/>
    <w:rsid w:val="00502A6C"/>
    <w:rsid w:val="005061A3"/>
    <w:rsid w:val="00507208"/>
    <w:rsid w:val="00507EF5"/>
    <w:rsid w:val="00520033"/>
    <w:rsid w:val="00521964"/>
    <w:rsid w:val="005226C0"/>
    <w:rsid w:val="005254FC"/>
    <w:rsid w:val="005356A5"/>
    <w:rsid w:val="00536C47"/>
    <w:rsid w:val="00551B15"/>
    <w:rsid w:val="00551B6C"/>
    <w:rsid w:val="00553D1B"/>
    <w:rsid w:val="00555C07"/>
    <w:rsid w:val="00555F20"/>
    <w:rsid w:val="00565C76"/>
    <w:rsid w:val="00567268"/>
    <w:rsid w:val="00570B23"/>
    <w:rsid w:val="00571ECD"/>
    <w:rsid w:val="00572E12"/>
    <w:rsid w:val="00573D99"/>
    <w:rsid w:val="00586699"/>
    <w:rsid w:val="0058740B"/>
    <w:rsid w:val="005A21C5"/>
    <w:rsid w:val="005A38EC"/>
    <w:rsid w:val="005A3FC7"/>
    <w:rsid w:val="005B1A82"/>
    <w:rsid w:val="005B3B41"/>
    <w:rsid w:val="005C183B"/>
    <w:rsid w:val="005C1950"/>
    <w:rsid w:val="005C1E24"/>
    <w:rsid w:val="005C4C1A"/>
    <w:rsid w:val="005D61A9"/>
    <w:rsid w:val="005E0501"/>
    <w:rsid w:val="005E3496"/>
    <w:rsid w:val="005E6C5C"/>
    <w:rsid w:val="005F5546"/>
    <w:rsid w:val="005F6AA0"/>
    <w:rsid w:val="0060135D"/>
    <w:rsid w:val="006026D9"/>
    <w:rsid w:val="0061225C"/>
    <w:rsid w:val="0061616F"/>
    <w:rsid w:val="00626814"/>
    <w:rsid w:val="006269DA"/>
    <w:rsid w:val="00626F2A"/>
    <w:rsid w:val="00627CA3"/>
    <w:rsid w:val="006445AF"/>
    <w:rsid w:val="00644898"/>
    <w:rsid w:val="0064522A"/>
    <w:rsid w:val="0065070D"/>
    <w:rsid w:val="006545A7"/>
    <w:rsid w:val="0066408B"/>
    <w:rsid w:val="006710D9"/>
    <w:rsid w:val="00684593"/>
    <w:rsid w:val="0069017F"/>
    <w:rsid w:val="00691ED4"/>
    <w:rsid w:val="00692362"/>
    <w:rsid w:val="00697073"/>
    <w:rsid w:val="006A331D"/>
    <w:rsid w:val="006A7391"/>
    <w:rsid w:val="006B4A15"/>
    <w:rsid w:val="006B7D75"/>
    <w:rsid w:val="006C7772"/>
    <w:rsid w:val="006D77CF"/>
    <w:rsid w:val="006F4868"/>
    <w:rsid w:val="006F6DCE"/>
    <w:rsid w:val="00705EF6"/>
    <w:rsid w:val="007114B8"/>
    <w:rsid w:val="00711FFE"/>
    <w:rsid w:val="00717D49"/>
    <w:rsid w:val="0072071B"/>
    <w:rsid w:val="00722124"/>
    <w:rsid w:val="007232E5"/>
    <w:rsid w:val="0072612A"/>
    <w:rsid w:val="00727A11"/>
    <w:rsid w:val="00730BF0"/>
    <w:rsid w:val="0074396B"/>
    <w:rsid w:val="00757AF5"/>
    <w:rsid w:val="0076048F"/>
    <w:rsid w:val="00763F41"/>
    <w:rsid w:val="007670B5"/>
    <w:rsid w:val="00770FE9"/>
    <w:rsid w:val="007737FC"/>
    <w:rsid w:val="007750BA"/>
    <w:rsid w:val="00776516"/>
    <w:rsid w:val="007773E1"/>
    <w:rsid w:val="00781AD4"/>
    <w:rsid w:val="00790801"/>
    <w:rsid w:val="00793B0E"/>
    <w:rsid w:val="007A030B"/>
    <w:rsid w:val="007A387B"/>
    <w:rsid w:val="007A411E"/>
    <w:rsid w:val="007A6A37"/>
    <w:rsid w:val="007B2050"/>
    <w:rsid w:val="007B5B0A"/>
    <w:rsid w:val="007C09C3"/>
    <w:rsid w:val="007C0D63"/>
    <w:rsid w:val="007C0E9C"/>
    <w:rsid w:val="007C32D0"/>
    <w:rsid w:val="007C5755"/>
    <w:rsid w:val="007D4346"/>
    <w:rsid w:val="007D5115"/>
    <w:rsid w:val="007E16D6"/>
    <w:rsid w:val="007E2D4B"/>
    <w:rsid w:val="007F0BB4"/>
    <w:rsid w:val="0081296A"/>
    <w:rsid w:val="00821E0C"/>
    <w:rsid w:val="0082462E"/>
    <w:rsid w:val="00836318"/>
    <w:rsid w:val="008363E1"/>
    <w:rsid w:val="00837403"/>
    <w:rsid w:val="00847ACF"/>
    <w:rsid w:val="00852B9E"/>
    <w:rsid w:val="00857A0A"/>
    <w:rsid w:val="008615AB"/>
    <w:rsid w:val="008648FE"/>
    <w:rsid w:val="00873A12"/>
    <w:rsid w:val="0088078B"/>
    <w:rsid w:val="008819F6"/>
    <w:rsid w:val="00883D2F"/>
    <w:rsid w:val="00897076"/>
    <w:rsid w:val="008A0E08"/>
    <w:rsid w:val="008A462F"/>
    <w:rsid w:val="008B2E89"/>
    <w:rsid w:val="008C3604"/>
    <w:rsid w:val="008D59D5"/>
    <w:rsid w:val="008F6A3E"/>
    <w:rsid w:val="009015D8"/>
    <w:rsid w:val="00902BD7"/>
    <w:rsid w:val="009107DA"/>
    <w:rsid w:val="00910FB3"/>
    <w:rsid w:val="00911E98"/>
    <w:rsid w:val="009248AB"/>
    <w:rsid w:val="0093291C"/>
    <w:rsid w:val="009330F0"/>
    <w:rsid w:val="00945AF5"/>
    <w:rsid w:val="009518FB"/>
    <w:rsid w:val="00951F22"/>
    <w:rsid w:val="00955703"/>
    <w:rsid w:val="00960E9C"/>
    <w:rsid w:val="00971D9B"/>
    <w:rsid w:val="00974E59"/>
    <w:rsid w:val="00984E77"/>
    <w:rsid w:val="00985537"/>
    <w:rsid w:val="00990DD7"/>
    <w:rsid w:val="009A44A0"/>
    <w:rsid w:val="009B1961"/>
    <w:rsid w:val="009B63BC"/>
    <w:rsid w:val="009C46FB"/>
    <w:rsid w:val="009C652E"/>
    <w:rsid w:val="009C6984"/>
    <w:rsid w:val="009D272B"/>
    <w:rsid w:val="009D3EF2"/>
    <w:rsid w:val="009E1F23"/>
    <w:rsid w:val="00A01999"/>
    <w:rsid w:val="00A0275A"/>
    <w:rsid w:val="00A109DC"/>
    <w:rsid w:val="00A11A11"/>
    <w:rsid w:val="00A25D8E"/>
    <w:rsid w:val="00A319C5"/>
    <w:rsid w:val="00A327CF"/>
    <w:rsid w:val="00A37960"/>
    <w:rsid w:val="00A427E1"/>
    <w:rsid w:val="00A46898"/>
    <w:rsid w:val="00A52F53"/>
    <w:rsid w:val="00A61087"/>
    <w:rsid w:val="00A70DDF"/>
    <w:rsid w:val="00A73DE7"/>
    <w:rsid w:val="00A75FB2"/>
    <w:rsid w:val="00A817EC"/>
    <w:rsid w:val="00A86450"/>
    <w:rsid w:val="00A900FD"/>
    <w:rsid w:val="00AA409E"/>
    <w:rsid w:val="00AB3A0B"/>
    <w:rsid w:val="00AC6E9D"/>
    <w:rsid w:val="00AD7A41"/>
    <w:rsid w:val="00AE3AF7"/>
    <w:rsid w:val="00AE58B2"/>
    <w:rsid w:val="00AF19B4"/>
    <w:rsid w:val="00B033C8"/>
    <w:rsid w:val="00B1223A"/>
    <w:rsid w:val="00B20109"/>
    <w:rsid w:val="00B21EAF"/>
    <w:rsid w:val="00B345C9"/>
    <w:rsid w:val="00B4095C"/>
    <w:rsid w:val="00B419F9"/>
    <w:rsid w:val="00B557A7"/>
    <w:rsid w:val="00B62522"/>
    <w:rsid w:val="00B65FB5"/>
    <w:rsid w:val="00B73A19"/>
    <w:rsid w:val="00B74973"/>
    <w:rsid w:val="00B94D40"/>
    <w:rsid w:val="00B95DBC"/>
    <w:rsid w:val="00BA117B"/>
    <w:rsid w:val="00BA2262"/>
    <w:rsid w:val="00BA4C12"/>
    <w:rsid w:val="00BA5E23"/>
    <w:rsid w:val="00BA6566"/>
    <w:rsid w:val="00BC15BC"/>
    <w:rsid w:val="00BC26E2"/>
    <w:rsid w:val="00BE5CDA"/>
    <w:rsid w:val="00BE610A"/>
    <w:rsid w:val="00BF0632"/>
    <w:rsid w:val="00BF4172"/>
    <w:rsid w:val="00BF4564"/>
    <w:rsid w:val="00C0353C"/>
    <w:rsid w:val="00C05FC8"/>
    <w:rsid w:val="00C06F5B"/>
    <w:rsid w:val="00C16698"/>
    <w:rsid w:val="00C22001"/>
    <w:rsid w:val="00C24014"/>
    <w:rsid w:val="00C2450A"/>
    <w:rsid w:val="00C41232"/>
    <w:rsid w:val="00C43BFC"/>
    <w:rsid w:val="00C445BF"/>
    <w:rsid w:val="00C472DF"/>
    <w:rsid w:val="00C47399"/>
    <w:rsid w:val="00C55AB2"/>
    <w:rsid w:val="00C61692"/>
    <w:rsid w:val="00C62C88"/>
    <w:rsid w:val="00C649BB"/>
    <w:rsid w:val="00C70B44"/>
    <w:rsid w:val="00C71551"/>
    <w:rsid w:val="00C71C78"/>
    <w:rsid w:val="00C87B2A"/>
    <w:rsid w:val="00C95719"/>
    <w:rsid w:val="00CA2C66"/>
    <w:rsid w:val="00CB171E"/>
    <w:rsid w:val="00CB5CF8"/>
    <w:rsid w:val="00CB6912"/>
    <w:rsid w:val="00CC29D9"/>
    <w:rsid w:val="00CC47D5"/>
    <w:rsid w:val="00CD60CD"/>
    <w:rsid w:val="00CD735D"/>
    <w:rsid w:val="00CE3BDE"/>
    <w:rsid w:val="00CF046A"/>
    <w:rsid w:val="00CF0C0F"/>
    <w:rsid w:val="00CF3431"/>
    <w:rsid w:val="00CF560C"/>
    <w:rsid w:val="00D05D69"/>
    <w:rsid w:val="00D118E2"/>
    <w:rsid w:val="00D26ACB"/>
    <w:rsid w:val="00D30C8B"/>
    <w:rsid w:val="00D35D9E"/>
    <w:rsid w:val="00D36F79"/>
    <w:rsid w:val="00D451F1"/>
    <w:rsid w:val="00D51394"/>
    <w:rsid w:val="00D5370A"/>
    <w:rsid w:val="00D55BEF"/>
    <w:rsid w:val="00D567C1"/>
    <w:rsid w:val="00D63815"/>
    <w:rsid w:val="00D639E9"/>
    <w:rsid w:val="00D64C2D"/>
    <w:rsid w:val="00D74864"/>
    <w:rsid w:val="00D74BBF"/>
    <w:rsid w:val="00D7564E"/>
    <w:rsid w:val="00D77F63"/>
    <w:rsid w:val="00D810F0"/>
    <w:rsid w:val="00D85BB9"/>
    <w:rsid w:val="00D909FE"/>
    <w:rsid w:val="00D90D29"/>
    <w:rsid w:val="00D91C5B"/>
    <w:rsid w:val="00D95953"/>
    <w:rsid w:val="00D96AB7"/>
    <w:rsid w:val="00DA1041"/>
    <w:rsid w:val="00DA78E2"/>
    <w:rsid w:val="00DB2809"/>
    <w:rsid w:val="00DB5B9C"/>
    <w:rsid w:val="00DB62A6"/>
    <w:rsid w:val="00DC5CFF"/>
    <w:rsid w:val="00DD0ED2"/>
    <w:rsid w:val="00DD1AA4"/>
    <w:rsid w:val="00DD2250"/>
    <w:rsid w:val="00DD575A"/>
    <w:rsid w:val="00DE2B35"/>
    <w:rsid w:val="00DE5F0E"/>
    <w:rsid w:val="00DE6208"/>
    <w:rsid w:val="00DF3C0B"/>
    <w:rsid w:val="00E019BE"/>
    <w:rsid w:val="00E01CCD"/>
    <w:rsid w:val="00E10E03"/>
    <w:rsid w:val="00E20941"/>
    <w:rsid w:val="00E21754"/>
    <w:rsid w:val="00E302B5"/>
    <w:rsid w:val="00E41982"/>
    <w:rsid w:val="00E44AE0"/>
    <w:rsid w:val="00E4542D"/>
    <w:rsid w:val="00E5155B"/>
    <w:rsid w:val="00E5171A"/>
    <w:rsid w:val="00E67ABB"/>
    <w:rsid w:val="00E83968"/>
    <w:rsid w:val="00E845E0"/>
    <w:rsid w:val="00E871E2"/>
    <w:rsid w:val="00E90D4A"/>
    <w:rsid w:val="00E91A3A"/>
    <w:rsid w:val="00E95808"/>
    <w:rsid w:val="00E96108"/>
    <w:rsid w:val="00EA2D63"/>
    <w:rsid w:val="00EA395C"/>
    <w:rsid w:val="00EB5044"/>
    <w:rsid w:val="00EC5D86"/>
    <w:rsid w:val="00ED1C0C"/>
    <w:rsid w:val="00ED56CD"/>
    <w:rsid w:val="00ED6C58"/>
    <w:rsid w:val="00ED78AE"/>
    <w:rsid w:val="00EE16EC"/>
    <w:rsid w:val="00EE3CD4"/>
    <w:rsid w:val="00EE4335"/>
    <w:rsid w:val="00EE67EE"/>
    <w:rsid w:val="00EF2163"/>
    <w:rsid w:val="00F051CF"/>
    <w:rsid w:val="00F05B75"/>
    <w:rsid w:val="00F11F6F"/>
    <w:rsid w:val="00F25E0F"/>
    <w:rsid w:val="00F32A87"/>
    <w:rsid w:val="00F6562C"/>
    <w:rsid w:val="00F66A9F"/>
    <w:rsid w:val="00F71E34"/>
    <w:rsid w:val="00F75F54"/>
    <w:rsid w:val="00F8208B"/>
    <w:rsid w:val="00F8424D"/>
    <w:rsid w:val="00F8641C"/>
    <w:rsid w:val="00F9513E"/>
    <w:rsid w:val="00FA0576"/>
    <w:rsid w:val="00FA1A89"/>
    <w:rsid w:val="00FA72B1"/>
    <w:rsid w:val="00FA7F78"/>
    <w:rsid w:val="00FB5526"/>
    <w:rsid w:val="00FB5971"/>
    <w:rsid w:val="00FC3710"/>
    <w:rsid w:val="00FC373E"/>
    <w:rsid w:val="00FC796B"/>
    <w:rsid w:val="00FD325C"/>
    <w:rsid w:val="00FD6682"/>
    <w:rsid w:val="00FD7FA8"/>
    <w:rsid w:val="00FF3AE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254C8"/>
  <w15:docId w15:val="{879A6DE0-48E2-4470-8F16-F14A4E5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0B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locked/>
    <w:rsid w:val="00D567C1"/>
  </w:style>
  <w:style w:type="paragraph" w:styleId="Nagwek">
    <w:name w:val="header"/>
    <w:basedOn w:val="Normalny"/>
    <w:link w:val="NagwekZnak"/>
    <w:uiPriority w:val="99"/>
    <w:unhideWhenUsed/>
    <w:rsid w:val="00616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616F"/>
  </w:style>
  <w:style w:type="paragraph" w:styleId="Stopka">
    <w:name w:val="footer"/>
    <w:basedOn w:val="Normalny"/>
    <w:link w:val="StopkaZnak"/>
    <w:uiPriority w:val="99"/>
    <w:unhideWhenUsed/>
    <w:rsid w:val="00616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616F"/>
  </w:style>
  <w:style w:type="paragraph" w:customStyle="1" w:styleId="Default">
    <w:name w:val="Default"/>
    <w:rsid w:val="00781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p r o p e r t i e s   x m l n s = " h t t p : / / w w w . i m a n a g e . c o m / w o r k / x m l s c h e m a " >  
     < d o c u m e n t i d > E M E A _ D M S ! 4 0 4 5 9 8 3 7 9 . 2 < / d o c u m e n t i d >  
     < s e n d e r i d > W A R J S K < / s e n d e r i d >  
     < s e n d e r e m a i l > J U L I U S Z . K R Z Y Z A N O W S K I @ B A K E R M C K E N Z I E . C O M < / s e n d e r e m a i l >  
     < l a s t m o d i f i e d > 2 0 2 1 - 1 0 - 1 1 T 2 2 : 2 2 : 0 0 . 0 0 0 0 0 0 0 + 0 2 : 0 0 < / l a s t m o d i f i e d >  
     < d a t a b a s e > E M E A _ D M S < / d a t a b a s e >  
 < / p r o p e r t i e s > 
</file>

<file path=customXml/itemProps1.xml><?xml version="1.0" encoding="utf-8"?>
<ds:datastoreItem xmlns:ds="http://schemas.openxmlformats.org/officeDocument/2006/customXml" ds:itemID="{E7C1BD92-7ED5-4095-89AD-FC46EF049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232A89-664D-5E47-8C8B-D636C91044EB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829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Królak-Buzakowska Joanna</cp:lastModifiedBy>
  <cp:revision>5</cp:revision>
  <dcterms:created xsi:type="dcterms:W3CDTF">2022-02-10T12:24:00Z</dcterms:created>
  <dcterms:modified xsi:type="dcterms:W3CDTF">2022-02-10T14:18:00Z</dcterms:modified>
</cp:coreProperties>
</file>