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0D7B" w14:textId="14F2CF08" w:rsidR="004D20F1" w:rsidRPr="004D20F1" w:rsidRDefault="004D20F1" w:rsidP="004D20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Cs w:val="24"/>
          <w:lang w:eastAsia="pl-PL"/>
        </w:rPr>
      </w:pPr>
      <w:r w:rsidRPr="004D20F1">
        <w:rPr>
          <w:rFonts w:ascii="Times New Roman" w:eastAsia="Times New Roman" w:hAnsi="Times New Roman"/>
          <w:szCs w:val="24"/>
          <w:lang w:eastAsia="pl-PL"/>
        </w:rPr>
        <w:t>Załącznik</w:t>
      </w:r>
      <w:r w:rsidR="009F5217">
        <w:rPr>
          <w:rFonts w:ascii="Times New Roman" w:eastAsia="Times New Roman" w:hAnsi="Times New Roman"/>
          <w:szCs w:val="24"/>
          <w:lang w:eastAsia="pl-PL"/>
        </w:rPr>
        <w:t xml:space="preserve"> </w:t>
      </w:r>
      <w:r w:rsidRPr="004D20F1">
        <w:rPr>
          <w:rFonts w:ascii="Times New Roman" w:eastAsia="Times New Roman" w:hAnsi="Times New Roman"/>
          <w:szCs w:val="24"/>
          <w:lang w:eastAsia="pl-PL"/>
        </w:rPr>
        <w:t>B.</w:t>
      </w:r>
      <w:r w:rsidR="006A5806">
        <w:rPr>
          <w:rFonts w:ascii="Times New Roman" w:eastAsia="Times New Roman" w:hAnsi="Times New Roman"/>
          <w:szCs w:val="24"/>
          <w:lang w:eastAsia="pl-PL"/>
        </w:rPr>
        <w:t>131</w:t>
      </w:r>
      <w:r w:rsidRPr="004D20F1">
        <w:rPr>
          <w:rFonts w:ascii="Times New Roman" w:eastAsia="Times New Roman" w:hAnsi="Times New Roman"/>
          <w:szCs w:val="24"/>
          <w:lang w:eastAsia="pl-PL"/>
        </w:rPr>
        <w:t>.</w:t>
      </w:r>
    </w:p>
    <w:p w14:paraId="5E04ABFD" w14:textId="77777777" w:rsidR="004D20F1" w:rsidRPr="004D20F1" w:rsidRDefault="004D20F1" w:rsidP="004D20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Cs w:val="24"/>
          <w:lang w:eastAsia="pl-PL"/>
        </w:rPr>
      </w:pPr>
    </w:p>
    <w:p w14:paraId="276952BF" w14:textId="2CE9C7F7" w:rsidR="009F0D67" w:rsidRPr="004D20F1" w:rsidRDefault="009F0D67" w:rsidP="004D20F1">
      <w:pPr>
        <w:spacing w:after="240" w:line="240" w:lineRule="auto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r w:rsidRPr="00F6783D">
        <w:rPr>
          <w:rFonts w:ascii="Times New Roman" w:eastAsia="Times New Roman" w:hAnsi="Times New Roman"/>
          <w:b/>
          <w:sz w:val="28"/>
          <w:szCs w:val="28"/>
          <w:lang w:eastAsia="pl-PL"/>
        </w:rPr>
        <w:t>LECZENIE</w:t>
      </w:r>
      <w:r w:rsidR="009F5217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="00660668">
        <w:rPr>
          <w:rFonts w:ascii="Times New Roman" w:eastAsia="Times New Roman" w:hAnsi="Times New Roman"/>
          <w:b/>
          <w:sz w:val="28"/>
          <w:szCs w:val="28"/>
          <w:lang w:eastAsia="pl-PL"/>
        </w:rPr>
        <w:t>PACJENTÓW</w:t>
      </w:r>
      <w:r w:rsidR="009F5217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="00660668">
        <w:rPr>
          <w:rFonts w:ascii="Times New Roman" w:eastAsia="Times New Roman" w:hAnsi="Times New Roman"/>
          <w:b/>
          <w:sz w:val="28"/>
          <w:szCs w:val="28"/>
          <w:lang w:eastAsia="pl-PL"/>
        </w:rPr>
        <w:t>Z</w:t>
      </w:r>
      <w:r w:rsidR="009F5217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F6783D">
        <w:rPr>
          <w:rFonts w:ascii="Times New Roman" w:eastAsia="Times New Roman" w:hAnsi="Times New Roman"/>
          <w:b/>
          <w:sz w:val="28"/>
          <w:szCs w:val="28"/>
          <w:lang w:eastAsia="pl-PL"/>
        </w:rPr>
        <w:t>IDIOPATYCZN</w:t>
      </w:r>
      <w:r w:rsidR="00660668">
        <w:rPr>
          <w:rFonts w:ascii="Times New Roman" w:eastAsia="Times New Roman" w:hAnsi="Times New Roman"/>
          <w:b/>
          <w:sz w:val="28"/>
          <w:szCs w:val="28"/>
          <w:lang w:eastAsia="pl-PL"/>
        </w:rPr>
        <w:t>Ą</w:t>
      </w:r>
      <w:r w:rsidR="009F5217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F6783D">
        <w:rPr>
          <w:rFonts w:ascii="Times New Roman" w:eastAsia="Times New Roman" w:hAnsi="Times New Roman"/>
          <w:b/>
          <w:sz w:val="28"/>
          <w:szCs w:val="28"/>
          <w:lang w:eastAsia="pl-PL"/>
        </w:rPr>
        <w:t>WIELOOGNISKOW</w:t>
      </w:r>
      <w:r w:rsidR="00660668">
        <w:rPr>
          <w:rFonts w:ascii="Times New Roman" w:eastAsia="Times New Roman" w:hAnsi="Times New Roman"/>
          <w:b/>
          <w:sz w:val="28"/>
          <w:szCs w:val="28"/>
          <w:lang w:eastAsia="pl-PL"/>
        </w:rPr>
        <w:t>Ą</w:t>
      </w:r>
      <w:r w:rsidR="009F5217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F6783D">
        <w:rPr>
          <w:rFonts w:ascii="Times New Roman" w:eastAsia="Times New Roman" w:hAnsi="Times New Roman"/>
          <w:b/>
          <w:sz w:val="28"/>
          <w:szCs w:val="28"/>
          <w:lang w:eastAsia="pl-PL"/>
        </w:rPr>
        <w:t>CHOROB</w:t>
      </w:r>
      <w:r w:rsidR="00660668">
        <w:rPr>
          <w:rFonts w:ascii="Times New Roman" w:eastAsia="Times New Roman" w:hAnsi="Times New Roman"/>
          <w:b/>
          <w:sz w:val="28"/>
          <w:szCs w:val="28"/>
          <w:lang w:eastAsia="pl-PL"/>
        </w:rPr>
        <w:t>Ą</w:t>
      </w:r>
      <w:r w:rsidR="009F5217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F6783D">
        <w:rPr>
          <w:rFonts w:ascii="Times New Roman" w:eastAsia="Times New Roman" w:hAnsi="Times New Roman"/>
          <w:b/>
          <w:sz w:val="28"/>
          <w:szCs w:val="28"/>
          <w:lang w:eastAsia="pl-PL"/>
        </w:rPr>
        <w:t>CASTLEMANA</w:t>
      </w:r>
      <w:r w:rsidR="009F5217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F6783D">
        <w:rPr>
          <w:rFonts w:ascii="Times New Roman" w:eastAsia="Times New Roman" w:hAnsi="Times New Roman"/>
          <w:b/>
          <w:sz w:val="28"/>
          <w:szCs w:val="28"/>
          <w:lang w:eastAsia="pl-PL"/>
        </w:rPr>
        <w:t>(</w:t>
      </w:r>
      <w:r w:rsidRPr="00125937">
        <w:rPr>
          <w:rFonts w:ascii="Times New Roman" w:eastAsia="Times New Roman" w:hAnsi="Times New Roman"/>
          <w:b/>
          <w:sz w:val="28"/>
          <w:szCs w:val="28"/>
          <w:lang w:eastAsia="pl-PL"/>
        </w:rPr>
        <w:t>ICD-10</w:t>
      </w:r>
      <w:r w:rsidR="004D20F1" w:rsidRPr="00125937">
        <w:rPr>
          <w:rFonts w:ascii="Times New Roman" w:eastAsia="Times New Roman" w:hAnsi="Times New Roman"/>
          <w:b/>
          <w:sz w:val="28"/>
          <w:szCs w:val="28"/>
          <w:lang w:eastAsia="pl-PL"/>
        </w:rPr>
        <w:t>:</w:t>
      </w:r>
      <w:r w:rsidR="009F5217" w:rsidRPr="00125937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125937">
        <w:rPr>
          <w:rFonts w:ascii="Times New Roman" w:eastAsia="Times New Roman" w:hAnsi="Times New Roman"/>
          <w:b/>
          <w:sz w:val="28"/>
          <w:szCs w:val="28"/>
          <w:lang w:eastAsia="pl-PL"/>
        </w:rPr>
        <w:t>D47.</w:t>
      </w:r>
      <w:r w:rsidR="00F03FD0" w:rsidRPr="00125937">
        <w:rPr>
          <w:rFonts w:ascii="Times New Roman" w:eastAsia="Times New Roman" w:hAnsi="Times New Roman"/>
          <w:b/>
          <w:sz w:val="28"/>
          <w:szCs w:val="28"/>
          <w:lang w:eastAsia="pl-PL"/>
        </w:rPr>
        <w:t>7</w:t>
      </w:r>
      <w:r w:rsidRPr="00125937">
        <w:rPr>
          <w:rFonts w:ascii="Times New Roman" w:eastAsia="Times New Roman" w:hAnsi="Times New Roman"/>
          <w:b/>
          <w:sz w:val="28"/>
          <w:szCs w:val="28"/>
          <w:lang w:eastAsia="pl-PL"/>
        </w:rPr>
        <w:t>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2"/>
        <w:gridCol w:w="4111"/>
        <w:gridCol w:w="5609"/>
      </w:tblGrid>
      <w:tr w:rsidR="009F0D67" w:rsidRPr="00110935" w14:paraId="7F5CAC13" w14:textId="77777777" w:rsidTr="004D20F1">
        <w:trPr>
          <w:trHeight w:val="567"/>
        </w:trPr>
        <w:tc>
          <w:tcPr>
            <w:tcW w:w="153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82F56" w14:textId="25D9229A" w:rsidR="009F0D67" w:rsidRPr="00110935" w:rsidRDefault="009F0D67" w:rsidP="0011093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11093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ZAKRES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11093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ŚWIADCZENIA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11093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GWARANTOWANEGO</w:t>
            </w:r>
          </w:p>
        </w:tc>
      </w:tr>
      <w:tr w:rsidR="009F0D67" w:rsidRPr="00110935" w14:paraId="3E319AFC" w14:textId="77777777" w:rsidTr="009F5217">
        <w:trPr>
          <w:trHeight w:val="567"/>
        </w:trPr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25572" w14:textId="77777777" w:rsidR="009F0D67" w:rsidRPr="00110935" w:rsidRDefault="009F0D67" w:rsidP="0011093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11093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4ADF1" w14:textId="64AE537E" w:rsidR="009F0D67" w:rsidRPr="00110935" w:rsidRDefault="009F0D67" w:rsidP="0011093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11093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SCHEMAT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11093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11093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11093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11093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19A84" w14:textId="0EC5EDA1" w:rsidR="009F0D67" w:rsidRPr="00110935" w:rsidRDefault="009F0D67" w:rsidP="0011093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11093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11093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DIAGNOSTYCZNE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11093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WYKONYWANE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11093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11093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110935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</w:tc>
      </w:tr>
      <w:tr w:rsidR="009F0D67" w:rsidRPr="00110935" w14:paraId="5FBD9E12" w14:textId="77777777" w:rsidTr="009F5217">
        <w:trPr>
          <w:trHeight w:val="20"/>
        </w:trPr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39802" w14:textId="0E8CEF48" w:rsidR="009F0D67" w:rsidRPr="009F5217" w:rsidRDefault="009F0D67" w:rsidP="009F521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5ABB2BC3" w14:textId="01E9E61C" w:rsidR="009F0D67" w:rsidRPr="009F5217" w:rsidRDefault="009F0D67" w:rsidP="009F521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musi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spełniać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wszystkie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poniższe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włączenia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programu.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598ACA08" w14:textId="546E8A3F" w:rsidR="009F0D67" w:rsidRPr="009F5217" w:rsidRDefault="009F0D67" w:rsidP="009F5217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potwierdzona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wieloogniskowa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postać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Castlemana</w:t>
            </w:r>
            <w:proofErr w:type="spellEnd"/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3C7567DA" w14:textId="15241268" w:rsidR="009F0D67" w:rsidRPr="009F5217" w:rsidRDefault="009F0D67" w:rsidP="009F5217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wiek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powyżej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18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roku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życia;</w:t>
            </w:r>
          </w:p>
          <w:p w14:paraId="7F1DF2F4" w14:textId="76CA7C31" w:rsidR="009F0D67" w:rsidRPr="009F5217" w:rsidRDefault="009F0D67" w:rsidP="009F5217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ujemne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wyniki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badań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kierunku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zakażenia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wirusem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HIV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oraz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HHV-8;</w:t>
            </w:r>
          </w:p>
          <w:p w14:paraId="3AFE75E6" w14:textId="3A6EB68A" w:rsidR="009F0D67" w:rsidRPr="009F5217" w:rsidRDefault="009F0D67" w:rsidP="009F5217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czynnego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zakażenia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WZW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B;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4EFDCAC0" w14:textId="6865F5A9" w:rsidR="009F0D67" w:rsidRPr="009F5217" w:rsidRDefault="009F0D67" w:rsidP="009F5217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odpowiednia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wydolność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szpiku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oceniana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wyników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badań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laboratoryjnych:</w:t>
            </w:r>
          </w:p>
          <w:p w14:paraId="79580B8D" w14:textId="3CE0BF1F" w:rsidR="009F0D67" w:rsidRPr="009F5217" w:rsidRDefault="009F0D67" w:rsidP="009F5217">
            <w:pPr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całkowita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liczba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neutrofilów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≥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1,0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x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10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pl-PL"/>
              </w:rPr>
              <w:t>9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/l,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41C01E54" w14:textId="5CA7DE93" w:rsidR="009F0D67" w:rsidRPr="009F5217" w:rsidRDefault="009F0D67" w:rsidP="009F5217">
            <w:pPr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liczba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płytek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≥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50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x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10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pl-PL"/>
              </w:rPr>
              <w:t>9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/l,</w:t>
            </w:r>
          </w:p>
          <w:p w14:paraId="02584AF8" w14:textId="2C0247CF" w:rsidR="009F0D67" w:rsidRPr="009F5217" w:rsidRDefault="009F0D67" w:rsidP="009F5217">
            <w:pPr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hemoglobina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&lt;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170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g/l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(10,6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mmol</w:t>
            </w:r>
            <w:proofErr w:type="spellEnd"/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/l);</w:t>
            </w:r>
          </w:p>
          <w:p w14:paraId="1040C664" w14:textId="38EADB0C" w:rsidR="009F0D67" w:rsidRPr="009F5217" w:rsidRDefault="009F0D67" w:rsidP="009F5217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skutecznej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metody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antykoncepcji;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2007A9F2" w14:textId="31E6636E" w:rsidR="009F0D67" w:rsidRPr="009F5217" w:rsidRDefault="009F0D67" w:rsidP="009F5217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występowania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chłoniaka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wywiadzie.</w:t>
            </w:r>
          </w:p>
          <w:p w14:paraId="610F7B8F" w14:textId="77777777" w:rsidR="009F0D67" w:rsidRPr="009F5217" w:rsidRDefault="009F0D67" w:rsidP="009F5217">
            <w:pPr>
              <w:autoSpaceDE w:val="0"/>
              <w:autoSpaceDN w:val="0"/>
              <w:adjustRightInd w:val="0"/>
              <w:spacing w:after="60"/>
              <w:ind w:left="284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2A040434" w14:textId="46443EF1" w:rsidR="009F0D67" w:rsidRPr="009F5217" w:rsidRDefault="009F0D67" w:rsidP="009F5217">
            <w:pPr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Ponadto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lekowego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kwalifikowani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są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również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pacjenci,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którzy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byli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F5217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siltuksymabem</w:t>
            </w:r>
            <w:proofErr w:type="spellEnd"/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ramach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innego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sposobu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finansowania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wyjątkiem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badań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klinicznych),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warunkiem,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chwili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rozpoczęcia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spełniali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lekowego.</w:t>
            </w:r>
          </w:p>
          <w:p w14:paraId="7721FDE7" w14:textId="77777777" w:rsidR="009F0D67" w:rsidRPr="009F5217" w:rsidRDefault="009F0D67" w:rsidP="009F5217">
            <w:pPr>
              <w:autoSpaceDE w:val="0"/>
              <w:autoSpaceDN w:val="0"/>
              <w:adjustRightIn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6E167DE7" w14:textId="729200C3" w:rsidR="009F0D67" w:rsidRPr="009F5217" w:rsidRDefault="009F0D67" w:rsidP="009F5217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6FE8F1D7" w14:textId="05AA17A3" w:rsidR="009F0D67" w:rsidRPr="009F5217" w:rsidRDefault="009F0D67" w:rsidP="009F521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Czas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kryteriów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programu.</w:t>
            </w:r>
          </w:p>
          <w:p w14:paraId="53136E36" w14:textId="1C964272" w:rsidR="009F0D67" w:rsidRPr="009F5217" w:rsidRDefault="009F0D67" w:rsidP="009F521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F5217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siltuksymabem</w:t>
            </w:r>
            <w:proofErr w:type="spellEnd"/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powinno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wstrzymane,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jeśli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zakażenie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jakiekolwiek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toksyczne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działanie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niehematologiczne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wznowione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tej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samej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dawce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wyleczeniu.</w:t>
            </w:r>
          </w:p>
          <w:p w14:paraId="2B77E762" w14:textId="77777777" w:rsidR="009F0D67" w:rsidRPr="009F5217" w:rsidRDefault="009F0D67" w:rsidP="009F5217">
            <w:pPr>
              <w:autoSpaceDE w:val="0"/>
              <w:autoSpaceDN w:val="0"/>
              <w:adjustRightInd w:val="0"/>
              <w:spacing w:after="6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</w:p>
          <w:p w14:paraId="31F4654E" w14:textId="60D740E0" w:rsidR="009F0D67" w:rsidRPr="009F5217" w:rsidRDefault="009F0D67" w:rsidP="009F5217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wyłączenia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z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  <w:p w14:paraId="07DF3EDA" w14:textId="2494027F" w:rsidR="009F0D67" w:rsidRPr="009F5217" w:rsidRDefault="009F0D67" w:rsidP="009F5217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objawów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nadwrażliwości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F5217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siltuksyma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</w:t>
            </w:r>
            <w:proofErr w:type="spellEnd"/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którykolwiek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składników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preparatu;</w:t>
            </w:r>
          </w:p>
          <w:p w14:paraId="1A7AD8AF" w14:textId="1D471C7F" w:rsidR="009F0D67" w:rsidRPr="009F5217" w:rsidRDefault="009F0D67" w:rsidP="009F5217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toksyczności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powyżej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</w:t>
            </w:r>
            <w:r w:rsidR="00341BE1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341BE1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stopnia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według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WHO;</w:t>
            </w:r>
          </w:p>
          <w:p w14:paraId="75D780D8" w14:textId="72F44D15" w:rsidR="009F0D67" w:rsidRPr="009F5217" w:rsidRDefault="009F0D67" w:rsidP="009F5217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utrzymujący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się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przez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≥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3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tygodnie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wzrost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nasilenia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(≥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2.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stopnia)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objawów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związanych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z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chorobą;</w:t>
            </w:r>
          </w:p>
          <w:p w14:paraId="6776E56A" w14:textId="4E2DF36F" w:rsidR="009F0D67" w:rsidRPr="009F5217" w:rsidRDefault="009F0D67" w:rsidP="009F5217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pojawienie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się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nowych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objawów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związanych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z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chorobą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o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nasileniu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≥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3.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stopnia;</w:t>
            </w:r>
          </w:p>
          <w:p w14:paraId="574BF297" w14:textId="4ABA7422" w:rsidR="009F0D67" w:rsidRPr="009F5217" w:rsidRDefault="009F0D67" w:rsidP="009F5217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pogorszenie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stanu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sprawności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ogólnej,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tj.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utrzymujący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się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przez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≥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3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tygodnie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wzrost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o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&gt;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1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punkt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skali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ECOG;</w:t>
            </w:r>
          </w:p>
          <w:p w14:paraId="17A677F4" w14:textId="6A954EA1" w:rsidR="009F0D67" w:rsidRPr="009F5217" w:rsidRDefault="009F0D67" w:rsidP="009F5217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progresja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choroby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potwierdzona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badaniu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tomografii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komputerowej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węzłów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chłonnych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na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podstawie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zmodyfikowanych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kryteriów</w:t>
            </w:r>
            <w:r w:rsid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ScalaLancetPro" w:hAnsi="Times New Roman"/>
                <w:sz w:val="20"/>
                <w:szCs w:val="20"/>
                <w:lang w:eastAsia="pl-PL"/>
              </w:rPr>
              <w:t>Lugano;</w:t>
            </w:r>
          </w:p>
          <w:p w14:paraId="68549119" w14:textId="49B16BA8" w:rsidR="009F0D67" w:rsidRPr="009F5217" w:rsidRDefault="009F0D67" w:rsidP="009F5217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ciąża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laktacja.</w:t>
            </w:r>
          </w:p>
          <w:p w14:paraId="286857DA" w14:textId="77777777" w:rsidR="009F0D67" w:rsidRPr="009F5217" w:rsidRDefault="009F0D67" w:rsidP="009F5217">
            <w:pPr>
              <w:autoSpaceDE w:val="0"/>
              <w:autoSpaceDN w:val="0"/>
              <w:adjustRightInd w:val="0"/>
              <w:spacing w:after="6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F10C0" w14:textId="53621FFF" w:rsidR="009F0D67" w:rsidRPr="009F5217" w:rsidRDefault="009F0D67" w:rsidP="009F5217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</w:p>
          <w:p w14:paraId="65326552" w14:textId="1DD4D4A8" w:rsidR="009F0D67" w:rsidRPr="009F5217" w:rsidRDefault="009F0D67" w:rsidP="009F521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Dawkowanie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F5217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siltuksymabu</w:t>
            </w:r>
            <w:proofErr w:type="spellEnd"/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Charakterystyką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Produktu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Leczniczego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aktualną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dzień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objęcia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refundacją.</w:t>
            </w:r>
          </w:p>
          <w:p w14:paraId="5965F73E" w14:textId="77777777" w:rsidR="009F0D67" w:rsidRPr="009F5217" w:rsidRDefault="009F0D67" w:rsidP="009F5217">
            <w:pPr>
              <w:autoSpaceDE w:val="0"/>
              <w:autoSpaceDN w:val="0"/>
              <w:adjustRightInd w:val="0"/>
              <w:spacing w:after="60"/>
              <w:ind w:left="213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37CAFA6A" w14:textId="77777777" w:rsidR="009F0D67" w:rsidRPr="009F5217" w:rsidRDefault="009F0D67" w:rsidP="009F5217">
            <w:pPr>
              <w:autoSpaceDE w:val="0"/>
              <w:autoSpaceDN w:val="0"/>
              <w:adjustRightInd w:val="0"/>
              <w:spacing w:after="60"/>
              <w:ind w:left="213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00F575C6" w14:textId="77777777" w:rsidR="009F0D67" w:rsidRPr="009F5217" w:rsidRDefault="009F0D67" w:rsidP="009F5217">
            <w:pPr>
              <w:autoSpaceDE w:val="0"/>
              <w:autoSpaceDN w:val="0"/>
              <w:adjustRightInd w:val="0"/>
              <w:spacing w:after="60"/>
              <w:ind w:left="213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63B3E86C" w14:textId="77777777" w:rsidR="009F0D67" w:rsidRPr="009F5217" w:rsidRDefault="009F0D67" w:rsidP="009F5217">
            <w:pPr>
              <w:autoSpaceDE w:val="0"/>
              <w:autoSpaceDN w:val="0"/>
              <w:adjustRightInd w:val="0"/>
              <w:spacing w:after="60"/>
              <w:ind w:left="213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8599F" w14:textId="5D8725D8" w:rsidR="009F0D67" w:rsidRPr="009F5217" w:rsidRDefault="009F0D67" w:rsidP="009F5217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/>
              <w:contextualSpacing w:val="0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przy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77C2D44B" w14:textId="26EEDA8C" w:rsidR="009F0D67" w:rsidRPr="009F5217" w:rsidRDefault="009F0D67" w:rsidP="009F5217">
            <w:pPr>
              <w:numPr>
                <w:ilvl w:val="3"/>
                <w:numId w:val="13"/>
              </w:num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morfologia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krwi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rozmazem,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CRP,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albumin;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08572F8B" w14:textId="790CAFB1" w:rsidR="009F0D67" w:rsidRPr="009F5217" w:rsidRDefault="009F0D67" w:rsidP="009F5217">
            <w:pPr>
              <w:numPr>
                <w:ilvl w:val="3"/>
                <w:numId w:val="13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profil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nerkowy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(stężenie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kreatyniny,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mocznika,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potasu,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sodu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kwasu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moczowego,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GFR);</w:t>
            </w:r>
          </w:p>
          <w:p w14:paraId="13C7A95C" w14:textId="06FD0638" w:rsidR="009F0D67" w:rsidRPr="009F5217" w:rsidRDefault="009F0D67" w:rsidP="009F5217">
            <w:pPr>
              <w:numPr>
                <w:ilvl w:val="3"/>
                <w:numId w:val="13"/>
              </w:numPr>
              <w:tabs>
                <w:tab w:val="left" w:pos="388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aktywność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AspAT,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AIAT,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bilirubiny;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6DB8FB4C" w14:textId="175469A1" w:rsidR="009F0D67" w:rsidRPr="009F5217" w:rsidRDefault="009F0D67" w:rsidP="009F5217">
            <w:pPr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kierunku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zakażenia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HIV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(test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przesiewowy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HIV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Ag/Ab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umożliwiający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wykrycie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antygenu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p24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oraz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przeciwciał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anty-HIV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1/2)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oraz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HHV-8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(badanie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LANA-1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immunohistochemii</w:t>
            </w:r>
            <w:proofErr w:type="spellEnd"/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metoda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reakcji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łańcuchowej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polimerazy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PCR);</w:t>
            </w:r>
          </w:p>
          <w:p w14:paraId="6C8D7A62" w14:textId="1D83C9E4" w:rsidR="009F0D67" w:rsidRPr="009F5217" w:rsidRDefault="009F0D67" w:rsidP="009F5217">
            <w:pPr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przesiewowe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kierunku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zakażenia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HBV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</w:t>
            </w:r>
            <w:proofErr w:type="spellStart"/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HBsAg</w:t>
            </w:r>
            <w:proofErr w:type="spellEnd"/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HBcAb</w:t>
            </w:r>
            <w:proofErr w:type="spellEnd"/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dodatniego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wyniku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HBsAg</w:t>
            </w:r>
            <w:proofErr w:type="spellEnd"/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HBcAb</w:t>
            </w:r>
            <w:proofErr w:type="spellEnd"/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HBV-DNA);</w:t>
            </w:r>
          </w:p>
          <w:p w14:paraId="0A9CF179" w14:textId="32048501" w:rsidR="009F0D67" w:rsidRPr="009F5217" w:rsidRDefault="009F0D67" w:rsidP="009F5217">
            <w:pPr>
              <w:numPr>
                <w:ilvl w:val="3"/>
                <w:numId w:val="13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test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ciążowy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gonadotropiny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kosmówkowej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moczu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krwi);</w:t>
            </w:r>
          </w:p>
          <w:p w14:paraId="41E869C7" w14:textId="7C8A2242" w:rsidR="009F0D67" w:rsidRPr="009F5217" w:rsidRDefault="009F0D67" w:rsidP="009F5217">
            <w:pPr>
              <w:numPr>
                <w:ilvl w:val="3"/>
                <w:numId w:val="13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tomografia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komputerowa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(TK)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obejmująca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szyję,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klatkę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piersiową,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jamę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brzuszną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miednicę.</w:t>
            </w:r>
          </w:p>
          <w:p w14:paraId="78BB524F" w14:textId="77777777" w:rsidR="009F0D67" w:rsidRPr="009F5217" w:rsidRDefault="009F0D67" w:rsidP="009F521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455193A4" w14:textId="7A947367" w:rsidR="009F0D67" w:rsidRPr="009F5217" w:rsidRDefault="009F0D67" w:rsidP="009F5217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Monitorowanie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leczenia</w:t>
            </w:r>
          </w:p>
          <w:p w14:paraId="6599C6A1" w14:textId="7B735D6E" w:rsidR="009F0D67" w:rsidRPr="009F5217" w:rsidRDefault="009F0D67" w:rsidP="009F5217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Monitorowanie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skuteczności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powinno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odbywać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kryteriów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odpowiedzi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według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międzynarodowych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zaleceń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Zespołu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Ekspertów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ds.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Castlemana</w:t>
            </w:r>
            <w:proofErr w:type="spellEnd"/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– </w:t>
            </w:r>
            <w:proofErr w:type="spellStart"/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Castleman</w:t>
            </w:r>
            <w:proofErr w:type="spellEnd"/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Disease</w:t>
            </w:r>
            <w:proofErr w:type="spellEnd"/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Collaborative</w:t>
            </w:r>
            <w:proofErr w:type="spellEnd"/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Network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(CDCN).</w:t>
            </w:r>
          </w:p>
          <w:p w14:paraId="5765F656" w14:textId="1E7DAA87" w:rsidR="009F0D67" w:rsidRPr="009F5217" w:rsidRDefault="009F5217" w:rsidP="009F5217">
            <w:pPr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onitorowanie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objawów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Castlemana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wg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zaleceń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CDCN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CTC;</w:t>
            </w:r>
          </w:p>
          <w:p w14:paraId="7DA83800" w14:textId="44748AC9" w:rsidR="009F0D67" w:rsidRPr="009F5217" w:rsidRDefault="009F5217" w:rsidP="009F5217">
            <w:pPr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onitorowanie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bezpieczeństwa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NCI-CTCAE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v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0D6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4.0;</w:t>
            </w:r>
          </w:p>
          <w:p w14:paraId="39795462" w14:textId="7736F37B" w:rsidR="009F0D67" w:rsidRPr="009F5217" w:rsidRDefault="009F0D67" w:rsidP="009F5217">
            <w:pPr>
              <w:numPr>
                <w:ilvl w:val="3"/>
                <w:numId w:val="13"/>
              </w:num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morfologia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krwi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rozmazem,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CRP,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albumin;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7EA6FB28" w14:textId="50D5D963" w:rsidR="009F0D67" w:rsidRPr="009F5217" w:rsidRDefault="009F0D67" w:rsidP="009F5217">
            <w:pPr>
              <w:numPr>
                <w:ilvl w:val="3"/>
                <w:numId w:val="13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profil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nerkowy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(stężenie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kreatyniny,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mocznika,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potasu,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sodu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kwasu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moczowego,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GFR);</w:t>
            </w:r>
          </w:p>
          <w:p w14:paraId="66FE1947" w14:textId="246BF2A7" w:rsidR="009F0D67" w:rsidRPr="009F5217" w:rsidRDefault="009F0D67" w:rsidP="009F5217">
            <w:pPr>
              <w:numPr>
                <w:ilvl w:val="3"/>
                <w:numId w:val="13"/>
              </w:numPr>
              <w:tabs>
                <w:tab w:val="left" w:pos="355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aktywność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AspAT,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AIAT;</w:t>
            </w:r>
          </w:p>
          <w:p w14:paraId="3D1C9A6D" w14:textId="4D8928E9" w:rsidR="009F0D67" w:rsidRPr="009F5217" w:rsidRDefault="009F0D67" w:rsidP="009F5217">
            <w:pPr>
              <w:numPr>
                <w:ilvl w:val="3"/>
                <w:numId w:val="13"/>
              </w:num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wielkości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węzłów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chłonnych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zmodyfikowanych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kryteriów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Lugano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(tomografia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komputerowa).</w:t>
            </w:r>
          </w:p>
          <w:p w14:paraId="0D5D1514" w14:textId="77777777" w:rsidR="009F0D67" w:rsidRPr="009F5217" w:rsidRDefault="009F0D67" w:rsidP="009F5217">
            <w:pPr>
              <w:spacing w:after="60"/>
              <w:ind w:left="3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46FE4CB3" w14:textId="05C43C04" w:rsidR="009F0D67" w:rsidRPr="009F5217" w:rsidRDefault="009F0D67" w:rsidP="009F5217">
            <w:pPr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</w:pP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Badania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wykonuje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się:</w:t>
            </w:r>
          </w:p>
          <w:p w14:paraId="24D13DDB" w14:textId="2C60A5A8" w:rsidR="009F0D67" w:rsidRPr="009F5217" w:rsidRDefault="009F0D67" w:rsidP="009F5217">
            <w:pPr>
              <w:numPr>
                <w:ilvl w:val="3"/>
                <w:numId w:val="14"/>
              </w:numPr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</w:pP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morfologia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krwi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z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rozmazem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należy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wykonywać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przez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pierwsze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12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miesięcy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przed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każdym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podaniem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leku,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a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następnie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co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2-4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miesiące;</w:t>
            </w:r>
          </w:p>
          <w:p w14:paraId="0A3EB156" w14:textId="6EC39FBB" w:rsidR="009F0D67" w:rsidRPr="009F5217" w:rsidRDefault="009F0D67" w:rsidP="009F5217">
            <w:pPr>
              <w:numPr>
                <w:ilvl w:val="3"/>
                <w:numId w:val="14"/>
              </w:numPr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</w:pP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stężenie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CRP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przez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6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miesięcy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przed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każdym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podaniem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leku,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a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następnie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co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2-4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miesiące;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2225DB41" w14:textId="59F55B66" w:rsidR="009F0D67" w:rsidRPr="009F5217" w:rsidRDefault="009F0D67" w:rsidP="009F5217">
            <w:pPr>
              <w:numPr>
                <w:ilvl w:val="3"/>
                <w:numId w:val="14"/>
              </w:numPr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</w:pP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profil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nerkowy,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albuminy,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aktywność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AspAT,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AIAT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przez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3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miesiące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przed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każdym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podaniem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leku,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a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następnie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co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2-4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miesiące;</w:t>
            </w:r>
          </w:p>
          <w:p w14:paraId="21590A22" w14:textId="4FE408BB" w:rsidR="009F0D67" w:rsidRPr="009F5217" w:rsidRDefault="009F0D67" w:rsidP="009F5217">
            <w:pPr>
              <w:numPr>
                <w:ilvl w:val="3"/>
                <w:numId w:val="14"/>
              </w:numPr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</w:pP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tomografię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komputerową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należy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wykonywać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po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3,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6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i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12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miesiącu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terapii,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a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następnie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w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razie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podejrzenia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progresji</w:t>
            </w:r>
            <w:r w:rsid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GB"/>
              </w:rPr>
              <w:t>choroby.</w:t>
            </w:r>
          </w:p>
          <w:p w14:paraId="6FE672B2" w14:textId="77777777" w:rsidR="009F0D67" w:rsidRPr="009F5217" w:rsidRDefault="009F0D67" w:rsidP="009F5217">
            <w:pPr>
              <w:tabs>
                <w:tab w:val="left" w:pos="355"/>
              </w:tabs>
              <w:autoSpaceDE w:val="0"/>
              <w:autoSpaceDN w:val="0"/>
              <w:adjustRightInd w:val="0"/>
              <w:spacing w:after="60"/>
              <w:ind w:left="355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65E32F4B" w14:textId="19A79F38" w:rsidR="009F0D67" w:rsidRPr="009F5217" w:rsidRDefault="009F0D67" w:rsidP="009F5217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Monitorowanie</w:t>
            </w:r>
            <w:r w:rsid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  <w:p w14:paraId="579A3DDD" w14:textId="503B2AD2" w:rsidR="009F0D67" w:rsidRPr="009F5217" w:rsidRDefault="009F0D67" w:rsidP="009F5217">
            <w:pPr>
              <w:numPr>
                <w:ilvl w:val="3"/>
                <w:numId w:val="13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gromadzenie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dokumentacji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medycznej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danych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dotyczących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monitorowania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każdorazowe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ich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przedstawianie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żądanie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kontrolerów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Narodowego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Funduszu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Zdrowia;</w:t>
            </w:r>
          </w:p>
          <w:p w14:paraId="53443D85" w14:textId="05B6A176" w:rsidR="009F0D67" w:rsidRPr="009F5217" w:rsidRDefault="009F0D67" w:rsidP="009F5217">
            <w:pPr>
              <w:numPr>
                <w:ilvl w:val="3"/>
                <w:numId w:val="13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uzupełnienie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danych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zawartych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rejestrze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(SMPT)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dostępnym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pomocą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aplikacji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internetowej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udostępnionej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NFZ,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częstotliwością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zgodną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opisem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oraz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zakończenie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leczenia;</w:t>
            </w:r>
          </w:p>
          <w:p w14:paraId="7BF90947" w14:textId="770BA453" w:rsidR="009F0D67" w:rsidRPr="009F5217" w:rsidRDefault="009F0D67" w:rsidP="009F5217">
            <w:pPr>
              <w:numPr>
                <w:ilvl w:val="3"/>
                <w:numId w:val="13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przekazywanie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informacji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sprawozdawczo-rozliczeniowych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NFZ: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informacje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przekazuje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NFZ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formie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papierowej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formie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elektronicznej,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wymaganiami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opublikowanymi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5217"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NFZ</w:t>
            </w:r>
            <w:r w:rsidRPr="009F521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1BE5F390" w14:textId="77777777" w:rsidR="009F0D67" w:rsidRPr="009F5217" w:rsidRDefault="009F0D67" w:rsidP="009F5217">
            <w:pPr>
              <w:tabs>
                <w:tab w:val="left" w:pos="-13396"/>
              </w:tabs>
              <w:autoSpaceDE w:val="0"/>
              <w:autoSpaceDN w:val="0"/>
              <w:adjustRightInd w:val="0"/>
              <w:spacing w:after="60"/>
              <w:ind w:left="36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</w:tc>
      </w:tr>
    </w:tbl>
    <w:p w14:paraId="45FA7224" w14:textId="77777777" w:rsidR="00026F2A" w:rsidRDefault="00026F2A"/>
    <w:sectPr w:rsidR="00026F2A" w:rsidSect="004D20F1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calaLancetPro">
    <w:altName w:val="Yu Gothic"/>
    <w:panose1 w:val="00000000000000000000"/>
    <w:charset w:val="00"/>
    <w:family w:val="roman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2FE4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CC63528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FEE5D30"/>
    <w:multiLevelType w:val="hybridMultilevel"/>
    <w:tmpl w:val="6D2E084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366AB"/>
    <w:multiLevelType w:val="hybridMultilevel"/>
    <w:tmpl w:val="265AAD6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E2464"/>
    <w:multiLevelType w:val="hybridMultilevel"/>
    <w:tmpl w:val="87881066"/>
    <w:lvl w:ilvl="0" w:tplc="04150017">
      <w:start w:val="1"/>
      <w:numFmt w:val="lowerLetter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315809"/>
    <w:multiLevelType w:val="hybridMultilevel"/>
    <w:tmpl w:val="F7B0DB96"/>
    <w:lvl w:ilvl="0" w:tplc="080AB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84CD4"/>
    <w:multiLevelType w:val="hybridMultilevel"/>
    <w:tmpl w:val="96A6F3F4"/>
    <w:lvl w:ilvl="0" w:tplc="32AECAB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0F264DA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401E7B7C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525F5BB1"/>
    <w:multiLevelType w:val="hybridMultilevel"/>
    <w:tmpl w:val="8B3E6F4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34DE1"/>
    <w:multiLevelType w:val="hybridMultilevel"/>
    <w:tmpl w:val="01D0E5B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02335D"/>
    <w:multiLevelType w:val="hybridMultilevel"/>
    <w:tmpl w:val="5CC2D64C"/>
    <w:lvl w:ilvl="0" w:tplc="04150011">
      <w:start w:val="1"/>
      <w:numFmt w:val="decimal"/>
      <w:lvlText w:val="%1)"/>
      <w:lvlJc w:val="left"/>
      <w:pPr>
        <w:ind w:left="2202" w:hanging="360"/>
      </w:pPr>
    </w:lvl>
    <w:lvl w:ilvl="1" w:tplc="04150019" w:tentative="1">
      <w:start w:val="1"/>
      <w:numFmt w:val="lowerLetter"/>
      <w:lvlText w:val="%2."/>
      <w:lvlJc w:val="left"/>
      <w:pPr>
        <w:ind w:left="2922" w:hanging="360"/>
      </w:pPr>
    </w:lvl>
    <w:lvl w:ilvl="2" w:tplc="0415001B" w:tentative="1">
      <w:start w:val="1"/>
      <w:numFmt w:val="lowerRoman"/>
      <w:lvlText w:val="%3."/>
      <w:lvlJc w:val="right"/>
      <w:pPr>
        <w:ind w:left="3642" w:hanging="180"/>
      </w:pPr>
    </w:lvl>
    <w:lvl w:ilvl="3" w:tplc="0415000F" w:tentative="1">
      <w:start w:val="1"/>
      <w:numFmt w:val="decimal"/>
      <w:lvlText w:val="%4."/>
      <w:lvlJc w:val="left"/>
      <w:pPr>
        <w:ind w:left="4362" w:hanging="360"/>
      </w:pPr>
    </w:lvl>
    <w:lvl w:ilvl="4" w:tplc="04150019" w:tentative="1">
      <w:start w:val="1"/>
      <w:numFmt w:val="lowerLetter"/>
      <w:lvlText w:val="%5."/>
      <w:lvlJc w:val="left"/>
      <w:pPr>
        <w:ind w:left="5082" w:hanging="360"/>
      </w:pPr>
    </w:lvl>
    <w:lvl w:ilvl="5" w:tplc="0415001B" w:tentative="1">
      <w:start w:val="1"/>
      <w:numFmt w:val="lowerRoman"/>
      <w:lvlText w:val="%6."/>
      <w:lvlJc w:val="right"/>
      <w:pPr>
        <w:ind w:left="5802" w:hanging="180"/>
      </w:pPr>
    </w:lvl>
    <w:lvl w:ilvl="6" w:tplc="0415000F" w:tentative="1">
      <w:start w:val="1"/>
      <w:numFmt w:val="decimal"/>
      <w:lvlText w:val="%7."/>
      <w:lvlJc w:val="left"/>
      <w:pPr>
        <w:ind w:left="6522" w:hanging="360"/>
      </w:pPr>
    </w:lvl>
    <w:lvl w:ilvl="7" w:tplc="04150019" w:tentative="1">
      <w:start w:val="1"/>
      <w:numFmt w:val="lowerLetter"/>
      <w:lvlText w:val="%8."/>
      <w:lvlJc w:val="left"/>
      <w:pPr>
        <w:ind w:left="7242" w:hanging="360"/>
      </w:pPr>
    </w:lvl>
    <w:lvl w:ilvl="8" w:tplc="0415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2" w15:restartNumberingAfterBreak="0">
    <w:nsid w:val="7E7F1262"/>
    <w:multiLevelType w:val="hybridMultilevel"/>
    <w:tmpl w:val="47D2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23C9D"/>
    <w:multiLevelType w:val="hybridMultilevel"/>
    <w:tmpl w:val="5CC2D64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2506030">
    <w:abstractNumId w:val="11"/>
  </w:num>
  <w:num w:numId="2" w16cid:durableId="882671124">
    <w:abstractNumId w:val="13"/>
  </w:num>
  <w:num w:numId="3" w16cid:durableId="1631738956">
    <w:abstractNumId w:val="2"/>
  </w:num>
  <w:num w:numId="4" w16cid:durableId="1036465176">
    <w:abstractNumId w:val="10"/>
  </w:num>
  <w:num w:numId="5" w16cid:durableId="23869213">
    <w:abstractNumId w:val="12"/>
  </w:num>
  <w:num w:numId="6" w16cid:durableId="1892686270">
    <w:abstractNumId w:val="4"/>
  </w:num>
  <w:num w:numId="7" w16cid:durableId="102268447">
    <w:abstractNumId w:val="9"/>
  </w:num>
  <w:num w:numId="8" w16cid:durableId="800417716">
    <w:abstractNumId w:val="3"/>
  </w:num>
  <w:num w:numId="9" w16cid:durableId="1413694798">
    <w:abstractNumId w:val="0"/>
  </w:num>
  <w:num w:numId="10" w16cid:durableId="1607033979">
    <w:abstractNumId w:val="5"/>
  </w:num>
  <w:num w:numId="11" w16cid:durableId="1436553627">
    <w:abstractNumId w:val="6"/>
  </w:num>
  <w:num w:numId="12" w16cid:durableId="965503657">
    <w:abstractNumId w:val="7"/>
  </w:num>
  <w:num w:numId="13" w16cid:durableId="57947268">
    <w:abstractNumId w:val="1"/>
  </w:num>
  <w:num w:numId="14" w16cid:durableId="1492550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67"/>
    <w:rsid w:val="00026F2A"/>
    <w:rsid w:val="00110935"/>
    <w:rsid w:val="00125937"/>
    <w:rsid w:val="00341BE1"/>
    <w:rsid w:val="004D20F1"/>
    <w:rsid w:val="00660668"/>
    <w:rsid w:val="006A5806"/>
    <w:rsid w:val="009F0D67"/>
    <w:rsid w:val="009F5217"/>
    <w:rsid w:val="00F0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AF91"/>
  <w15:chartTrackingRefBased/>
  <w15:docId w15:val="{FD257EA5-A7DB-4A93-BC74-21142639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F0D6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654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Klimkowska Katarzyna</dc:creator>
  <cp:keywords/>
  <dc:description/>
  <cp:lastModifiedBy>Królak-Buzakowska Joanna</cp:lastModifiedBy>
  <cp:revision>4</cp:revision>
  <dcterms:created xsi:type="dcterms:W3CDTF">2022-06-02T08:14:00Z</dcterms:created>
  <dcterms:modified xsi:type="dcterms:W3CDTF">2022-06-06T20:28:00Z</dcterms:modified>
</cp:coreProperties>
</file>