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32D8A" w14:textId="77777777" w:rsidR="00A2533A" w:rsidRPr="00FB4D8D" w:rsidRDefault="00AD1A15" w:rsidP="00375A47">
      <w:pPr>
        <w:autoSpaceDE w:val="0"/>
        <w:autoSpaceDN w:val="0"/>
        <w:adjustRightInd w:val="0"/>
        <w:spacing w:after="0" w:line="240" w:lineRule="auto"/>
        <w:rPr>
          <w:rFonts w:ascii="Times New Roman" w:eastAsia="Times New Roman" w:hAnsi="Times New Roman"/>
          <w:lang w:val="pl-PL" w:eastAsia="pl-PL"/>
        </w:rPr>
      </w:pPr>
      <w:r w:rsidRPr="00FB4D8D">
        <w:rPr>
          <w:rFonts w:ascii="Times New Roman" w:eastAsia="Times New Roman" w:hAnsi="Times New Roman"/>
          <w:lang w:val="pl-PL" w:eastAsia="pl-PL"/>
        </w:rPr>
        <w:t>Załącznik B</w:t>
      </w:r>
      <w:r w:rsidR="00375A47" w:rsidRPr="00FB4D8D">
        <w:rPr>
          <w:rFonts w:ascii="Times New Roman" w:eastAsia="Times New Roman" w:hAnsi="Times New Roman"/>
          <w:lang w:val="pl-PL" w:eastAsia="pl-PL"/>
        </w:rPr>
        <w:t>.135.</w:t>
      </w:r>
    </w:p>
    <w:p w14:paraId="1F86EF10" w14:textId="77777777" w:rsidR="00A2533A" w:rsidRPr="00FB4D8D" w:rsidRDefault="00A2533A" w:rsidP="00375A47">
      <w:pPr>
        <w:autoSpaceDE w:val="0"/>
        <w:autoSpaceDN w:val="0"/>
        <w:adjustRightInd w:val="0"/>
        <w:spacing w:after="0" w:line="240" w:lineRule="auto"/>
        <w:rPr>
          <w:rFonts w:ascii="Times New Roman" w:eastAsia="Times New Roman" w:hAnsi="Times New Roman"/>
          <w:sz w:val="20"/>
          <w:szCs w:val="20"/>
          <w:lang w:val="pl-PL" w:eastAsia="pl-PL"/>
        </w:rPr>
      </w:pPr>
    </w:p>
    <w:p w14:paraId="168DE9E5" w14:textId="69730881" w:rsidR="00B63A7E" w:rsidRPr="00FB4D8D" w:rsidRDefault="00AB3992" w:rsidP="00464E37">
      <w:pPr>
        <w:autoSpaceDE w:val="0"/>
        <w:autoSpaceDN w:val="0"/>
        <w:adjustRightInd w:val="0"/>
        <w:spacing w:after="240" w:line="240" w:lineRule="auto"/>
        <w:rPr>
          <w:rFonts w:ascii="Times New Roman" w:eastAsia="Times New Roman" w:hAnsi="Times New Roman"/>
          <w:b/>
          <w:sz w:val="28"/>
          <w:szCs w:val="28"/>
          <w:lang w:val="pl-PL" w:eastAsia="pl-PL"/>
        </w:rPr>
      </w:pPr>
      <w:bookmarkStart w:id="0" w:name="_Hlk106006085"/>
      <w:r w:rsidRPr="00FB4D8D">
        <w:rPr>
          <w:rFonts w:ascii="Times New Roman" w:eastAsia="Times New Roman" w:hAnsi="Times New Roman"/>
          <w:b/>
          <w:sz w:val="28"/>
          <w:szCs w:val="28"/>
          <w:lang w:val="pl-PL" w:eastAsia="pl-PL"/>
        </w:rPr>
        <w:t>LECZENIE</w:t>
      </w:r>
      <w:r w:rsidR="00BD2FA1" w:rsidRPr="00FB4D8D">
        <w:rPr>
          <w:rFonts w:ascii="Times New Roman" w:eastAsia="Times New Roman" w:hAnsi="Times New Roman"/>
          <w:b/>
          <w:sz w:val="28"/>
          <w:szCs w:val="28"/>
          <w:lang w:val="pl-PL" w:eastAsia="pl-PL"/>
        </w:rPr>
        <w:t xml:space="preserve"> </w:t>
      </w:r>
      <w:r w:rsidR="00A57CBE">
        <w:rPr>
          <w:rFonts w:ascii="Times New Roman" w:eastAsia="Times New Roman" w:hAnsi="Times New Roman"/>
          <w:b/>
          <w:sz w:val="28"/>
          <w:szCs w:val="28"/>
          <w:lang w:val="pl-PL" w:eastAsia="pl-PL"/>
        </w:rPr>
        <w:t xml:space="preserve">PACJENTÓW Z </w:t>
      </w:r>
      <w:r w:rsidR="00BD286B" w:rsidRPr="00FB4D8D">
        <w:rPr>
          <w:rFonts w:ascii="Times New Roman" w:eastAsia="Times New Roman" w:hAnsi="Times New Roman"/>
          <w:b/>
          <w:sz w:val="28"/>
          <w:szCs w:val="28"/>
          <w:lang w:val="pl-PL" w:eastAsia="pl-PL"/>
        </w:rPr>
        <w:t>CHOROB</w:t>
      </w:r>
      <w:r w:rsidR="00A57CBE">
        <w:rPr>
          <w:rFonts w:ascii="Times New Roman" w:eastAsia="Times New Roman" w:hAnsi="Times New Roman"/>
          <w:b/>
          <w:sz w:val="28"/>
          <w:szCs w:val="28"/>
          <w:lang w:val="pl-PL" w:eastAsia="pl-PL"/>
        </w:rPr>
        <w:t>Ą</w:t>
      </w:r>
      <w:r w:rsidR="00BD286B" w:rsidRPr="00FB4D8D">
        <w:rPr>
          <w:rFonts w:ascii="Times New Roman" w:eastAsia="Times New Roman" w:hAnsi="Times New Roman"/>
          <w:b/>
          <w:sz w:val="28"/>
          <w:szCs w:val="28"/>
          <w:lang w:val="pl-PL" w:eastAsia="pl-PL"/>
        </w:rPr>
        <w:t xml:space="preserve"> ŚRÓDMIĄŻSZOW</w:t>
      </w:r>
      <w:r w:rsidR="00A57CBE">
        <w:rPr>
          <w:rFonts w:ascii="Times New Roman" w:eastAsia="Times New Roman" w:hAnsi="Times New Roman"/>
          <w:b/>
          <w:sz w:val="28"/>
          <w:szCs w:val="28"/>
          <w:lang w:val="pl-PL" w:eastAsia="pl-PL"/>
        </w:rPr>
        <w:t>Ą</w:t>
      </w:r>
      <w:r w:rsidR="00BD286B" w:rsidRPr="00FB4D8D">
        <w:rPr>
          <w:rFonts w:ascii="Times New Roman" w:eastAsia="Times New Roman" w:hAnsi="Times New Roman"/>
          <w:b/>
          <w:sz w:val="28"/>
          <w:szCs w:val="28"/>
          <w:lang w:val="pl-PL" w:eastAsia="pl-PL"/>
        </w:rPr>
        <w:t xml:space="preserve"> PŁUC</w:t>
      </w:r>
      <w:r w:rsidR="00760091">
        <w:rPr>
          <w:rFonts w:ascii="Times New Roman" w:eastAsia="Times New Roman" w:hAnsi="Times New Roman"/>
          <w:b/>
          <w:sz w:val="28"/>
          <w:szCs w:val="28"/>
          <w:lang w:val="pl-PL" w:eastAsia="pl-PL"/>
        </w:rPr>
        <w:t xml:space="preserve"> </w:t>
      </w:r>
      <w:r w:rsidRPr="00FB4D8D">
        <w:rPr>
          <w:rFonts w:ascii="Times New Roman" w:eastAsia="Times New Roman" w:hAnsi="Times New Roman"/>
          <w:b/>
          <w:sz w:val="28"/>
          <w:szCs w:val="28"/>
          <w:lang w:val="pl-PL" w:eastAsia="pl-PL"/>
        </w:rPr>
        <w:t>(ICD-10</w:t>
      </w:r>
      <w:r w:rsidR="00375A47" w:rsidRPr="00FB4D8D">
        <w:rPr>
          <w:rFonts w:ascii="Times New Roman" w:eastAsia="Times New Roman" w:hAnsi="Times New Roman"/>
          <w:b/>
          <w:sz w:val="28"/>
          <w:szCs w:val="28"/>
          <w:lang w:val="pl-PL" w:eastAsia="pl-PL"/>
        </w:rPr>
        <w:t>:</w:t>
      </w:r>
      <w:r w:rsidRPr="00FB4D8D">
        <w:rPr>
          <w:rFonts w:ascii="Times New Roman" w:eastAsia="Times New Roman" w:hAnsi="Times New Roman"/>
          <w:b/>
          <w:sz w:val="28"/>
          <w:szCs w:val="28"/>
          <w:lang w:val="pl-PL" w:eastAsia="pl-PL"/>
        </w:rPr>
        <w:t xml:space="preserve"> </w:t>
      </w:r>
      <w:r w:rsidR="00A57CBE">
        <w:rPr>
          <w:rFonts w:ascii="Times New Roman" w:eastAsia="Times New Roman" w:hAnsi="Times New Roman"/>
          <w:b/>
          <w:sz w:val="28"/>
          <w:szCs w:val="28"/>
          <w:lang w:val="pl-PL" w:eastAsia="pl-PL"/>
        </w:rPr>
        <w:t xml:space="preserve">D86, </w:t>
      </w:r>
      <w:r w:rsidR="00A57CBE" w:rsidRPr="000E29F6">
        <w:rPr>
          <w:rFonts w:ascii="Times New Roman" w:eastAsia="Times New Roman" w:hAnsi="Times New Roman"/>
          <w:b/>
          <w:sz w:val="28"/>
          <w:szCs w:val="28"/>
          <w:lang w:val="pl-PL" w:eastAsia="pl-PL"/>
        </w:rPr>
        <w:t>J67.0-J67.9, J84.1, J84.8, J84.9, J99.0, J99.1</w:t>
      </w:r>
      <w:r w:rsidR="00A57CBE">
        <w:rPr>
          <w:rFonts w:ascii="Times New Roman" w:eastAsia="Times New Roman" w:hAnsi="Times New Roman"/>
          <w:b/>
          <w:sz w:val="28"/>
          <w:szCs w:val="28"/>
          <w:lang w:val="pl-PL" w:eastAsia="pl-PL"/>
        </w:rPr>
        <w:t xml:space="preserve">, </w:t>
      </w:r>
      <w:r w:rsidRPr="00FB4D8D">
        <w:rPr>
          <w:rFonts w:ascii="Times New Roman" w:eastAsia="Times New Roman" w:hAnsi="Times New Roman"/>
          <w:b/>
          <w:sz w:val="28"/>
          <w:szCs w:val="28"/>
          <w:lang w:val="pl-PL" w:eastAsia="pl-PL"/>
        </w:rPr>
        <w:t>M34</w:t>
      </w:r>
      <w:r w:rsidR="00B63A7E" w:rsidRPr="00FB4D8D">
        <w:rPr>
          <w:rFonts w:ascii="Times New Roman" w:eastAsia="Times New Roman" w:hAnsi="Times New Roman"/>
          <w:b/>
          <w:sz w:val="28"/>
          <w:szCs w:val="28"/>
          <w:lang w:val="pl-PL" w:eastAsia="pl-PL"/>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5"/>
        <w:gridCol w:w="4111"/>
        <w:gridCol w:w="5614"/>
      </w:tblGrid>
      <w:tr w:rsidR="00B63A7E" w:rsidRPr="00FB4D8D" w14:paraId="471E7879" w14:textId="77777777" w:rsidTr="00776285">
        <w:trPr>
          <w:trHeight w:val="567"/>
          <w:jc w:val="center"/>
        </w:trPr>
        <w:tc>
          <w:tcPr>
            <w:tcW w:w="15390" w:type="dxa"/>
            <w:gridSpan w:val="3"/>
            <w:shd w:val="clear" w:color="auto" w:fill="auto"/>
            <w:vAlign w:val="center"/>
          </w:tcPr>
          <w:bookmarkEnd w:id="0"/>
          <w:p w14:paraId="5D52A8B1" w14:textId="77777777" w:rsidR="00B63A7E" w:rsidRPr="00FB4D8D" w:rsidRDefault="00B63A7E" w:rsidP="00375A47">
            <w:pPr>
              <w:widowControl w:val="0"/>
              <w:spacing w:after="0" w:line="240" w:lineRule="auto"/>
              <w:jc w:val="center"/>
              <w:rPr>
                <w:rFonts w:ascii="Times New Roman" w:eastAsia="Times New Roman" w:hAnsi="Times New Roman"/>
                <w:b/>
                <w:color w:val="000000"/>
                <w:sz w:val="20"/>
                <w:szCs w:val="20"/>
                <w:lang w:val="pl-PL" w:eastAsia="pl-PL"/>
              </w:rPr>
            </w:pPr>
            <w:r w:rsidRPr="00FB4D8D">
              <w:rPr>
                <w:rFonts w:ascii="Times New Roman" w:eastAsia="Times New Roman" w:hAnsi="Times New Roman"/>
                <w:b/>
                <w:color w:val="000000"/>
                <w:sz w:val="20"/>
                <w:szCs w:val="20"/>
                <w:lang w:val="pl-PL" w:eastAsia="pl-PL"/>
              </w:rPr>
              <w:t>ZAKRES ŚWIADCZENIA GWARANTOWANEGO</w:t>
            </w:r>
          </w:p>
        </w:tc>
      </w:tr>
      <w:tr w:rsidR="00B02301" w:rsidRPr="002A57B6" w14:paraId="0788167B" w14:textId="77777777" w:rsidTr="00776285">
        <w:trPr>
          <w:trHeight w:val="567"/>
          <w:jc w:val="center"/>
        </w:trPr>
        <w:tc>
          <w:tcPr>
            <w:tcW w:w="5665" w:type="dxa"/>
            <w:tcBorders>
              <w:bottom w:val="single" w:sz="4" w:space="0" w:color="auto"/>
            </w:tcBorders>
            <w:shd w:val="clear" w:color="auto" w:fill="auto"/>
            <w:vAlign w:val="center"/>
          </w:tcPr>
          <w:p w14:paraId="7700A28E" w14:textId="77777777" w:rsidR="00F64DF4" w:rsidRPr="00FB4D8D" w:rsidRDefault="00F64DF4" w:rsidP="00375A47">
            <w:pPr>
              <w:widowControl w:val="0"/>
              <w:spacing w:after="0" w:line="240" w:lineRule="auto"/>
              <w:jc w:val="center"/>
              <w:rPr>
                <w:rFonts w:ascii="Times New Roman" w:eastAsia="Times New Roman" w:hAnsi="Times New Roman"/>
                <w:b/>
                <w:color w:val="000000"/>
                <w:sz w:val="20"/>
                <w:szCs w:val="20"/>
                <w:lang w:val="pl-PL" w:eastAsia="pl-PL"/>
              </w:rPr>
            </w:pPr>
            <w:r w:rsidRPr="00FB4D8D">
              <w:rPr>
                <w:rFonts w:ascii="Times New Roman" w:eastAsia="Times New Roman" w:hAnsi="Times New Roman"/>
                <w:b/>
                <w:color w:val="000000"/>
                <w:sz w:val="20"/>
                <w:szCs w:val="20"/>
                <w:lang w:val="pl-PL" w:eastAsia="pl-PL"/>
              </w:rPr>
              <w:t>ŚWIADCZENIOBIORCY</w:t>
            </w:r>
          </w:p>
        </w:tc>
        <w:tc>
          <w:tcPr>
            <w:tcW w:w="4111" w:type="dxa"/>
            <w:shd w:val="clear" w:color="auto" w:fill="auto"/>
            <w:vAlign w:val="center"/>
          </w:tcPr>
          <w:p w14:paraId="6E69114D" w14:textId="77777777" w:rsidR="00F64DF4" w:rsidRPr="00FB4D8D" w:rsidRDefault="00F64DF4" w:rsidP="00375A47">
            <w:pPr>
              <w:widowControl w:val="0"/>
              <w:spacing w:after="0" w:line="240" w:lineRule="auto"/>
              <w:jc w:val="center"/>
              <w:rPr>
                <w:rFonts w:ascii="Times New Roman" w:eastAsia="Times New Roman" w:hAnsi="Times New Roman"/>
                <w:b/>
                <w:color w:val="000000"/>
                <w:sz w:val="20"/>
                <w:szCs w:val="20"/>
                <w:lang w:val="pl-PL" w:eastAsia="pl-PL"/>
              </w:rPr>
            </w:pPr>
            <w:r w:rsidRPr="00FB4D8D">
              <w:rPr>
                <w:rFonts w:ascii="Times New Roman" w:eastAsia="Times New Roman" w:hAnsi="Times New Roman"/>
                <w:b/>
                <w:color w:val="000000"/>
                <w:sz w:val="20"/>
                <w:szCs w:val="20"/>
                <w:lang w:val="pl-PL" w:eastAsia="pl-PL"/>
              </w:rPr>
              <w:t>SCHEMAT DAWKOWANIA LEKU W PROGRAMIE</w:t>
            </w:r>
          </w:p>
        </w:tc>
        <w:tc>
          <w:tcPr>
            <w:tcW w:w="5614" w:type="dxa"/>
            <w:shd w:val="clear" w:color="auto" w:fill="auto"/>
            <w:vAlign w:val="center"/>
          </w:tcPr>
          <w:p w14:paraId="4FC9B095" w14:textId="77777777" w:rsidR="00F64DF4" w:rsidRPr="00FB4D8D" w:rsidRDefault="00F64DF4" w:rsidP="00375A47">
            <w:pPr>
              <w:widowControl w:val="0"/>
              <w:spacing w:after="0" w:line="240" w:lineRule="auto"/>
              <w:jc w:val="center"/>
              <w:rPr>
                <w:rFonts w:ascii="Times New Roman" w:eastAsia="Times New Roman" w:hAnsi="Times New Roman"/>
                <w:b/>
                <w:color w:val="000000"/>
                <w:sz w:val="20"/>
                <w:szCs w:val="20"/>
                <w:lang w:val="pl-PL" w:eastAsia="pl-PL"/>
              </w:rPr>
            </w:pPr>
            <w:r w:rsidRPr="00FB4D8D">
              <w:rPr>
                <w:rFonts w:ascii="Times New Roman" w:eastAsia="Times New Roman" w:hAnsi="Times New Roman"/>
                <w:b/>
                <w:color w:val="000000"/>
                <w:sz w:val="20"/>
                <w:szCs w:val="20"/>
                <w:lang w:val="pl-PL" w:eastAsia="pl-PL"/>
              </w:rPr>
              <w:t>BADANIA DIAGNOSTYCZNE WYKONYWANE</w:t>
            </w:r>
            <w:r w:rsidR="00FB4D8D">
              <w:rPr>
                <w:rFonts w:ascii="Times New Roman" w:eastAsia="Times New Roman" w:hAnsi="Times New Roman"/>
                <w:b/>
                <w:color w:val="000000"/>
                <w:sz w:val="20"/>
                <w:szCs w:val="20"/>
                <w:lang w:val="pl-PL" w:eastAsia="pl-PL"/>
              </w:rPr>
              <w:t xml:space="preserve"> </w:t>
            </w:r>
            <w:r w:rsidRPr="00FB4D8D">
              <w:rPr>
                <w:rFonts w:ascii="Times New Roman" w:eastAsia="Times New Roman" w:hAnsi="Times New Roman"/>
                <w:b/>
                <w:color w:val="000000"/>
                <w:sz w:val="20"/>
                <w:szCs w:val="20"/>
                <w:lang w:val="pl-PL" w:eastAsia="pl-PL"/>
              </w:rPr>
              <w:t>W RAMACH PROGRAMU</w:t>
            </w:r>
          </w:p>
        </w:tc>
      </w:tr>
      <w:tr w:rsidR="00B63A7E" w:rsidRPr="00CA536D" w14:paraId="7A718931" w14:textId="77777777" w:rsidTr="00776285">
        <w:trPr>
          <w:trHeight w:val="3526"/>
          <w:jc w:val="center"/>
        </w:trPr>
        <w:tc>
          <w:tcPr>
            <w:tcW w:w="5665" w:type="dxa"/>
            <w:shd w:val="clear" w:color="auto" w:fill="auto"/>
          </w:tcPr>
          <w:p w14:paraId="71E1C1A1" w14:textId="0D8C021B" w:rsidR="00EB50E8" w:rsidRDefault="00E11D2D" w:rsidP="00693470">
            <w:pPr>
              <w:spacing w:before="120" w:after="60"/>
              <w:jc w:val="both"/>
              <w:rPr>
                <w:rFonts w:ascii="Times New Roman" w:hAnsi="Times New Roman"/>
                <w:bCs/>
                <w:sz w:val="20"/>
                <w:szCs w:val="20"/>
                <w:lang w:val="pl-PL"/>
              </w:rPr>
            </w:pPr>
            <w:r w:rsidRPr="00D53679">
              <w:rPr>
                <w:rFonts w:ascii="Times New Roman" w:hAnsi="Times New Roman"/>
                <w:bCs/>
                <w:sz w:val="20"/>
                <w:szCs w:val="20"/>
                <w:lang w:val="pl-PL"/>
              </w:rPr>
              <w:t xml:space="preserve">W </w:t>
            </w:r>
            <w:r w:rsidR="00EB50E8" w:rsidRPr="00EB50E8">
              <w:rPr>
                <w:rFonts w:ascii="Times New Roman" w:hAnsi="Times New Roman"/>
                <w:bCs/>
                <w:sz w:val="20"/>
                <w:szCs w:val="20"/>
                <w:lang w:val="pl-PL"/>
              </w:rPr>
              <w:t>ramach programu lekowego udostępnia się leczenie</w:t>
            </w:r>
            <w:r w:rsidR="00EB50E8">
              <w:rPr>
                <w:rFonts w:ascii="Times New Roman" w:hAnsi="Times New Roman"/>
                <w:bCs/>
                <w:sz w:val="20"/>
                <w:szCs w:val="20"/>
                <w:lang w:val="pl-PL"/>
              </w:rPr>
              <w:t>:</w:t>
            </w:r>
          </w:p>
          <w:p w14:paraId="0AD311B4" w14:textId="3072D827" w:rsidR="00E11D2D" w:rsidRDefault="009E650A" w:rsidP="003D1E47">
            <w:pPr>
              <w:pStyle w:val="Akapitzlist"/>
              <w:numPr>
                <w:ilvl w:val="3"/>
                <w:numId w:val="71"/>
              </w:numPr>
              <w:spacing w:after="60"/>
              <w:contextualSpacing w:val="0"/>
              <w:jc w:val="both"/>
              <w:rPr>
                <w:rFonts w:ascii="Times New Roman" w:hAnsi="Times New Roman"/>
                <w:bCs/>
                <w:sz w:val="20"/>
                <w:szCs w:val="20"/>
                <w:lang w:val="pl-PL"/>
              </w:rPr>
            </w:pPr>
            <w:proofErr w:type="spellStart"/>
            <w:r>
              <w:rPr>
                <w:rFonts w:ascii="Times New Roman" w:hAnsi="Times New Roman"/>
                <w:bCs/>
                <w:sz w:val="20"/>
                <w:szCs w:val="20"/>
                <w:lang w:val="pl-PL"/>
              </w:rPr>
              <w:t>Nintedanibem</w:t>
            </w:r>
            <w:proofErr w:type="spellEnd"/>
            <w:r>
              <w:rPr>
                <w:rFonts w:ascii="Times New Roman" w:hAnsi="Times New Roman"/>
                <w:bCs/>
                <w:sz w:val="20"/>
                <w:szCs w:val="20"/>
                <w:lang w:val="pl-PL"/>
              </w:rPr>
              <w:t xml:space="preserve"> </w:t>
            </w:r>
            <w:r w:rsidR="00E11D2D" w:rsidRPr="00203D5E">
              <w:rPr>
                <w:rFonts w:ascii="Times New Roman" w:hAnsi="Times New Roman"/>
                <w:bCs/>
                <w:sz w:val="20"/>
                <w:szCs w:val="20"/>
                <w:lang w:val="pl-PL"/>
              </w:rPr>
              <w:t>pacjent</w:t>
            </w:r>
            <w:r w:rsidR="00625D86">
              <w:rPr>
                <w:rFonts w:ascii="Times New Roman" w:hAnsi="Times New Roman"/>
                <w:bCs/>
                <w:sz w:val="20"/>
                <w:szCs w:val="20"/>
                <w:lang w:val="pl-PL"/>
              </w:rPr>
              <w:t>om</w:t>
            </w:r>
            <w:r w:rsidR="00E11D2D" w:rsidRPr="00203D5E">
              <w:rPr>
                <w:rFonts w:ascii="Times New Roman" w:hAnsi="Times New Roman"/>
                <w:bCs/>
                <w:sz w:val="20"/>
                <w:szCs w:val="20"/>
                <w:lang w:val="pl-PL"/>
              </w:rPr>
              <w:t xml:space="preserve"> z chorobą śródmiąższową płuc</w:t>
            </w:r>
            <w:r w:rsidR="0024046A">
              <w:rPr>
                <w:rFonts w:ascii="Times New Roman" w:hAnsi="Times New Roman"/>
                <w:bCs/>
                <w:sz w:val="20"/>
                <w:szCs w:val="20"/>
                <w:lang w:val="pl-PL"/>
              </w:rPr>
              <w:t>:</w:t>
            </w:r>
          </w:p>
          <w:p w14:paraId="4068EAE8" w14:textId="77777777" w:rsidR="001C5FBF" w:rsidRPr="001C5FBF" w:rsidRDefault="001C5FBF" w:rsidP="003D1E47">
            <w:pPr>
              <w:pStyle w:val="Akapitzlist"/>
              <w:numPr>
                <w:ilvl w:val="5"/>
                <w:numId w:val="71"/>
              </w:numPr>
              <w:spacing w:after="60"/>
              <w:ind w:left="681"/>
              <w:contextualSpacing w:val="0"/>
              <w:jc w:val="both"/>
              <w:rPr>
                <w:rFonts w:ascii="Times New Roman" w:hAnsi="Times New Roman"/>
                <w:bCs/>
                <w:sz w:val="20"/>
                <w:szCs w:val="20"/>
                <w:lang w:val="pl-PL"/>
              </w:rPr>
            </w:pPr>
            <w:r w:rsidRPr="001C5FBF">
              <w:rPr>
                <w:rFonts w:ascii="Times New Roman" w:hAnsi="Times New Roman"/>
                <w:bCs/>
                <w:sz w:val="20"/>
                <w:szCs w:val="20"/>
                <w:lang w:val="pl-PL"/>
              </w:rPr>
              <w:t>przebiegającą z włóknieniem o fenotypie postępującym (PF-ILD),</w:t>
            </w:r>
          </w:p>
          <w:p w14:paraId="4D47E43C" w14:textId="5FD64E41" w:rsidR="0024046A" w:rsidRDefault="001C5FBF" w:rsidP="003D1E47">
            <w:pPr>
              <w:pStyle w:val="Akapitzlist"/>
              <w:numPr>
                <w:ilvl w:val="5"/>
                <w:numId w:val="71"/>
              </w:numPr>
              <w:spacing w:after="60"/>
              <w:ind w:left="681"/>
              <w:contextualSpacing w:val="0"/>
              <w:jc w:val="both"/>
              <w:rPr>
                <w:rFonts w:ascii="Times New Roman" w:hAnsi="Times New Roman"/>
                <w:bCs/>
                <w:sz w:val="20"/>
                <w:szCs w:val="20"/>
                <w:lang w:val="pl-PL"/>
              </w:rPr>
            </w:pPr>
            <w:r w:rsidRPr="001C5FBF">
              <w:rPr>
                <w:rFonts w:ascii="Times New Roman" w:hAnsi="Times New Roman"/>
                <w:bCs/>
                <w:sz w:val="20"/>
                <w:szCs w:val="20"/>
                <w:lang w:val="pl-PL"/>
              </w:rPr>
              <w:t>związanej z twardziną układową</w:t>
            </w:r>
            <w:r w:rsidR="003741CF">
              <w:t xml:space="preserve"> </w:t>
            </w:r>
            <w:r w:rsidR="003741CF" w:rsidRPr="003741CF">
              <w:rPr>
                <w:rFonts w:ascii="Times New Roman" w:hAnsi="Times New Roman"/>
                <w:bCs/>
                <w:sz w:val="20"/>
                <w:szCs w:val="20"/>
                <w:lang w:val="pl-PL"/>
              </w:rPr>
              <w:t>(</w:t>
            </w:r>
            <w:proofErr w:type="spellStart"/>
            <w:r w:rsidR="003741CF" w:rsidRPr="003741CF">
              <w:rPr>
                <w:rFonts w:ascii="Times New Roman" w:hAnsi="Times New Roman"/>
                <w:bCs/>
                <w:sz w:val="20"/>
                <w:szCs w:val="20"/>
                <w:lang w:val="pl-PL"/>
              </w:rPr>
              <w:t>SSc</w:t>
            </w:r>
            <w:proofErr w:type="spellEnd"/>
            <w:r w:rsidR="003741CF" w:rsidRPr="003741CF">
              <w:rPr>
                <w:rFonts w:ascii="Times New Roman" w:hAnsi="Times New Roman"/>
                <w:bCs/>
                <w:sz w:val="20"/>
                <w:szCs w:val="20"/>
                <w:lang w:val="pl-PL"/>
              </w:rPr>
              <w:t>-ILD)</w:t>
            </w:r>
            <w:r w:rsidR="003741CF">
              <w:rPr>
                <w:rFonts w:ascii="Times New Roman" w:hAnsi="Times New Roman"/>
                <w:bCs/>
                <w:sz w:val="20"/>
                <w:szCs w:val="20"/>
                <w:lang w:val="pl-PL"/>
              </w:rPr>
              <w:t>,</w:t>
            </w:r>
          </w:p>
          <w:p w14:paraId="6A71353D" w14:textId="1D0F1451" w:rsidR="0024046A" w:rsidRDefault="003741CF" w:rsidP="003D1E47">
            <w:pPr>
              <w:pStyle w:val="Akapitzlist"/>
              <w:numPr>
                <w:ilvl w:val="3"/>
                <w:numId w:val="71"/>
              </w:numPr>
              <w:spacing w:after="60"/>
              <w:contextualSpacing w:val="0"/>
              <w:jc w:val="both"/>
              <w:rPr>
                <w:rFonts w:ascii="Times New Roman" w:hAnsi="Times New Roman"/>
                <w:bCs/>
                <w:sz w:val="20"/>
                <w:szCs w:val="20"/>
                <w:lang w:val="pl-PL"/>
              </w:rPr>
            </w:pPr>
            <w:proofErr w:type="spellStart"/>
            <w:r>
              <w:rPr>
                <w:rFonts w:ascii="Times New Roman" w:hAnsi="Times New Roman"/>
                <w:bCs/>
                <w:sz w:val="20"/>
                <w:szCs w:val="20"/>
                <w:lang w:val="pl-PL"/>
              </w:rPr>
              <w:t>Rytuksymabem</w:t>
            </w:r>
            <w:proofErr w:type="spellEnd"/>
            <w:r>
              <w:t xml:space="preserve"> </w:t>
            </w:r>
            <w:r w:rsidRPr="003741CF">
              <w:rPr>
                <w:rFonts w:ascii="Times New Roman" w:hAnsi="Times New Roman"/>
                <w:bCs/>
                <w:sz w:val="20"/>
                <w:szCs w:val="20"/>
                <w:lang w:val="pl-PL"/>
              </w:rPr>
              <w:t>pacjent</w:t>
            </w:r>
            <w:r w:rsidR="00625D86">
              <w:rPr>
                <w:rFonts w:ascii="Times New Roman" w:hAnsi="Times New Roman"/>
                <w:bCs/>
                <w:sz w:val="20"/>
                <w:szCs w:val="20"/>
                <w:lang w:val="pl-PL"/>
              </w:rPr>
              <w:t>om</w:t>
            </w:r>
            <w:r w:rsidRPr="003741CF">
              <w:rPr>
                <w:rFonts w:ascii="Times New Roman" w:hAnsi="Times New Roman"/>
                <w:bCs/>
                <w:sz w:val="20"/>
                <w:szCs w:val="20"/>
                <w:lang w:val="pl-PL"/>
              </w:rPr>
              <w:t xml:space="preserve"> z chorobą śródmiąższową płuc (ośrodki reumatologiczne</w:t>
            </w:r>
            <w:r>
              <w:rPr>
                <w:rFonts w:ascii="Times New Roman" w:hAnsi="Times New Roman"/>
                <w:bCs/>
                <w:sz w:val="20"/>
                <w:szCs w:val="20"/>
                <w:lang w:val="pl-PL"/>
              </w:rPr>
              <w:t>)</w:t>
            </w:r>
          </w:p>
          <w:p w14:paraId="3B6388FD" w14:textId="77777777" w:rsidR="003741CF" w:rsidRPr="003741CF" w:rsidRDefault="003741CF" w:rsidP="003D1E47">
            <w:pPr>
              <w:pStyle w:val="Akapitzlist"/>
              <w:numPr>
                <w:ilvl w:val="5"/>
                <w:numId w:val="71"/>
              </w:numPr>
              <w:spacing w:after="60"/>
              <w:ind w:left="681"/>
              <w:contextualSpacing w:val="0"/>
              <w:jc w:val="both"/>
              <w:rPr>
                <w:rFonts w:ascii="Times New Roman" w:hAnsi="Times New Roman"/>
                <w:bCs/>
                <w:sz w:val="20"/>
                <w:szCs w:val="20"/>
                <w:lang w:val="pl-PL"/>
              </w:rPr>
            </w:pPr>
            <w:r w:rsidRPr="003741CF">
              <w:rPr>
                <w:rFonts w:ascii="Times New Roman" w:hAnsi="Times New Roman"/>
                <w:bCs/>
                <w:sz w:val="20"/>
                <w:szCs w:val="20"/>
                <w:lang w:val="pl-PL"/>
              </w:rPr>
              <w:t>przebiegającą z włóknieniem o fenotypie postępującym (PF-ILD) w przebiegu układowych chorób tkanki łącznej,</w:t>
            </w:r>
          </w:p>
          <w:p w14:paraId="7A1EAC7B" w14:textId="0F288D41" w:rsidR="003741CF" w:rsidRDefault="003741CF" w:rsidP="003D1E47">
            <w:pPr>
              <w:pStyle w:val="Akapitzlist"/>
              <w:numPr>
                <w:ilvl w:val="5"/>
                <w:numId w:val="71"/>
              </w:numPr>
              <w:spacing w:after="60"/>
              <w:ind w:left="681"/>
              <w:contextualSpacing w:val="0"/>
              <w:jc w:val="both"/>
              <w:rPr>
                <w:rFonts w:ascii="Times New Roman" w:hAnsi="Times New Roman"/>
                <w:bCs/>
                <w:sz w:val="20"/>
                <w:szCs w:val="20"/>
                <w:lang w:val="pl-PL"/>
              </w:rPr>
            </w:pPr>
            <w:r w:rsidRPr="003741CF">
              <w:rPr>
                <w:rFonts w:ascii="Times New Roman" w:hAnsi="Times New Roman"/>
                <w:bCs/>
                <w:sz w:val="20"/>
                <w:szCs w:val="20"/>
                <w:lang w:val="pl-PL"/>
              </w:rPr>
              <w:t>związanej z twardziną układową (</w:t>
            </w:r>
            <w:proofErr w:type="spellStart"/>
            <w:r w:rsidRPr="003741CF">
              <w:rPr>
                <w:rFonts w:ascii="Times New Roman" w:hAnsi="Times New Roman"/>
                <w:bCs/>
                <w:sz w:val="20"/>
                <w:szCs w:val="20"/>
                <w:lang w:val="pl-PL"/>
              </w:rPr>
              <w:t>SSc</w:t>
            </w:r>
            <w:proofErr w:type="spellEnd"/>
            <w:r w:rsidRPr="003741CF">
              <w:rPr>
                <w:rFonts w:ascii="Times New Roman" w:hAnsi="Times New Roman"/>
                <w:bCs/>
                <w:sz w:val="20"/>
                <w:szCs w:val="20"/>
                <w:lang w:val="pl-PL"/>
              </w:rPr>
              <w:t>-ILD</w:t>
            </w:r>
            <w:r w:rsidR="00044FBB">
              <w:rPr>
                <w:rFonts w:ascii="Times New Roman" w:hAnsi="Times New Roman"/>
                <w:bCs/>
                <w:sz w:val="20"/>
                <w:szCs w:val="20"/>
                <w:lang w:val="pl-PL"/>
              </w:rPr>
              <w:t>),</w:t>
            </w:r>
          </w:p>
          <w:p w14:paraId="72F8988D" w14:textId="77777777" w:rsidR="00776285" w:rsidRDefault="00427DCF" w:rsidP="003D1E47">
            <w:pPr>
              <w:pStyle w:val="Akapitzlist"/>
              <w:numPr>
                <w:ilvl w:val="3"/>
                <w:numId w:val="71"/>
              </w:numPr>
              <w:spacing w:after="60"/>
              <w:contextualSpacing w:val="0"/>
              <w:jc w:val="both"/>
              <w:rPr>
                <w:rFonts w:ascii="Times New Roman" w:hAnsi="Times New Roman"/>
                <w:bCs/>
                <w:sz w:val="20"/>
                <w:szCs w:val="20"/>
                <w:lang w:val="pl-PL"/>
              </w:rPr>
            </w:pPr>
            <w:r>
              <w:rPr>
                <w:rFonts w:ascii="Times New Roman" w:hAnsi="Times New Roman"/>
                <w:bCs/>
                <w:sz w:val="20"/>
                <w:szCs w:val="20"/>
                <w:lang w:val="pl-PL"/>
              </w:rPr>
              <w:t>Tocilizumabem</w:t>
            </w:r>
            <w:r w:rsidR="00776285">
              <w:rPr>
                <w:rFonts w:ascii="Times New Roman" w:hAnsi="Times New Roman"/>
                <w:bCs/>
                <w:sz w:val="20"/>
                <w:szCs w:val="20"/>
                <w:lang w:val="pl-PL"/>
              </w:rPr>
              <w:t xml:space="preserve"> </w:t>
            </w:r>
            <w:r w:rsidR="00776285" w:rsidRPr="00776285">
              <w:rPr>
                <w:rFonts w:ascii="Times New Roman" w:hAnsi="Times New Roman"/>
                <w:bCs/>
                <w:sz w:val="20"/>
                <w:szCs w:val="20"/>
                <w:lang w:val="pl-PL"/>
              </w:rPr>
              <w:t>pacjentom z chorobą śródmiąższową płuc (ośrodki reumatologiczne):</w:t>
            </w:r>
          </w:p>
          <w:p w14:paraId="233D4026" w14:textId="6808C271" w:rsidR="00427DCF" w:rsidRPr="00203D5E" w:rsidRDefault="00776285" w:rsidP="003D1E47">
            <w:pPr>
              <w:pStyle w:val="Akapitzlist"/>
              <w:numPr>
                <w:ilvl w:val="5"/>
                <w:numId w:val="71"/>
              </w:numPr>
              <w:spacing w:after="60"/>
              <w:ind w:left="681"/>
              <w:contextualSpacing w:val="0"/>
              <w:jc w:val="both"/>
              <w:rPr>
                <w:rFonts w:ascii="Times New Roman" w:hAnsi="Times New Roman"/>
                <w:bCs/>
                <w:sz w:val="20"/>
                <w:szCs w:val="20"/>
                <w:lang w:val="pl-PL"/>
              </w:rPr>
            </w:pPr>
            <w:r w:rsidRPr="00203D5E">
              <w:rPr>
                <w:rFonts w:ascii="Times New Roman" w:hAnsi="Times New Roman"/>
                <w:bCs/>
                <w:sz w:val="20"/>
                <w:szCs w:val="20"/>
                <w:lang w:val="pl-PL"/>
              </w:rPr>
              <w:t>związanej z twardziną układową (</w:t>
            </w:r>
            <w:proofErr w:type="spellStart"/>
            <w:r w:rsidRPr="00203D5E">
              <w:rPr>
                <w:rFonts w:ascii="Times New Roman" w:hAnsi="Times New Roman"/>
                <w:bCs/>
                <w:sz w:val="20"/>
                <w:szCs w:val="20"/>
                <w:lang w:val="pl-PL"/>
              </w:rPr>
              <w:t>SSc</w:t>
            </w:r>
            <w:proofErr w:type="spellEnd"/>
            <w:r w:rsidRPr="00203D5E">
              <w:rPr>
                <w:rFonts w:ascii="Times New Roman" w:hAnsi="Times New Roman"/>
                <w:bCs/>
                <w:sz w:val="20"/>
                <w:szCs w:val="20"/>
                <w:lang w:val="pl-PL"/>
              </w:rPr>
              <w:t>-ILD),</w:t>
            </w:r>
          </w:p>
          <w:p w14:paraId="77173E7B" w14:textId="31BA5B14" w:rsidR="0024046A" w:rsidRPr="00AA5B78" w:rsidRDefault="00044FBB" w:rsidP="003D1E47">
            <w:pPr>
              <w:spacing w:after="60"/>
              <w:jc w:val="both"/>
              <w:rPr>
                <w:rFonts w:ascii="Times New Roman" w:hAnsi="Times New Roman"/>
                <w:bCs/>
                <w:sz w:val="20"/>
                <w:szCs w:val="20"/>
                <w:lang w:val="pl-PL"/>
              </w:rPr>
            </w:pPr>
            <w:r w:rsidRPr="00044FBB">
              <w:rPr>
                <w:rFonts w:ascii="Times New Roman" w:hAnsi="Times New Roman"/>
                <w:bCs/>
                <w:sz w:val="20"/>
                <w:szCs w:val="20"/>
                <w:lang w:val="pl-PL"/>
              </w:rPr>
              <w:t>zgodnie ze wskazanymi w opisie programu warunkami i kryteriami</w:t>
            </w:r>
            <w:r>
              <w:rPr>
                <w:rFonts w:ascii="Times New Roman" w:hAnsi="Times New Roman"/>
                <w:bCs/>
                <w:sz w:val="20"/>
                <w:szCs w:val="20"/>
                <w:lang w:val="pl-PL"/>
              </w:rPr>
              <w:t>.</w:t>
            </w:r>
          </w:p>
          <w:p w14:paraId="6EAF6D44" w14:textId="29C76D54" w:rsidR="00E11D2D" w:rsidRPr="00D53679" w:rsidRDefault="00423A0F" w:rsidP="003D1E47">
            <w:pPr>
              <w:spacing w:after="60"/>
              <w:jc w:val="both"/>
              <w:rPr>
                <w:rFonts w:ascii="Times New Roman" w:hAnsi="Times New Roman"/>
                <w:bCs/>
                <w:sz w:val="20"/>
                <w:szCs w:val="20"/>
                <w:lang w:val="pl-PL"/>
              </w:rPr>
            </w:pPr>
            <w:r w:rsidRPr="00D53679">
              <w:rPr>
                <w:rFonts w:ascii="Times New Roman" w:hAnsi="Times New Roman"/>
                <w:bCs/>
                <w:sz w:val="20"/>
                <w:szCs w:val="20"/>
                <w:lang w:val="pl-PL"/>
              </w:rPr>
              <w:t xml:space="preserve">Kwalifikacja świadczeniobiorców do programu przeprowadzana jest przez Zespół Koordynacyjny do Spraw Leczenia Biologicznego w Chorobach Reumatycznych lub Zespół Koordynacyjny do Spraw Leczenia Chorób Śródmiąższowych Płuc, powoływany przez Prezesa Narodowego Funduszu Zdrowia. </w:t>
            </w:r>
          </w:p>
          <w:p w14:paraId="5AFFB0F4" w14:textId="77777777" w:rsidR="00423A0F" w:rsidRDefault="00423A0F" w:rsidP="003D1E47">
            <w:pPr>
              <w:spacing w:after="60"/>
              <w:jc w:val="both"/>
              <w:rPr>
                <w:rFonts w:ascii="Times New Roman" w:hAnsi="Times New Roman"/>
                <w:bCs/>
                <w:sz w:val="20"/>
                <w:szCs w:val="20"/>
                <w:lang w:val="pl-PL"/>
              </w:rPr>
            </w:pPr>
            <w:r w:rsidRPr="00D53679">
              <w:rPr>
                <w:rFonts w:ascii="Times New Roman" w:hAnsi="Times New Roman"/>
                <w:bCs/>
                <w:sz w:val="20"/>
                <w:szCs w:val="20"/>
                <w:lang w:val="pl-PL"/>
              </w:rPr>
              <w:lastRenderedPageBreak/>
              <w:t>Ponadto, gdy jest to zaznaczone w opisie programu, udział pacjenta może wymagać uzyskania indywidualnej zgody jednego z Zespołów, o którym mowa powyżej.</w:t>
            </w:r>
          </w:p>
          <w:p w14:paraId="58AA067A" w14:textId="77777777" w:rsidR="00933168" w:rsidRPr="00D53679" w:rsidRDefault="00933168" w:rsidP="003D1E47">
            <w:pPr>
              <w:spacing w:after="60"/>
              <w:jc w:val="both"/>
              <w:rPr>
                <w:rFonts w:ascii="Times New Roman" w:hAnsi="Times New Roman"/>
                <w:bCs/>
                <w:sz w:val="20"/>
                <w:szCs w:val="20"/>
                <w:lang w:val="pl-PL"/>
              </w:rPr>
            </w:pPr>
          </w:p>
          <w:p w14:paraId="1E34662C" w14:textId="77777777" w:rsidR="00E730E9" w:rsidRPr="006513EE" w:rsidRDefault="00E730E9" w:rsidP="003D1E47">
            <w:pPr>
              <w:pStyle w:val="Akapitzlist"/>
              <w:numPr>
                <w:ilvl w:val="0"/>
                <w:numId w:val="40"/>
              </w:numPr>
              <w:spacing w:after="60"/>
              <w:contextualSpacing w:val="0"/>
              <w:jc w:val="both"/>
              <w:rPr>
                <w:rFonts w:ascii="Times New Roman" w:hAnsi="Times New Roman"/>
                <w:b/>
                <w:sz w:val="20"/>
                <w:szCs w:val="20"/>
                <w:lang w:val="pl-PL"/>
              </w:rPr>
            </w:pPr>
            <w:r w:rsidRPr="006513EE">
              <w:rPr>
                <w:rFonts w:ascii="Times New Roman" w:hAnsi="Times New Roman"/>
                <w:b/>
                <w:sz w:val="20"/>
                <w:szCs w:val="20"/>
                <w:lang w:val="pl-PL"/>
              </w:rPr>
              <w:t>Kryteria kwalifikacji</w:t>
            </w:r>
          </w:p>
          <w:p w14:paraId="4F69ED64" w14:textId="79D0F74A" w:rsidR="003C78F5" w:rsidRPr="00D53679" w:rsidRDefault="00ED6EF3" w:rsidP="003D1E47">
            <w:pPr>
              <w:spacing w:after="60"/>
              <w:rPr>
                <w:rFonts w:ascii="Times New Roman" w:hAnsi="Times New Roman"/>
                <w:sz w:val="20"/>
                <w:szCs w:val="20"/>
                <w:lang w:val="pl-PL"/>
              </w:rPr>
            </w:pPr>
            <w:r>
              <w:rPr>
                <w:rFonts w:ascii="Times New Roman" w:hAnsi="Times New Roman"/>
                <w:sz w:val="20"/>
                <w:szCs w:val="20"/>
                <w:lang w:val="pl-PL"/>
              </w:rPr>
              <w:t>Muszą zostać</w:t>
            </w:r>
            <w:r w:rsidR="00300568" w:rsidRPr="00D53679">
              <w:rPr>
                <w:rFonts w:ascii="Times New Roman" w:hAnsi="Times New Roman"/>
                <w:sz w:val="20"/>
                <w:szCs w:val="20"/>
                <w:lang w:val="pl-PL"/>
              </w:rPr>
              <w:t xml:space="preserve"> spełnione łącznie kryteria ogólne (1.1.) oraz kryteria szczegółowe (1.2.</w:t>
            </w:r>
            <w:r w:rsidR="0032519F">
              <w:rPr>
                <w:rFonts w:ascii="Times New Roman" w:hAnsi="Times New Roman"/>
                <w:sz w:val="20"/>
                <w:szCs w:val="20"/>
                <w:lang w:val="pl-PL"/>
              </w:rPr>
              <w:t>1. albo 1.2.2.</w:t>
            </w:r>
            <w:r w:rsidR="00300568" w:rsidRPr="00D53679">
              <w:rPr>
                <w:rFonts w:ascii="Times New Roman" w:hAnsi="Times New Roman"/>
                <w:sz w:val="20"/>
                <w:szCs w:val="20"/>
                <w:lang w:val="pl-PL"/>
              </w:rPr>
              <w:t>)</w:t>
            </w:r>
            <w:r w:rsidR="0032519F">
              <w:rPr>
                <w:rFonts w:ascii="Times New Roman" w:hAnsi="Times New Roman"/>
                <w:sz w:val="20"/>
                <w:szCs w:val="20"/>
                <w:lang w:val="pl-PL"/>
              </w:rPr>
              <w:t xml:space="preserve"> dla poszczególnych terapii</w:t>
            </w:r>
            <w:r w:rsidR="00300568" w:rsidRPr="00D53679">
              <w:rPr>
                <w:rFonts w:ascii="Times New Roman" w:hAnsi="Times New Roman"/>
                <w:sz w:val="20"/>
                <w:szCs w:val="20"/>
                <w:lang w:val="pl-PL"/>
              </w:rPr>
              <w:t>.</w:t>
            </w:r>
          </w:p>
          <w:p w14:paraId="2DC4F7A3" w14:textId="77777777" w:rsidR="00300568" w:rsidRPr="00D53679" w:rsidRDefault="00300568" w:rsidP="003D1E47">
            <w:pPr>
              <w:pStyle w:val="Akapitzlist"/>
              <w:numPr>
                <w:ilvl w:val="1"/>
                <w:numId w:val="40"/>
              </w:numPr>
              <w:spacing w:after="60"/>
              <w:contextualSpacing w:val="0"/>
              <w:rPr>
                <w:rFonts w:ascii="Times New Roman" w:hAnsi="Times New Roman"/>
                <w:b/>
                <w:bCs/>
                <w:sz w:val="20"/>
                <w:szCs w:val="20"/>
                <w:lang w:val="pl-PL"/>
              </w:rPr>
            </w:pPr>
            <w:r w:rsidRPr="00D53679">
              <w:rPr>
                <w:rFonts w:ascii="Times New Roman" w:hAnsi="Times New Roman"/>
                <w:b/>
                <w:bCs/>
                <w:sz w:val="20"/>
                <w:szCs w:val="20"/>
                <w:lang w:val="pl-PL"/>
              </w:rPr>
              <w:t>Ogólne kryteria kwalifikacji</w:t>
            </w:r>
            <w:r w:rsidR="003C78F5">
              <w:rPr>
                <w:rFonts w:ascii="Times New Roman" w:hAnsi="Times New Roman"/>
                <w:b/>
                <w:bCs/>
                <w:sz w:val="20"/>
                <w:szCs w:val="20"/>
                <w:lang w:val="pl-PL"/>
              </w:rPr>
              <w:t>:</w:t>
            </w:r>
          </w:p>
          <w:p w14:paraId="1F30D248" w14:textId="79F26E90" w:rsidR="00E730E9" w:rsidRPr="008D2C64" w:rsidRDefault="00E730E9" w:rsidP="003D1E47">
            <w:pPr>
              <w:pStyle w:val="Akapitzlist"/>
              <w:numPr>
                <w:ilvl w:val="0"/>
                <w:numId w:val="4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8D2C64">
              <w:rPr>
                <w:rFonts w:ascii="Times New Roman" w:eastAsia="Times New Roman" w:hAnsi="Times New Roman"/>
                <w:color w:val="000000"/>
                <w:sz w:val="20"/>
                <w:szCs w:val="20"/>
                <w:lang w:val="pl-PL" w:eastAsia="pl-PL"/>
              </w:rPr>
              <w:t>wiek</w:t>
            </w:r>
            <w:r w:rsidR="003C78F5" w:rsidRPr="008D2C64">
              <w:rPr>
                <w:rFonts w:ascii="Times New Roman" w:eastAsia="Times New Roman" w:hAnsi="Times New Roman"/>
                <w:color w:val="000000"/>
                <w:sz w:val="20"/>
                <w:szCs w:val="20"/>
                <w:lang w:val="pl-PL" w:eastAsia="pl-PL"/>
              </w:rPr>
              <w:t xml:space="preserve"> </w:t>
            </w:r>
            <w:r w:rsidR="00972003" w:rsidRPr="008D2C64">
              <w:rPr>
                <w:rFonts w:ascii="Times New Roman" w:eastAsia="Times New Roman" w:hAnsi="Times New Roman"/>
                <w:color w:val="000000"/>
                <w:sz w:val="20"/>
                <w:szCs w:val="20"/>
                <w:lang w:val="pl-PL" w:eastAsia="pl-PL"/>
              </w:rPr>
              <w:t>18 lat</w:t>
            </w:r>
            <w:r w:rsidR="00827835" w:rsidRPr="008D2C64">
              <w:rPr>
                <w:rFonts w:ascii="Times New Roman" w:eastAsia="Times New Roman" w:hAnsi="Times New Roman"/>
                <w:color w:val="000000"/>
                <w:sz w:val="20"/>
                <w:szCs w:val="20"/>
                <w:lang w:val="pl-PL" w:eastAsia="pl-PL"/>
              </w:rPr>
              <w:t xml:space="preserve"> i powyżej</w:t>
            </w:r>
            <w:r w:rsidR="0014590F" w:rsidRPr="008D2C64">
              <w:rPr>
                <w:rFonts w:ascii="Times New Roman" w:eastAsia="Times New Roman" w:hAnsi="Times New Roman"/>
                <w:color w:val="000000"/>
                <w:sz w:val="20"/>
                <w:szCs w:val="20"/>
                <w:lang w:val="pl-PL" w:eastAsia="pl-PL"/>
              </w:rPr>
              <w:t>,</w:t>
            </w:r>
          </w:p>
          <w:p w14:paraId="2EFFE681" w14:textId="57759CB5" w:rsidR="00300568" w:rsidRPr="008D2C64" w:rsidRDefault="00300568" w:rsidP="003D1E47">
            <w:pPr>
              <w:pStyle w:val="Akapitzlist"/>
              <w:numPr>
                <w:ilvl w:val="0"/>
                <w:numId w:val="4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8D2C64">
              <w:rPr>
                <w:rFonts w:ascii="Times New Roman" w:eastAsia="Times New Roman" w:hAnsi="Times New Roman"/>
                <w:color w:val="000000"/>
                <w:sz w:val="20"/>
                <w:szCs w:val="20"/>
                <w:lang w:val="pl-PL" w:eastAsia="pl-PL"/>
              </w:rPr>
              <w:t>rozpoznanie choroby śródmiąższowej płuc na podstawie badania tomografii komputerowej wysokiej rozdzielczości (TKWR),</w:t>
            </w:r>
          </w:p>
          <w:p w14:paraId="2A3AAE3E" w14:textId="77777777" w:rsidR="00FC0131" w:rsidRPr="008D2C64" w:rsidRDefault="00FC0131" w:rsidP="003D1E47">
            <w:pPr>
              <w:pStyle w:val="Akapitzlist"/>
              <w:numPr>
                <w:ilvl w:val="0"/>
                <w:numId w:val="4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8D2C64">
              <w:rPr>
                <w:rFonts w:ascii="Times New Roman" w:eastAsia="Times New Roman" w:hAnsi="Times New Roman"/>
                <w:color w:val="000000"/>
                <w:sz w:val="20"/>
                <w:szCs w:val="20"/>
                <w:lang w:val="pl-PL" w:eastAsia="pl-PL"/>
              </w:rPr>
              <w:t>FVC ≥ 40% wartości należnej,</w:t>
            </w:r>
          </w:p>
          <w:p w14:paraId="283B5006" w14:textId="1F2E8194" w:rsidR="00FC0131" w:rsidRDefault="00FC0131" w:rsidP="003D1E47">
            <w:pPr>
              <w:pStyle w:val="Akapitzlist"/>
              <w:numPr>
                <w:ilvl w:val="0"/>
                <w:numId w:val="4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8D2C64">
              <w:rPr>
                <w:rFonts w:ascii="Times New Roman" w:eastAsia="Times New Roman" w:hAnsi="Times New Roman"/>
                <w:color w:val="000000"/>
                <w:sz w:val="20"/>
                <w:szCs w:val="20"/>
                <w:lang w:val="pl-PL" w:eastAsia="pl-PL"/>
              </w:rPr>
              <w:t xml:space="preserve">pojemność dyfuzyjna płuc </w:t>
            </w:r>
            <w:proofErr w:type="spellStart"/>
            <w:r w:rsidRPr="008D2C64">
              <w:rPr>
                <w:rFonts w:ascii="Times New Roman" w:eastAsia="Times New Roman" w:hAnsi="Times New Roman"/>
                <w:color w:val="000000"/>
                <w:sz w:val="20"/>
                <w:szCs w:val="20"/>
                <w:lang w:val="pl-PL" w:eastAsia="pl-PL"/>
              </w:rPr>
              <w:t>TL</w:t>
            </w:r>
            <w:r w:rsidR="00F2399B" w:rsidRPr="008D2C64">
              <w:rPr>
                <w:rFonts w:ascii="Times New Roman" w:eastAsia="Times New Roman" w:hAnsi="Times New Roman"/>
                <w:color w:val="000000"/>
                <w:sz w:val="20"/>
                <w:szCs w:val="20"/>
                <w:lang w:val="pl-PL" w:eastAsia="pl-PL"/>
              </w:rPr>
              <w:t>co</w:t>
            </w:r>
            <w:proofErr w:type="spellEnd"/>
            <w:r w:rsidRPr="008D2C64">
              <w:rPr>
                <w:rFonts w:ascii="Times New Roman" w:eastAsia="Times New Roman" w:hAnsi="Times New Roman"/>
                <w:color w:val="000000"/>
                <w:sz w:val="20"/>
                <w:szCs w:val="20"/>
                <w:lang w:val="pl-PL" w:eastAsia="pl-PL"/>
              </w:rPr>
              <w:t xml:space="preserve"> powyżej 30% wartości należnej</w:t>
            </w:r>
            <w:r w:rsidR="00885746" w:rsidRPr="008D2C64">
              <w:rPr>
                <w:rFonts w:ascii="Times New Roman" w:eastAsia="Times New Roman" w:hAnsi="Times New Roman"/>
                <w:color w:val="000000"/>
                <w:sz w:val="20"/>
                <w:szCs w:val="20"/>
                <w:lang w:val="pl-PL" w:eastAsia="pl-PL"/>
              </w:rPr>
              <w:t>,</w:t>
            </w:r>
          </w:p>
          <w:p w14:paraId="129AD2F6" w14:textId="5E1490B0" w:rsidR="00BF6D95" w:rsidRDefault="00BF6D95" w:rsidP="003D1E47">
            <w:pPr>
              <w:pStyle w:val="Akapitzlist"/>
              <w:numPr>
                <w:ilvl w:val="0"/>
                <w:numId w:val="4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BF6D95">
              <w:rPr>
                <w:rFonts w:ascii="Times New Roman" w:eastAsia="Times New Roman" w:hAnsi="Times New Roman"/>
                <w:color w:val="000000"/>
                <w:sz w:val="20"/>
                <w:szCs w:val="20"/>
                <w:lang w:val="pl-PL" w:eastAsia="pl-PL"/>
              </w:rPr>
              <w:t>wykluczenie ciąży i okresu karmienia piersią</w:t>
            </w:r>
            <w:r w:rsidR="00B06F96">
              <w:rPr>
                <w:rFonts w:ascii="Times New Roman" w:eastAsia="Times New Roman" w:hAnsi="Times New Roman"/>
                <w:color w:val="000000"/>
                <w:sz w:val="20"/>
                <w:szCs w:val="20"/>
                <w:lang w:val="pl-PL" w:eastAsia="pl-PL"/>
              </w:rPr>
              <w:t xml:space="preserve"> – dotyczy kobiet w wieku rozrodczym</w:t>
            </w:r>
            <w:r w:rsidR="00693470">
              <w:rPr>
                <w:rFonts w:ascii="Times New Roman" w:eastAsia="Times New Roman" w:hAnsi="Times New Roman"/>
                <w:color w:val="000000"/>
                <w:sz w:val="20"/>
                <w:szCs w:val="20"/>
                <w:lang w:val="pl-PL" w:eastAsia="pl-PL"/>
              </w:rPr>
              <w:t>,</w:t>
            </w:r>
          </w:p>
          <w:p w14:paraId="04335144" w14:textId="492CD3C1" w:rsidR="00B06F96" w:rsidRPr="008D2C64" w:rsidRDefault="00190CAC" w:rsidP="003D1E47">
            <w:pPr>
              <w:pStyle w:val="Akapitzlist"/>
              <w:numPr>
                <w:ilvl w:val="0"/>
                <w:numId w:val="4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190CAC">
              <w:rPr>
                <w:rFonts w:ascii="Times New Roman" w:eastAsia="Times New Roman" w:hAnsi="Times New Roman"/>
                <w:color w:val="000000"/>
                <w:sz w:val="20"/>
                <w:szCs w:val="20"/>
                <w:lang w:val="pl-PL" w:eastAsia="pl-PL"/>
              </w:rPr>
              <w:t>zgoda pacjenta na prowadzenie antykoncepcji zgodnie z aktualną Charakterystyką Produktów Leczniczych (</w:t>
            </w:r>
            <w:proofErr w:type="spellStart"/>
            <w:r w:rsidRPr="00190CAC">
              <w:rPr>
                <w:rFonts w:ascii="Times New Roman" w:eastAsia="Times New Roman" w:hAnsi="Times New Roman"/>
                <w:color w:val="000000"/>
                <w:sz w:val="20"/>
                <w:szCs w:val="20"/>
                <w:lang w:val="pl-PL" w:eastAsia="pl-PL"/>
              </w:rPr>
              <w:t>ChPL</w:t>
            </w:r>
            <w:proofErr w:type="spellEnd"/>
            <w:r w:rsidRPr="00190CAC">
              <w:rPr>
                <w:rFonts w:ascii="Times New Roman" w:eastAsia="Times New Roman" w:hAnsi="Times New Roman"/>
                <w:color w:val="000000"/>
                <w:sz w:val="20"/>
                <w:szCs w:val="20"/>
                <w:lang w:val="pl-PL" w:eastAsia="pl-PL"/>
              </w:rPr>
              <w:t>) – dotyczy kobiet w wieku rozrodczym</w:t>
            </w:r>
            <w:r w:rsidR="00693470">
              <w:rPr>
                <w:rFonts w:ascii="Times New Roman" w:eastAsia="Times New Roman" w:hAnsi="Times New Roman"/>
                <w:color w:val="000000"/>
                <w:sz w:val="20"/>
                <w:szCs w:val="20"/>
                <w:lang w:val="pl-PL" w:eastAsia="pl-PL"/>
              </w:rPr>
              <w:t>,</w:t>
            </w:r>
          </w:p>
          <w:p w14:paraId="0679C54F" w14:textId="60ABBB9B" w:rsidR="002A4C5C" w:rsidRPr="008D2C64" w:rsidRDefault="002A4C5C" w:rsidP="003D1E47">
            <w:pPr>
              <w:pStyle w:val="Akapitzlist"/>
              <w:numPr>
                <w:ilvl w:val="0"/>
                <w:numId w:val="4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8D2C64">
              <w:rPr>
                <w:rFonts w:ascii="Times New Roman" w:eastAsia="Times New Roman" w:hAnsi="Times New Roman"/>
                <w:color w:val="000000"/>
                <w:sz w:val="20"/>
                <w:szCs w:val="20"/>
                <w:lang w:val="pl-PL" w:eastAsia="pl-PL"/>
              </w:rPr>
              <w:t>adekwatna wydolność narządowa określona na podstawie wyników badań umożliwiająca w opinii Zespołu Koordynacyjnego lub lekarza prowadzącego bezpieczne rozpoczęcie terapii</w:t>
            </w:r>
            <w:r w:rsidR="005430FB" w:rsidRPr="008D2C64">
              <w:rPr>
                <w:rFonts w:ascii="Times New Roman" w:eastAsia="Times New Roman" w:hAnsi="Times New Roman"/>
                <w:color w:val="000000"/>
                <w:sz w:val="20"/>
                <w:szCs w:val="20"/>
                <w:lang w:val="pl-PL" w:eastAsia="pl-PL"/>
              </w:rPr>
              <w:t>,</w:t>
            </w:r>
          </w:p>
          <w:p w14:paraId="440B6B5D" w14:textId="70CF80F6" w:rsidR="00EE4284" w:rsidRPr="008D2C64" w:rsidRDefault="002A4C5C" w:rsidP="003D1E47">
            <w:pPr>
              <w:pStyle w:val="Akapitzlist"/>
              <w:numPr>
                <w:ilvl w:val="0"/>
                <w:numId w:val="4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8D2C64">
              <w:rPr>
                <w:rFonts w:ascii="Times New Roman" w:eastAsia="Times New Roman" w:hAnsi="Times New Roman"/>
                <w:color w:val="000000"/>
                <w:sz w:val="20"/>
                <w:szCs w:val="20"/>
                <w:lang w:val="pl-PL" w:eastAsia="pl-PL"/>
              </w:rPr>
              <w:t xml:space="preserve">nieobecność istotnych schorzeń współistniejących </w:t>
            </w:r>
            <w:r w:rsidR="00C268A7">
              <w:rPr>
                <w:rFonts w:ascii="Times New Roman" w:eastAsia="Times New Roman" w:hAnsi="Times New Roman"/>
                <w:color w:val="000000"/>
                <w:sz w:val="20"/>
                <w:szCs w:val="20"/>
                <w:lang w:val="pl-PL" w:eastAsia="pl-PL"/>
              </w:rPr>
              <w:t xml:space="preserve">lub stanów klinicznych </w:t>
            </w:r>
            <w:r w:rsidRPr="008D2C64">
              <w:rPr>
                <w:rFonts w:ascii="Times New Roman" w:eastAsia="Times New Roman" w:hAnsi="Times New Roman"/>
                <w:color w:val="000000"/>
                <w:sz w:val="20"/>
                <w:szCs w:val="20"/>
                <w:lang w:val="pl-PL" w:eastAsia="pl-PL"/>
              </w:rPr>
              <w:t xml:space="preserve">stanowiących przeciwskazanie do terapii stwierdzonych przez Zespół Koordynacyjny lub lekarza prowadzącego w oparciu o </w:t>
            </w:r>
            <w:r w:rsidR="00C268A7">
              <w:rPr>
                <w:rFonts w:ascii="Times New Roman" w:eastAsia="Times New Roman" w:hAnsi="Times New Roman"/>
                <w:color w:val="000000"/>
                <w:sz w:val="20"/>
                <w:szCs w:val="20"/>
                <w:lang w:val="pl-PL" w:eastAsia="pl-PL"/>
              </w:rPr>
              <w:t xml:space="preserve">odpowiednie, </w:t>
            </w:r>
            <w:r w:rsidRPr="008D2C64">
              <w:rPr>
                <w:rFonts w:ascii="Times New Roman" w:eastAsia="Times New Roman" w:hAnsi="Times New Roman"/>
                <w:color w:val="000000"/>
                <w:sz w:val="20"/>
                <w:szCs w:val="20"/>
                <w:lang w:val="pl-PL" w:eastAsia="pl-PL"/>
              </w:rPr>
              <w:t>aktualn</w:t>
            </w:r>
            <w:r w:rsidR="003E10CA">
              <w:rPr>
                <w:rFonts w:ascii="Times New Roman" w:eastAsia="Times New Roman" w:hAnsi="Times New Roman"/>
                <w:color w:val="000000"/>
                <w:sz w:val="20"/>
                <w:szCs w:val="20"/>
                <w:lang w:val="pl-PL" w:eastAsia="pl-PL"/>
              </w:rPr>
              <w:t>e</w:t>
            </w:r>
            <w:r w:rsidRPr="008D2C64">
              <w:rPr>
                <w:rFonts w:ascii="Times New Roman" w:eastAsia="Times New Roman" w:hAnsi="Times New Roman"/>
                <w:color w:val="000000"/>
                <w:sz w:val="20"/>
                <w:szCs w:val="20"/>
                <w:lang w:val="pl-PL" w:eastAsia="pl-PL"/>
              </w:rPr>
              <w:t xml:space="preserve"> </w:t>
            </w:r>
            <w:proofErr w:type="spellStart"/>
            <w:r w:rsidRPr="008D2C64">
              <w:rPr>
                <w:rFonts w:ascii="Times New Roman" w:eastAsia="Times New Roman" w:hAnsi="Times New Roman"/>
                <w:color w:val="000000"/>
                <w:sz w:val="20"/>
                <w:szCs w:val="20"/>
                <w:lang w:val="pl-PL" w:eastAsia="pl-PL"/>
              </w:rPr>
              <w:t>ChPL</w:t>
            </w:r>
            <w:proofErr w:type="spellEnd"/>
            <w:r w:rsidR="00EE4284">
              <w:rPr>
                <w:rFonts w:ascii="Times New Roman" w:eastAsia="Times New Roman" w:hAnsi="Times New Roman"/>
                <w:color w:val="000000"/>
                <w:sz w:val="20"/>
                <w:szCs w:val="20"/>
                <w:lang w:val="pl-PL" w:eastAsia="pl-PL"/>
              </w:rPr>
              <w:t>,</w:t>
            </w:r>
          </w:p>
          <w:p w14:paraId="33C0D804" w14:textId="59D862E3" w:rsidR="00990777" w:rsidRPr="00693470" w:rsidRDefault="00EE4284" w:rsidP="003D1E47">
            <w:pPr>
              <w:pStyle w:val="Akapitzlist"/>
              <w:numPr>
                <w:ilvl w:val="0"/>
                <w:numId w:val="4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EE4284">
              <w:rPr>
                <w:rFonts w:ascii="Times New Roman" w:eastAsia="Times New Roman" w:hAnsi="Times New Roman"/>
                <w:color w:val="000000"/>
                <w:sz w:val="20"/>
                <w:szCs w:val="20"/>
                <w:lang w:val="pl-PL" w:eastAsia="pl-PL"/>
              </w:rPr>
              <w:t xml:space="preserve">brak przeciwwskazań do stosowania leku zgodnie z aktualną </w:t>
            </w:r>
            <w:proofErr w:type="spellStart"/>
            <w:r w:rsidRPr="00EE4284">
              <w:rPr>
                <w:rFonts w:ascii="Times New Roman" w:eastAsia="Times New Roman" w:hAnsi="Times New Roman"/>
                <w:color w:val="000000"/>
                <w:sz w:val="20"/>
                <w:szCs w:val="20"/>
                <w:lang w:val="pl-PL" w:eastAsia="pl-PL"/>
              </w:rPr>
              <w:t>ChPL</w:t>
            </w:r>
            <w:proofErr w:type="spellEnd"/>
            <w:r>
              <w:rPr>
                <w:rFonts w:ascii="Times New Roman" w:eastAsia="Times New Roman" w:hAnsi="Times New Roman"/>
                <w:color w:val="000000"/>
                <w:sz w:val="20"/>
                <w:szCs w:val="20"/>
                <w:lang w:val="pl-PL" w:eastAsia="pl-PL"/>
              </w:rPr>
              <w:t>.</w:t>
            </w:r>
          </w:p>
          <w:p w14:paraId="082BD604" w14:textId="77777777" w:rsidR="00300568" w:rsidRPr="006513EE" w:rsidRDefault="00300568" w:rsidP="003D1E47">
            <w:pPr>
              <w:autoSpaceDE w:val="0"/>
              <w:autoSpaceDN w:val="0"/>
              <w:adjustRightInd w:val="0"/>
              <w:spacing w:after="60"/>
              <w:ind w:left="227"/>
              <w:jc w:val="both"/>
              <w:rPr>
                <w:rFonts w:ascii="Times New Roman" w:hAnsi="Times New Roman"/>
                <w:sz w:val="20"/>
                <w:szCs w:val="20"/>
                <w:lang w:val="pl-PL"/>
              </w:rPr>
            </w:pPr>
          </w:p>
          <w:p w14:paraId="14BE12A6" w14:textId="46883ED6" w:rsidR="00300568" w:rsidRPr="00D53679" w:rsidRDefault="00990777" w:rsidP="003D1E47">
            <w:pPr>
              <w:pStyle w:val="Akapitzlist"/>
              <w:widowControl w:val="0"/>
              <w:numPr>
                <w:ilvl w:val="1"/>
                <w:numId w:val="40"/>
              </w:numPr>
              <w:autoSpaceDE w:val="0"/>
              <w:autoSpaceDN w:val="0"/>
              <w:adjustRightInd w:val="0"/>
              <w:spacing w:after="60"/>
              <w:contextualSpacing w:val="0"/>
              <w:jc w:val="both"/>
              <w:rPr>
                <w:rFonts w:ascii="Times New Roman" w:hAnsi="Times New Roman"/>
                <w:b/>
                <w:bCs/>
                <w:sz w:val="20"/>
                <w:szCs w:val="20"/>
                <w:lang w:val="pl-PL"/>
              </w:rPr>
            </w:pPr>
            <w:r w:rsidRPr="00D53679">
              <w:rPr>
                <w:rFonts w:ascii="Times New Roman" w:hAnsi="Times New Roman"/>
                <w:b/>
                <w:bCs/>
                <w:sz w:val="20"/>
                <w:szCs w:val="20"/>
                <w:lang w:val="pl-PL"/>
              </w:rPr>
              <w:t>Szczegółowe kryteria kwalifikacji</w:t>
            </w:r>
            <w:r w:rsidR="002E313B">
              <w:rPr>
                <w:rFonts w:ascii="Times New Roman" w:hAnsi="Times New Roman"/>
                <w:b/>
                <w:bCs/>
                <w:sz w:val="20"/>
                <w:szCs w:val="20"/>
                <w:lang w:val="pl-PL"/>
              </w:rPr>
              <w:t xml:space="preserve"> do leczenia</w:t>
            </w:r>
            <w:r w:rsidR="003C78F5">
              <w:rPr>
                <w:rFonts w:ascii="Times New Roman" w:hAnsi="Times New Roman"/>
                <w:b/>
                <w:bCs/>
                <w:sz w:val="20"/>
                <w:szCs w:val="20"/>
                <w:lang w:val="pl-PL"/>
              </w:rPr>
              <w:t>:</w:t>
            </w:r>
          </w:p>
          <w:p w14:paraId="5ADE30D0" w14:textId="7849D6E8" w:rsidR="00990777" w:rsidRPr="006513EE" w:rsidRDefault="00990777" w:rsidP="003D1E47">
            <w:pPr>
              <w:autoSpaceDE w:val="0"/>
              <w:autoSpaceDN w:val="0"/>
              <w:adjustRightInd w:val="0"/>
              <w:spacing w:after="60"/>
              <w:jc w:val="both"/>
              <w:rPr>
                <w:rFonts w:ascii="Times New Roman" w:hAnsi="Times New Roman"/>
                <w:sz w:val="20"/>
                <w:szCs w:val="20"/>
                <w:lang w:val="pl-PL"/>
              </w:rPr>
            </w:pPr>
            <w:r w:rsidRPr="006513EE">
              <w:rPr>
                <w:rFonts w:ascii="Times New Roman" w:hAnsi="Times New Roman"/>
                <w:sz w:val="20"/>
                <w:szCs w:val="20"/>
                <w:lang w:val="pl-PL"/>
              </w:rPr>
              <w:t>1.2.1. pacjentów z chorobą śródmiąższową płuc związan</w:t>
            </w:r>
            <w:r w:rsidR="00D45499">
              <w:rPr>
                <w:rFonts w:ascii="Times New Roman" w:hAnsi="Times New Roman"/>
                <w:sz w:val="20"/>
                <w:szCs w:val="20"/>
                <w:lang w:val="pl-PL"/>
              </w:rPr>
              <w:t>ą</w:t>
            </w:r>
            <w:r w:rsidRPr="006513EE">
              <w:rPr>
                <w:rFonts w:ascii="Times New Roman" w:hAnsi="Times New Roman"/>
                <w:sz w:val="20"/>
                <w:szCs w:val="20"/>
                <w:lang w:val="pl-PL"/>
              </w:rPr>
              <w:t xml:space="preserve"> z twardziną układową</w:t>
            </w:r>
            <w:r w:rsidR="002E313B">
              <w:rPr>
                <w:rFonts w:ascii="Times New Roman" w:hAnsi="Times New Roman"/>
                <w:sz w:val="20"/>
                <w:szCs w:val="20"/>
                <w:lang w:val="pl-PL"/>
              </w:rPr>
              <w:t xml:space="preserve"> </w:t>
            </w:r>
            <w:proofErr w:type="spellStart"/>
            <w:r w:rsidR="002E313B">
              <w:rPr>
                <w:rFonts w:ascii="Times New Roman" w:hAnsi="Times New Roman"/>
                <w:sz w:val="20"/>
                <w:szCs w:val="20"/>
                <w:lang w:val="pl-PL"/>
              </w:rPr>
              <w:t>nintedani</w:t>
            </w:r>
            <w:r w:rsidR="006676F7">
              <w:rPr>
                <w:rFonts w:ascii="Times New Roman" w:hAnsi="Times New Roman"/>
                <w:sz w:val="20"/>
                <w:szCs w:val="20"/>
                <w:lang w:val="pl-PL"/>
              </w:rPr>
              <w:t>bem</w:t>
            </w:r>
            <w:proofErr w:type="spellEnd"/>
            <w:r w:rsidR="006676F7">
              <w:rPr>
                <w:rFonts w:ascii="Times New Roman" w:hAnsi="Times New Roman"/>
                <w:sz w:val="20"/>
                <w:szCs w:val="20"/>
                <w:lang w:val="pl-PL"/>
              </w:rPr>
              <w:t xml:space="preserve"> lub </w:t>
            </w:r>
            <w:proofErr w:type="spellStart"/>
            <w:r w:rsidR="006676F7">
              <w:rPr>
                <w:rFonts w:ascii="Times New Roman" w:hAnsi="Times New Roman"/>
                <w:sz w:val="20"/>
                <w:szCs w:val="20"/>
                <w:lang w:val="pl-PL"/>
              </w:rPr>
              <w:t>r</w:t>
            </w:r>
            <w:r w:rsidR="00D45499">
              <w:rPr>
                <w:rFonts w:ascii="Times New Roman" w:hAnsi="Times New Roman"/>
                <w:sz w:val="20"/>
                <w:szCs w:val="20"/>
                <w:lang w:val="pl-PL"/>
              </w:rPr>
              <w:t>y</w:t>
            </w:r>
            <w:r w:rsidR="006676F7">
              <w:rPr>
                <w:rFonts w:ascii="Times New Roman" w:hAnsi="Times New Roman"/>
                <w:sz w:val="20"/>
                <w:szCs w:val="20"/>
                <w:lang w:val="pl-PL"/>
              </w:rPr>
              <w:t>tuks</w:t>
            </w:r>
            <w:r w:rsidR="00693470">
              <w:rPr>
                <w:rFonts w:ascii="Times New Roman" w:hAnsi="Times New Roman"/>
                <w:sz w:val="20"/>
                <w:szCs w:val="20"/>
                <w:lang w:val="pl-PL"/>
              </w:rPr>
              <w:t>y</w:t>
            </w:r>
            <w:r w:rsidR="006676F7">
              <w:rPr>
                <w:rFonts w:ascii="Times New Roman" w:hAnsi="Times New Roman"/>
                <w:sz w:val="20"/>
                <w:szCs w:val="20"/>
                <w:lang w:val="pl-PL"/>
              </w:rPr>
              <w:t>mabem</w:t>
            </w:r>
            <w:proofErr w:type="spellEnd"/>
            <w:r w:rsidR="000B15B0">
              <w:rPr>
                <w:rFonts w:ascii="Times New Roman" w:hAnsi="Times New Roman"/>
                <w:sz w:val="20"/>
                <w:szCs w:val="20"/>
                <w:lang w:val="pl-PL"/>
              </w:rPr>
              <w:t xml:space="preserve"> lub tocilizumabem</w:t>
            </w:r>
            <w:r w:rsidR="003C78F5">
              <w:rPr>
                <w:rFonts w:ascii="Times New Roman" w:hAnsi="Times New Roman"/>
                <w:sz w:val="20"/>
                <w:szCs w:val="20"/>
                <w:lang w:val="pl-PL"/>
              </w:rPr>
              <w:t>:</w:t>
            </w:r>
          </w:p>
          <w:p w14:paraId="1903727B" w14:textId="77777777" w:rsidR="00375AE9" w:rsidRPr="008D2C64" w:rsidRDefault="00183F2D" w:rsidP="003D1E47">
            <w:pPr>
              <w:pStyle w:val="Akapitzlist"/>
              <w:numPr>
                <w:ilvl w:val="0"/>
                <w:numId w:val="62"/>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8D2C64">
              <w:rPr>
                <w:rFonts w:ascii="Times New Roman" w:eastAsia="Times New Roman" w:hAnsi="Times New Roman"/>
                <w:color w:val="000000"/>
                <w:sz w:val="20"/>
                <w:szCs w:val="20"/>
                <w:lang w:val="pl-PL" w:eastAsia="pl-PL"/>
              </w:rPr>
              <w:t>rozpoznanie</w:t>
            </w:r>
            <w:r w:rsidR="0053696C" w:rsidRPr="008D2C64">
              <w:rPr>
                <w:rFonts w:ascii="Times New Roman" w:eastAsia="Times New Roman" w:hAnsi="Times New Roman"/>
                <w:color w:val="000000"/>
                <w:sz w:val="20"/>
                <w:szCs w:val="20"/>
                <w:lang w:val="pl-PL" w:eastAsia="pl-PL"/>
              </w:rPr>
              <w:t xml:space="preserve"> </w:t>
            </w:r>
            <w:r w:rsidR="00BD286B" w:rsidRPr="008D2C64">
              <w:rPr>
                <w:rFonts w:ascii="Times New Roman" w:eastAsia="Times New Roman" w:hAnsi="Times New Roman"/>
                <w:color w:val="000000"/>
                <w:sz w:val="20"/>
                <w:szCs w:val="20"/>
                <w:lang w:val="pl-PL" w:eastAsia="pl-PL"/>
              </w:rPr>
              <w:t>twardziny układowej (</w:t>
            </w:r>
            <w:proofErr w:type="spellStart"/>
            <w:r w:rsidR="00BD286B" w:rsidRPr="008D2C64">
              <w:rPr>
                <w:rFonts w:ascii="Times New Roman" w:eastAsia="Times New Roman" w:hAnsi="Times New Roman"/>
                <w:color w:val="000000"/>
                <w:sz w:val="20"/>
                <w:szCs w:val="20"/>
                <w:lang w:val="pl-PL" w:eastAsia="pl-PL"/>
              </w:rPr>
              <w:t>SSc</w:t>
            </w:r>
            <w:proofErr w:type="spellEnd"/>
            <w:r w:rsidR="00BD286B" w:rsidRPr="008D2C64">
              <w:rPr>
                <w:rFonts w:ascii="Times New Roman" w:eastAsia="Times New Roman" w:hAnsi="Times New Roman"/>
                <w:color w:val="000000"/>
                <w:sz w:val="20"/>
                <w:szCs w:val="20"/>
                <w:lang w:val="pl-PL" w:eastAsia="pl-PL"/>
              </w:rPr>
              <w:t xml:space="preserve">) </w:t>
            </w:r>
            <w:r w:rsidR="00375AE9" w:rsidRPr="008D2C64">
              <w:rPr>
                <w:rFonts w:ascii="Times New Roman" w:eastAsia="Times New Roman" w:hAnsi="Times New Roman"/>
                <w:color w:val="000000"/>
                <w:sz w:val="20"/>
                <w:szCs w:val="20"/>
                <w:lang w:val="pl-PL" w:eastAsia="pl-PL"/>
              </w:rPr>
              <w:t>zgodnie</w:t>
            </w:r>
            <w:r w:rsidR="00FB4D8D" w:rsidRPr="008D2C64">
              <w:rPr>
                <w:rFonts w:ascii="Times New Roman" w:eastAsia="Times New Roman" w:hAnsi="Times New Roman"/>
                <w:color w:val="000000"/>
                <w:sz w:val="20"/>
                <w:szCs w:val="20"/>
                <w:lang w:val="pl-PL" w:eastAsia="pl-PL"/>
              </w:rPr>
              <w:t xml:space="preserve"> </w:t>
            </w:r>
            <w:r w:rsidR="00375AE9" w:rsidRPr="008D2C64">
              <w:rPr>
                <w:rFonts w:ascii="Times New Roman" w:eastAsia="Times New Roman" w:hAnsi="Times New Roman"/>
                <w:color w:val="000000"/>
                <w:sz w:val="20"/>
                <w:szCs w:val="20"/>
                <w:lang w:val="pl-PL" w:eastAsia="pl-PL"/>
              </w:rPr>
              <w:t xml:space="preserve">z </w:t>
            </w:r>
            <w:r w:rsidR="00BD286B" w:rsidRPr="008D2C64">
              <w:rPr>
                <w:rFonts w:ascii="Times New Roman" w:eastAsia="Times New Roman" w:hAnsi="Times New Roman"/>
                <w:color w:val="000000"/>
                <w:sz w:val="20"/>
                <w:szCs w:val="20"/>
                <w:lang w:val="pl-PL" w:eastAsia="pl-PL"/>
              </w:rPr>
              <w:t>aktualny</w:t>
            </w:r>
            <w:r w:rsidR="00375AE9" w:rsidRPr="008D2C64">
              <w:rPr>
                <w:rFonts w:ascii="Times New Roman" w:eastAsia="Times New Roman" w:hAnsi="Times New Roman"/>
                <w:color w:val="000000"/>
                <w:sz w:val="20"/>
                <w:szCs w:val="20"/>
                <w:lang w:val="pl-PL" w:eastAsia="pl-PL"/>
              </w:rPr>
              <w:t>mi</w:t>
            </w:r>
            <w:r w:rsidR="00BD286B" w:rsidRPr="008D2C64">
              <w:rPr>
                <w:rFonts w:ascii="Times New Roman" w:eastAsia="Times New Roman" w:hAnsi="Times New Roman"/>
                <w:color w:val="000000"/>
                <w:sz w:val="20"/>
                <w:szCs w:val="20"/>
                <w:lang w:val="pl-PL" w:eastAsia="pl-PL"/>
              </w:rPr>
              <w:t xml:space="preserve"> rekomendacj</w:t>
            </w:r>
            <w:r w:rsidR="00375AE9" w:rsidRPr="008D2C64">
              <w:rPr>
                <w:rFonts w:ascii="Times New Roman" w:eastAsia="Times New Roman" w:hAnsi="Times New Roman"/>
                <w:color w:val="000000"/>
                <w:sz w:val="20"/>
                <w:szCs w:val="20"/>
                <w:lang w:val="pl-PL" w:eastAsia="pl-PL"/>
              </w:rPr>
              <w:t>ami</w:t>
            </w:r>
            <w:r w:rsidR="00BD286B" w:rsidRPr="008D2C64">
              <w:rPr>
                <w:rFonts w:ascii="Times New Roman" w:eastAsia="Times New Roman" w:hAnsi="Times New Roman"/>
                <w:color w:val="000000"/>
                <w:sz w:val="20"/>
                <w:szCs w:val="20"/>
                <w:lang w:val="pl-PL" w:eastAsia="pl-PL"/>
              </w:rPr>
              <w:t xml:space="preserve"> EULAR/ACR</w:t>
            </w:r>
            <w:r w:rsidR="0014590F" w:rsidRPr="008D2C64">
              <w:rPr>
                <w:rFonts w:ascii="Times New Roman" w:eastAsia="Times New Roman" w:hAnsi="Times New Roman"/>
                <w:color w:val="000000"/>
                <w:sz w:val="20"/>
                <w:szCs w:val="20"/>
                <w:lang w:val="pl-PL" w:eastAsia="pl-PL"/>
              </w:rPr>
              <w:t>,</w:t>
            </w:r>
          </w:p>
          <w:p w14:paraId="5557A402" w14:textId="7943C5D3" w:rsidR="002D2E55" w:rsidRPr="008D2C64" w:rsidRDefault="006676F7" w:rsidP="003D1E47">
            <w:pPr>
              <w:pStyle w:val="Akapitzlist"/>
              <w:numPr>
                <w:ilvl w:val="0"/>
                <w:numId w:val="62"/>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Pr>
                <w:rFonts w:ascii="Times New Roman" w:eastAsia="Times New Roman" w:hAnsi="Times New Roman"/>
                <w:color w:val="000000"/>
                <w:sz w:val="20"/>
                <w:szCs w:val="20"/>
                <w:lang w:val="pl-PL" w:eastAsia="pl-PL"/>
              </w:rPr>
              <w:t>spełnienie</w:t>
            </w:r>
            <w:r w:rsidR="002D2E55" w:rsidRPr="008D2C64">
              <w:rPr>
                <w:rFonts w:ascii="Times New Roman" w:eastAsia="Times New Roman" w:hAnsi="Times New Roman"/>
                <w:color w:val="000000"/>
                <w:sz w:val="20"/>
                <w:szCs w:val="20"/>
                <w:lang w:val="pl-PL" w:eastAsia="pl-PL"/>
              </w:rPr>
              <w:t xml:space="preserve"> jedn</w:t>
            </w:r>
            <w:r>
              <w:rPr>
                <w:rFonts w:ascii="Times New Roman" w:eastAsia="Times New Roman" w:hAnsi="Times New Roman"/>
                <w:color w:val="000000"/>
                <w:sz w:val="20"/>
                <w:szCs w:val="20"/>
                <w:lang w:val="pl-PL" w:eastAsia="pl-PL"/>
              </w:rPr>
              <w:t>ego</w:t>
            </w:r>
            <w:r w:rsidR="002D2E55" w:rsidRPr="008D2C64">
              <w:rPr>
                <w:rFonts w:ascii="Times New Roman" w:eastAsia="Times New Roman" w:hAnsi="Times New Roman"/>
                <w:color w:val="000000"/>
                <w:sz w:val="20"/>
                <w:szCs w:val="20"/>
                <w:lang w:val="pl-PL" w:eastAsia="pl-PL"/>
              </w:rPr>
              <w:t xml:space="preserve"> z poniższych kryteriów</w:t>
            </w:r>
            <w:r w:rsidR="0014590F" w:rsidRPr="008D2C64">
              <w:rPr>
                <w:rFonts w:ascii="Times New Roman" w:eastAsia="Times New Roman" w:hAnsi="Times New Roman"/>
                <w:color w:val="000000"/>
                <w:sz w:val="20"/>
                <w:szCs w:val="20"/>
                <w:lang w:val="pl-PL" w:eastAsia="pl-PL"/>
              </w:rPr>
              <w:t xml:space="preserve"> a-c</w:t>
            </w:r>
            <w:r w:rsidR="002D2E55" w:rsidRPr="008D2C64">
              <w:rPr>
                <w:rFonts w:ascii="Times New Roman" w:eastAsia="Times New Roman" w:hAnsi="Times New Roman"/>
                <w:color w:val="000000"/>
                <w:sz w:val="20"/>
                <w:szCs w:val="20"/>
                <w:lang w:val="pl-PL" w:eastAsia="pl-PL"/>
              </w:rPr>
              <w:t>:</w:t>
            </w:r>
          </w:p>
          <w:p w14:paraId="1E3BC6B5" w14:textId="77777777" w:rsidR="00875C86" w:rsidRPr="006513EE" w:rsidRDefault="002D2E55" w:rsidP="003D1E47">
            <w:pPr>
              <w:numPr>
                <w:ilvl w:val="4"/>
                <w:numId w:val="40"/>
              </w:numPr>
              <w:autoSpaceDE w:val="0"/>
              <w:autoSpaceDN w:val="0"/>
              <w:adjustRightInd w:val="0"/>
              <w:spacing w:after="60"/>
              <w:jc w:val="both"/>
              <w:rPr>
                <w:rFonts w:ascii="Times New Roman" w:hAnsi="Times New Roman"/>
                <w:sz w:val="20"/>
                <w:szCs w:val="20"/>
                <w:lang w:val="pl-PL"/>
              </w:rPr>
            </w:pPr>
            <w:r w:rsidRPr="006513EE">
              <w:rPr>
                <w:rFonts w:ascii="Times New Roman" w:hAnsi="Times New Roman"/>
                <w:sz w:val="20"/>
                <w:szCs w:val="20"/>
                <w:lang w:val="pl-PL"/>
              </w:rPr>
              <w:t xml:space="preserve">zmiany włókniste w badaniu </w:t>
            </w:r>
            <w:r w:rsidR="005E6A62" w:rsidRPr="006513EE">
              <w:rPr>
                <w:rFonts w:ascii="Times New Roman" w:hAnsi="Times New Roman"/>
                <w:sz w:val="20"/>
                <w:szCs w:val="20"/>
                <w:lang w:val="pl-PL"/>
              </w:rPr>
              <w:t xml:space="preserve">TKWR </w:t>
            </w:r>
            <w:r w:rsidRPr="006513EE">
              <w:rPr>
                <w:rFonts w:ascii="Times New Roman" w:hAnsi="Times New Roman"/>
                <w:sz w:val="20"/>
                <w:szCs w:val="20"/>
                <w:lang w:val="pl-PL"/>
              </w:rPr>
              <w:t>zajmują</w:t>
            </w:r>
            <w:r w:rsidR="00FB4D8D" w:rsidRPr="006513EE">
              <w:rPr>
                <w:rFonts w:ascii="Times New Roman" w:hAnsi="Times New Roman"/>
                <w:sz w:val="20"/>
                <w:szCs w:val="20"/>
                <w:lang w:val="pl-PL"/>
              </w:rPr>
              <w:t xml:space="preserve"> </w:t>
            </w:r>
            <w:r w:rsidRPr="006513EE">
              <w:rPr>
                <w:rFonts w:ascii="Times New Roman" w:hAnsi="Times New Roman"/>
                <w:sz w:val="20"/>
                <w:szCs w:val="20"/>
                <w:lang w:val="pl-PL"/>
              </w:rPr>
              <w:t xml:space="preserve">co najmniej 10% </w:t>
            </w:r>
            <w:r w:rsidR="005E6A62" w:rsidRPr="006513EE">
              <w:rPr>
                <w:rFonts w:ascii="Times New Roman" w:hAnsi="Times New Roman"/>
                <w:sz w:val="20"/>
                <w:szCs w:val="20"/>
                <w:lang w:val="pl-PL"/>
              </w:rPr>
              <w:t xml:space="preserve">objętości </w:t>
            </w:r>
            <w:r w:rsidRPr="006513EE">
              <w:rPr>
                <w:rFonts w:ascii="Times New Roman" w:hAnsi="Times New Roman"/>
                <w:sz w:val="20"/>
                <w:szCs w:val="20"/>
                <w:lang w:val="pl-PL"/>
              </w:rPr>
              <w:t>płuc oraz</w:t>
            </w:r>
            <w:r w:rsidR="00926AF1" w:rsidRPr="006513EE">
              <w:rPr>
                <w:rFonts w:ascii="Times New Roman" w:hAnsi="Times New Roman"/>
                <w:sz w:val="20"/>
                <w:szCs w:val="20"/>
                <w:lang w:val="pl-PL"/>
              </w:rPr>
              <w:t xml:space="preserve"> </w:t>
            </w:r>
            <w:r w:rsidR="00875C86" w:rsidRPr="006513EE">
              <w:rPr>
                <w:rFonts w:ascii="Times New Roman" w:hAnsi="Times New Roman"/>
                <w:sz w:val="20"/>
                <w:szCs w:val="20"/>
                <w:lang w:val="pl-PL"/>
              </w:rPr>
              <w:t xml:space="preserve">udokumentowano: </w:t>
            </w:r>
          </w:p>
          <w:p w14:paraId="7642C965" w14:textId="70914B0E" w:rsidR="00534FCD" w:rsidRPr="006513EE" w:rsidRDefault="002D2E55" w:rsidP="003D1E47">
            <w:pPr>
              <w:pStyle w:val="Akapitzlist"/>
              <w:numPr>
                <w:ilvl w:val="5"/>
                <w:numId w:val="40"/>
              </w:numPr>
              <w:autoSpaceDE w:val="0"/>
              <w:autoSpaceDN w:val="0"/>
              <w:adjustRightInd w:val="0"/>
              <w:spacing w:after="60"/>
              <w:contextualSpacing w:val="0"/>
              <w:jc w:val="both"/>
              <w:rPr>
                <w:rFonts w:ascii="Times New Roman" w:hAnsi="Times New Roman"/>
                <w:sz w:val="20"/>
                <w:szCs w:val="20"/>
                <w:lang w:val="pl-PL"/>
              </w:rPr>
            </w:pPr>
            <w:r w:rsidRPr="006513EE">
              <w:rPr>
                <w:rFonts w:ascii="Times New Roman" w:hAnsi="Times New Roman"/>
                <w:sz w:val="20"/>
                <w:szCs w:val="20"/>
                <w:lang w:val="pl-PL"/>
              </w:rPr>
              <w:t>spadek wartości FVC o co najmniej 10%</w:t>
            </w:r>
            <w:r w:rsidR="003C78F5">
              <w:rPr>
                <w:rFonts w:ascii="Times New Roman" w:hAnsi="Times New Roman"/>
                <w:sz w:val="20"/>
                <w:szCs w:val="20"/>
                <w:lang w:val="pl-PL"/>
              </w:rPr>
              <w:t>,</w:t>
            </w:r>
          </w:p>
          <w:p w14:paraId="7B351801" w14:textId="77777777" w:rsidR="00875C86" w:rsidRPr="006513EE" w:rsidRDefault="002D2E55" w:rsidP="003D1E47">
            <w:pPr>
              <w:pStyle w:val="Akapitzlist"/>
              <w:autoSpaceDE w:val="0"/>
              <w:autoSpaceDN w:val="0"/>
              <w:adjustRightInd w:val="0"/>
              <w:spacing w:after="60"/>
              <w:ind w:left="680"/>
              <w:contextualSpacing w:val="0"/>
              <w:jc w:val="both"/>
              <w:rPr>
                <w:rFonts w:ascii="Times New Roman" w:hAnsi="Times New Roman"/>
                <w:sz w:val="20"/>
                <w:szCs w:val="20"/>
                <w:lang w:val="pl-PL"/>
              </w:rPr>
            </w:pPr>
            <w:r w:rsidRPr="006513EE">
              <w:rPr>
                <w:rFonts w:ascii="Times New Roman" w:hAnsi="Times New Roman"/>
                <w:sz w:val="20"/>
                <w:szCs w:val="20"/>
                <w:lang w:val="pl-PL"/>
              </w:rPr>
              <w:t xml:space="preserve">lub </w:t>
            </w:r>
          </w:p>
          <w:p w14:paraId="3EE6E95B" w14:textId="77777777" w:rsidR="00875C86" w:rsidRPr="006513EE" w:rsidRDefault="002A284C" w:rsidP="003D1E47">
            <w:pPr>
              <w:pStyle w:val="Akapitzlist"/>
              <w:numPr>
                <w:ilvl w:val="5"/>
                <w:numId w:val="40"/>
              </w:numPr>
              <w:autoSpaceDE w:val="0"/>
              <w:autoSpaceDN w:val="0"/>
              <w:adjustRightInd w:val="0"/>
              <w:spacing w:after="60"/>
              <w:contextualSpacing w:val="0"/>
              <w:jc w:val="both"/>
              <w:rPr>
                <w:rFonts w:ascii="Times New Roman" w:hAnsi="Times New Roman"/>
                <w:sz w:val="20"/>
                <w:szCs w:val="20"/>
                <w:lang w:val="pl-PL"/>
              </w:rPr>
            </w:pPr>
            <w:r w:rsidRPr="006513EE">
              <w:rPr>
                <w:rFonts w:ascii="Times New Roman" w:hAnsi="Times New Roman"/>
                <w:sz w:val="20"/>
                <w:szCs w:val="20"/>
                <w:lang w:val="pl-PL"/>
              </w:rPr>
              <w:t xml:space="preserve">spadek wartości FVC o co najmniej 5% i </w:t>
            </w:r>
            <w:r w:rsidR="002D2E55" w:rsidRPr="006513EE">
              <w:rPr>
                <w:rFonts w:ascii="Times New Roman" w:hAnsi="Times New Roman"/>
                <w:sz w:val="20"/>
                <w:szCs w:val="20"/>
                <w:lang w:val="pl-PL"/>
              </w:rPr>
              <w:t xml:space="preserve">spadek wartości </w:t>
            </w:r>
            <w:r w:rsidR="0031135E" w:rsidRPr="006513EE">
              <w:rPr>
                <w:rFonts w:ascii="Times New Roman" w:hAnsi="Times New Roman"/>
                <w:sz w:val="20"/>
                <w:szCs w:val="20"/>
                <w:lang w:val="pl-PL"/>
              </w:rPr>
              <w:t>T</w:t>
            </w:r>
            <w:r w:rsidR="002D2E55" w:rsidRPr="006513EE">
              <w:rPr>
                <w:rFonts w:ascii="Times New Roman" w:hAnsi="Times New Roman"/>
                <w:sz w:val="20"/>
                <w:szCs w:val="20"/>
                <w:lang w:val="pl-PL"/>
              </w:rPr>
              <w:t>LCO o co najmniej 15%</w:t>
            </w:r>
            <w:r w:rsidR="00875C86" w:rsidRPr="006513EE">
              <w:rPr>
                <w:rFonts w:ascii="Times New Roman" w:hAnsi="Times New Roman"/>
                <w:sz w:val="20"/>
                <w:szCs w:val="20"/>
                <w:lang w:val="pl-PL"/>
              </w:rPr>
              <w:t>,</w:t>
            </w:r>
          </w:p>
          <w:p w14:paraId="3B931FCD" w14:textId="77777777" w:rsidR="00534FCD" w:rsidRPr="006513EE" w:rsidRDefault="005C7C5C" w:rsidP="003D1E47">
            <w:pPr>
              <w:pStyle w:val="Akapitzlist"/>
              <w:autoSpaceDE w:val="0"/>
              <w:autoSpaceDN w:val="0"/>
              <w:adjustRightInd w:val="0"/>
              <w:spacing w:after="60"/>
              <w:ind w:left="680"/>
              <w:contextualSpacing w:val="0"/>
              <w:jc w:val="both"/>
              <w:rPr>
                <w:rFonts w:ascii="Times New Roman" w:hAnsi="Times New Roman"/>
                <w:sz w:val="20"/>
                <w:szCs w:val="20"/>
                <w:lang w:val="pl-PL"/>
              </w:rPr>
            </w:pPr>
            <w:r w:rsidRPr="006513EE">
              <w:rPr>
                <w:rFonts w:ascii="Times New Roman" w:hAnsi="Times New Roman"/>
                <w:sz w:val="20"/>
                <w:szCs w:val="20"/>
                <w:lang w:val="pl-PL"/>
              </w:rPr>
              <w:t>pomimo</w:t>
            </w:r>
            <w:r w:rsidR="002D2E55" w:rsidRPr="006513EE">
              <w:rPr>
                <w:rFonts w:ascii="Times New Roman" w:hAnsi="Times New Roman"/>
                <w:sz w:val="20"/>
                <w:szCs w:val="20"/>
                <w:lang w:val="pl-PL"/>
              </w:rPr>
              <w:t xml:space="preserve"> terapii </w:t>
            </w:r>
            <w:proofErr w:type="spellStart"/>
            <w:r w:rsidR="0053696C" w:rsidRPr="006513EE">
              <w:rPr>
                <w:rFonts w:ascii="Times New Roman" w:hAnsi="Times New Roman"/>
                <w:sz w:val="20"/>
                <w:szCs w:val="20"/>
                <w:lang w:val="pl-PL"/>
              </w:rPr>
              <w:t>my</w:t>
            </w:r>
            <w:r w:rsidR="000E2D9A" w:rsidRPr="006513EE">
              <w:rPr>
                <w:rFonts w:ascii="Times New Roman" w:hAnsi="Times New Roman"/>
                <w:sz w:val="20"/>
                <w:szCs w:val="20"/>
                <w:lang w:val="pl-PL"/>
              </w:rPr>
              <w:t>k</w:t>
            </w:r>
            <w:r w:rsidR="0053696C" w:rsidRPr="006513EE">
              <w:rPr>
                <w:rFonts w:ascii="Times New Roman" w:hAnsi="Times New Roman"/>
                <w:sz w:val="20"/>
                <w:szCs w:val="20"/>
                <w:lang w:val="pl-PL"/>
              </w:rPr>
              <w:t>ofenolanem</w:t>
            </w:r>
            <w:proofErr w:type="spellEnd"/>
            <w:r w:rsidR="0053696C" w:rsidRPr="006513EE">
              <w:rPr>
                <w:rFonts w:ascii="Times New Roman" w:hAnsi="Times New Roman"/>
                <w:sz w:val="20"/>
                <w:szCs w:val="20"/>
                <w:lang w:val="pl-PL"/>
              </w:rPr>
              <w:t xml:space="preserve"> </w:t>
            </w:r>
            <w:proofErr w:type="spellStart"/>
            <w:r w:rsidR="002D2E55" w:rsidRPr="006513EE">
              <w:rPr>
                <w:rFonts w:ascii="Times New Roman" w:hAnsi="Times New Roman"/>
                <w:sz w:val="20"/>
                <w:szCs w:val="20"/>
                <w:lang w:val="pl-PL"/>
              </w:rPr>
              <w:t>mofet</w:t>
            </w:r>
            <w:r w:rsidR="00B83812" w:rsidRPr="006513EE">
              <w:rPr>
                <w:rFonts w:ascii="Times New Roman" w:hAnsi="Times New Roman"/>
                <w:sz w:val="20"/>
                <w:szCs w:val="20"/>
                <w:lang w:val="pl-PL"/>
              </w:rPr>
              <w:t>y</w:t>
            </w:r>
            <w:r w:rsidR="002D2E55" w:rsidRPr="006513EE">
              <w:rPr>
                <w:rFonts w:ascii="Times New Roman" w:hAnsi="Times New Roman"/>
                <w:sz w:val="20"/>
                <w:szCs w:val="20"/>
                <w:lang w:val="pl-PL"/>
              </w:rPr>
              <w:t>lu</w:t>
            </w:r>
            <w:proofErr w:type="spellEnd"/>
            <w:r w:rsidR="0053696C" w:rsidRPr="006513EE">
              <w:rPr>
                <w:rFonts w:ascii="Times New Roman" w:hAnsi="Times New Roman"/>
                <w:sz w:val="20"/>
                <w:szCs w:val="20"/>
                <w:lang w:val="pl-PL"/>
              </w:rPr>
              <w:t xml:space="preserve"> </w:t>
            </w:r>
            <w:r w:rsidR="002D2E55" w:rsidRPr="006513EE">
              <w:rPr>
                <w:rFonts w:ascii="Times New Roman" w:hAnsi="Times New Roman"/>
                <w:sz w:val="20"/>
                <w:szCs w:val="20"/>
                <w:lang w:val="pl-PL"/>
              </w:rPr>
              <w:t>lub</w:t>
            </w:r>
            <w:r w:rsidR="0053696C" w:rsidRPr="006513EE">
              <w:rPr>
                <w:rFonts w:ascii="Times New Roman" w:hAnsi="Times New Roman"/>
                <w:sz w:val="20"/>
                <w:szCs w:val="20"/>
                <w:lang w:val="pl-PL"/>
              </w:rPr>
              <w:t xml:space="preserve"> </w:t>
            </w:r>
            <w:proofErr w:type="spellStart"/>
            <w:r w:rsidR="002D2E55" w:rsidRPr="006513EE">
              <w:rPr>
                <w:rFonts w:ascii="Times New Roman" w:hAnsi="Times New Roman"/>
                <w:sz w:val="20"/>
                <w:szCs w:val="20"/>
                <w:lang w:val="pl-PL"/>
              </w:rPr>
              <w:t>cy</w:t>
            </w:r>
            <w:r w:rsidR="00EC272C" w:rsidRPr="006513EE">
              <w:rPr>
                <w:rFonts w:ascii="Times New Roman" w:hAnsi="Times New Roman"/>
                <w:sz w:val="20"/>
                <w:szCs w:val="20"/>
                <w:lang w:val="pl-PL"/>
              </w:rPr>
              <w:t>k</w:t>
            </w:r>
            <w:r w:rsidR="002D2E55" w:rsidRPr="006513EE">
              <w:rPr>
                <w:rFonts w:ascii="Times New Roman" w:hAnsi="Times New Roman"/>
                <w:sz w:val="20"/>
                <w:szCs w:val="20"/>
                <w:lang w:val="pl-PL"/>
              </w:rPr>
              <w:t>lofosfamidem</w:t>
            </w:r>
            <w:proofErr w:type="spellEnd"/>
            <w:r w:rsidR="002D2E55" w:rsidRPr="006513EE">
              <w:rPr>
                <w:rFonts w:ascii="Times New Roman" w:hAnsi="Times New Roman"/>
                <w:sz w:val="20"/>
                <w:szCs w:val="20"/>
                <w:lang w:val="pl-PL"/>
              </w:rPr>
              <w:t>, jeśli ich zastosowanie nie jest przeciwwskazane</w:t>
            </w:r>
            <w:r w:rsidR="002F737E" w:rsidRPr="006513EE">
              <w:rPr>
                <w:rFonts w:ascii="Times New Roman" w:hAnsi="Times New Roman"/>
                <w:sz w:val="20"/>
                <w:szCs w:val="20"/>
                <w:lang w:val="pl-PL"/>
              </w:rPr>
              <w:t xml:space="preserve"> oraz </w:t>
            </w:r>
            <w:r w:rsidR="00604A2E" w:rsidRPr="006513EE">
              <w:rPr>
                <w:rFonts w:ascii="Times New Roman" w:hAnsi="Times New Roman"/>
                <w:sz w:val="20"/>
                <w:szCs w:val="20"/>
                <w:lang w:val="pl-PL"/>
              </w:rPr>
              <w:t xml:space="preserve">nie istnieją ograniczenia dotyczące </w:t>
            </w:r>
            <w:r w:rsidR="002B5B26" w:rsidRPr="006513EE">
              <w:rPr>
                <w:rFonts w:ascii="Times New Roman" w:hAnsi="Times New Roman"/>
                <w:sz w:val="20"/>
                <w:szCs w:val="20"/>
                <w:lang w:val="pl-PL"/>
              </w:rPr>
              <w:t>ich stosowania</w:t>
            </w:r>
            <w:r w:rsidR="002D2E55" w:rsidRPr="006513EE">
              <w:rPr>
                <w:rFonts w:ascii="Times New Roman" w:hAnsi="Times New Roman"/>
                <w:sz w:val="20"/>
                <w:szCs w:val="20"/>
                <w:lang w:val="pl-PL"/>
              </w:rPr>
              <w:t xml:space="preserve">, z których każdy stosowany był zgodnie </w:t>
            </w:r>
            <w:r w:rsidR="00083EF6" w:rsidRPr="006513EE">
              <w:rPr>
                <w:rFonts w:ascii="Times New Roman" w:hAnsi="Times New Roman"/>
                <w:sz w:val="20"/>
                <w:szCs w:val="20"/>
                <w:lang w:val="pl-PL"/>
              </w:rPr>
              <w:t xml:space="preserve">z </w:t>
            </w:r>
            <w:r w:rsidR="002D2E55" w:rsidRPr="006513EE">
              <w:rPr>
                <w:rFonts w:ascii="Times New Roman" w:hAnsi="Times New Roman"/>
                <w:sz w:val="20"/>
                <w:szCs w:val="20"/>
                <w:lang w:val="pl-PL"/>
              </w:rPr>
              <w:t>obowiązującymi rekomendacjami przez okres co najmniej 6 miesięcy lub krócej w przypadku nietolerancji lub działań niepożądanych</w:t>
            </w:r>
            <w:r w:rsidR="00490140" w:rsidRPr="006513EE">
              <w:rPr>
                <w:rFonts w:ascii="Times New Roman" w:hAnsi="Times New Roman"/>
                <w:sz w:val="20"/>
                <w:szCs w:val="20"/>
                <w:lang w:val="pl-PL"/>
              </w:rPr>
              <w:t>,</w:t>
            </w:r>
          </w:p>
          <w:p w14:paraId="1637C9DA" w14:textId="77777777" w:rsidR="00DD5EC2" w:rsidRPr="006513EE" w:rsidRDefault="006008A9" w:rsidP="003D1E47">
            <w:pPr>
              <w:pStyle w:val="Akapitzlist"/>
              <w:autoSpaceDE w:val="0"/>
              <w:autoSpaceDN w:val="0"/>
              <w:adjustRightInd w:val="0"/>
              <w:spacing w:after="60"/>
              <w:ind w:left="454"/>
              <w:contextualSpacing w:val="0"/>
              <w:jc w:val="both"/>
              <w:rPr>
                <w:rFonts w:ascii="Times New Roman" w:hAnsi="Times New Roman"/>
                <w:sz w:val="20"/>
                <w:szCs w:val="20"/>
                <w:lang w:val="pl-PL"/>
              </w:rPr>
            </w:pPr>
            <w:r w:rsidRPr="006513EE">
              <w:rPr>
                <w:rFonts w:ascii="Times New Roman" w:hAnsi="Times New Roman"/>
                <w:sz w:val="20"/>
                <w:szCs w:val="20"/>
                <w:lang w:val="pl-PL"/>
              </w:rPr>
              <w:t>lub</w:t>
            </w:r>
          </w:p>
          <w:p w14:paraId="75476385" w14:textId="77777777" w:rsidR="00534FCD" w:rsidRPr="006513EE" w:rsidRDefault="00F45AE7" w:rsidP="003D1E47">
            <w:pPr>
              <w:numPr>
                <w:ilvl w:val="4"/>
                <w:numId w:val="40"/>
              </w:numPr>
              <w:autoSpaceDE w:val="0"/>
              <w:autoSpaceDN w:val="0"/>
              <w:adjustRightInd w:val="0"/>
              <w:spacing w:after="60"/>
              <w:jc w:val="both"/>
              <w:rPr>
                <w:rFonts w:ascii="Times New Roman" w:hAnsi="Times New Roman"/>
                <w:sz w:val="20"/>
                <w:szCs w:val="20"/>
                <w:lang w:val="pl-PL"/>
              </w:rPr>
            </w:pPr>
            <w:r w:rsidRPr="006513EE">
              <w:rPr>
                <w:rFonts w:ascii="Times New Roman" w:hAnsi="Times New Roman"/>
                <w:sz w:val="20"/>
                <w:szCs w:val="20"/>
                <w:lang w:val="pl-PL"/>
              </w:rPr>
              <w:t xml:space="preserve">zmiany włókniste w badaniu </w:t>
            </w:r>
            <w:r w:rsidR="005E6A62" w:rsidRPr="006513EE">
              <w:rPr>
                <w:rFonts w:ascii="Times New Roman" w:hAnsi="Times New Roman"/>
                <w:sz w:val="20"/>
                <w:szCs w:val="20"/>
                <w:lang w:val="pl-PL"/>
              </w:rPr>
              <w:t xml:space="preserve">TKWR </w:t>
            </w:r>
            <w:r w:rsidRPr="006513EE">
              <w:rPr>
                <w:rFonts w:ascii="Times New Roman" w:hAnsi="Times New Roman"/>
                <w:sz w:val="20"/>
                <w:szCs w:val="20"/>
                <w:lang w:val="pl-PL"/>
              </w:rPr>
              <w:t>zajmują</w:t>
            </w:r>
            <w:r w:rsidR="00FB4D8D" w:rsidRPr="006513EE">
              <w:rPr>
                <w:rFonts w:ascii="Times New Roman" w:hAnsi="Times New Roman"/>
                <w:sz w:val="20"/>
                <w:szCs w:val="20"/>
                <w:lang w:val="pl-PL"/>
              </w:rPr>
              <w:t xml:space="preserve"> </w:t>
            </w:r>
            <w:r w:rsidRPr="006513EE">
              <w:rPr>
                <w:rFonts w:ascii="Times New Roman" w:hAnsi="Times New Roman"/>
                <w:sz w:val="20"/>
                <w:szCs w:val="20"/>
                <w:lang w:val="pl-PL"/>
              </w:rPr>
              <w:t xml:space="preserve">co najmniej 10% </w:t>
            </w:r>
            <w:r w:rsidR="005E6A62" w:rsidRPr="006513EE">
              <w:rPr>
                <w:rFonts w:ascii="Times New Roman" w:hAnsi="Times New Roman"/>
                <w:sz w:val="20"/>
                <w:szCs w:val="20"/>
                <w:lang w:val="pl-PL"/>
              </w:rPr>
              <w:t xml:space="preserve">objętości </w:t>
            </w:r>
            <w:r w:rsidRPr="006513EE">
              <w:rPr>
                <w:rFonts w:ascii="Times New Roman" w:hAnsi="Times New Roman"/>
                <w:sz w:val="20"/>
                <w:szCs w:val="20"/>
                <w:lang w:val="pl-PL"/>
              </w:rPr>
              <w:t>płuc oraz wartość FVC stanowi &lt;</w:t>
            </w:r>
            <w:r w:rsidR="0014590F" w:rsidRPr="006513EE">
              <w:rPr>
                <w:rFonts w:ascii="Times New Roman" w:hAnsi="Times New Roman"/>
                <w:sz w:val="20"/>
                <w:szCs w:val="20"/>
                <w:lang w:val="pl-PL"/>
              </w:rPr>
              <w:t xml:space="preserve"> </w:t>
            </w:r>
            <w:r w:rsidRPr="006513EE">
              <w:rPr>
                <w:rFonts w:ascii="Times New Roman" w:hAnsi="Times New Roman"/>
                <w:sz w:val="20"/>
                <w:szCs w:val="20"/>
                <w:lang w:val="pl-PL"/>
              </w:rPr>
              <w:t>70% wartości należnej</w:t>
            </w:r>
            <w:r w:rsidR="003C78F5">
              <w:rPr>
                <w:rFonts w:ascii="Times New Roman" w:hAnsi="Times New Roman"/>
                <w:sz w:val="20"/>
                <w:szCs w:val="20"/>
                <w:lang w:val="pl-PL"/>
              </w:rPr>
              <w:t>,</w:t>
            </w:r>
          </w:p>
          <w:p w14:paraId="4EC1CF6A" w14:textId="77777777" w:rsidR="00F45AE7" w:rsidRPr="006513EE" w:rsidRDefault="00F45AE7" w:rsidP="003D1E47">
            <w:pPr>
              <w:autoSpaceDE w:val="0"/>
              <w:autoSpaceDN w:val="0"/>
              <w:adjustRightInd w:val="0"/>
              <w:spacing w:after="60"/>
              <w:ind w:left="454"/>
              <w:jc w:val="both"/>
              <w:rPr>
                <w:rFonts w:ascii="Times New Roman" w:hAnsi="Times New Roman"/>
                <w:sz w:val="20"/>
                <w:szCs w:val="20"/>
                <w:lang w:val="pl-PL"/>
              </w:rPr>
            </w:pPr>
            <w:r w:rsidRPr="006513EE">
              <w:rPr>
                <w:rFonts w:ascii="Times New Roman" w:hAnsi="Times New Roman"/>
                <w:sz w:val="20"/>
                <w:szCs w:val="20"/>
                <w:lang w:val="pl-PL"/>
              </w:rPr>
              <w:t>lub</w:t>
            </w:r>
          </w:p>
          <w:p w14:paraId="7C3EF723" w14:textId="77777777" w:rsidR="00AA589D" w:rsidRPr="006513EE" w:rsidRDefault="00E85F54" w:rsidP="003D1E47">
            <w:pPr>
              <w:numPr>
                <w:ilvl w:val="4"/>
                <w:numId w:val="40"/>
              </w:numPr>
              <w:autoSpaceDE w:val="0"/>
              <w:autoSpaceDN w:val="0"/>
              <w:adjustRightInd w:val="0"/>
              <w:spacing w:after="60"/>
              <w:jc w:val="both"/>
              <w:rPr>
                <w:rFonts w:ascii="Times New Roman" w:hAnsi="Times New Roman"/>
                <w:sz w:val="20"/>
                <w:szCs w:val="20"/>
                <w:lang w:val="pl-PL"/>
              </w:rPr>
            </w:pPr>
            <w:r w:rsidRPr="006513EE">
              <w:rPr>
                <w:rFonts w:ascii="Times New Roman" w:hAnsi="Times New Roman"/>
                <w:sz w:val="20"/>
                <w:szCs w:val="20"/>
                <w:lang w:val="pl-PL"/>
              </w:rPr>
              <w:t xml:space="preserve">zmiany włókniste w badaniu </w:t>
            </w:r>
            <w:r w:rsidR="0031135E" w:rsidRPr="006513EE">
              <w:rPr>
                <w:rFonts w:ascii="Times New Roman" w:hAnsi="Times New Roman"/>
                <w:sz w:val="20"/>
                <w:szCs w:val="20"/>
                <w:lang w:val="pl-PL"/>
              </w:rPr>
              <w:t xml:space="preserve">TKWR </w:t>
            </w:r>
            <w:r w:rsidRPr="006513EE">
              <w:rPr>
                <w:rFonts w:ascii="Times New Roman" w:hAnsi="Times New Roman"/>
                <w:sz w:val="20"/>
                <w:szCs w:val="20"/>
                <w:lang w:val="pl-PL"/>
              </w:rPr>
              <w:t>zajmują</w:t>
            </w:r>
            <w:r w:rsidR="00FB4D8D" w:rsidRPr="006513EE">
              <w:rPr>
                <w:rFonts w:ascii="Times New Roman" w:hAnsi="Times New Roman"/>
                <w:sz w:val="20"/>
                <w:szCs w:val="20"/>
                <w:lang w:val="pl-PL"/>
              </w:rPr>
              <w:t xml:space="preserve"> </w:t>
            </w:r>
            <w:r w:rsidRPr="006513EE">
              <w:rPr>
                <w:rFonts w:ascii="Times New Roman" w:hAnsi="Times New Roman"/>
                <w:sz w:val="20"/>
                <w:szCs w:val="20"/>
                <w:lang w:val="pl-PL"/>
              </w:rPr>
              <w:t xml:space="preserve">co najmniej </w:t>
            </w:r>
            <w:r w:rsidR="00996DE5" w:rsidRPr="006513EE">
              <w:rPr>
                <w:rFonts w:ascii="Times New Roman" w:hAnsi="Times New Roman"/>
                <w:sz w:val="20"/>
                <w:szCs w:val="20"/>
                <w:lang w:val="pl-PL"/>
              </w:rPr>
              <w:t xml:space="preserve">20% </w:t>
            </w:r>
            <w:r w:rsidR="005E6A62" w:rsidRPr="006513EE">
              <w:rPr>
                <w:rFonts w:ascii="Times New Roman" w:hAnsi="Times New Roman"/>
                <w:sz w:val="20"/>
                <w:szCs w:val="20"/>
                <w:lang w:val="pl-PL"/>
              </w:rPr>
              <w:t xml:space="preserve">objętości </w:t>
            </w:r>
            <w:r w:rsidR="00996DE5" w:rsidRPr="006513EE">
              <w:rPr>
                <w:rFonts w:ascii="Times New Roman" w:hAnsi="Times New Roman"/>
                <w:sz w:val="20"/>
                <w:szCs w:val="20"/>
                <w:lang w:val="pl-PL"/>
              </w:rPr>
              <w:t>płuc</w:t>
            </w:r>
            <w:r w:rsidR="00AA589D" w:rsidRPr="006513EE">
              <w:rPr>
                <w:rFonts w:ascii="Times New Roman" w:hAnsi="Times New Roman"/>
                <w:sz w:val="20"/>
                <w:szCs w:val="20"/>
                <w:lang w:val="pl-PL"/>
              </w:rPr>
              <w:t>.</w:t>
            </w:r>
          </w:p>
          <w:p w14:paraId="169BED8F" w14:textId="0C66CEB3" w:rsidR="00121102" w:rsidRPr="00550F44" w:rsidRDefault="00AA589D" w:rsidP="003D1E47">
            <w:pPr>
              <w:autoSpaceDE w:val="0"/>
              <w:autoSpaceDN w:val="0"/>
              <w:adjustRightInd w:val="0"/>
              <w:spacing w:after="60"/>
              <w:jc w:val="both"/>
              <w:rPr>
                <w:rFonts w:ascii="Times New Roman" w:hAnsi="Times New Roman"/>
                <w:sz w:val="20"/>
                <w:szCs w:val="20"/>
                <w:lang w:val="pl-PL"/>
              </w:rPr>
            </w:pPr>
            <w:r w:rsidRPr="006513EE">
              <w:rPr>
                <w:rFonts w:ascii="Times New Roman" w:hAnsi="Times New Roman"/>
                <w:sz w:val="20"/>
                <w:szCs w:val="20"/>
                <w:lang w:val="pl-PL"/>
              </w:rPr>
              <w:lastRenderedPageBreak/>
              <w:t xml:space="preserve">1.2.2. </w:t>
            </w:r>
            <w:r w:rsidRPr="00550F44">
              <w:rPr>
                <w:rFonts w:ascii="Times New Roman" w:hAnsi="Times New Roman"/>
                <w:sz w:val="20"/>
                <w:szCs w:val="20"/>
                <w:lang w:val="pl-PL"/>
              </w:rPr>
              <w:t>pacjentów z chorobą śródmiąższową</w:t>
            </w:r>
            <w:r w:rsidR="00121102" w:rsidRPr="00550F44">
              <w:rPr>
                <w:rFonts w:ascii="Times New Roman" w:hAnsi="Times New Roman"/>
                <w:sz w:val="20"/>
                <w:szCs w:val="20"/>
                <w:lang w:val="pl-PL"/>
              </w:rPr>
              <w:t xml:space="preserve"> </w:t>
            </w:r>
            <w:r w:rsidRPr="00550F44">
              <w:rPr>
                <w:rFonts w:ascii="Times New Roman" w:hAnsi="Times New Roman"/>
                <w:sz w:val="20"/>
                <w:szCs w:val="20"/>
                <w:lang w:val="pl-PL"/>
              </w:rPr>
              <w:t xml:space="preserve">płuc </w:t>
            </w:r>
            <w:r w:rsidR="00FA683F" w:rsidRPr="00550F44">
              <w:rPr>
                <w:rFonts w:ascii="Times New Roman" w:hAnsi="Times New Roman"/>
                <w:sz w:val="20"/>
                <w:szCs w:val="20"/>
                <w:lang w:val="pl-PL"/>
              </w:rPr>
              <w:t>przebiegają</w:t>
            </w:r>
            <w:r w:rsidR="00474D57" w:rsidRPr="00550F44">
              <w:rPr>
                <w:rFonts w:ascii="Times New Roman" w:hAnsi="Times New Roman"/>
                <w:sz w:val="20"/>
                <w:szCs w:val="20"/>
                <w:lang w:val="pl-PL"/>
              </w:rPr>
              <w:t xml:space="preserve">cą z włóknieniem o fenotypie postępującym </w:t>
            </w:r>
            <w:r w:rsidR="00AC7942" w:rsidRPr="00550F44">
              <w:rPr>
                <w:rFonts w:ascii="Times New Roman" w:hAnsi="Times New Roman"/>
                <w:sz w:val="20"/>
                <w:szCs w:val="20"/>
                <w:lang w:val="pl-PL"/>
              </w:rPr>
              <w:t xml:space="preserve"> (PF-ILD)</w:t>
            </w:r>
            <w:r w:rsidR="0058389F">
              <w:rPr>
                <w:rFonts w:ascii="Times New Roman" w:hAnsi="Times New Roman"/>
                <w:sz w:val="20"/>
                <w:szCs w:val="20"/>
                <w:lang w:val="pl-PL"/>
              </w:rPr>
              <w:t xml:space="preserve"> </w:t>
            </w:r>
            <w:proofErr w:type="spellStart"/>
            <w:r w:rsidR="0058389F">
              <w:rPr>
                <w:rFonts w:ascii="Times New Roman" w:hAnsi="Times New Roman"/>
                <w:sz w:val="20"/>
                <w:szCs w:val="20"/>
                <w:lang w:val="pl-PL"/>
              </w:rPr>
              <w:t>nintedanibem</w:t>
            </w:r>
            <w:proofErr w:type="spellEnd"/>
            <w:r w:rsidR="00802950">
              <w:rPr>
                <w:rFonts w:ascii="Times New Roman" w:hAnsi="Times New Roman"/>
                <w:sz w:val="20"/>
                <w:szCs w:val="20"/>
                <w:lang w:val="pl-PL"/>
              </w:rPr>
              <w:t xml:space="preserve"> lub </w:t>
            </w:r>
            <w:proofErr w:type="spellStart"/>
            <w:r w:rsidR="00802950">
              <w:rPr>
                <w:rFonts w:ascii="Times New Roman" w:hAnsi="Times New Roman"/>
                <w:sz w:val="20"/>
                <w:szCs w:val="20"/>
                <w:lang w:val="pl-PL"/>
              </w:rPr>
              <w:t>r</w:t>
            </w:r>
            <w:r w:rsidR="004F7C31">
              <w:rPr>
                <w:rFonts w:ascii="Times New Roman" w:hAnsi="Times New Roman"/>
                <w:sz w:val="20"/>
                <w:szCs w:val="20"/>
                <w:lang w:val="pl-PL"/>
              </w:rPr>
              <w:t>y</w:t>
            </w:r>
            <w:r w:rsidR="00802950">
              <w:rPr>
                <w:rFonts w:ascii="Times New Roman" w:hAnsi="Times New Roman"/>
                <w:sz w:val="20"/>
                <w:szCs w:val="20"/>
                <w:lang w:val="pl-PL"/>
              </w:rPr>
              <w:t>tuks</w:t>
            </w:r>
            <w:r w:rsidR="004F7C31">
              <w:rPr>
                <w:rFonts w:ascii="Times New Roman" w:hAnsi="Times New Roman"/>
                <w:sz w:val="20"/>
                <w:szCs w:val="20"/>
                <w:lang w:val="pl-PL"/>
              </w:rPr>
              <w:t>y</w:t>
            </w:r>
            <w:r w:rsidR="00802950">
              <w:rPr>
                <w:rFonts w:ascii="Times New Roman" w:hAnsi="Times New Roman"/>
                <w:sz w:val="20"/>
                <w:szCs w:val="20"/>
                <w:lang w:val="pl-PL"/>
              </w:rPr>
              <w:t>mabem</w:t>
            </w:r>
            <w:proofErr w:type="spellEnd"/>
            <w:r w:rsidR="003C78F5" w:rsidRPr="00550F44">
              <w:rPr>
                <w:rFonts w:ascii="Times New Roman" w:hAnsi="Times New Roman"/>
                <w:sz w:val="20"/>
                <w:szCs w:val="20"/>
                <w:lang w:val="pl-PL"/>
              </w:rPr>
              <w:t>:</w:t>
            </w:r>
          </w:p>
          <w:p w14:paraId="76F53387" w14:textId="211FE095" w:rsidR="00140EE6" w:rsidRPr="00550F44" w:rsidRDefault="00140EE6" w:rsidP="003D1E47">
            <w:pPr>
              <w:pStyle w:val="Akapitzlist"/>
              <w:numPr>
                <w:ilvl w:val="0"/>
                <w:numId w:val="64"/>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550F44">
              <w:rPr>
                <w:rFonts w:ascii="Times New Roman" w:eastAsia="Times New Roman" w:hAnsi="Times New Roman"/>
                <w:color w:val="000000"/>
                <w:sz w:val="20"/>
                <w:szCs w:val="20"/>
                <w:lang w:val="pl-PL" w:eastAsia="pl-PL"/>
              </w:rPr>
              <w:t>rozpoznanie</w:t>
            </w:r>
            <w:r w:rsidR="006D584A">
              <w:rPr>
                <w:rFonts w:ascii="Times New Roman" w:eastAsia="Times New Roman" w:hAnsi="Times New Roman"/>
                <w:color w:val="000000"/>
                <w:sz w:val="20"/>
                <w:szCs w:val="20"/>
                <w:lang w:val="pl-PL" w:eastAsia="pl-PL"/>
              </w:rPr>
              <w:t xml:space="preserve"> w przypadku </w:t>
            </w:r>
            <w:proofErr w:type="spellStart"/>
            <w:r w:rsidR="006D584A">
              <w:rPr>
                <w:rFonts w:ascii="Times New Roman" w:eastAsia="Times New Roman" w:hAnsi="Times New Roman"/>
                <w:color w:val="000000"/>
                <w:sz w:val="20"/>
                <w:szCs w:val="20"/>
                <w:lang w:val="pl-PL" w:eastAsia="pl-PL"/>
              </w:rPr>
              <w:t>nintedanibu</w:t>
            </w:r>
            <w:proofErr w:type="spellEnd"/>
            <w:r w:rsidRPr="00550F44">
              <w:rPr>
                <w:rFonts w:ascii="Times New Roman" w:eastAsia="Times New Roman" w:hAnsi="Times New Roman"/>
                <w:color w:val="000000"/>
                <w:sz w:val="20"/>
                <w:szCs w:val="20"/>
                <w:lang w:val="pl-PL" w:eastAsia="pl-PL"/>
              </w:rPr>
              <w:t xml:space="preserve">: </w:t>
            </w:r>
          </w:p>
          <w:p w14:paraId="37C6C52B" w14:textId="2643D2C7" w:rsidR="00296E87" w:rsidRPr="00550F44" w:rsidRDefault="00296E87" w:rsidP="003D1E47">
            <w:pPr>
              <w:numPr>
                <w:ilvl w:val="0"/>
                <w:numId w:val="7"/>
              </w:numPr>
              <w:autoSpaceDE w:val="0"/>
              <w:autoSpaceDN w:val="0"/>
              <w:adjustRightInd w:val="0"/>
              <w:spacing w:after="60"/>
              <w:ind w:left="681" w:hanging="227"/>
              <w:jc w:val="both"/>
              <w:rPr>
                <w:rFonts w:ascii="Times New Roman" w:hAnsi="Times New Roman"/>
                <w:sz w:val="20"/>
                <w:szCs w:val="20"/>
                <w:lang w:val="pl-PL"/>
              </w:rPr>
            </w:pPr>
            <w:r w:rsidRPr="00550F44">
              <w:rPr>
                <w:rFonts w:ascii="Times New Roman" w:hAnsi="Times New Roman"/>
                <w:sz w:val="20"/>
                <w:szCs w:val="20"/>
                <w:lang w:val="pl-PL"/>
              </w:rPr>
              <w:t xml:space="preserve">układowej choroby tkanki łącznej, w tym reumatoidalnego zapalenia stawów zgodnie z aktualnymi rekomendacjami EULAR/ACR (ustalonym w ośrodkach reumatologicznych) – kwalifikacji dokonuje </w:t>
            </w:r>
            <w:r w:rsidRPr="00550F44">
              <w:rPr>
                <w:rFonts w:ascii="Times New Roman" w:eastAsia="Times New Roman" w:hAnsi="Times New Roman"/>
                <w:sz w:val="20"/>
                <w:szCs w:val="20"/>
                <w:lang w:val="pl-PL" w:eastAsia="pl-PL"/>
              </w:rPr>
              <w:t>Zespół Koordynacyjny do Spraw Leczenia Biologicznego w Chorobach Reumatycznych</w:t>
            </w:r>
            <w:r w:rsidRPr="00550F44">
              <w:rPr>
                <w:rFonts w:ascii="Times New Roman" w:hAnsi="Times New Roman"/>
                <w:sz w:val="20"/>
                <w:szCs w:val="20"/>
                <w:lang w:val="pl-PL"/>
              </w:rPr>
              <w:t>,</w:t>
            </w:r>
          </w:p>
          <w:p w14:paraId="5F86D7AA" w14:textId="77777777" w:rsidR="00296E87" w:rsidRPr="00550F44" w:rsidRDefault="00296E87" w:rsidP="003D1E47">
            <w:pPr>
              <w:autoSpaceDE w:val="0"/>
              <w:autoSpaceDN w:val="0"/>
              <w:adjustRightInd w:val="0"/>
              <w:spacing w:after="60"/>
              <w:ind w:left="436" w:firstLine="11"/>
              <w:rPr>
                <w:rFonts w:ascii="Times New Roman" w:hAnsi="Times New Roman"/>
                <w:sz w:val="20"/>
                <w:szCs w:val="20"/>
                <w:lang w:val="pl-PL"/>
              </w:rPr>
            </w:pPr>
            <w:r w:rsidRPr="00550F44">
              <w:rPr>
                <w:rFonts w:ascii="Times New Roman" w:hAnsi="Times New Roman"/>
                <w:sz w:val="20"/>
                <w:szCs w:val="20"/>
                <w:lang w:val="pl-PL"/>
              </w:rPr>
              <w:t>lub</w:t>
            </w:r>
          </w:p>
          <w:p w14:paraId="530C74D1" w14:textId="0FF08289" w:rsidR="00296E87" w:rsidRPr="00550F44" w:rsidRDefault="00296E87" w:rsidP="003D1E47">
            <w:pPr>
              <w:numPr>
                <w:ilvl w:val="0"/>
                <w:numId w:val="7"/>
              </w:numPr>
              <w:autoSpaceDE w:val="0"/>
              <w:autoSpaceDN w:val="0"/>
              <w:adjustRightInd w:val="0"/>
              <w:spacing w:after="60"/>
              <w:ind w:left="681" w:hanging="227"/>
              <w:jc w:val="both"/>
              <w:rPr>
                <w:rFonts w:ascii="Times New Roman" w:hAnsi="Times New Roman"/>
                <w:sz w:val="20"/>
                <w:szCs w:val="20"/>
                <w:lang w:val="pl-PL"/>
              </w:rPr>
            </w:pPr>
            <w:r w:rsidRPr="00550F44">
              <w:rPr>
                <w:rFonts w:ascii="Times New Roman" w:hAnsi="Times New Roman"/>
                <w:sz w:val="20"/>
                <w:szCs w:val="20"/>
                <w:lang w:val="pl-PL"/>
              </w:rPr>
              <w:t xml:space="preserve">przewlekłego zapalenia płuc z nadwrażliwości lub </w:t>
            </w:r>
            <w:proofErr w:type="spellStart"/>
            <w:r w:rsidRPr="00550F44">
              <w:rPr>
                <w:rFonts w:ascii="Times New Roman" w:hAnsi="Times New Roman"/>
                <w:sz w:val="20"/>
                <w:szCs w:val="20"/>
                <w:lang w:val="pl-PL"/>
              </w:rPr>
              <w:t>sarkoidozy</w:t>
            </w:r>
            <w:proofErr w:type="spellEnd"/>
            <w:r w:rsidRPr="00550F44">
              <w:rPr>
                <w:rFonts w:ascii="Times New Roman" w:hAnsi="Times New Roman"/>
                <w:sz w:val="20"/>
                <w:szCs w:val="20"/>
                <w:lang w:val="pl-PL"/>
              </w:rPr>
              <w:t xml:space="preserve"> lub idiopatycznego niespecyficznego śródmiąższowego zapalenia płuc lub niesklasyfikowanego idiopatycznego śródmiąższowego zapalenia płuc lub niesklasyfikowanej śródmiąższowej choroby płuc zgodnie z aktualnymi rekomendacjami (ustalonym w ośrodkach pulmonologicznych) – kwalifikacji dokonuje </w:t>
            </w:r>
            <w:r w:rsidRPr="00550F44">
              <w:rPr>
                <w:rFonts w:ascii="Times New Roman" w:eastAsia="Times New Roman" w:hAnsi="Times New Roman"/>
                <w:sz w:val="20"/>
                <w:szCs w:val="20"/>
                <w:lang w:val="pl-PL" w:eastAsia="pl-PL"/>
              </w:rPr>
              <w:t>Zespół Koordynacyjny do Spraw Leczenia Chorób Śródmiąższowych Płuc,</w:t>
            </w:r>
          </w:p>
          <w:p w14:paraId="18B8824C" w14:textId="1DA7CE0C" w:rsidR="006D584A" w:rsidRDefault="006D584A" w:rsidP="003D1E47">
            <w:pPr>
              <w:pStyle w:val="Akapitzlist"/>
              <w:numPr>
                <w:ilvl w:val="0"/>
                <w:numId w:val="64"/>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Pr>
                <w:rFonts w:ascii="Times New Roman" w:eastAsia="Times New Roman" w:hAnsi="Times New Roman"/>
                <w:color w:val="000000"/>
                <w:sz w:val="20"/>
                <w:szCs w:val="20"/>
                <w:lang w:val="pl-PL" w:eastAsia="pl-PL"/>
              </w:rPr>
              <w:t xml:space="preserve">rozpoznanie w przypadku </w:t>
            </w:r>
            <w:proofErr w:type="spellStart"/>
            <w:r>
              <w:rPr>
                <w:rFonts w:ascii="Times New Roman" w:eastAsia="Times New Roman" w:hAnsi="Times New Roman"/>
                <w:color w:val="000000"/>
                <w:sz w:val="20"/>
                <w:szCs w:val="20"/>
                <w:lang w:val="pl-PL" w:eastAsia="pl-PL"/>
              </w:rPr>
              <w:t>r</w:t>
            </w:r>
            <w:r w:rsidR="004F7C31">
              <w:rPr>
                <w:rFonts w:ascii="Times New Roman" w:eastAsia="Times New Roman" w:hAnsi="Times New Roman"/>
                <w:color w:val="000000"/>
                <w:sz w:val="20"/>
                <w:szCs w:val="20"/>
                <w:lang w:val="pl-PL" w:eastAsia="pl-PL"/>
              </w:rPr>
              <w:t>y</w:t>
            </w:r>
            <w:r>
              <w:rPr>
                <w:rFonts w:ascii="Times New Roman" w:eastAsia="Times New Roman" w:hAnsi="Times New Roman"/>
                <w:color w:val="000000"/>
                <w:sz w:val="20"/>
                <w:szCs w:val="20"/>
                <w:lang w:val="pl-PL" w:eastAsia="pl-PL"/>
              </w:rPr>
              <w:t>tuks</w:t>
            </w:r>
            <w:r w:rsidR="004F7C31">
              <w:rPr>
                <w:rFonts w:ascii="Times New Roman" w:eastAsia="Times New Roman" w:hAnsi="Times New Roman"/>
                <w:color w:val="000000"/>
                <w:sz w:val="20"/>
                <w:szCs w:val="20"/>
                <w:lang w:val="pl-PL" w:eastAsia="pl-PL"/>
              </w:rPr>
              <w:t>y</w:t>
            </w:r>
            <w:r>
              <w:rPr>
                <w:rFonts w:ascii="Times New Roman" w:eastAsia="Times New Roman" w:hAnsi="Times New Roman"/>
                <w:color w:val="000000"/>
                <w:sz w:val="20"/>
                <w:szCs w:val="20"/>
                <w:lang w:val="pl-PL" w:eastAsia="pl-PL"/>
              </w:rPr>
              <w:t>mabu</w:t>
            </w:r>
            <w:proofErr w:type="spellEnd"/>
            <w:r>
              <w:rPr>
                <w:rFonts w:ascii="Times New Roman" w:eastAsia="Times New Roman" w:hAnsi="Times New Roman"/>
                <w:color w:val="000000"/>
                <w:sz w:val="20"/>
                <w:szCs w:val="20"/>
                <w:lang w:val="pl-PL" w:eastAsia="pl-PL"/>
              </w:rPr>
              <w:t>:</w:t>
            </w:r>
          </w:p>
          <w:p w14:paraId="4BD05239" w14:textId="54645C6D" w:rsidR="006D584A" w:rsidRPr="00693470" w:rsidRDefault="007D31F0" w:rsidP="003D1E47">
            <w:pPr>
              <w:numPr>
                <w:ilvl w:val="0"/>
                <w:numId w:val="77"/>
              </w:numPr>
              <w:autoSpaceDE w:val="0"/>
              <w:autoSpaceDN w:val="0"/>
              <w:adjustRightInd w:val="0"/>
              <w:spacing w:after="60"/>
              <w:ind w:left="681" w:hanging="227"/>
              <w:jc w:val="both"/>
              <w:rPr>
                <w:rFonts w:ascii="Times New Roman" w:hAnsi="Times New Roman"/>
                <w:sz w:val="20"/>
                <w:szCs w:val="20"/>
                <w:lang w:val="pl-PL"/>
              </w:rPr>
            </w:pPr>
            <w:r w:rsidRPr="00693470">
              <w:rPr>
                <w:rFonts w:ascii="Times New Roman" w:hAnsi="Times New Roman"/>
                <w:sz w:val="20"/>
                <w:szCs w:val="20"/>
                <w:lang w:val="pl-PL"/>
              </w:rPr>
              <w:t>układowej choroby tkanki łącznej, w tym reumatoidalnego zapalenia stawów zgodnie z aktualnymi rekomendacjami EULAR/ACR (ustalonym w ośrodkach reumatologicznych) – kwalifikacji dokonuje Zespół Koordynacyjny do Spraw Leczenia Biologicznego w Chorobach Reumatycznych,</w:t>
            </w:r>
          </w:p>
          <w:p w14:paraId="1FEA4A86" w14:textId="7A6D5DD4" w:rsidR="00296E87" w:rsidRPr="00550F44" w:rsidRDefault="00143B5E" w:rsidP="003D1E47">
            <w:pPr>
              <w:pStyle w:val="Akapitzlist"/>
              <w:numPr>
                <w:ilvl w:val="0"/>
                <w:numId w:val="64"/>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Pr>
                <w:rFonts w:ascii="Times New Roman" w:eastAsia="Times New Roman" w:hAnsi="Times New Roman"/>
                <w:color w:val="000000"/>
                <w:sz w:val="20"/>
                <w:szCs w:val="20"/>
                <w:lang w:val="pl-PL" w:eastAsia="pl-PL"/>
              </w:rPr>
              <w:t>spełnienie</w:t>
            </w:r>
            <w:r w:rsidR="00296E87" w:rsidRPr="00550F44">
              <w:rPr>
                <w:rFonts w:ascii="Times New Roman" w:eastAsia="Times New Roman" w:hAnsi="Times New Roman"/>
                <w:color w:val="000000"/>
                <w:sz w:val="20"/>
                <w:szCs w:val="20"/>
                <w:lang w:val="pl-PL" w:eastAsia="pl-PL"/>
              </w:rPr>
              <w:t xml:space="preserve"> jedn</w:t>
            </w:r>
            <w:r>
              <w:rPr>
                <w:rFonts w:ascii="Times New Roman" w:eastAsia="Times New Roman" w:hAnsi="Times New Roman"/>
                <w:color w:val="000000"/>
                <w:sz w:val="20"/>
                <w:szCs w:val="20"/>
                <w:lang w:val="pl-PL" w:eastAsia="pl-PL"/>
              </w:rPr>
              <w:t xml:space="preserve">ego </w:t>
            </w:r>
            <w:r w:rsidR="00296E87" w:rsidRPr="00550F44">
              <w:rPr>
                <w:rFonts w:ascii="Times New Roman" w:eastAsia="Times New Roman" w:hAnsi="Times New Roman"/>
                <w:color w:val="000000"/>
                <w:sz w:val="20"/>
                <w:szCs w:val="20"/>
                <w:lang w:val="pl-PL" w:eastAsia="pl-PL"/>
              </w:rPr>
              <w:t>z poniższych kryteriów a-c:</w:t>
            </w:r>
          </w:p>
          <w:p w14:paraId="7A39ACED" w14:textId="77777777" w:rsidR="00296E87" w:rsidRPr="00550F44" w:rsidRDefault="00296E87" w:rsidP="003D1E47">
            <w:pPr>
              <w:numPr>
                <w:ilvl w:val="0"/>
                <w:numId w:val="24"/>
              </w:numPr>
              <w:autoSpaceDE w:val="0"/>
              <w:autoSpaceDN w:val="0"/>
              <w:adjustRightInd w:val="0"/>
              <w:spacing w:after="60"/>
              <w:ind w:left="681" w:hanging="227"/>
              <w:jc w:val="both"/>
              <w:rPr>
                <w:rFonts w:ascii="Times New Roman" w:hAnsi="Times New Roman"/>
                <w:sz w:val="20"/>
                <w:szCs w:val="20"/>
                <w:lang w:val="pl-PL"/>
              </w:rPr>
            </w:pPr>
            <w:r w:rsidRPr="00550F44">
              <w:rPr>
                <w:rFonts w:ascii="Times New Roman" w:hAnsi="Times New Roman"/>
                <w:sz w:val="20"/>
                <w:szCs w:val="20"/>
                <w:lang w:val="pl-PL"/>
              </w:rPr>
              <w:t>zmiany o typie włóknienia w badaniu TKWR zajmują co najmniej 10% objętości płuc oraz udokumentowano w okresie ostatnich 24 m-</w:t>
            </w:r>
            <w:proofErr w:type="spellStart"/>
            <w:r w:rsidRPr="00550F44">
              <w:rPr>
                <w:rFonts w:ascii="Times New Roman" w:hAnsi="Times New Roman"/>
                <w:sz w:val="20"/>
                <w:szCs w:val="20"/>
                <w:lang w:val="pl-PL"/>
              </w:rPr>
              <w:t>cy</w:t>
            </w:r>
            <w:proofErr w:type="spellEnd"/>
            <w:r w:rsidRPr="00550F44">
              <w:rPr>
                <w:rFonts w:ascii="Times New Roman" w:hAnsi="Times New Roman"/>
                <w:sz w:val="20"/>
                <w:szCs w:val="20"/>
                <w:lang w:val="pl-PL"/>
              </w:rPr>
              <w:t>:</w:t>
            </w:r>
          </w:p>
          <w:p w14:paraId="08A5687A" w14:textId="77777777" w:rsidR="00A953BF" w:rsidRDefault="00296E87" w:rsidP="003D1E47">
            <w:pPr>
              <w:autoSpaceDE w:val="0"/>
              <w:autoSpaceDN w:val="0"/>
              <w:adjustRightInd w:val="0"/>
              <w:spacing w:after="60"/>
              <w:ind w:left="731"/>
              <w:rPr>
                <w:rFonts w:ascii="Times New Roman" w:hAnsi="Times New Roman"/>
                <w:sz w:val="20"/>
                <w:szCs w:val="20"/>
                <w:lang w:val="pl-PL"/>
              </w:rPr>
            </w:pPr>
            <w:r w:rsidRPr="00550F44">
              <w:rPr>
                <w:rFonts w:ascii="Times New Roman" w:eastAsia="Times New Roman" w:hAnsi="Times New Roman"/>
                <w:sz w:val="20"/>
                <w:szCs w:val="20"/>
                <w:lang w:val="pl-PL" w:eastAsia="pl-PL"/>
              </w:rPr>
              <w:t xml:space="preserve">– </w:t>
            </w:r>
            <w:r w:rsidRPr="00550F44">
              <w:rPr>
                <w:rFonts w:ascii="Times New Roman" w:hAnsi="Times New Roman"/>
                <w:sz w:val="20"/>
                <w:szCs w:val="20"/>
                <w:lang w:val="pl-PL"/>
              </w:rPr>
              <w:t>spadek wartości FVC o co najmniej 10%</w:t>
            </w:r>
            <w:r w:rsidR="003C78F5" w:rsidRPr="00550F44">
              <w:rPr>
                <w:rFonts w:ascii="Times New Roman" w:hAnsi="Times New Roman"/>
                <w:sz w:val="20"/>
                <w:szCs w:val="20"/>
                <w:lang w:val="pl-PL"/>
              </w:rPr>
              <w:t>,</w:t>
            </w:r>
            <w:r w:rsidRPr="00550F44">
              <w:rPr>
                <w:rFonts w:ascii="Times New Roman" w:hAnsi="Times New Roman"/>
                <w:sz w:val="20"/>
                <w:szCs w:val="20"/>
                <w:lang w:val="pl-PL"/>
              </w:rPr>
              <w:t xml:space="preserve"> </w:t>
            </w:r>
          </w:p>
          <w:p w14:paraId="11ABED6C" w14:textId="147286AD" w:rsidR="00296E87" w:rsidRPr="00550F44" w:rsidRDefault="00296E87" w:rsidP="003D1E47">
            <w:pPr>
              <w:autoSpaceDE w:val="0"/>
              <w:autoSpaceDN w:val="0"/>
              <w:adjustRightInd w:val="0"/>
              <w:spacing w:after="60"/>
              <w:ind w:left="731"/>
              <w:rPr>
                <w:rFonts w:ascii="Times New Roman" w:hAnsi="Times New Roman"/>
                <w:sz w:val="20"/>
                <w:szCs w:val="20"/>
                <w:lang w:val="pl-PL"/>
              </w:rPr>
            </w:pPr>
            <w:r w:rsidRPr="00550F44">
              <w:rPr>
                <w:rFonts w:ascii="Times New Roman" w:hAnsi="Times New Roman"/>
                <w:sz w:val="20"/>
                <w:szCs w:val="20"/>
                <w:lang w:val="pl-PL"/>
              </w:rPr>
              <w:t xml:space="preserve">lub </w:t>
            </w:r>
          </w:p>
          <w:p w14:paraId="25120CAD" w14:textId="77777777" w:rsidR="00A953BF" w:rsidRDefault="00296E87" w:rsidP="003D1E47">
            <w:pPr>
              <w:autoSpaceDE w:val="0"/>
              <w:autoSpaceDN w:val="0"/>
              <w:adjustRightInd w:val="0"/>
              <w:spacing w:after="60"/>
              <w:ind w:left="731"/>
              <w:jc w:val="both"/>
              <w:rPr>
                <w:rFonts w:ascii="Times New Roman" w:hAnsi="Times New Roman"/>
                <w:sz w:val="20"/>
                <w:szCs w:val="20"/>
                <w:lang w:val="pl-PL"/>
              </w:rPr>
            </w:pPr>
            <w:r w:rsidRPr="00550F44">
              <w:rPr>
                <w:rFonts w:ascii="Times New Roman" w:eastAsia="Times New Roman" w:hAnsi="Times New Roman"/>
                <w:sz w:val="20"/>
                <w:szCs w:val="20"/>
                <w:lang w:val="pl-PL" w:eastAsia="pl-PL"/>
              </w:rPr>
              <w:lastRenderedPageBreak/>
              <w:t xml:space="preserve">– </w:t>
            </w:r>
            <w:r w:rsidRPr="00550F44">
              <w:rPr>
                <w:rFonts w:ascii="Times New Roman" w:hAnsi="Times New Roman"/>
                <w:sz w:val="20"/>
                <w:szCs w:val="20"/>
                <w:lang w:val="pl-PL"/>
              </w:rPr>
              <w:t xml:space="preserve">spadek wartości FVC o co najmniej 5% oraz spadek wartości </w:t>
            </w:r>
            <w:r w:rsidRPr="00550F44">
              <w:rPr>
                <w:rFonts w:ascii="Times New Roman" w:eastAsia="Times New Roman" w:hAnsi="Times New Roman"/>
                <w:sz w:val="20"/>
                <w:szCs w:val="20"/>
                <w:lang w:val="pl-PL" w:eastAsia="pl-PL"/>
              </w:rPr>
              <w:t>TL</w:t>
            </w:r>
            <w:r w:rsidR="003C78F5" w:rsidRPr="00550F44">
              <w:rPr>
                <w:rFonts w:ascii="Times New Roman" w:eastAsia="Times New Roman" w:hAnsi="Times New Roman"/>
                <w:sz w:val="20"/>
                <w:szCs w:val="20"/>
                <w:lang w:val="pl-PL" w:eastAsia="pl-PL"/>
              </w:rPr>
              <w:t>CO</w:t>
            </w:r>
            <w:r w:rsidRPr="00550F44">
              <w:rPr>
                <w:rFonts w:ascii="Times New Roman" w:hAnsi="Times New Roman"/>
                <w:sz w:val="20"/>
                <w:szCs w:val="20"/>
                <w:lang w:val="pl-PL"/>
              </w:rPr>
              <w:t xml:space="preserve"> o co najmniej 15%</w:t>
            </w:r>
            <w:r w:rsidR="003C78F5" w:rsidRPr="00550F44">
              <w:rPr>
                <w:rFonts w:ascii="Times New Roman" w:hAnsi="Times New Roman"/>
                <w:sz w:val="20"/>
                <w:szCs w:val="20"/>
                <w:lang w:val="pl-PL"/>
              </w:rPr>
              <w:t>,</w:t>
            </w:r>
            <w:r w:rsidRPr="00550F44">
              <w:rPr>
                <w:rFonts w:ascii="Times New Roman" w:hAnsi="Times New Roman"/>
                <w:sz w:val="20"/>
                <w:szCs w:val="20"/>
                <w:lang w:val="pl-PL"/>
              </w:rPr>
              <w:t xml:space="preserve"> </w:t>
            </w:r>
          </w:p>
          <w:p w14:paraId="0BBFFC50" w14:textId="2E2A3A79" w:rsidR="00296E87" w:rsidRPr="00550F44" w:rsidRDefault="00296E87" w:rsidP="003D1E47">
            <w:pPr>
              <w:autoSpaceDE w:val="0"/>
              <w:autoSpaceDN w:val="0"/>
              <w:adjustRightInd w:val="0"/>
              <w:spacing w:after="60"/>
              <w:ind w:left="731"/>
              <w:jc w:val="both"/>
              <w:rPr>
                <w:rFonts w:ascii="Times New Roman" w:hAnsi="Times New Roman"/>
                <w:sz w:val="20"/>
                <w:szCs w:val="20"/>
                <w:lang w:val="pl-PL"/>
              </w:rPr>
            </w:pPr>
            <w:r w:rsidRPr="00550F44">
              <w:rPr>
                <w:rFonts w:ascii="Times New Roman" w:hAnsi="Times New Roman"/>
                <w:sz w:val="20"/>
                <w:szCs w:val="20"/>
                <w:lang w:val="pl-PL"/>
              </w:rPr>
              <w:t>lub</w:t>
            </w:r>
          </w:p>
          <w:p w14:paraId="36637E76" w14:textId="77777777" w:rsidR="00A953BF" w:rsidRDefault="00296E87" w:rsidP="003D1E47">
            <w:pPr>
              <w:autoSpaceDE w:val="0"/>
              <w:autoSpaceDN w:val="0"/>
              <w:adjustRightInd w:val="0"/>
              <w:spacing w:after="60"/>
              <w:ind w:left="731"/>
              <w:jc w:val="both"/>
              <w:rPr>
                <w:rFonts w:ascii="Times New Roman" w:hAnsi="Times New Roman"/>
                <w:sz w:val="20"/>
                <w:szCs w:val="20"/>
                <w:lang w:val="pl-PL"/>
              </w:rPr>
            </w:pPr>
            <w:r w:rsidRPr="00550F44">
              <w:rPr>
                <w:rFonts w:ascii="Times New Roman" w:eastAsia="Times New Roman" w:hAnsi="Times New Roman"/>
                <w:sz w:val="20"/>
                <w:szCs w:val="20"/>
                <w:lang w:val="pl-PL" w:eastAsia="pl-PL"/>
              </w:rPr>
              <w:t xml:space="preserve">– </w:t>
            </w:r>
            <w:r w:rsidRPr="00550F44">
              <w:rPr>
                <w:rFonts w:ascii="Times New Roman" w:hAnsi="Times New Roman"/>
                <w:sz w:val="20"/>
                <w:szCs w:val="20"/>
                <w:lang w:val="pl-PL"/>
              </w:rPr>
              <w:t>spadek wartości FVC o co najmniej 5% oraz progresję włóknienia płuc w badaniu TKWR</w:t>
            </w:r>
            <w:r w:rsidR="003C78F5" w:rsidRPr="00550F44">
              <w:rPr>
                <w:rFonts w:ascii="Times New Roman" w:hAnsi="Times New Roman"/>
                <w:sz w:val="20"/>
                <w:szCs w:val="20"/>
                <w:lang w:val="pl-PL"/>
              </w:rPr>
              <w:t>,</w:t>
            </w:r>
            <w:r w:rsidRPr="00550F44">
              <w:rPr>
                <w:rFonts w:ascii="Times New Roman" w:hAnsi="Times New Roman"/>
                <w:sz w:val="20"/>
                <w:szCs w:val="20"/>
                <w:lang w:val="pl-PL"/>
              </w:rPr>
              <w:t xml:space="preserve"> </w:t>
            </w:r>
          </w:p>
          <w:p w14:paraId="5F3F45C1" w14:textId="37078419" w:rsidR="00296E87" w:rsidRPr="00550F44" w:rsidRDefault="00296E87" w:rsidP="003D1E47">
            <w:pPr>
              <w:autoSpaceDE w:val="0"/>
              <w:autoSpaceDN w:val="0"/>
              <w:adjustRightInd w:val="0"/>
              <w:spacing w:after="60"/>
              <w:ind w:left="731"/>
              <w:jc w:val="both"/>
              <w:rPr>
                <w:rFonts w:ascii="Times New Roman" w:eastAsia="Times New Roman" w:hAnsi="Times New Roman"/>
                <w:sz w:val="20"/>
                <w:szCs w:val="20"/>
                <w:lang w:val="pl-PL" w:eastAsia="pl-PL"/>
              </w:rPr>
            </w:pPr>
            <w:r w:rsidRPr="00550F44">
              <w:rPr>
                <w:rFonts w:ascii="Times New Roman" w:hAnsi="Times New Roman"/>
                <w:sz w:val="20"/>
                <w:szCs w:val="20"/>
                <w:lang w:val="pl-PL"/>
              </w:rPr>
              <w:t>lub</w:t>
            </w:r>
          </w:p>
          <w:p w14:paraId="4FF40EAC" w14:textId="77777777" w:rsidR="00A953BF" w:rsidRDefault="00296E87" w:rsidP="003D1E47">
            <w:pPr>
              <w:autoSpaceDE w:val="0"/>
              <w:autoSpaceDN w:val="0"/>
              <w:adjustRightInd w:val="0"/>
              <w:spacing w:after="60"/>
              <w:ind w:left="731"/>
              <w:jc w:val="both"/>
              <w:rPr>
                <w:rFonts w:ascii="Times New Roman" w:hAnsi="Times New Roman"/>
                <w:sz w:val="20"/>
                <w:szCs w:val="20"/>
                <w:lang w:val="pl-PL"/>
              </w:rPr>
            </w:pPr>
            <w:r w:rsidRPr="00550F44">
              <w:rPr>
                <w:rFonts w:ascii="Times New Roman" w:eastAsia="Times New Roman" w:hAnsi="Times New Roman"/>
                <w:sz w:val="20"/>
                <w:szCs w:val="20"/>
                <w:lang w:val="pl-PL" w:eastAsia="pl-PL"/>
              </w:rPr>
              <w:t xml:space="preserve">– </w:t>
            </w:r>
            <w:r w:rsidRPr="00550F44">
              <w:rPr>
                <w:rFonts w:ascii="Times New Roman" w:hAnsi="Times New Roman"/>
                <w:sz w:val="20"/>
                <w:szCs w:val="20"/>
                <w:lang w:val="pl-PL"/>
              </w:rPr>
              <w:t>spadek wartości FVC o co najmniej 5% oraz nasilenie objawów klinicznych</w:t>
            </w:r>
            <w:r w:rsidR="003C78F5" w:rsidRPr="00550F44">
              <w:rPr>
                <w:rFonts w:ascii="Times New Roman" w:hAnsi="Times New Roman"/>
                <w:sz w:val="20"/>
                <w:szCs w:val="20"/>
                <w:lang w:val="pl-PL"/>
              </w:rPr>
              <w:t>,</w:t>
            </w:r>
            <w:r w:rsidRPr="00550F44">
              <w:rPr>
                <w:rFonts w:ascii="Times New Roman" w:hAnsi="Times New Roman"/>
                <w:sz w:val="20"/>
                <w:szCs w:val="20"/>
                <w:lang w:val="pl-PL"/>
              </w:rPr>
              <w:t xml:space="preserve"> </w:t>
            </w:r>
          </w:p>
          <w:p w14:paraId="1963DBE6" w14:textId="1362CA35" w:rsidR="00296E87" w:rsidRPr="00550F44" w:rsidRDefault="00296E87" w:rsidP="003D1E47">
            <w:pPr>
              <w:autoSpaceDE w:val="0"/>
              <w:autoSpaceDN w:val="0"/>
              <w:adjustRightInd w:val="0"/>
              <w:spacing w:after="60"/>
              <w:ind w:left="731"/>
              <w:jc w:val="both"/>
              <w:rPr>
                <w:rFonts w:ascii="Times New Roman" w:eastAsia="Times New Roman" w:hAnsi="Times New Roman"/>
                <w:sz w:val="20"/>
                <w:szCs w:val="20"/>
                <w:lang w:val="pl-PL" w:eastAsia="pl-PL"/>
              </w:rPr>
            </w:pPr>
            <w:r w:rsidRPr="00550F44">
              <w:rPr>
                <w:rFonts w:ascii="Times New Roman" w:hAnsi="Times New Roman"/>
                <w:sz w:val="20"/>
                <w:szCs w:val="20"/>
                <w:lang w:val="pl-PL"/>
              </w:rPr>
              <w:t xml:space="preserve">lub </w:t>
            </w:r>
          </w:p>
          <w:p w14:paraId="26F7D7C7" w14:textId="77777777" w:rsidR="00296E87" w:rsidRPr="00550F44" w:rsidRDefault="00296E87" w:rsidP="003D1E47">
            <w:pPr>
              <w:autoSpaceDE w:val="0"/>
              <w:autoSpaceDN w:val="0"/>
              <w:adjustRightInd w:val="0"/>
              <w:spacing w:after="60"/>
              <w:ind w:left="731"/>
              <w:jc w:val="both"/>
              <w:rPr>
                <w:rFonts w:ascii="Times New Roman" w:eastAsia="Times New Roman" w:hAnsi="Times New Roman"/>
                <w:sz w:val="20"/>
                <w:szCs w:val="20"/>
                <w:lang w:val="pl-PL" w:eastAsia="pl-PL"/>
              </w:rPr>
            </w:pPr>
            <w:r w:rsidRPr="00550F44">
              <w:rPr>
                <w:rFonts w:ascii="Times New Roman" w:eastAsia="Times New Roman" w:hAnsi="Times New Roman"/>
                <w:sz w:val="20"/>
                <w:szCs w:val="20"/>
                <w:lang w:val="pl-PL" w:eastAsia="pl-PL"/>
              </w:rPr>
              <w:t xml:space="preserve">– </w:t>
            </w:r>
            <w:r w:rsidRPr="00550F44">
              <w:rPr>
                <w:rFonts w:ascii="Times New Roman" w:hAnsi="Times New Roman"/>
                <w:sz w:val="20"/>
                <w:szCs w:val="20"/>
                <w:lang w:val="pl-PL"/>
              </w:rPr>
              <w:t>progresję włóknienia płuc w badaniu TKWR oraz nasilenie objawów klinicznych,</w:t>
            </w:r>
          </w:p>
          <w:p w14:paraId="0D1DC33D" w14:textId="77777777" w:rsidR="00296E87" w:rsidRPr="00550F44" w:rsidRDefault="00296E87" w:rsidP="003D1E47">
            <w:pPr>
              <w:autoSpaceDE w:val="0"/>
              <w:autoSpaceDN w:val="0"/>
              <w:adjustRightInd w:val="0"/>
              <w:spacing w:after="60"/>
              <w:ind w:left="731"/>
              <w:jc w:val="both"/>
              <w:rPr>
                <w:rFonts w:ascii="Times New Roman" w:hAnsi="Times New Roman"/>
                <w:sz w:val="20"/>
                <w:szCs w:val="20"/>
                <w:lang w:val="pl-PL"/>
              </w:rPr>
            </w:pPr>
          </w:p>
          <w:p w14:paraId="49D7BBC0" w14:textId="77777777" w:rsidR="009362C0" w:rsidRPr="00550F44" w:rsidRDefault="00296E87" w:rsidP="003D1E47">
            <w:pPr>
              <w:autoSpaceDE w:val="0"/>
              <w:autoSpaceDN w:val="0"/>
              <w:adjustRightInd w:val="0"/>
              <w:spacing w:after="60"/>
              <w:ind w:left="731"/>
              <w:jc w:val="both"/>
              <w:rPr>
                <w:rFonts w:ascii="Times New Roman" w:hAnsi="Times New Roman"/>
                <w:sz w:val="20"/>
                <w:szCs w:val="20"/>
                <w:lang w:val="pl-PL"/>
              </w:rPr>
            </w:pPr>
            <w:r w:rsidRPr="00550F44">
              <w:rPr>
                <w:rFonts w:ascii="Times New Roman" w:hAnsi="Times New Roman"/>
                <w:sz w:val="20"/>
                <w:szCs w:val="20"/>
                <w:lang w:val="pl-PL"/>
              </w:rPr>
              <w:t xml:space="preserve">pomimo stosowania leczenia uznawanego za odpowiednie lub rekomendowanego dla danej postaci ILD, jeśli jego zastosowanie nie jest przeciwwskazane oraz nie istnieją ograniczenia dotyczące jego stosowania, które stosowane było przez okres co najmniej 3–6 miesięcy lub krócej w przypadku nietolerancji lub działań niepożądanych, </w:t>
            </w:r>
            <w:r w:rsidR="00183691" w:rsidRPr="00550F44">
              <w:rPr>
                <w:rFonts w:ascii="Times New Roman" w:hAnsi="Times New Roman"/>
                <w:sz w:val="20"/>
                <w:szCs w:val="20"/>
                <w:lang w:val="pl-PL"/>
              </w:rPr>
              <w:t xml:space="preserve">lub w razie braku </w:t>
            </w:r>
            <w:r w:rsidR="00E9664F" w:rsidRPr="00550F44">
              <w:rPr>
                <w:rFonts w:ascii="Times New Roman" w:hAnsi="Times New Roman"/>
                <w:sz w:val="20"/>
                <w:szCs w:val="20"/>
                <w:lang w:val="pl-PL"/>
              </w:rPr>
              <w:t>odpowiedniego lub rekomendowanego leczenia bezpośrednio po stwierdzeniu fenotypu postępującego włóknienia</w:t>
            </w:r>
            <w:r w:rsidR="002E7B41" w:rsidRPr="00550F44">
              <w:rPr>
                <w:rFonts w:ascii="Times New Roman" w:hAnsi="Times New Roman"/>
                <w:sz w:val="20"/>
                <w:szCs w:val="20"/>
                <w:lang w:val="pl-PL"/>
              </w:rPr>
              <w:t xml:space="preserve"> </w:t>
            </w:r>
            <w:r w:rsidR="00183691" w:rsidRPr="00550F44">
              <w:rPr>
                <w:rFonts w:ascii="Times New Roman" w:hAnsi="Times New Roman"/>
                <w:sz w:val="20"/>
                <w:szCs w:val="20"/>
                <w:lang w:val="pl-PL"/>
              </w:rPr>
              <w:t xml:space="preserve"> </w:t>
            </w:r>
          </w:p>
          <w:p w14:paraId="744A7E40" w14:textId="77777777" w:rsidR="00296E87" w:rsidRPr="00550F44" w:rsidRDefault="00296E87" w:rsidP="003D1E47">
            <w:pPr>
              <w:autoSpaceDE w:val="0"/>
              <w:autoSpaceDN w:val="0"/>
              <w:adjustRightInd w:val="0"/>
              <w:spacing w:after="60"/>
              <w:ind w:left="436" w:firstLine="11"/>
              <w:rPr>
                <w:rFonts w:ascii="Times New Roman" w:hAnsi="Times New Roman"/>
                <w:sz w:val="20"/>
                <w:szCs w:val="20"/>
                <w:lang w:val="pl-PL"/>
              </w:rPr>
            </w:pPr>
            <w:r w:rsidRPr="00550F44">
              <w:rPr>
                <w:rFonts w:ascii="Times New Roman" w:hAnsi="Times New Roman"/>
                <w:sz w:val="20"/>
                <w:szCs w:val="20"/>
                <w:lang w:val="pl-PL"/>
              </w:rPr>
              <w:t>lub</w:t>
            </w:r>
          </w:p>
          <w:p w14:paraId="68DA64B8" w14:textId="77777777" w:rsidR="009362C0" w:rsidRPr="00550F44" w:rsidRDefault="00296E87" w:rsidP="003D1E47">
            <w:pPr>
              <w:numPr>
                <w:ilvl w:val="0"/>
                <w:numId w:val="24"/>
              </w:numPr>
              <w:autoSpaceDE w:val="0"/>
              <w:autoSpaceDN w:val="0"/>
              <w:adjustRightInd w:val="0"/>
              <w:spacing w:after="60"/>
              <w:ind w:left="681" w:hanging="227"/>
              <w:jc w:val="both"/>
              <w:rPr>
                <w:rFonts w:ascii="Times New Roman" w:hAnsi="Times New Roman"/>
                <w:sz w:val="20"/>
                <w:szCs w:val="20"/>
                <w:lang w:val="pl-PL"/>
              </w:rPr>
            </w:pPr>
            <w:r w:rsidRPr="00550F44">
              <w:rPr>
                <w:rFonts w:ascii="Times New Roman" w:hAnsi="Times New Roman"/>
                <w:sz w:val="20"/>
                <w:szCs w:val="20"/>
                <w:lang w:val="pl-PL"/>
              </w:rPr>
              <w:t xml:space="preserve">zmiany o typie włóknienia w badaniu TKWR zajmują co najmniej 10% objętości płuc oraz wartość FVC stanowi &lt; 70% wartości należnej, </w:t>
            </w:r>
          </w:p>
          <w:p w14:paraId="1D56D045" w14:textId="77777777" w:rsidR="00296E87" w:rsidRPr="00550F44" w:rsidRDefault="00296E87" w:rsidP="003D1E47">
            <w:pPr>
              <w:autoSpaceDE w:val="0"/>
              <w:autoSpaceDN w:val="0"/>
              <w:adjustRightInd w:val="0"/>
              <w:spacing w:after="60"/>
              <w:ind w:left="731" w:hanging="284"/>
              <w:jc w:val="both"/>
              <w:rPr>
                <w:rFonts w:ascii="Times New Roman" w:hAnsi="Times New Roman"/>
                <w:sz w:val="20"/>
                <w:szCs w:val="20"/>
                <w:lang w:val="pl-PL"/>
              </w:rPr>
            </w:pPr>
            <w:r w:rsidRPr="00550F44">
              <w:rPr>
                <w:rFonts w:ascii="Times New Roman" w:hAnsi="Times New Roman"/>
                <w:sz w:val="20"/>
                <w:szCs w:val="20"/>
                <w:lang w:val="pl-PL"/>
              </w:rPr>
              <w:t>lub</w:t>
            </w:r>
          </w:p>
          <w:p w14:paraId="2680B059" w14:textId="77777777" w:rsidR="00296E87" w:rsidRPr="00550F44" w:rsidRDefault="00296E87" w:rsidP="003D1E47">
            <w:pPr>
              <w:numPr>
                <w:ilvl w:val="0"/>
                <w:numId w:val="24"/>
              </w:numPr>
              <w:autoSpaceDE w:val="0"/>
              <w:autoSpaceDN w:val="0"/>
              <w:adjustRightInd w:val="0"/>
              <w:spacing w:after="60"/>
              <w:ind w:left="681" w:hanging="227"/>
              <w:jc w:val="both"/>
              <w:rPr>
                <w:rFonts w:ascii="Times New Roman" w:hAnsi="Times New Roman"/>
                <w:sz w:val="20"/>
                <w:szCs w:val="20"/>
                <w:lang w:val="pl-PL"/>
              </w:rPr>
            </w:pPr>
            <w:r w:rsidRPr="00550F44">
              <w:rPr>
                <w:rFonts w:ascii="Times New Roman" w:hAnsi="Times New Roman"/>
                <w:sz w:val="20"/>
                <w:szCs w:val="20"/>
                <w:lang w:val="pl-PL"/>
              </w:rPr>
              <w:t>zmiany o typie włóknienia w badaniu TKWR zajmują co najmniej 20% objętości płuc.</w:t>
            </w:r>
          </w:p>
          <w:p w14:paraId="40C93CAC" w14:textId="77777777" w:rsidR="00534FCD" w:rsidRDefault="00534FCD" w:rsidP="003D1E47">
            <w:pPr>
              <w:spacing w:after="60"/>
              <w:jc w:val="both"/>
              <w:rPr>
                <w:rFonts w:ascii="Times New Roman" w:hAnsi="Times New Roman"/>
                <w:sz w:val="20"/>
                <w:szCs w:val="20"/>
                <w:lang w:val="pl-PL"/>
              </w:rPr>
            </w:pPr>
          </w:p>
          <w:p w14:paraId="728F1340" w14:textId="335F5567" w:rsidR="00CD1EB8" w:rsidRDefault="00CD1EB8" w:rsidP="003D1E47">
            <w:pPr>
              <w:spacing w:after="60"/>
              <w:jc w:val="both"/>
              <w:rPr>
                <w:rFonts w:ascii="Times New Roman" w:hAnsi="Times New Roman"/>
                <w:sz w:val="20"/>
                <w:szCs w:val="20"/>
                <w:lang w:val="pl-PL"/>
              </w:rPr>
            </w:pPr>
            <w:r w:rsidRPr="00CD1EB8">
              <w:rPr>
                <w:rFonts w:ascii="Times New Roman" w:hAnsi="Times New Roman"/>
                <w:sz w:val="20"/>
                <w:szCs w:val="20"/>
                <w:lang w:val="pl-PL"/>
              </w:rPr>
              <w:lastRenderedPageBreak/>
              <w:t>Ponadto do programu lekowego kwalifikowani są również pacjenci wymagający kontynuacji leczenia, którzy byli leczeni substancj</w:t>
            </w:r>
            <w:r w:rsidR="008A004F">
              <w:rPr>
                <w:rFonts w:ascii="Times New Roman" w:hAnsi="Times New Roman"/>
                <w:sz w:val="20"/>
                <w:szCs w:val="20"/>
                <w:lang w:val="pl-PL"/>
              </w:rPr>
              <w:t>ami</w:t>
            </w:r>
            <w:r w:rsidRPr="00CD1EB8">
              <w:rPr>
                <w:rFonts w:ascii="Times New Roman" w:hAnsi="Times New Roman"/>
                <w:sz w:val="20"/>
                <w:szCs w:val="20"/>
                <w:lang w:val="pl-PL"/>
              </w:rPr>
              <w:t xml:space="preserve"> czynn</w:t>
            </w:r>
            <w:r w:rsidR="008A004F">
              <w:rPr>
                <w:rFonts w:ascii="Times New Roman" w:hAnsi="Times New Roman"/>
                <w:sz w:val="20"/>
                <w:szCs w:val="20"/>
                <w:lang w:val="pl-PL"/>
              </w:rPr>
              <w:t>ymi</w:t>
            </w:r>
            <w:r w:rsidRPr="00CD1EB8">
              <w:rPr>
                <w:rFonts w:ascii="Times New Roman" w:hAnsi="Times New Roman"/>
                <w:sz w:val="20"/>
                <w:szCs w:val="20"/>
                <w:lang w:val="pl-PL"/>
              </w:rPr>
              <w:t xml:space="preserve"> finansowan</w:t>
            </w:r>
            <w:r w:rsidR="008A004F">
              <w:rPr>
                <w:rFonts w:ascii="Times New Roman" w:hAnsi="Times New Roman"/>
                <w:sz w:val="20"/>
                <w:szCs w:val="20"/>
                <w:lang w:val="pl-PL"/>
              </w:rPr>
              <w:t>ymi</w:t>
            </w:r>
            <w:r w:rsidRPr="00CD1EB8">
              <w:rPr>
                <w:rFonts w:ascii="Times New Roman" w:hAnsi="Times New Roman"/>
                <w:sz w:val="20"/>
                <w:szCs w:val="20"/>
                <w:lang w:val="pl-PL"/>
              </w:rPr>
              <w:t xml:space="preserve"> w programie lekowym w ramach innego sposobu finansowania terapii</w:t>
            </w:r>
            <w:r w:rsidR="001F31E1">
              <w:rPr>
                <w:rFonts w:ascii="Times New Roman" w:hAnsi="Times New Roman"/>
                <w:sz w:val="20"/>
                <w:szCs w:val="20"/>
                <w:lang w:val="pl-PL"/>
              </w:rPr>
              <w:t xml:space="preserve"> (</w:t>
            </w:r>
            <w:r w:rsidRPr="00CD1EB8">
              <w:rPr>
                <w:rFonts w:ascii="Times New Roman" w:hAnsi="Times New Roman"/>
                <w:sz w:val="20"/>
                <w:szCs w:val="20"/>
                <w:lang w:val="pl-PL"/>
              </w:rPr>
              <w:t>za wyjątkiem trwających badań klinicznych tych leków</w:t>
            </w:r>
            <w:r w:rsidR="001F31E1">
              <w:rPr>
                <w:rFonts w:ascii="Times New Roman" w:hAnsi="Times New Roman"/>
                <w:sz w:val="20"/>
                <w:szCs w:val="20"/>
                <w:lang w:val="pl-PL"/>
              </w:rPr>
              <w:t>)</w:t>
            </w:r>
            <w:r w:rsidRPr="00CD1EB8">
              <w:rPr>
                <w:rFonts w:ascii="Times New Roman" w:hAnsi="Times New Roman"/>
                <w:sz w:val="20"/>
                <w:szCs w:val="20"/>
                <w:lang w:val="pl-PL"/>
              </w:rPr>
              <w:t>, pod warunkiem, że w chwili rozpoczęcia leczenia spełniali kryteria kwalifikacji do programu lekowego.</w:t>
            </w:r>
          </w:p>
          <w:p w14:paraId="1824D192" w14:textId="77777777" w:rsidR="000C0A83" w:rsidRPr="006513EE" w:rsidRDefault="000C0A83" w:rsidP="003D1E47">
            <w:pPr>
              <w:spacing w:after="60"/>
              <w:jc w:val="both"/>
              <w:rPr>
                <w:rFonts w:ascii="Times New Roman" w:hAnsi="Times New Roman"/>
                <w:sz w:val="20"/>
                <w:szCs w:val="20"/>
                <w:lang w:val="pl-PL"/>
              </w:rPr>
            </w:pPr>
          </w:p>
          <w:p w14:paraId="03296E20" w14:textId="77777777" w:rsidR="00E730E9" w:rsidRPr="00D53679" w:rsidRDefault="00E730E9" w:rsidP="003D1E47">
            <w:pPr>
              <w:pStyle w:val="Akapitzlist"/>
              <w:numPr>
                <w:ilvl w:val="0"/>
                <w:numId w:val="40"/>
              </w:numPr>
              <w:autoSpaceDE w:val="0"/>
              <w:autoSpaceDN w:val="0"/>
              <w:adjustRightInd w:val="0"/>
              <w:spacing w:after="60"/>
              <w:contextualSpacing w:val="0"/>
              <w:jc w:val="both"/>
              <w:rPr>
                <w:rFonts w:ascii="Times New Roman" w:hAnsi="Times New Roman"/>
                <w:sz w:val="20"/>
                <w:szCs w:val="20"/>
                <w:lang w:val="pl-PL"/>
              </w:rPr>
            </w:pPr>
            <w:r w:rsidRPr="006513EE">
              <w:rPr>
                <w:rFonts w:ascii="Times New Roman" w:hAnsi="Times New Roman"/>
                <w:b/>
                <w:bCs/>
                <w:sz w:val="20"/>
                <w:szCs w:val="20"/>
                <w:lang w:val="pl-PL"/>
              </w:rPr>
              <w:t>Określenie czasu leczenia w programie</w:t>
            </w:r>
          </w:p>
          <w:p w14:paraId="67727AB8" w14:textId="50B583CD" w:rsidR="00E87089" w:rsidRPr="006513EE" w:rsidRDefault="00E87089" w:rsidP="003D1E47">
            <w:pPr>
              <w:autoSpaceDE w:val="0"/>
              <w:autoSpaceDN w:val="0"/>
              <w:adjustRightInd w:val="0"/>
              <w:spacing w:after="60"/>
              <w:jc w:val="both"/>
              <w:rPr>
                <w:rFonts w:ascii="Times New Roman" w:hAnsi="Times New Roman"/>
                <w:sz w:val="20"/>
                <w:szCs w:val="20"/>
                <w:lang w:val="pl-PL"/>
              </w:rPr>
            </w:pPr>
            <w:r w:rsidRPr="00E87089">
              <w:rPr>
                <w:rFonts w:ascii="Times New Roman" w:hAnsi="Times New Roman"/>
                <w:sz w:val="20"/>
                <w:szCs w:val="20"/>
                <w:lang w:val="pl-PL"/>
              </w:rPr>
              <w:t xml:space="preserve">Leczenie trwa do czasu podjęcia przez Zespół Koordynacyjny lub lekarza prowadzącego decyzji o wyłączeniu </w:t>
            </w:r>
            <w:r w:rsidR="001F31E1">
              <w:rPr>
                <w:rFonts w:ascii="Times New Roman" w:hAnsi="Times New Roman"/>
                <w:sz w:val="20"/>
                <w:szCs w:val="20"/>
                <w:lang w:val="pl-PL"/>
              </w:rPr>
              <w:t>pacjenta</w:t>
            </w:r>
            <w:r w:rsidR="001F31E1" w:rsidRPr="00E87089">
              <w:rPr>
                <w:rFonts w:ascii="Times New Roman" w:hAnsi="Times New Roman"/>
                <w:sz w:val="20"/>
                <w:szCs w:val="20"/>
                <w:lang w:val="pl-PL"/>
              </w:rPr>
              <w:t xml:space="preserve"> </w:t>
            </w:r>
            <w:r w:rsidRPr="00E87089">
              <w:rPr>
                <w:rFonts w:ascii="Times New Roman" w:hAnsi="Times New Roman"/>
                <w:sz w:val="20"/>
                <w:szCs w:val="20"/>
                <w:lang w:val="pl-PL"/>
              </w:rPr>
              <w:t>z programu, zgodnie z kryteriami wyłączenia z programu</w:t>
            </w:r>
            <w:r w:rsidR="0045561C">
              <w:rPr>
                <w:rFonts w:ascii="Times New Roman" w:hAnsi="Times New Roman"/>
                <w:sz w:val="20"/>
                <w:szCs w:val="20"/>
                <w:lang w:val="pl-PL"/>
              </w:rPr>
              <w:t xml:space="preserve"> </w:t>
            </w:r>
            <w:r w:rsidR="00514276">
              <w:rPr>
                <w:rFonts w:ascii="Times New Roman" w:hAnsi="Times New Roman"/>
                <w:sz w:val="20"/>
                <w:szCs w:val="20"/>
                <w:lang w:val="pl-PL"/>
              </w:rPr>
              <w:t>przedstawionymi w punkcie 3</w:t>
            </w:r>
            <w:r w:rsidRPr="00E87089">
              <w:rPr>
                <w:rFonts w:ascii="Times New Roman" w:hAnsi="Times New Roman"/>
                <w:sz w:val="20"/>
                <w:szCs w:val="20"/>
                <w:lang w:val="pl-PL"/>
              </w:rPr>
              <w:t>.</w:t>
            </w:r>
          </w:p>
          <w:p w14:paraId="3E2DCD17" w14:textId="3B5299A2" w:rsidR="005343B2" w:rsidRPr="003C78F5" w:rsidRDefault="00E87089" w:rsidP="003D1E47">
            <w:pPr>
              <w:autoSpaceDE w:val="0"/>
              <w:autoSpaceDN w:val="0"/>
              <w:adjustRightInd w:val="0"/>
              <w:spacing w:after="60"/>
              <w:jc w:val="both"/>
              <w:rPr>
                <w:rFonts w:ascii="Times New Roman" w:hAnsi="Times New Roman"/>
                <w:sz w:val="20"/>
                <w:szCs w:val="20"/>
                <w:lang w:val="pl-PL"/>
              </w:rPr>
            </w:pPr>
            <w:r>
              <w:rPr>
                <w:rFonts w:ascii="Times New Roman" w:hAnsi="Times New Roman"/>
                <w:sz w:val="20"/>
                <w:szCs w:val="20"/>
                <w:lang w:val="pl-PL"/>
              </w:rPr>
              <w:t>W</w:t>
            </w:r>
            <w:r w:rsidR="003C78F5">
              <w:rPr>
                <w:rFonts w:ascii="Times New Roman" w:hAnsi="Times New Roman"/>
                <w:sz w:val="20"/>
                <w:szCs w:val="20"/>
                <w:lang w:val="pl-PL"/>
              </w:rPr>
              <w:t xml:space="preserve"> </w:t>
            </w:r>
            <w:r w:rsidR="006004E2" w:rsidRPr="006513EE">
              <w:rPr>
                <w:rFonts w:ascii="Times New Roman" w:hAnsi="Times New Roman"/>
                <w:sz w:val="20"/>
                <w:szCs w:val="20"/>
                <w:lang w:val="pl-PL"/>
              </w:rPr>
              <w:t>przypadku istotnej czasowej przerwy w leczeniu, schemat monitorowania ulega modyfikacji</w:t>
            </w:r>
            <w:r w:rsidR="00FB4D8D" w:rsidRPr="006513EE">
              <w:rPr>
                <w:rFonts w:ascii="Times New Roman" w:hAnsi="Times New Roman"/>
                <w:sz w:val="20"/>
                <w:szCs w:val="20"/>
                <w:lang w:val="pl-PL"/>
              </w:rPr>
              <w:t xml:space="preserve"> </w:t>
            </w:r>
            <w:r w:rsidR="006004E2" w:rsidRPr="006513EE">
              <w:rPr>
                <w:rFonts w:ascii="Times New Roman" w:hAnsi="Times New Roman"/>
                <w:sz w:val="20"/>
                <w:szCs w:val="20"/>
                <w:lang w:val="pl-PL"/>
              </w:rPr>
              <w:t>z uwzględnieniem okresu przerwy w podawaniu leku</w:t>
            </w:r>
            <w:r w:rsidR="003C78F5">
              <w:rPr>
                <w:rFonts w:ascii="Times New Roman" w:hAnsi="Times New Roman"/>
                <w:sz w:val="20"/>
                <w:szCs w:val="20"/>
                <w:lang w:val="pl-PL"/>
              </w:rPr>
              <w:t>.</w:t>
            </w:r>
          </w:p>
          <w:p w14:paraId="7E21CC9C" w14:textId="77777777" w:rsidR="005343B2" w:rsidRPr="00D53679" w:rsidRDefault="005343B2" w:rsidP="003D1E47">
            <w:pPr>
              <w:autoSpaceDE w:val="0"/>
              <w:autoSpaceDN w:val="0"/>
              <w:adjustRightInd w:val="0"/>
              <w:spacing w:after="60"/>
              <w:jc w:val="both"/>
              <w:rPr>
                <w:rFonts w:ascii="Times New Roman" w:hAnsi="Times New Roman"/>
                <w:sz w:val="20"/>
                <w:szCs w:val="20"/>
                <w:lang w:val="pl-PL"/>
              </w:rPr>
            </w:pPr>
            <w:r w:rsidRPr="00D53679">
              <w:rPr>
                <w:rFonts w:ascii="Times New Roman" w:hAnsi="Times New Roman"/>
                <w:sz w:val="20"/>
                <w:szCs w:val="20"/>
                <w:lang w:val="pl-PL"/>
              </w:rPr>
              <w:t xml:space="preserve">W przypadku przerwy w leczeniu wynoszącej 6 miesięcy i więcej, schemat monitorowania (kolumna III pkt 2 podpunkty 1-4) należy ponowić jak w przypadku pacjentów rozpoczynających terapię. </w:t>
            </w:r>
          </w:p>
          <w:p w14:paraId="0C773E63" w14:textId="77777777" w:rsidR="007E0D06" w:rsidRPr="003C78F5" w:rsidRDefault="007E0D06" w:rsidP="003D1E47">
            <w:pPr>
              <w:spacing w:after="60"/>
              <w:ind w:left="454"/>
              <w:jc w:val="both"/>
              <w:rPr>
                <w:rFonts w:ascii="Times New Roman" w:eastAsia="Times New Roman" w:hAnsi="Times New Roman"/>
                <w:b/>
                <w:sz w:val="20"/>
                <w:szCs w:val="20"/>
                <w:lang w:val="pl-PL" w:eastAsia="pl-PL"/>
              </w:rPr>
            </w:pPr>
          </w:p>
          <w:p w14:paraId="55A10998" w14:textId="77777777" w:rsidR="00E730E9" w:rsidRPr="006513EE" w:rsidRDefault="00E730E9" w:rsidP="003D1E47">
            <w:pPr>
              <w:pStyle w:val="Akapitzlist"/>
              <w:numPr>
                <w:ilvl w:val="0"/>
                <w:numId w:val="40"/>
              </w:numPr>
              <w:autoSpaceDE w:val="0"/>
              <w:autoSpaceDN w:val="0"/>
              <w:adjustRightInd w:val="0"/>
              <w:spacing w:after="60"/>
              <w:contextualSpacing w:val="0"/>
              <w:jc w:val="both"/>
              <w:rPr>
                <w:rFonts w:ascii="Times New Roman" w:hAnsi="Times New Roman"/>
                <w:b/>
                <w:bCs/>
                <w:sz w:val="20"/>
                <w:szCs w:val="20"/>
                <w:lang w:val="pl-PL"/>
              </w:rPr>
            </w:pPr>
            <w:r w:rsidRPr="006513EE">
              <w:rPr>
                <w:rFonts w:ascii="Times New Roman" w:hAnsi="Times New Roman"/>
                <w:b/>
                <w:bCs/>
                <w:sz w:val="20"/>
                <w:szCs w:val="20"/>
                <w:lang w:val="pl-PL"/>
              </w:rPr>
              <w:t>Kryteria wyłączenia z programu</w:t>
            </w:r>
          </w:p>
          <w:p w14:paraId="1A8AD621" w14:textId="7C8D927D" w:rsidR="009362C0" w:rsidRPr="00203D5E" w:rsidRDefault="00534FCD" w:rsidP="003D1E47">
            <w:pPr>
              <w:pStyle w:val="Akapitzlist"/>
              <w:numPr>
                <w:ilvl w:val="0"/>
                <w:numId w:val="65"/>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bookmarkStart w:id="1" w:name="_Hlk56592167"/>
            <w:r w:rsidRPr="00933168">
              <w:rPr>
                <w:rFonts w:ascii="Times New Roman" w:eastAsia="Times New Roman" w:hAnsi="Times New Roman"/>
                <w:color w:val="000000"/>
                <w:sz w:val="20"/>
                <w:szCs w:val="20"/>
                <w:lang w:val="pl-PL" w:eastAsia="pl-PL"/>
              </w:rPr>
              <w:t>b</w:t>
            </w:r>
            <w:r w:rsidR="00050774" w:rsidRPr="00933168">
              <w:rPr>
                <w:rFonts w:ascii="Times New Roman" w:eastAsia="Times New Roman" w:hAnsi="Times New Roman"/>
                <w:color w:val="000000"/>
                <w:sz w:val="20"/>
                <w:szCs w:val="20"/>
                <w:lang w:val="pl-PL" w:eastAsia="pl-PL"/>
              </w:rPr>
              <w:t xml:space="preserve">rak </w:t>
            </w:r>
            <w:r w:rsidR="00AE4B46">
              <w:rPr>
                <w:rFonts w:ascii="Times New Roman" w:eastAsia="Times New Roman" w:hAnsi="Times New Roman"/>
                <w:color w:val="000000"/>
                <w:sz w:val="20"/>
                <w:szCs w:val="20"/>
                <w:lang w:val="pl-PL" w:eastAsia="pl-PL"/>
              </w:rPr>
              <w:t xml:space="preserve">adekwatnej odpowiedzi na leczenie </w:t>
            </w:r>
            <w:r w:rsidR="00050774" w:rsidRPr="00933168">
              <w:rPr>
                <w:rFonts w:ascii="Times New Roman" w:eastAsia="Times New Roman" w:hAnsi="Times New Roman"/>
                <w:color w:val="000000"/>
                <w:sz w:val="20"/>
                <w:szCs w:val="20"/>
                <w:lang w:val="pl-PL" w:eastAsia="pl-PL"/>
              </w:rPr>
              <w:t xml:space="preserve">definiowany jako </w:t>
            </w:r>
            <w:r w:rsidR="00E9664F" w:rsidRPr="005C0ECB">
              <w:rPr>
                <w:rFonts w:ascii="Times New Roman" w:eastAsia="Times New Roman" w:hAnsi="Times New Roman"/>
                <w:color w:val="000000"/>
                <w:sz w:val="20"/>
                <w:szCs w:val="20"/>
                <w:lang w:val="pl-PL" w:eastAsia="pl-PL"/>
              </w:rPr>
              <w:t>bez</w:t>
            </w:r>
            <w:r w:rsidR="00050774" w:rsidRPr="005C0ECB">
              <w:rPr>
                <w:rFonts w:ascii="Times New Roman" w:eastAsia="Times New Roman" w:hAnsi="Times New Roman"/>
                <w:color w:val="000000"/>
                <w:sz w:val="20"/>
                <w:szCs w:val="20"/>
                <w:lang w:val="pl-PL" w:eastAsia="pl-PL"/>
              </w:rPr>
              <w:t>względne obniżenie</w:t>
            </w:r>
            <w:r w:rsidR="00050774" w:rsidRPr="00933168">
              <w:rPr>
                <w:rFonts w:ascii="Times New Roman" w:eastAsia="Times New Roman" w:hAnsi="Times New Roman"/>
                <w:color w:val="000000"/>
                <w:sz w:val="20"/>
                <w:szCs w:val="20"/>
                <w:lang w:val="pl-PL" w:eastAsia="pl-PL"/>
              </w:rPr>
              <w:t xml:space="preserve"> FVC o co najmniej 10% w ciągu pierwszych 12 miesięcy (±3 miesiące) leczenia,</w:t>
            </w:r>
            <w:r w:rsidR="00FB4D8D" w:rsidRPr="00933168">
              <w:rPr>
                <w:rFonts w:ascii="Times New Roman" w:eastAsia="Times New Roman" w:hAnsi="Times New Roman"/>
                <w:color w:val="000000"/>
                <w:sz w:val="20"/>
                <w:szCs w:val="20"/>
                <w:lang w:val="pl-PL" w:eastAsia="pl-PL"/>
              </w:rPr>
              <w:t xml:space="preserve"> </w:t>
            </w:r>
            <w:r w:rsidR="00050774" w:rsidRPr="00933168">
              <w:rPr>
                <w:rFonts w:ascii="Times New Roman" w:eastAsia="Times New Roman" w:hAnsi="Times New Roman"/>
                <w:color w:val="000000"/>
                <w:sz w:val="20"/>
                <w:szCs w:val="20"/>
                <w:lang w:val="pl-PL" w:eastAsia="pl-PL"/>
              </w:rPr>
              <w:t>a następnie po każdych kolejnych 12 miesiącach</w:t>
            </w:r>
            <w:r w:rsidR="00FB4D8D" w:rsidRPr="00933168">
              <w:rPr>
                <w:rFonts w:ascii="Times New Roman" w:eastAsia="Times New Roman" w:hAnsi="Times New Roman"/>
                <w:color w:val="000000"/>
                <w:sz w:val="20"/>
                <w:szCs w:val="20"/>
                <w:lang w:val="pl-PL" w:eastAsia="pl-PL"/>
              </w:rPr>
              <w:t xml:space="preserve"> </w:t>
            </w:r>
            <w:r w:rsidR="00050774" w:rsidRPr="00933168">
              <w:rPr>
                <w:rFonts w:ascii="Times New Roman" w:eastAsia="Times New Roman" w:hAnsi="Times New Roman"/>
                <w:color w:val="000000"/>
                <w:sz w:val="20"/>
                <w:szCs w:val="20"/>
                <w:lang w:val="pl-PL" w:eastAsia="pl-PL"/>
              </w:rPr>
              <w:t>(±3 miesiące), potwierdzone w dwóch badaniach spirometrycznych wykonanych w odstępie co najmniej</w:t>
            </w:r>
            <w:r w:rsidR="00FB4D8D" w:rsidRPr="00933168">
              <w:rPr>
                <w:rFonts w:ascii="Times New Roman" w:eastAsia="Times New Roman" w:hAnsi="Times New Roman"/>
                <w:color w:val="000000"/>
                <w:sz w:val="20"/>
                <w:szCs w:val="20"/>
                <w:lang w:val="pl-PL" w:eastAsia="pl-PL"/>
              </w:rPr>
              <w:t xml:space="preserve"> </w:t>
            </w:r>
            <w:r w:rsidR="00050774" w:rsidRPr="00933168">
              <w:rPr>
                <w:rFonts w:ascii="Times New Roman" w:eastAsia="Times New Roman" w:hAnsi="Times New Roman"/>
                <w:color w:val="000000"/>
                <w:sz w:val="20"/>
                <w:szCs w:val="20"/>
                <w:lang w:val="pl-PL" w:eastAsia="pl-PL"/>
              </w:rPr>
              <w:t>2 tygodni</w:t>
            </w:r>
            <w:bookmarkEnd w:id="1"/>
            <w:r w:rsidR="003C78F5" w:rsidRPr="00933168">
              <w:rPr>
                <w:rFonts w:ascii="Times New Roman" w:eastAsia="Times New Roman" w:hAnsi="Times New Roman"/>
                <w:color w:val="000000"/>
                <w:sz w:val="20"/>
                <w:szCs w:val="20"/>
                <w:lang w:val="pl-PL" w:eastAsia="pl-PL"/>
              </w:rPr>
              <w:t>,</w:t>
            </w:r>
          </w:p>
          <w:p w14:paraId="0FA6C22C" w14:textId="4CCF27D8" w:rsidR="009362C0" w:rsidRPr="00203D5E" w:rsidRDefault="009362C0" w:rsidP="003D1E47">
            <w:pPr>
              <w:pStyle w:val="Akapitzlist"/>
              <w:numPr>
                <w:ilvl w:val="0"/>
                <w:numId w:val="65"/>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933168">
              <w:rPr>
                <w:rFonts w:ascii="Times New Roman" w:eastAsia="Times New Roman" w:hAnsi="Times New Roman"/>
                <w:color w:val="000000"/>
                <w:sz w:val="20"/>
                <w:szCs w:val="20"/>
                <w:lang w:val="pl-PL" w:eastAsia="pl-PL"/>
              </w:rPr>
              <w:t xml:space="preserve">wystąpienie objawów nadwrażliwości na </w:t>
            </w:r>
            <w:r w:rsidR="00E062CE" w:rsidRPr="00E062CE">
              <w:rPr>
                <w:rFonts w:ascii="Times New Roman" w:eastAsia="Times New Roman" w:hAnsi="Times New Roman"/>
                <w:color w:val="000000"/>
                <w:sz w:val="20"/>
                <w:szCs w:val="20"/>
                <w:lang w:val="pl-PL" w:eastAsia="pl-PL"/>
              </w:rPr>
              <w:t>którykolwiek ze stosowanych leków lub na którąkolwiek substancję pomocniczą leku, uniemożliwiających kontynuację leczenia</w:t>
            </w:r>
            <w:r w:rsidR="001644B8" w:rsidRPr="00933168">
              <w:rPr>
                <w:rFonts w:ascii="Times New Roman" w:eastAsia="Times New Roman" w:hAnsi="Times New Roman"/>
                <w:color w:val="000000"/>
                <w:sz w:val="20"/>
                <w:szCs w:val="20"/>
                <w:lang w:val="pl-PL" w:eastAsia="pl-PL"/>
              </w:rPr>
              <w:t>,</w:t>
            </w:r>
          </w:p>
          <w:p w14:paraId="483C53F6" w14:textId="2445F9AA" w:rsidR="00536141" w:rsidRDefault="0011150B" w:rsidP="003D1E47">
            <w:pPr>
              <w:pStyle w:val="Akapitzlist"/>
              <w:numPr>
                <w:ilvl w:val="0"/>
                <w:numId w:val="65"/>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933168">
              <w:rPr>
                <w:rFonts w:ascii="Times New Roman" w:eastAsia="Times New Roman" w:hAnsi="Times New Roman"/>
                <w:color w:val="000000"/>
                <w:sz w:val="20"/>
                <w:szCs w:val="20"/>
                <w:lang w:val="pl-PL" w:eastAsia="pl-PL"/>
              </w:rPr>
              <w:t>okres ciąży lub karmienia piersią</w:t>
            </w:r>
            <w:r w:rsidR="001644B8" w:rsidRPr="00933168">
              <w:rPr>
                <w:rFonts w:ascii="Times New Roman" w:eastAsia="Times New Roman" w:hAnsi="Times New Roman"/>
                <w:color w:val="000000"/>
                <w:sz w:val="20"/>
                <w:szCs w:val="20"/>
                <w:lang w:val="pl-PL" w:eastAsia="pl-PL"/>
              </w:rPr>
              <w:t>,</w:t>
            </w:r>
          </w:p>
          <w:p w14:paraId="66D58F23" w14:textId="2470DCDB" w:rsidR="00DF3CEA" w:rsidRDefault="00DF3CEA" w:rsidP="003D1E47">
            <w:pPr>
              <w:pStyle w:val="Akapitzlist"/>
              <w:numPr>
                <w:ilvl w:val="0"/>
                <w:numId w:val="65"/>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DF3CEA">
              <w:rPr>
                <w:rFonts w:ascii="Times New Roman" w:eastAsia="Times New Roman" w:hAnsi="Times New Roman"/>
                <w:color w:val="000000"/>
                <w:sz w:val="20"/>
                <w:szCs w:val="20"/>
                <w:lang w:val="pl-PL" w:eastAsia="pl-PL"/>
              </w:rPr>
              <w:lastRenderedPageBreak/>
              <w:t>wystąpienie chorób lub stanów, które według oceny lekarza prowadzącego lub Zespołu Koordynacyjnego uniemożliwiają dalsze prowadzenie leczenia</w:t>
            </w:r>
            <w:r>
              <w:rPr>
                <w:rFonts w:ascii="Times New Roman" w:eastAsia="Times New Roman" w:hAnsi="Times New Roman"/>
                <w:color w:val="000000"/>
                <w:sz w:val="20"/>
                <w:szCs w:val="20"/>
                <w:lang w:val="pl-PL" w:eastAsia="pl-PL"/>
              </w:rPr>
              <w:t>,</w:t>
            </w:r>
          </w:p>
          <w:p w14:paraId="7894A9AA" w14:textId="37A40089" w:rsidR="002C1BCC" w:rsidRPr="00933168" w:rsidRDefault="002C1BCC" w:rsidP="003D1E47">
            <w:pPr>
              <w:pStyle w:val="Akapitzlist"/>
              <w:numPr>
                <w:ilvl w:val="0"/>
                <w:numId w:val="65"/>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2C1BCC">
              <w:rPr>
                <w:rFonts w:ascii="Times New Roman" w:eastAsia="Times New Roman" w:hAnsi="Times New Roman"/>
                <w:color w:val="000000"/>
                <w:sz w:val="20"/>
                <w:szCs w:val="20"/>
                <w:lang w:val="pl-PL" w:eastAsia="pl-PL"/>
              </w:rPr>
              <w:t>wystąpienie nieakceptowalnej lub zagrażającej życiu toksyczności, pomimo zastosowania adekwatnego postępowania</w:t>
            </w:r>
            <w:r>
              <w:rPr>
                <w:rFonts w:ascii="Times New Roman" w:eastAsia="Times New Roman" w:hAnsi="Times New Roman"/>
                <w:color w:val="000000"/>
                <w:sz w:val="20"/>
                <w:szCs w:val="20"/>
                <w:lang w:val="pl-PL" w:eastAsia="pl-PL"/>
              </w:rPr>
              <w:t>,</w:t>
            </w:r>
          </w:p>
          <w:p w14:paraId="06A3A0AD" w14:textId="0705CA5E" w:rsidR="00651447" w:rsidRPr="00693470" w:rsidRDefault="0011150B" w:rsidP="003D1E47">
            <w:pPr>
              <w:pStyle w:val="Akapitzlist"/>
              <w:numPr>
                <w:ilvl w:val="0"/>
                <w:numId w:val="65"/>
              </w:numPr>
              <w:autoSpaceDE w:val="0"/>
              <w:autoSpaceDN w:val="0"/>
              <w:adjustRightInd w:val="0"/>
              <w:spacing w:after="60"/>
              <w:ind w:left="454" w:hanging="227"/>
              <w:contextualSpacing w:val="0"/>
              <w:jc w:val="both"/>
              <w:rPr>
                <w:rFonts w:ascii="Times New Roman" w:hAnsi="Times New Roman"/>
                <w:sz w:val="20"/>
                <w:szCs w:val="20"/>
                <w:lang w:val="pl-PL"/>
              </w:rPr>
            </w:pPr>
            <w:r w:rsidRPr="00536141">
              <w:rPr>
                <w:rFonts w:ascii="Times New Roman" w:eastAsia="Times New Roman" w:hAnsi="Times New Roman"/>
                <w:color w:val="000000"/>
                <w:sz w:val="20"/>
                <w:szCs w:val="20"/>
                <w:lang w:val="pl-PL" w:eastAsia="pl-PL"/>
              </w:rPr>
              <w:t xml:space="preserve">brak współpracy lub nieprzestrzeganie zaleceń lekarskich, w tym dotyczących okresowych badań kontrolnych oceniających skuteczność i bezpieczeństwo leczenia ze strony świadczeniobiorcy lub jego </w:t>
            </w:r>
            <w:r w:rsidR="0021693E">
              <w:rPr>
                <w:rFonts w:ascii="Times New Roman" w:eastAsia="Times New Roman" w:hAnsi="Times New Roman"/>
                <w:color w:val="000000"/>
                <w:sz w:val="20"/>
                <w:szCs w:val="20"/>
                <w:lang w:val="pl-PL" w:eastAsia="pl-PL"/>
              </w:rPr>
              <w:t>opiekuna prawnego</w:t>
            </w:r>
            <w:r w:rsidR="00D15926">
              <w:rPr>
                <w:rFonts w:ascii="Times New Roman" w:eastAsia="Times New Roman" w:hAnsi="Times New Roman"/>
                <w:color w:val="000000"/>
                <w:sz w:val="20"/>
                <w:szCs w:val="20"/>
                <w:lang w:val="pl-PL" w:eastAsia="pl-PL"/>
              </w:rPr>
              <w:t>.</w:t>
            </w:r>
          </w:p>
          <w:p w14:paraId="5ACC6564" w14:textId="77777777" w:rsidR="00693470" w:rsidRPr="00693470" w:rsidRDefault="00693470" w:rsidP="003D1E47">
            <w:pPr>
              <w:autoSpaceDE w:val="0"/>
              <w:autoSpaceDN w:val="0"/>
              <w:adjustRightInd w:val="0"/>
              <w:spacing w:after="60"/>
              <w:ind w:left="227"/>
              <w:jc w:val="both"/>
              <w:rPr>
                <w:rFonts w:ascii="Times New Roman" w:hAnsi="Times New Roman"/>
                <w:sz w:val="20"/>
                <w:szCs w:val="20"/>
                <w:lang w:val="pl-PL"/>
              </w:rPr>
            </w:pPr>
          </w:p>
          <w:p w14:paraId="4E57CE69" w14:textId="77777777" w:rsidR="003F3B27" w:rsidRPr="00322C65" w:rsidRDefault="003F3B27" w:rsidP="003D1E47">
            <w:pPr>
              <w:keepNext/>
              <w:numPr>
                <w:ilvl w:val="0"/>
                <w:numId w:val="40"/>
              </w:numPr>
              <w:suppressAutoHyphens/>
              <w:spacing w:after="60"/>
              <w:jc w:val="both"/>
              <w:rPr>
                <w:rFonts w:ascii="Times New Roman" w:eastAsia="Times New Roman" w:hAnsi="Times New Roman"/>
                <w:b/>
                <w:bCs/>
                <w:sz w:val="20"/>
                <w:szCs w:val="20"/>
                <w:lang w:val="pl-PL" w:eastAsia="ar-SA"/>
              </w:rPr>
            </w:pPr>
            <w:r w:rsidRPr="00322C65">
              <w:rPr>
                <w:rFonts w:ascii="Times New Roman" w:eastAsia="Times New Roman" w:hAnsi="Times New Roman"/>
                <w:b/>
                <w:bCs/>
                <w:sz w:val="20"/>
                <w:szCs w:val="20"/>
                <w:lang w:val="pl-PL" w:eastAsia="ar-SA"/>
              </w:rPr>
              <w:t>Kryteria ponownego włączenia do programu</w:t>
            </w:r>
          </w:p>
          <w:p w14:paraId="19966983" w14:textId="5197B3C0" w:rsidR="003F3B27" w:rsidRPr="00360B72" w:rsidRDefault="00534FCD" w:rsidP="003D1E47">
            <w:pPr>
              <w:pStyle w:val="Akapitzlist"/>
              <w:numPr>
                <w:ilvl w:val="0"/>
                <w:numId w:val="55"/>
              </w:numPr>
              <w:autoSpaceDE w:val="0"/>
              <w:autoSpaceDN w:val="0"/>
              <w:adjustRightInd w:val="0"/>
              <w:spacing w:after="60"/>
              <w:ind w:left="454" w:hanging="227"/>
              <w:contextualSpacing w:val="0"/>
              <w:jc w:val="both"/>
              <w:rPr>
                <w:rFonts w:ascii="Times New Roman" w:hAnsi="Times New Roman"/>
                <w:sz w:val="20"/>
                <w:szCs w:val="20"/>
                <w:lang w:val="pl-PL"/>
              </w:rPr>
            </w:pPr>
            <w:r w:rsidRPr="00360B72">
              <w:rPr>
                <w:rFonts w:ascii="Times New Roman" w:hAnsi="Times New Roman"/>
                <w:sz w:val="20"/>
                <w:szCs w:val="20"/>
                <w:lang w:val="pl-PL"/>
              </w:rPr>
              <w:t>p</w:t>
            </w:r>
            <w:r w:rsidR="003F3B27" w:rsidRPr="00360B72">
              <w:rPr>
                <w:rFonts w:ascii="Times New Roman" w:hAnsi="Times New Roman"/>
                <w:sz w:val="20"/>
                <w:szCs w:val="20"/>
                <w:lang w:val="pl-PL"/>
              </w:rPr>
              <w:t xml:space="preserve">acjent, </w:t>
            </w:r>
            <w:r w:rsidR="00C67350" w:rsidRPr="00360B72">
              <w:rPr>
                <w:rFonts w:ascii="Times New Roman" w:hAnsi="Times New Roman"/>
                <w:sz w:val="20"/>
                <w:szCs w:val="20"/>
                <w:lang w:val="pl-PL"/>
              </w:rPr>
              <w:t xml:space="preserve">u którego </w:t>
            </w:r>
            <w:r w:rsidR="00712F55" w:rsidRPr="00360B72">
              <w:rPr>
                <w:rFonts w:ascii="Times New Roman" w:hAnsi="Times New Roman"/>
                <w:sz w:val="20"/>
                <w:szCs w:val="20"/>
                <w:lang w:val="pl-PL"/>
              </w:rPr>
              <w:t>leczenie</w:t>
            </w:r>
            <w:r w:rsidR="00C67350" w:rsidRPr="00360B72">
              <w:rPr>
                <w:rFonts w:ascii="Times New Roman" w:hAnsi="Times New Roman"/>
                <w:sz w:val="20"/>
                <w:szCs w:val="20"/>
                <w:lang w:val="pl-PL"/>
              </w:rPr>
              <w:t xml:space="preserve"> </w:t>
            </w:r>
            <w:proofErr w:type="spellStart"/>
            <w:r w:rsidR="00C67350" w:rsidRPr="00360B72">
              <w:rPr>
                <w:rFonts w:ascii="Times New Roman" w:hAnsi="Times New Roman"/>
                <w:sz w:val="20"/>
                <w:szCs w:val="20"/>
                <w:lang w:val="pl-PL"/>
              </w:rPr>
              <w:t>nintedanib</w:t>
            </w:r>
            <w:r w:rsidR="00712F55" w:rsidRPr="00360B72">
              <w:rPr>
                <w:rFonts w:ascii="Times New Roman" w:hAnsi="Times New Roman"/>
                <w:sz w:val="20"/>
                <w:szCs w:val="20"/>
                <w:lang w:val="pl-PL"/>
              </w:rPr>
              <w:t>em</w:t>
            </w:r>
            <w:proofErr w:type="spellEnd"/>
            <w:r w:rsidR="00712F55" w:rsidRPr="00360B72">
              <w:rPr>
                <w:rFonts w:ascii="Times New Roman" w:hAnsi="Times New Roman"/>
                <w:sz w:val="20"/>
                <w:szCs w:val="20"/>
                <w:lang w:val="pl-PL"/>
              </w:rPr>
              <w:t xml:space="preserve">, </w:t>
            </w:r>
            <w:r w:rsidR="00EF5FF2">
              <w:rPr>
                <w:rFonts w:ascii="Times New Roman" w:hAnsi="Times New Roman"/>
                <w:sz w:val="20"/>
                <w:szCs w:val="20"/>
                <w:lang w:val="pl-PL"/>
              </w:rPr>
              <w:t xml:space="preserve">lub </w:t>
            </w:r>
            <w:proofErr w:type="spellStart"/>
            <w:r w:rsidR="00EF5FF2">
              <w:rPr>
                <w:rFonts w:ascii="Times New Roman" w:hAnsi="Times New Roman"/>
                <w:sz w:val="20"/>
                <w:szCs w:val="20"/>
                <w:lang w:val="pl-PL"/>
              </w:rPr>
              <w:t>r</w:t>
            </w:r>
            <w:r w:rsidR="004F7C31">
              <w:rPr>
                <w:rFonts w:ascii="Times New Roman" w:hAnsi="Times New Roman"/>
                <w:sz w:val="20"/>
                <w:szCs w:val="20"/>
                <w:lang w:val="pl-PL"/>
              </w:rPr>
              <w:t>y</w:t>
            </w:r>
            <w:r w:rsidR="00EF5FF2">
              <w:rPr>
                <w:rFonts w:ascii="Times New Roman" w:hAnsi="Times New Roman"/>
                <w:sz w:val="20"/>
                <w:szCs w:val="20"/>
                <w:lang w:val="pl-PL"/>
              </w:rPr>
              <w:t>tuks</w:t>
            </w:r>
            <w:r w:rsidR="004F7C31">
              <w:rPr>
                <w:rFonts w:ascii="Times New Roman" w:hAnsi="Times New Roman"/>
                <w:sz w:val="20"/>
                <w:szCs w:val="20"/>
                <w:lang w:val="pl-PL"/>
              </w:rPr>
              <w:t>y</w:t>
            </w:r>
            <w:r w:rsidR="00EF5FF2">
              <w:rPr>
                <w:rFonts w:ascii="Times New Roman" w:hAnsi="Times New Roman"/>
                <w:sz w:val="20"/>
                <w:szCs w:val="20"/>
                <w:lang w:val="pl-PL"/>
              </w:rPr>
              <w:t>mabem</w:t>
            </w:r>
            <w:proofErr w:type="spellEnd"/>
            <w:r w:rsidR="00820932">
              <w:rPr>
                <w:rFonts w:ascii="Times New Roman" w:hAnsi="Times New Roman"/>
                <w:sz w:val="20"/>
                <w:szCs w:val="20"/>
                <w:lang w:val="pl-PL"/>
              </w:rPr>
              <w:t xml:space="preserve"> lub tocilizumabem</w:t>
            </w:r>
            <w:r w:rsidR="00EC592E">
              <w:rPr>
                <w:rFonts w:ascii="Times New Roman" w:hAnsi="Times New Roman"/>
                <w:sz w:val="20"/>
                <w:szCs w:val="20"/>
                <w:lang w:val="pl-PL"/>
              </w:rPr>
              <w:t xml:space="preserve"> </w:t>
            </w:r>
            <w:r w:rsidR="009C587C" w:rsidRPr="00360B72">
              <w:rPr>
                <w:rFonts w:ascii="Times New Roman" w:hAnsi="Times New Roman"/>
                <w:sz w:val="20"/>
                <w:szCs w:val="20"/>
                <w:lang w:val="pl-PL"/>
              </w:rPr>
              <w:t>zastosowane</w:t>
            </w:r>
            <w:r w:rsidR="00712F55" w:rsidRPr="00360B72">
              <w:rPr>
                <w:rFonts w:ascii="Times New Roman" w:hAnsi="Times New Roman"/>
                <w:sz w:val="20"/>
                <w:szCs w:val="20"/>
                <w:lang w:val="pl-PL"/>
              </w:rPr>
              <w:t xml:space="preserve"> zgodnie z zapisami programu, zostało wstrzymane</w:t>
            </w:r>
            <w:r w:rsidR="00FB4D8D" w:rsidRPr="00360B72">
              <w:rPr>
                <w:rFonts w:ascii="Times New Roman" w:hAnsi="Times New Roman"/>
                <w:sz w:val="20"/>
                <w:szCs w:val="20"/>
                <w:lang w:val="pl-PL"/>
              </w:rPr>
              <w:t xml:space="preserve"> </w:t>
            </w:r>
            <w:r w:rsidR="00712F55" w:rsidRPr="00360B72">
              <w:rPr>
                <w:rFonts w:ascii="Times New Roman" w:hAnsi="Times New Roman"/>
                <w:sz w:val="20"/>
                <w:szCs w:val="20"/>
                <w:lang w:val="pl-PL"/>
              </w:rPr>
              <w:t>z powodu stabilizacji procesu chorobowego,</w:t>
            </w:r>
            <w:r w:rsidR="00C67350" w:rsidRPr="00360B72">
              <w:rPr>
                <w:rFonts w:ascii="Times New Roman" w:hAnsi="Times New Roman"/>
                <w:sz w:val="20"/>
                <w:szCs w:val="20"/>
                <w:lang w:val="pl-PL"/>
              </w:rPr>
              <w:t xml:space="preserve"> może być</w:t>
            </w:r>
            <w:r w:rsidR="001A41FA" w:rsidRPr="00360B72">
              <w:rPr>
                <w:rFonts w:ascii="Times New Roman" w:hAnsi="Times New Roman"/>
                <w:sz w:val="20"/>
                <w:szCs w:val="20"/>
                <w:lang w:val="pl-PL"/>
              </w:rPr>
              <w:t xml:space="preserve"> ponownie włączony do programu </w:t>
            </w:r>
            <w:r w:rsidR="00C67350" w:rsidRPr="00360B72">
              <w:rPr>
                <w:rFonts w:ascii="Times New Roman" w:hAnsi="Times New Roman"/>
                <w:sz w:val="20"/>
                <w:szCs w:val="20"/>
                <w:lang w:val="pl-PL"/>
              </w:rPr>
              <w:t>bez kwalifikacji</w:t>
            </w:r>
            <w:r w:rsidR="00B33152" w:rsidRPr="00360B72">
              <w:rPr>
                <w:rFonts w:ascii="Times New Roman" w:hAnsi="Times New Roman"/>
                <w:sz w:val="20"/>
                <w:szCs w:val="20"/>
                <w:lang w:val="pl-PL"/>
              </w:rPr>
              <w:t>,</w:t>
            </w:r>
          </w:p>
          <w:p w14:paraId="3A5A987D" w14:textId="2DB03407" w:rsidR="00637515" w:rsidRPr="00360B72" w:rsidRDefault="00534FCD" w:rsidP="003D1E47">
            <w:pPr>
              <w:pStyle w:val="Akapitzlist"/>
              <w:numPr>
                <w:ilvl w:val="0"/>
                <w:numId w:val="55"/>
              </w:numPr>
              <w:autoSpaceDE w:val="0"/>
              <w:autoSpaceDN w:val="0"/>
              <w:adjustRightInd w:val="0"/>
              <w:spacing w:after="60"/>
              <w:ind w:left="454" w:hanging="227"/>
              <w:contextualSpacing w:val="0"/>
              <w:jc w:val="both"/>
              <w:rPr>
                <w:rFonts w:ascii="Times New Roman" w:hAnsi="Times New Roman"/>
                <w:sz w:val="20"/>
                <w:szCs w:val="20"/>
                <w:lang w:val="pl-PL"/>
              </w:rPr>
            </w:pPr>
            <w:r w:rsidRPr="00360B72">
              <w:rPr>
                <w:rFonts w:ascii="Times New Roman" w:hAnsi="Times New Roman"/>
                <w:sz w:val="20"/>
                <w:szCs w:val="20"/>
                <w:lang w:val="pl-PL"/>
              </w:rPr>
              <w:t>d</w:t>
            </w:r>
            <w:r w:rsidR="003F3B27" w:rsidRPr="00360B72">
              <w:rPr>
                <w:rFonts w:ascii="Times New Roman" w:hAnsi="Times New Roman"/>
                <w:sz w:val="20"/>
                <w:szCs w:val="20"/>
                <w:lang w:val="pl-PL"/>
              </w:rPr>
              <w:t>o programu może być ponownie włączony pacjent,</w:t>
            </w:r>
            <w:r w:rsidR="00FB4D8D" w:rsidRPr="00360B72">
              <w:rPr>
                <w:rFonts w:ascii="Times New Roman" w:hAnsi="Times New Roman"/>
                <w:sz w:val="20"/>
                <w:szCs w:val="20"/>
                <w:lang w:val="pl-PL"/>
              </w:rPr>
              <w:t xml:space="preserve"> </w:t>
            </w:r>
            <w:r w:rsidR="003F3B27" w:rsidRPr="00360B72">
              <w:rPr>
                <w:rFonts w:ascii="Times New Roman" w:hAnsi="Times New Roman"/>
                <w:sz w:val="20"/>
                <w:szCs w:val="20"/>
                <w:lang w:val="pl-PL"/>
              </w:rPr>
              <w:t>u którego zaprzestano podawania substancji czynnej wymienionej w programie i zastosowanej zgodnie</w:t>
            </w:r>
            <w:r w:rsidR="00FB4D8D" w:rsidRPr="00360B72">
              <w:rPr>
                <w:rFonts w:ascii="Times New Roman" w:hAnsi="Times New Roman"/>
                <w:sz w:val="20"/>
                <w:szCs w:val="20"/>
                <w:lang w:val="pl-PL"/>
              </w:rPr>
              <w:t xml:space="preserve"> </w:t>
            </w:r>
            <w:r w:rsidR="003F3B27" w:rsidRPr="00360B72">
              <w:rPr>
                <w:rFonts w:ascii="Times New Roman" w:hAnsi="Times New Roman"/>
                <w:sz w:val="20"/>
                <w:szCs w:val="20"/>
                <w:lang w:val="pl-PL"/>
              </w:rPr>
              <w:t>z jego treścią z powodu wystąpienia działań niepożądanych, które ustąpiły po odstawieniu leku bądź zastosowanym leczeniu i w opinii lekarza prowadzącego powrót do terapii tą samą substancją czynną ni</w:t>
            </w:r>
            <w:r w:rsidR="00637515" w:rsidRPr="00360B72">
              <w:rPr>
                <w:rFonts w:ascii="Times New Roman" w:hAnsi="Times New Roman"/>
                <w:sz w:val="20"/>
                <w:szCs w:val="20"/>
                <w:lang w:val="pl-PL"/>
              </w:rPr>
              <w:t>e stanowi ryzyka dla pacjenta</w:t>
            </w:r>
            <w:r w:rsidR="005343B2" w:rsidRPr="00360B72">
              <w:rPr>
                <w:rFonts w:ascii="Times New Roman" w:hAnsi="Times New Roman"/>
                <w:sz w:val="20"/>
                <w:szCs w:val="20"/>
                <w:lang w:val="pl-PL"/>
              </w:rPr>
              <w:t xml:space="preserve">. Ponowne włączenie pacjenta do leczenia w programie nie wymaga wykonania badań kwalifikacyjnych. Decyzję o ponownym włączeniu podejmuje </w:t>
            </w:r>
            <w:r w:rsidR="00D10E73" w:rsidRPr="00360B72">
              <w:rPr>
                <w:rFonts w:ascii="Times New Roman" w:hAnsi="Times New Roman"/>
                <w:sz w:val="20"/>
                <w:szCs w:val="20"/>
                <w:lang w:val="pl-PL"/>
              </w:rPr>
              <w:t xml:space="preserve">Zespół Koordynacyjny lub </w:t>
            </w:r>
            <w:r w:rsidR="005343B2" w:rsidRPr="00360B72">
              <w:rPr>
                <w:rFonts w:ascii="Times New Roman" w:hAnsi="Times New Roman"/>
                <w:sz w:val="20"/>
                <w:szCs w:val="20"/>
                <w:lang w:val="pl-PL"/>
              </w:rPr>
              <w:t>lekarz prowadzący</w:t>
            </w:r>
            <w:r w:rsidR="00B33152" w:rsidRPr="00360B72">
              <w:rPr>
                <w:rFonts w:ascii="Times New Roman" w:hAnsi="Times New Roman"/>
                <w:sz w:val="20"/>
                <w:szCs w:val="20"/>
                <w:lang w:val="pl-PL"/>
              </w:rPr>
              <w:t>,</w:t>
            </w:r>
          </w:p>
          <w:p w14:paraId="22820ECE" w14:textId="6D2489E7" w:rsidR="00864DA5" w:rsidRDefault="00534FCD" w:rsidP="003D1E47">
            <w:pPr>
              <w:pStyle w:val="Akapitzlist"/>
              <w:numPr>
                <w:ilvl w:val="0"/>
                <w:numId w:val="55"/>
              </w:numPr>
              <w:autoSpaceDE w:val="0"/>
              <w:autoSpaceDN w:val="0"/>
              <w:adjustRightInd w:val="0"/>
              <w:spacing w:after="60"/>
              <w:ind w:left="454" w:hanging="227"/>
              <w:contextualSpacing w:val="0"/>
              <w:jc w:val="both"/>
              <w:rPr>
                <w:rFonts w:ascii="Times New Roman" w:hAnsi="Times New Roman"/>
                <w:sz w:val="20"/>
                <w:szCs w:val="20"/>
                <w:lang w:val="pl-PL"/>
              </w:rPr>
            </w:pPr>
            <w:r w:rsidRPr="00203D5E">
              <w:rPr>
                <w:rFonts w:ascii="Times New Roman" w:hAnsi="Times New Roman"/>
                <w:sz w:val="20"/>
                <w:szCs w:val="20"/>
                <w:lang w:val="pl-PL"/>
              </w:rPr>
              <w:t>w</w:t>
            </w:r>
            <w:r w:rsidR="00637515" w:rsidRPr="00203D5E">
              <w:rPr>
                <w:rFonts w:ascii="Times New Roman" w:hAnsi="Times New Roman"/>
                <w:sz w:val="20"/>
                <w:szCs w:val="20"/>
                <w:lang w:val="pl-PL"/>
              </w:rPr>
              <w:t xml:space="preserve"> uzasadnionych sytuacjach klinicznych, w przypadku zaprzestania podawania </w:t>
            </w:r>
            <w:r w:rsidR="00A74C50" w:rsidRPr="00203D5E">
              <w:rPr>
                <w:rFonts w:ascii="Times New Roman" w:hAnsi="Times New Roman"/>
                <w:sz w:val="20"/>
                <w:szCs w:val="20"/>
                <w:lang w:val="pl-PL"/>
              </w:rPr>
              <w:t>substancji czynnej finansowanej w programie</w:t>
            </w:r>
            <w:r w:rsidR="006666DC" w:rsidRPr="00203D5E">
              <w:rPr>
                <w:rFonts w:ascii="Times New Roman" w:hAnsi="Times New Roman"/>
                <w:sz w:val="20"/>
                <w:szCs w:val="20"/>
                <w:lang w:val="pl-PL"/>
              </w:rPr>
              <w:t xml:space="preserve"> z powodu </w:t>
            </w:r>
            <w:r w:rsidR="00637515" w:rsidRPr="00203D5E">
              <w:rPr>
                <w:rFonts w:ascii="Times New Roman" w:hAnsi="Times New Roman"/>
                <w:sz w:val="20"/>
                <w:szCs w:val="20"/>
                <w:lang w:val="pl-PL"/>
              </w:rPr>
              <w:t xml:space="preserve">spełnienia przez pacjenta kryterium braku </w:t>
            </w:r>
            <w:r w:rsidR="00F9605F" w:rsidRPr="00203D5E">
              <w:rPr>
                <w:rFonts w:ascii="Times New Roman" w:hAnsi="Times New Roman"/>
                <w:sz w:val="20"/>
                <w:szCs w:val="20"/>
                <w:lang w:val="pl-PL"/>
              </w:rPr>
              <w:t>adekwatnej odpowiedzi określonego</w:t>
            </w:r>
            <w:r w:rsidR="00637515" w:rsidRPr="00203D5E">
              <w:rPr>
                <w:rFonts w:ascii="Times New Roman" w:hAnsi="Times New Roman"/>
                <w:sz w:val="20"/>
                <w:szCs w:val="20"/>
                <w:lang w:val="pl-PL"/>
              </w:rPr>
              <w:t xml:space="preserve"> w pkt. </w:t>
            </w:r>
            <w:r w:rsidR="00B33152" w:rsidRPr="00203D5E">
              <w:rPr>
                <w:rFonts w:ascii="Times New Roman" w:hAnsi="Times New Roman"/>
                <w:sz w:val="20"/>
                <w:szCs w:val="20"/>
                <w:lang w:val="pl-PL"/>
              </w:rPr>
              <w:t>3</w:t>
            </w:r>
            <w:r w:rsidR="00637515" w:rsidRPr="00203D5E">
              <w:rPr>
                <w:rFonts w:ascii="Times New Roman" w:hAnsi="Times New Roman"/>
                <w:sz w:val="20"/>
                <w:szCs w:val="20"/>
                <w:lang w:val="pl-PL"/>
              </w:rPr>
              <w:t>.1, jeśli w opinii</w:t>
            </w:r>
            <w:r w:rsidR="006666DC" w:rsidRPr="00203D5E">
              <w:rPr>
                <w:rFonts w:ascii="Times New Roman" w:hAnsi="Times New Roman"/>
                <w:sz w:val="20"/>
                <w:szCs w:val="20"/>
                <w:lang w:val="pl-PL"/>
              </w:rPr>
              <w:t xml:space="preserve"> </w:t>
            </w:r>
            <w:r w:rsidR="006666DC" w:rsidRPr="00203D5E">
              <w:rPr>
                <w:rFonts w:ascii="Times New Roman" w:hAnsi="Times New Roman"/>
                <w:sz w:val="20"/>
                <w:szCs w:val="20"/>
                <w:lang w:val="pl-PL"/>
              </w:rPr>
              <w:lastRenderedPageBreak/>
              <w:t>lekarza prowadzącego brak</w:t>
            </w:r>
            <w:r w:rsidR="00637515" w:rsidRPr="00203D5E">
              <w:rPr>
                <w:rFonts w:ascii="Times New Roman" w:hAnsi="Times New Roman"/>
                <w:sz w:val="20"/>
                <w:szCs w:val="20"/>
                <w:lang w:val="pl-PL"/>
              </w:rPr>
              <w:t xml:space="preserve"> terapii</w:t>
            </w:r>
            <w:r w:rsidR="00926AF1" w:rsidRPr="00203D5E">
              <w:rPr>
                <w:rFonts w:ascii="Times New Roman" w:hAnsi="Times New Roman"/>
                <w:sz w:val="20"/>
                <w:szCs w:val="20"/>
                <w:lang w:val="pl-PL"/>
              </w:rPr>
              <w:t xml:space="preserve"> </w:t>
            </w:r>
            <w:proofErr w:type="spellStart"/>
            <w:r w:rsidR="006666DC" w:rsidRPr="00203D5E">
              <w:rPr>
                <w:rFonts w:ascii="Times New Roman" w:hAnsi="Times New Roman"/>
                <w:sz w:val="20"/>
                <w:szCs w:val="20"/>
                <w:lang w:val="pl-PL"/>
              </w:rPr>
              <w:t>nintedanibem</w:t>
            </w:r>
            <w:proofErr w:type="spellEnd"/>
            <w:r w:rsidR="00637515" w:rsidRPr="00203D5E">
              <w:rPr>
                <w:rFonts w:ascii="Times New Roman" w:hAnsi="Times New Roman"/>
                <w:sz w:val="20"/>
                <w:szCs w:val="20"/>
                <w:lang w:val="pl-PL"/>
              </w:rPr>
              <w:t xml:space="preserve"> </w:t>
            </w:r>
            <w:r w:rsidR="00C1075D" w:rsidRPr="00203D5E">
              <w:rPr>
                <w:rFonts w:ascii="Times New Roman" w:hAnsi="Times New Roman"/>
                <w:sz w:val="20"/>
                <w:szCs w:val="20"/>
                <w:lang w:val="pl-PL"/>
              </w:rPr>
              <w:t xml:space="preserve">lub </w:t>
            </w:r>
            <w:proofErr w:type="spellStart"/>
            <w:r w:rsidR="00C1075D" w:rsidRPr="00203D5E">
              <w:rPr>
                <w:rFonts w:ascii="Times New Roman" w:hAnsi="Times New Roman"/>
                <w:sz w:val="20"/>
                <w:szCs w:val="20"/>
                <w:lang w:val="pl-PL"/>
              </w:rPr>
              <w:t>r</w:t>
            </w:r>
            <w:r w:rsidR="004F7C31">
              <w:rPr>
                <w:rFonts w:ascii="Times New Roman" w:hAnsi="Times New Roman"/>
                <w:sz w:val="20"/>
                <w:szCs w:val="20"/>
                <w:lang w:val="pl-PL"/>
              </w:rPr>
              <w:t>y</w:t>
            </w:r>
            <w:r w:rsidR="00C1075D" w:rsidRPr="00203D5E">
              <w:rPr>
                <w:rFonts w:ascii="Times New Roman" w:hAnsi="Times New Roman"/>
                <w:sz w:val="20"/>
                <w:szCs w:val="20"/>
                <w:lang w:val="pl-PL"/>
              </w:rPr>
              <w:t>tuk</w:t>
            </w:r>
            <w:r w:rsidR="004F7C31">
              <w:rPr>
                <w:rFonts w:ascii="Times New Roman" w:hAnsi="Times New Roman"/>
                <w:sz w:val="20"/>
                <w:szCs w:val="20"/>
                <w:lang w:val="pl-PL"/>
              </w:rPr>
              <w:t>sy</w:t>
            </w:r>
            <w:r w:rsidR="00C1075D" w:rsidRPr="00203D5E">
              <w:rPr>
                <w:rFonts w:ascii="Times New Roman" w:hAnsi="Times New Roman"/>
                <w:sz w:val="20"/>
                <w:szCs w:val="20"/>
                <w:lang w:val="pl-PL"/>
              </w:rPr>
              <w:t>mabem</w:t>
            </w:r>
            <w:proofErr w:type="spellEnd"/>
            <w:r w:rsidR="00C1075D" w:rsidRPr="00203D5E">
              <w:rPr>
                <w:rFonts w:ascii="Times New Roman" w:hAnsi="Times New Roman"/>
                <w:sz w:val="20"/>
                <w:szCs w:val="20"/>
                <w:lang w:val="pl-PL"/>
              </w:rPr>
              <w:t xml:space="preserve"> lub tocilizumabem </w:t>
            </w:r>
            <w:r w:rsidR="00637515" w:rsidRPr="00203D5E">
              <w:rPr>
                <w:rFonts w:ascii="Times New Roman" w:hAnsi="Times New Roman"/>
                <w:sz w:val="20"/>
                <w:szCs w:val="20"/>
                <w:lang w:val="pl-PL"/>
              </w:rPr>
              <w:t>może zagrażać zdrowiu i życiu pacjenta</w:t>
            </w:r>
            <w:r w:rsidR="006666DC" w:rsidRPr="00203D5E">
              <w:rPr>
                <w:rFonts w:ascii="Times New Roman" w:hAnsi="Times New Roman"/>
                <w:sz w:val="20"/>
                <w:szCs w:val="20"/>
                <w:lang w:val="pl-PL"/>
              </w:rPr>
              <w:t xml:space="preserve"> z powodu szybszej progresji choroby</w:t>
            </w:r>
            <w:r w:rsidR="00637515" w:rsidRPr="00203D5E">
              <w:rPr>
                <w:rFonts w:ascii="Times New Roman" w:hAnsi="Times New Roman"/>
                <w:sz w:val="20"/>
                <w:szCs w:val="20"/>
                <w:lang w:val="pl-PL"/>
              </w:rPr>
              <w:t>, a jednocześnie brak jest innej refundowanej terapii, jaką pacjent mógłby być skutecznie leczony, lekarz prowadzący może zwrócić się do Zespołu Koordynacyjnego do Spraw Leczenia Biologicznego w Chorobach Reumatycznych</w:t>
            </w:r>
            <w:r w:rsidR="00B33152" w:rsidRPr="00203D5E">
              <w:rPr>
                <w:rFonts w:ascii="Times New Roman" w:hAnsi="Times New Roman"/>
                <w:sz w:val="20"/>
                <w:szCs w:val="20"/>
                <w:lang w:val="pl-PL"/>
              </w:rPr>
              <w:t xml:space="preserve"> lub Zespołu Koordynacyjnego do Spraw Leczenia Chorób Śródmiąższowych Płuc</w:t>
            </w:r>
            <w:r w:rsidR="00637515" w:rsidRPr="00203D5E">
              <w:rPr>
                <w:rFonts w:ascii="Times New Roman" w:hAnsi="Times New Roman"/>
                <w:sz w:val="20"/>
                <w:szCs w:val="20"/>
                <w:lang w:val="pl-PL"/>
              </w:rPr>
              <w:t xml:space="preserve"> o</w:t>
            </w:r>
            <w:r w:rsidR="006666DC" w:rsidRPr="00203D5E">
              <w:rPr>
                <w:rFonts w:ascii="Times New Roman" w:hAnsi="Times New Roman"/>
                <w:sz w:val="20"/>
                <w:szCs w:val="20"/>
                <w:lang w:val="pl-PL"/>
              </w:rPr>
              <w:t xml:space="preserve"> wyrażenie zgody na ponowne włączenie pacjenta do programu lekowego</w:t>
            </w:r>
            <w:r w:rsidR="00637515" w:rsidRPr="00203D5E">
              <w:rPr>
                <w:rFonts w:ascii="Times New Roman" w:hAnsi="Times New Roman"/>
                <w:sz w:val="20"/>
                <w:szCs w:val="20"/>
                <w:lang w:val="pl-PL"/>
              </w:rPr>
              <w:t>. Bez zgod</w:t>
            </w:r>
            <w:r w:rsidR="006666DC" w:rsidRPr="00203D5E">
              <w:rPr>
                <w:rFonts w:ascii="Times New Roman" w:hAnsi="Times New Roman"/>
                <w:sz w:val="20"/>
                <w:szCs w:val="20"/>
                <w:lang w:val="pl-PL"/>
              </w:rPr>
              <w:t>y Zespołu Koordynacyjnego ponowne zastosowanie substancji czynnej, podczas leczenia którą stwierdzono brak adekwatnej odpowiedzi w przeszłości</w:t>
            </w:r>
            <w:r w:rsidR="001A41FA" w:rsidRPr="00203D5E">
              <w:rPr>
                <w:rFonts w:ascii="Times New Roman" w:hAnsi="Times New Roman"/>
                <w:sz w:val="20"/>
                <w:szCs w:val="20"/>
                <w:lang w:val="pl-PL"/>
              </w:rPr>
              <w:t>,</w:t>
            </w:r>
            <w:r w:rsidR="00637515" w:rsidRPr="00203D5E">
              <w:rPr>
                <w:rFonts w:ascii="Times New Roman" w:hAnsi="Times New Roman"/>
                <w:sz w:val="20"/>
                <w:szCs w:val="20"/>
                <w:lang w:val="pl-PL"/>
              </w:rPr>
              <w:t xml:space="preserve"> nie jest możliwe.</w:t>
            </w:r>
          </w:p>
          <w:p w14:paraId="3E57E0D5" w14:textId="497EE1BD" w:rsidR="00693470" w:rsidRPr="00693470" w:rsidRDefault="00693470" w:rsidP="00693470">
            <w:pPr>
              <w:autoSpaceDE w:val="0"/>
              <w:autoSpaceDN w:val="0"/>
              <w:adjustRightInd w:val="0"/>
              <w:spacing w:after="60"/>
              <w:ind w:left="227"/>
              <w:jc w:val="both"/>
              <w:rPr>
                <w:rFonts w:ascii="Times New Roman" w:hAnsi="Times New Roman"/>
                <w:sz w:val="20"/>
                <w:szCs w:val="20"/>
                <w:lang w:val="pl-PL"/>
              </w:rPr>
            </w:pPr>
          </w:p>
        </w:tc>
        <w:tc>
          <w:tcPr>
            <w:tcW w:w="4111" w:type="dxa"/>
            <w:shd w:val="clear" w:color="auto" w:fill="auto"/>
          </w:tcPr>
          <w:p w14:paraId="4C591841" w14:textId="23A6E95A" w:rsidR="006C5224" w:rsidRDefault="00B63A7E" w:rsidP="00711029">
            <w:pPr>
              <w:pStyle w:val="Akapitzlist"/>
              <w:numPr>
                <w:ilvl w:val="0"/>
                <w:numId w:val="43"/>
              </w:numPr>
              <w:spacing w:before="120" w:after="60"/>
              <w:contextualSpacing w:val="0"/>
              <w:jc w:val="both"/>
              <w:rPr>
                <w:rFonts w:ascii="Times New Roman" w:hAnsi="Times New Roman"/>
                <w:b/>
                <w:sz w:val="20"/>
                <w:szCs w:val="20"/>
                <w:lang w:val="pl-PL"/>
              </w:rPr>
            </w:pPr>
            <w:r w:rsidRPr="006513EE">
              <w:rPr>
                <w:rFonts w:ascii="Times New Roman" w:hAnsi="Times New Roman"/>
                <w:b/>
                <w:sz w:val="20"/>
                <w:szCs w:val="20"/>
                <w:lang w:val="pl-PL"/>
              </w:rPr>
              <w:lastRenderedPageBreak/>
              <w:t>Dawkowanie</w:t>
            </w:r>
          </w:p>
          <w:p w14:paraId="5B0EFC97" w14:textId="70111326" w:rsidR="00E47E37" w:rsidRDefault="00F6457D" w:rsidP="00711029">
            <w:pPr>
              <w:pStyle w:val="Akapitzlist"/>
              <w:numPr>
                <w:ilvl w:val="1"/>
                <w:numId w:val="43"/>
              </w:numPr>
              <w:spacing w:after="60"/>
              <w:contextualSpacing w:val="0"/>
              <w:jc w:val="both"/>
              <w:rPr>
                <w:rFonts w:ascii="Times New Roman" w:hAnsi="Times New Roman"/>
                <w:b/>
                <w:sz w:val="20"/>
                <w:szCs w:val="20"/>
                <w:lang w:val="pl-PL"/>
              </w:rPr>
            </w:pPr>
            <w:proofErr w:type="spellStart"/>
            <w:r>
              <w:rPr>
                <w:rFonts w:ascii="Times New Roman" w:hAnsi="Times New Roman"/>
                <w:b/>
                <w:sz w:val="20"/>
                <w:szCs w:val="20"/>
                <w:lang w:val="pl-PL"/>
              </w:rPr>
              <w:t>Nintedanib</w:t>
            </w:r>
            <w:proofErr w:type="spellEnd"/>
          </w:p>
          <w:p w14:paraId="11045D64" w14:textId="77777777" w:rsidR="002443E7" w:rsidRPr="00D53679" w:rsidRDefault="002443E7" w:rsidP="00711029">
            <w:pPr>
              <w:spacing w:after="60"/>
              <w:jc w:val="both"/>
              <w:rPr>
                <w:rFonts w:ascii="Times New Roman" w:hAnsi="Times New Roman"/>
                <w:b/>
                <w:sz w:val="20"/>
                <w:szCs w:val="20"/>
                <w:lang w:val="pl-PL"/>
              </w:rPr>
            </w:pPr>
            <w:r>
              <w:rPr>
                <w:rFonts w:ascii="Times New Roman" w:hAnsi="Times New Roman"/>
                <w:b/>
                <w:sz w:val="20"/>
                <w:szCs w:val="20"/>
                <w:lang w:val="pl-PL"/>
              </w:rPr>
              <w:t xml:space="preserve">Maksymalna dawka dobowa: </w:t>
            </w:r>
            <w:r w:rsidRPr="00D53679">
              <w:rPr>
                <w:rFonts w:ascii="Times New Roman" w:hAnsi="Times New Roman"/>
                <w:bCs/>
                <w:sz w:val="20"/>
                <w:szCs w:val="20"/>
                <w:lang w:val="pl-PL"/>
              </w:rPr>
              <w:t>300 mg</w:t>
            </w:r>
            <w:r w:rsidR="00054071">
              <w:rPr>
                <w:rFonts w:ascii="Times New Roman" w:hAnsi="Times New Roman"/>
                <w:bCs/>
                <w:sz w:val="20"/>
                <w:szCs w:val="20"/>
                <w:lang w:val="pl-PL"/>
              </w:rPr>
              <w:t>,</w:t>
            </w:r>
          </w:p>
          <w:p w14:paraId="5B63AEA7" w14:textId="7AE9D9B3" w:rsidR="0063257C" w:rsidRPr="006513EE" w:rsidRDefault="00B33152" w:rsidP="00711029">
            <w:pPr>
              <w:widowControl w:val="0"/>
              <w:autoSpaceDE w:val="0"/>
              <w:autoSpaceDN w:val="0"/>
              <w:adjustRightInd w:val="0"/>
              <w:spacing w:after="60"/>
              <w:jc w:val="both"/>
              <w:rPr>
                <w:rFonts w:ascii="Times New Roman" w:hAnsi="Times New Roman"/>
                <w:sz w:val="20"/>
                <w:szCs w:val="20"/>
                <w:lang w:val="pl-PL"/>
              </w:rPr>
            </w:pPr>
            <w:r>
              <w:rPr>
                <w:rFonts w:ascii="Times New Roman" w:eastAsia="Times New Roman" w:hAnsi="Times New Roman"/>
                <w:sz w:val="20"/>
                <w:szCs w:val="20"/>
                <w:lang w:val="pl-PL" w:eastAsia="pl-PL"/>
              </w:rPr>
              <w:t>W</w:t>
            </w:r>
            <w:r w:rsidR="00054071">
              <w:rPr>
                <w:rFonts w:ascii="Times New Roman" w:eastAsia="Times New Roman" w:hAnsi="Times New Roman"/>
                <w:sz w:val="20"/>
                <w:szCs w:val="20"/>
                <w:lang w:val="pl-PL" w:eastAsia="pl-PL"/>
              </w:rPr>
              <w:t xml:space="preserve"> </w:t>
            </w:r>
            <w:r w:rsidR="00AC7942" w:rsidRPr="006513EE">
              <w:rPr>
                <w:rFonts w:ascii="Times New Roman" w:eastAsia="Times New Roman" w:hAnsi="Times New Roman"/>
                <w:sz w:val="20"/>
                <w:szCs w:val="20"/>
                <w:lang w:val="pl-PL" w:eastAsia="pl-PL"/>
              </w:rPr>
              <w:t>przypadku pacjentów z chorobą śródmiąż</w:t>
            </w:r>
            <w:r w:rsidR="006B15B8">
              <w:rPr>
                <w:rFonts w:ascii="Times New Roman" w:eastAsia="Times New Roman" w:hAnsi="Times New Roman"/>
                <w:sz w:val="20"/>
                <w:szCs w:val="20"/>
                <w:lang w:val="pl-PL" w:eastAsia="pl-PL"/>
              </w:rPr>
              <w:t>s</w:t>
            </w:r>
            <w:r w:rsidR="00AC7942" w:rsidRPr="006513EE">
              <w:rPr>
                <w:rFonts w:ascii="Times New Roman" w:eastAsia="Times New Roman" w:hAnsi="Times New Roman"/>
                <w:sz w:val="20"/>
                <w:szCs w:val="20"/>
                <w:lang w:val="pl-PL" w:eastAsia="pl-PL"/>
              </w:rPr>
              <w:t>zową płuc związaną z twardziną układową,</w:t>
            </w:r>
            <w:r w:rsidR="005533D6" w:rsidRPr="006513EE">
              <w:rPr>
                <w:rFonts w:ascii="Times New Roman" w:eastAsia="Times New Roman" w:hAnsi="Times New Roman"/>
                <w:sz w:val="20"/>
                <w:szCs w:val="20"/>
                <w:lang w:val="pl-PL" w:eastAsia="pl-PL"/>
              </w:rPr>
              <w:t xml:space="preserve"> u których </w:t>
            </w:r>
            <w:proofErr w:type="spellStart"/>
            <w:r w:rsidR="0053696C" w:rsidRPr="006513EE">
              <w:rPr>
                <w:rFonts w:ascii="Times New Roman" w:eastAsia="Times New Roman" w:hAnsi="Times New Roman"/>
                <w:sz w:val="20"/>
                <w:szCs w:val="20"/>
                <w:lang w:val="pl-PL" w:eastAsia="pl-PL"/>
              </w:rPr>
              <w:t>my</w:t>
            </w:r>
            <w:r w:rsidR="005F4851" w:rsidRPr="006513EE">
              <w:rPr>
                <w:rFonts w:ascii="Times New Roman" w:eastAsia="Times New Roman" w:hAnsi="Times New Roman"/>
                <w:sz w:val="20"/>
                <w:szCs w:val="20"/>
                <w:lang w:val="pl-PL" w:eastAsia="pl-PL"/>
              </w:rPr>
              <w:t>k</w:t>
            </w:r>
            <w:r w:rsidR="0053696C" w:rsidRPr="006513EE">
              <w:rPr>
                <w:rFonts w:ascii="Times New Roman" w:eastAsia="Times New Roman" w:hAnsi="Times New Roman"/>
                <w:sz w:val="20"/>
                <w:szCs w:val="20"/>
                <w:lang w:val="pl-PL" w:eastAsia="pl-PL"/>
              </w:rPr>
              <w:t>ofenolan</w:t>
            </w:r>
            <w:proofErr w:type="spellEnd"/>
            <w:r w:rsidR="0053696C" w:rsidRPr="006513EE">
              <w:rPr>
                <w:rFonts w:ascii="Times New Roman" w:eastAsia="Times New Roman" w:hAnsi="Times New Roman"/>
                <w:sz w:val="20"/>
                <w:szCs w:val="20"/>
                <w:lang w:val="pl-PL" w:eastAsia="pl-PL"/>
              </w:rPr>
              <w:t xml:space="preserve"> </w:t>
            </w:r>
            <w:proofErr w:type="spellStart"/>
            <w:r w:rsidR="005533D6" w:rsidRPr="006513EE">
              <w:rPr>
                <w:rFonts w:ascii="Times New Roman" w:eastAsia="Times New Roman" w:hAnsi="Times New Roman"/>
                <w:sz w:val="20"/>
                <w:szCs w:val="20"/>
                <w:lang w:val="pl-PL" w:eastAsia="pl-PL"/>
              </w:rPr>
              <w:t>mofet</w:t>
            </w:r>
            <w:r w:rsidR="005F4851" w:rsidRPr="006513EE">
              <w:rPr>
                <w:rFonts w:ascii="Times New Roman" w:eastAsia="Times New Roman" w:hAnsi="Times New Roman"/>
                <w:sz w:val="20"/>
                <w:szCs w:val="20"/>
                <w:lang w:val="pl-PL" w:eastAsia="pl-PL"/>
              </w:rPr>
              <w:t>y</w:t>
            </w:r>
            <w:r w:rsidR="005533D6" w:rsidRPr="006513EE">
              <w:rPr>
                <w:rFonts w:ascii="Times New Roman" w:eastAsia="Times New Roman" w:hAnsi="Times New Roman"/>
                <w:sz w:val="20"/>
                <w:szCs w:val="20"/>
                <w:lang w:val="pl-PL" w:eastAsia="pl-PL"/>
              </w:rPr>
              <w:t>lu</w:t>
            </w:r>
            <w:proofErr w:type="spellEnd"/>
            <w:r w:rsidR="005533D6" w:rsidRPr="006513EE">
              <w:rPr>
                <w:rFonts w:ascii="Times New Roman" w:eastAsia="Times New Roman" w:hAnsi="Times New Roman"/>
                <w:sz w:val="20"/>
                <w:szCs w:val="20"/>
                <w:lang w:val="pl-PL" w:eastAsia="pl-PL"/>
              </w:rPr>
              <w:t xml:space="preserve"> jest dobrze tolerowany </w:t>
            </w:r>
            <w:r w:rsidR="006C5224" w:rsidRPr="006513EE">
              <w:rPr>
                <w:rFonts w:ascii="Times New Roman" w:eastAsia="Times New Roman" w:hAnsi="Times New Roman"/>
                <w:sz w:val="20"/>
                <w:szCs w:val="20"/>
                <w:lang w:val="pl-PL" w:eastAsia="pl-PL"/>
              </w:rPr>
              <w:t>i</w:t>
            </w:r>
            <w:r w:rsidR="005533D6" w:rsidRPr="006513EE">
              <w:rPr>
                <w:rFonts w:ascii="Times New Roman" w:eastAsia="Times New Roman" w:hAnsi="Times New Roman"/>
                <w:sz w:val="20"/>
                <w:szCs w:val="20"/>
                <w:lang w:val="pl-PL" w:eastAsia="pl-PL"/>
              </w:rPr>
              <w:t xml:space="preserve"> nie je</w:t>
            </w:r>
            <w:r w:rsidR="00926459" w:rsidRPr="006513EE">
              <w:rPr>
                <w:rFonts w:ascii="Times New Roman" w:eastAsia="Times New Roman" w:hAnsi="Times New Roman"/>
                <w:sz w:val="20"/>
                <w:szCs w:val="20"/>
                <w:lang w:val="pl-PL" w:eastAsia="pl-PL"/>
              </w:rPr>
              <w:t xml:space="preserve">st przeciwwskazany, </w:t>
            </w:r>
            <w:proofErr w:type="spellStart"/>
            <w:r w:rsidR="00926459" w:rsidRPr="006513EE">
              <w:rPr>
                <w:rFonts w:ascii="Times New Roman" w:eastAsia="Times New Roman" w:hAnsi="Times New Roman"/>
                <w:sz w:val="20"/>
                <w:szCs w:val="20"/>
                <w:lang w:val="pl-PL" w:eastAsia="pl-PL"/>
              </w:rPr>
              <w:t>nintedanib</w:t>
            </w:r>
            <w:proofErr w:type="spellEnd"/>
            <w:r w:rsidR="005533D6" w:rsidRPr="006513EE">
              <w:rPr>
                <w:rFonts w:ascii="Times New Roman" w:eastAsia="Times New Roman" w:hAnsi="Times New Roman"/>
                <w:sz w:val="20"/>
                <w:szCs w:val="20"/>
                <w:lang w:val="pl-PL" w:eastAsia="pl-PL"/>
              </w:rPr>
              <w:t xml:space="preserve"> należy p</w:t>
            </w:r>
            <w:r w:rsidR="006C5224" w:rsidRPr="006513EE">
              <w:rPr>
                <w:rFonts w:ascii="Times New Roman" w:eastAsia="Times New Roman" w:hAnsi="Times New Roman"/>
                <w:sz w:val="20"/>
                <w:szCs w:val="20"/>
                <w:lang w:val="pl-PL" w:eastAsia="pl-PL"/>
              </w:rPr>
              <w:t xml:space="preserve">odawać </w:t>
            </w:r>
            <w:r w:rsidR="005533D6" w:rsidRPr="006513EE">
              <w:rPr>
                <w:rFonts w:ascii="Times New Roman" w:eastAsia="Times New Roman" w:hAnsi="Times New Roman"/>
                <w:sz w:val="20"/>
                <w:szCs w:val="20"/>
                <w:lang w:val="pl-PL" w:eastAsia="pl-PL"/>
              </w:rPr>
              <w:t>w skojarzeniu</w:t>
            </w:r>
            <w:r w:rsidR="00FB4D8D" w:rsidRPr="006513EE">
              <w:rPr>
                <w:rFonts w:ascii="Times New Roman" w:eastAsia="Times New Roman" w:hAnsi="Times New Roman"/>
                <w:sz w:val="20"/>
                <w:szCs w:val="20"/>
                <w:lang w:val="pl-PL" w:eastAsia="pl-PL"/>
              </w:rPr>
              <w:t xml:space="preserve"> </w:t>
            </w:r>
            <w:r w:rsidR="005533D6" w:rsidRPr="006513EE">
              <w:rPr>
                <w:rFonts w:ascii="Times New Roman" w:eastAsia="Times New Roman" w:hAnsi="Times New Roman"/>
                <w:sz w:val="20"/>
                <w:szCs w:val="20"/>
                <w:lang w:val="pl-PL" w:eastAsia="pl-PL"/>
              </w:rPr>
              <w:t xml:space="preserve">z </w:t>
            </w:r>
            <w:proofErr w:type="spellStart"/>
            <w:r w:rsidR="00926459" w:rsidRPr="006513EE">
              <w:rPr>
                <w:rFonts w:ascii="Times New Roman" w:eastAsia="Times New Roman" w:hAnsi="Times New Roman"/>
                <w:sz w:val="20"/>
                <w:szCs w:val="20"/>
                <w:lang w:val="pl-PL" w:eastAsia="pl-PL"/>
              </w:rPr>
              <w:t>my</w:t>
            </w:r>
            <w:r w:rsidR="005F4851" w:rsidRPr="006513EE">
              <w:rPr>
                <w:rFonts w:ascii="Times New Roman" w:eastAsia="Times New Roman" w:hAnsi="Times New Roman"/>
                <w:sz w:val="20"/>
                <w:szCs w:val="20"/>
                <w:lang w:val="pl-PL" w:eastAsia="pl-PL"/>
              </w:rPr>
              <w:t>k</w:t>
            </w:r>
            <w:r w:rsidR="00926459" w:rsidRPr="006513EE">
              <w:rPr>
                <w:rFonts w:ascii="Times New Roman" w:eastAsia="Times New Roman" w:hAnsi="Times New Roman"/>
                <w:sz w:val="20"/>
                <w:szCs w:val="20"/>
                <w:lang w:val="pl-PL" w:eastAsia="pl-PL"/>
              </w:rPr>
              <w:t>o</w:t>
            </w:r>
            <w:r w:rsidR="0053696C" w:rsidRPr="006513EE">
              <w:rPr>
                <w:rFonts w:ascii="Times New Roman" w:eastAsia="Times New Roman" w:hAnsi="Times New Roman"/>
                <w:sz w:val="20"/>
                <w:szCs w:val="20"/>
                <w:lang w:val="pl-PL" w:eastAsia="pl-PL"/>
              </w:rPr>
              <w:t>fenolanem</w:t>
            </w:r>
            <w:proofErr w:type="spellEnd"/>
            <w:r w:rsidR="0053696C" w:rsidRPr="006513EE">
              <w:rPr>
                <w:rFonts w:ascii="Times New Roman" w:eastAsia="Times New Roman" w:hAnsi="Times New Roman"/>
                <w:sz w:val="20"/>
                <w:szCs w:val="20"/>
                <w:lang w:val="pl-PL" w:eastAsia="pl-PL"/>
              </w:rPr>
              <w:t xml:space="preserve"> </w:t>
            </w:r>
            <w:proofErr w:type="spellStart"/>
            <w:r w:rsidR="005533D6" w:rsidRPr="006513EE">
              <w:rPr>
                <w:rFonts w:ascii="Times New Roman" w:eastAsia="Times New Roman" w:hAnsi="Times New Roman"/>
                <w:sz w:val="20"/>
                <w:szCs w:val="20"/>
                <w:lang w:val="pl-PL" w:eastAsia="pl-PL"/>
              </w:rPr>
              <w:t>mofet</w:t>
            </w:r>
            <w:r w:rsidR="005F4851" w:rsidRPr="006513EE">
              <w:rPr>
                <w:rFonts w:ascii="Times New Roman" w:eastAsia="Times New Roman" w:hAnsi="Times New Roman"/>
                <w:sz w:val="20"/>
                <w:szCs w:val="20"/>
                <w:lang w:val="pl-PL" w:eastAsia="pl-PL"/>
              </w:rPr>
              <w:t>y</w:t>
            </w:r>
            <w:r w:rsidR="005533D6" w:rsidRPr="006513EE">
              <w:rPr>
                <w:rFonts w:ascii="Times New Roman" w:eastAsia="Times New Roman" w:hAnsi="Times New Roman"/>
                <w:sz w:val="20"/>
                <w:szCs w:val="20"/>
                <w:lang w:val="pl-PL" w:eastAsia="pl-PL"/>
              </w:rPr>
              <w:t>lu</w:t>
            </w:r>
            <w:proofErr w:type="spellEnd"/>
            <w:r w:rsidR="005533D6" w:rsidRPr="006513EE">
              <w:rPr>
                <w:rFonts w:ascii="Times New Roman" w:eastAsia="Times New Roman" w:hAnsi="Times New Roman"/>
                <w:sz w:val="20"/>
                <w:szCs w:val="20"/>
                <w:lang w:val="pl-PL" w:eastAsia="pl-PL"/>
              </w:rPr>
              <w:t xml:space="preserve"> w rekomendowanej dawce</w:t>
            </w:r>
            <w:r w:rsidR="007C2898" w:rsidRPr="006513EE">
              <w:rPr>
                <w:rFonts w:ascii="Times New Roman" w:eastAsia="Times New Roman" w:hAnsi="Times New Roman"/>
                <w:sz w:val="20"/>
                <w:szCs w:val="20"/>
                <w:lang w:val="pl-PL" w:eastAsia="pl-PL"/>
              </w:rPr>
              <w:t xml:space="preserve">. </w:t>
            </w:r>
            <w:proofErr w:type="spellStart"/>
            <w:r w:rsidR="006C5224" w:rsidRPr="006513EE">
              <w:rPr>
                <w:rFonts w:ascii="Times New Roman" w:eastAsia="Times New Roman" w:hAnsi="Times New Roman"/>
                <w:sz w:val="20"/>
                <w:szCs w:val="20"/>
                <w:lang w:val="pl-PL" w:eastAsia="pl-PL"/>
              </w:rPr>
              <w:t>M</w:t>
            </w:r>
            <w:r w:rsidR="007C2898" w:rsidRPr="006513EE">
              <w:rPr>
                <w:rFonts w:ascii="Times New Roman" w:eastAsia="Times New Roman" w:hAnsi="Times New Roman"/>
                <w:sz w:val="20"/>
                <w:szCs w:val="20"/>
                <w:lang w:val="pl-PL" w:eastAsia="pl-PL"/>
              </w:rPr>
              <w:t>y</w:t>
            </w:r>
            <w:r w:rsidR="005F4851" w:rsidRPr="006513EE">
              <w:rPr>
                <w:rFonts w:ascii="Times New Roman" w:eastAsia="Times New Roman" w:hAnsi="Times New Roman"/>
                <w:sz w:val="20"/>
                <w:szCs w:val="20"/>
                <w:lang w:val="pl-PL" w:eastAsia="pl-PL"/>
              </w:rPr>
              <w:t>k</w:t>
            </w:r>
            <w:r w:rsidR="007C2898" w:rsidRPr="006513EE">
              <w:rPr>
                <w:rFonts w:ascii="Times New Roman" w:eastAsia="Times New Roman" w:hAnsi="Times New Roman"/>
                <w:sz w:val="20"/>
                <w:szCs w:val="20"/>
                <w:lang w:val="pl-PL" w:eastAsia="pl-PL"/>
              </w:rPr>
              <w:t>ofenolan</w:t>
            </w:r>
            <w:proofErr w:type="spellEnd"/>
            <w:r w:rsidR="0053696C" w:rsidRPr="006513EE">
              <w:rPr>
                <w:rFonts w:ascii="Times New Roman" w:eastAsia="Times New Roman" w:hAnsi="Times New Roman"/>
                <w:sz w:val="20"/>
                <w:szCs w:val="20"/>
                <w:lang w:val="pl-PL" w:eastAsia="pl-PL"/>
              </w:rPr>
              <w:t xml:space="preserve"> </w:t>
            </w:r>
            <w:proofErr w:type="spellStart"/>
            <w:r w:rsidR="007C2898" w:rsidRPr="006513EE">
              <w:rPr>
                <w:rFonts w:ascii="Times New Roman" w:eastAsia="Times New Roman" w:hAnsi="Times New Roman"/>
                <w:sz w:val="20"/>
                <w:szCs w:val="20"/>
                <w:lang w:val="pl-PL" w:eastAsia="pl-PL"/>
              </w:rPr>
              <w:t>mofet</w:t>
            </w:r>
            <w:r w:rsidR="005F4851" w:rsidRPr="006513EE">
              <w:rPr>
                <w:rFonts w:ascii="Times New Roman" w:eastAsia="Times New Roman" w:hAnsi="Times New Roman"/>
                <w:sz w:val="20"/>
                <w:szCs w:val="20"/>
                <w:lang w:val="pl-PL" w:eastAsia="pl-PL"/>
              </w:rPr>
              <w:t>y</w:t>
            </w:r>
            <w:r w:rsidR="007C2898" w:rsidRPr="006513EE">
              <w:rPr>
                <w:rFonts w:ascii="Times New Roman" w:eastAsia="Times New Roman" w:hAnsi="Times New Roman"/>
                <w:sz w:val="20"/>
                <w:szCs w:val="20"/>
                <w:lang w:val="pl-PL" w:eastAsia="pl-PL"/>
              </w:rPr>
              <w:t>lu</w:t>
            </w:r>
            <w:proofErr w:type="spellEnd"/>
            <w:r w:rsidR="00BD286B" w:rsidRPr="006513EE">
              <w:rPr>
                <w:rFonts w:ascii="Times New Roman" w:eastAsia="Times New Roman" w:hAnsi="Times New Roman"/>
                <w:sz w:val="20"/>
                <w:szCs w:val="20"/>
                <w:lang w:val="pl-PL" w:eastAsia="pl-PL"/>
              </w:rPr>
              <w:t xml:space="preserve">, </w:t>
            </w:r>
            <w:r w:rsidR="006C5224" w:rsidRPr="006513EE">
              <w:rPr>
                <w:rFonts w:ascii="Times New Roman" w:eastAsia="Times New Roman" w:hAnsi="Times New Roman"/>
                <w:sz w:val="20"/>
                <w:szCs w:val="20"/>
                <w:lang w:val="pl-PL" w:eastAsia="pl-PL"/>
              </w:rPr>
              <w:t xml:space="preserve">jeśli </w:t>
            </w:r>
            <w:r w:rsidR="00BD286B" w:rsidRPr="006513EE">
              <w:rPr>
                <w:rFonts w:ascii="Times New Roman" w:eastAsia="Times New Roman" w:hAnsi="Times New Roman"/>
                <w:sz w:val="20"/>
                <w:szCs w:val="20"/>
                <w:lang w:val="pl-PL" w:eastAsia="pl-PL"/>
              </w:rPr>
              <w:t xml:space="preserve">jest dobrze </w:t>
            </w:r>
            <w:r w:rsidR="006C5224" w:rsidRPr="006513EE">
              <w:rPr>
                <w:rFonts w:ascii="Times New Roman" w:eastAsia="Times New Roman" w:hAnsi="Times New Roman"/>
                <w:sz w:val="20"/>
                <w:szCs w:val="20"/>
                <w:lang w:val="pl-PL" w:eastAsia="pl-PL"/>
              </w:rPr>
              <w:t>t</w:t>
            </w:r>
            <w:r w:rsidR="00BD286B" w:rsidRPr="006513EE">
              <w:rPr>
                <w:rFonts w:ascii="Times New Roman" w:eastAsia="Times New Roman" w:hAnsi="Times New Roman"/>
                <w:sz w:val="20"/>
                <w:szCs w:val="20"/>
                <w:lang w:val="pl-PL" w:eastAsia="pl-PL"/>
              </w:rPr>
              <w:t xml:space="preserve">olerowany </w:t>
            </w:r>
            <w:r w:rsidR="006C5224" w:rsidRPr="006513EE">
              <w:rPr>
                <w:rFonts w:ascii="Times New Roman" w:eastAsia="Times New Roman" w:hAnsi="Times New Roman"/>
                <w:sz w:val="20"/>
                <w:szCs w:val="20"/>
                <w:lang w:val="pl-PL" w:eastAsia="pl-PL"/>
              </w:rPr>
              <w:t>i</w:t>
            </w:r>
            <w:r w:rsidR="00BD286B" w:rsidRPr="006513EE">
              <w:rPr>
                <w:rFonts w:ascii="Times New Roman" w:eastAsia="Times New Roman" w:hAnsi="Times New Roman"/>
                <w:sz w:val="20"/>
                <w:szCs w:val="20"/>
                <w:lang w:val="pl-PL" w:eastAsia="pl-PL"/>
              </w:rPr>
              <w:t xml:space="preserve"> nie jest przeciwwskazany,</w:t>
            </w:r>
            <w:r w:rsidR="007C2898" w:rsidRPr="006513EE">
              <w:rPr>
                <w:rFonts w:ascii="Times New Roman" w:eastAsia="Times New Roman" w:hAnsi="Times New Roman"/>
                <w:sz w:val="20"/>
                <w:szCs w:val="20"/>
                <w:lang w:val="pl-PL" w:eastAsia="pl-PL"/>
              </w:rPr>
              <w:t xml:space="preserve"> powin</w:t>
            </w:r>
            <w:r w:rsidR="006C5224" w:rsidRPr="006513EE">
              <w:rPr>
                <w:rFonts w:ascii="Times New Roman" w:eastAsia="Times New Roman" w:hAnsi="Times New Roman"/>
                <w:sz w:val="20"/>
                <w:szCs w:val="20"/>
                <w:lang w:val="pl-PL" w:eastAsia="pl-PL"/>
              </w:rPr>
              <w:t>ien</w:t>
            </w:r>
            <w:r w:rsidR="007C2898" w:rsidRPr="006513EE">
              <w:rPr>
                <w:rFonts w:ascii="Times New Roman" w:eastAsia="Times New Roman" w:hAnsi="Times New Roman"/>
                <w:sz w:val="20"/>
                <w:szCs w:val="20"/>
                <w:lang w:val="pl-PL" w:eastAsia="pl-PL"/>
              </w:rPr>
              <w:t xml:space="preserve"> być kontynuowan</w:t>
            </w:r>
            <w:r w:rsidR="006C5224" w:rsidRPr="006513EE">
              <w:rPr>
                <w:rFonts w:ascii="Times New Roman" w:eastAsia="Times New Roman" w:hAnsi="Times New Roman"/>
                <w:sz w:val="20"/>
                <w:szCs w:val="20"/>
                <w:lang w:val="pl-PL" w:eastAsia="pl-PL"/>
              </w:rPr>
              <w:t>y</w:t>
            </w:r>
            <w:r w:rsidR="007C2898" w:rsidRPr="006513EE">
              <w:rPr>
                <w:rFonts w:ascii="Times New Roman" w:eastAsia="Times New Roman" w:hAnsi="Times New Roman"/>
                <w:sz w:val="20"/>
                <w:szCs w:val="20"/>
                <w:lang w:val="pl-PL" w:eastAsia="pl-PL"/>
              </w:rPr>
              <w:t xml:space="preserve"> także po wstrzymaniu terapii </w:t>
            </w:r>
            <w:proofErr w:type="spellStart"/>
            <w:r w:rsidR="007C2898" w:rsidRPr="006513EE">
              <w:rPr>
                <w:rFonts w:ascii="Times New Roman" w:eastAsia="Times New Roman" w:hAnsi="Times New Roman"/>
                <w:sz w:val="20"/>
                <w:szCs w:val="20"/>
                <w:lang w:val="pl-PL" w:eastAsia="pl-PL"/>
              </w:rPr>
              <w:t>nintedanibem</w:t>
            </w:r>
            <w:proofErr w:type="spellEnd"/>
            <w:r>
              <w:rPr>
                <w:rFonts w:ascii="Times New Roman" w:eastAsia="Times New Roman" w:hAnsi="Times New Roman"/>
                <w:sz w:val="20"/>
                <w:szCs w:val="20"/>
                <w:lang w:val="pl-PL" w:eastAsia="pl-PL"/>
              </w:rPr>
              <w:t>.</w:t>
            </w:r>
          </w:p>
          <w:p w14:paraId="1A3032E8" w14:textId="046F387E" w:rsidR="0063257C" w:rsidRPr="003555CD" w:rsidRDefault="00B33152" w:rsidP="00711029">
            <w:pPr>
              <w:widowControl w:val="0"/>
              <w:autoSpaceDE w:val="0"/>
              <w:autoSpaceDN w:val="0"/>
              <w:adjustRightInd w:val="0"/>
              <w:spacing w:after="60"/>
              <w:jc w:val="both"/>
              <w:rPr>
                <w:rFonts w:ascii="Times New Roman" w:hAnsi="Times New Roman"/>
                <w:sz w:val="20"/>
                <w:szCs w:val="20"/>
                <w:lang w:val="pl-PL"/>
              </w:rPr>
            </w:pPr>
            <w:r>
              <w:rPr>
                <w:rFonts w:ascii="Times New Roman" w:eastAsia="Times New Roman" w:hAnsi="Times New Roman"/>
                <w:sz w:val="20"/>
                <w:szCs w:val="20"/>
                <w:lang w:val="pl-PL" w:eastAsia="pl-PL"/>
              </w:rPr>
              <w:t>D</w:t>
            </w:r>
            <w:r w:rsidR="0063257C" w:rsidRPr="006513EE">
              <w:rPr>
                <w:rFonts w:ascii="Times New Roman" w:eastAsia="Times New Roman" w:hAnsi="Times New Roman"/>
                <w:sz w:val="20"/>
                <w:szCs w:val="20"/>
                <w:lang w:val="pl-PL" w:eastAsia="pl-PL"/>
              </w:rPr>
              <w:t xml:space="preserve">ecyzja o leczeniu </w:t>
            </w:r>
            <w:proofErr w:type="spellStart"/>
            <w:r w:rsidR="00235E03" w:rsidRPr="000E29F6">
              <w:rPr>
                <w:rFonts w:ascii="Times New Roman" w:eastAsia="Times New Roman" w:hAnsi="Times New Roman"/>
                <w:sz w:val="20"/>
                <w:szCs w:val="20"/>
                <w:lang w:val="pl-PL" w:eastAsia="pl-PL"/>
              </w:rPr>
              <w:t>nintedanibem</w:t>
            </w:r>
            <w:proofErr w:type="spellEnd"/>
            <w:r w:rsidR="00235E03" w:rsidRPr="000E29F6">
              <w:rPr>
                <w:rFonts w:ascii="Times New Roman" w:eastAsia="Times New Roman" w:hAnsi="Times New Roman"/>
                <w:sz w:val="20"/>
                <w:szCs w:val="20"/>
                <w:lang w:val="pl-PL" w:eastAsia="pl-PL"/>
              </w:rPr>
              <w:t xml:space="preserve"> w połączeniu </w:t>
            </w:r>
            <w:r w:rsidR="00235E03">
              <w:rPr>
                <w:rFonts w:ascii="Times New Roman" w:eastAsia="Times New Roman" w:hAnsi="Times New Roman"/>
                <w:sz w:val="20"/>
                <w:szCs w:val="20"/>
                <w:lang w:val="pl-PL" w:eastAsia="pl-PL"/>
              </w:rPr>
              <w:t xml:space="preserve">z </w:t>
            </w:r>
            <w:r w:rsidR="003D6A68" w:rsidRPr="006513EE">
              <w:rPr>
                <w:rFonts w:ascii="Times New Roman" w:hAnsi="Times New Roman"/>
                <w:sz w:val="20"/>
                <w:szCs w:val="20"/>
                <w:lang w:val="pl-PL"/>
              </w:rPr>
              <w:t xml:space="preserve">leczeniem immunosupresyjnym </w:t>
            </w:r>
            <w:r w:rsidR="00AC7942" w:rsidRPr="006513EE">
              <w:rPr>
                <w:rFonts w:ascii="Times New Roman" w:eastAsia="Times New Roman" w:hAnsi="Times New Roman"/>
                <w:sz w:val="20"/>
                <w:szCs w:val="20"/>
                <w:lang w:val="pl-PL" w:eastAsia="pl-PL"/>
              </w:rPr>
              <w:t xml:space="preserve">lub </w:t>
            </w:r>
            <w:r w:rsidR="003D6A68" w:rsidRPr="006513EE">
              <w:rPr>
                <w:rFonts w:ascii="Times New Roman" w:eastAsia="Times New Roman" w:hAnsi="Times New Roman"/>
                <w:sz w:val="20"/>
                <w:szCs w:val="20"/>
                <w:lang w:val="pl-PL" w:eastAsia="pl-PL"/>
              </w:rPr>
              <w:t xml:space="preserve">lekami cytotoksycznymi lub klasycznymi lekami </w:t>
            </w:r>
            <w:r w:rsidR="003D6A68" w:rsidRPr="003555CD">
              <w:rPr>
                <w:rFonts w:ascii="Times New Roman" w:eastAsia="Times New Roman" w:hAnsi="Times New Roman"/>
                <w:sz w:val="20"/>
                <w:szCs w:val="20"/>
                <w:lang w:val="pl-PL" w:eastAsia="pl-PL"/>
              </w:rPr>
              <w:t xml:space="preserve">modyfikującymi przebieg choroby </w:t>
            </w:r>
            <w:r w:rsidR="003D6A68" w:rsidRPr="005E65BC">
              <w:rPr>
                <w:rFonts w:ascii="Times New Roman" w:eastAsia="Times New Roman" w:hAnsi="Times New Roman"/>
                <w:sz w:val="20"/>
                <w:szCs w:val="20"/>
                <w:lang w:val="pl-PL" w:eastAsia="pl-PL"/>
              </w:rPr>
              <w:t>lub lekami biologicznymi lub innymi lekami będącymi inhibitorami kinaz</w:t>
            </w:r>
            <w:r w:rsidR="0063257C" w:rsidRPr="003555CD">
              <w:rPr>
                <w:rFonts w:ascii="Times New Roman" w:eastAsia="Times New Roman" w:hAnsi="Times New Roman"/>
                <w:sz w:val="20"/>
                <w:szCs w:val="20"/>
                <w:lang w:val="pl-PL" w:eastAsia="pl-PL"/>
              </w:rPr>
              <w:t>, które są wskazane</w:t>
            </w:r>
            <w:r w:rsidR="00FB4D8D" w:rsidRPr="003555CD">
              <w:rPr>
                <w:rFonts w:ascii="Times New Roman" w:eastAsia="Times New Roman" w:hAnsi="Times New Roman"/>
                <w:sz w:val="20"/>
                <w:szCs w:val="20"/>
                <w:lang w:val="pl-PL" w:eastAsia="pl-PL"/>
              </w:rPr>
              <w:t xml:space="preserve"> </w:t>
            </w:r>
            <w:r w:rsidR="0063257C" w:rsidRPr="003555CD">
              <w:rPr>
                <w:rFonts w:ascii="Times New Roman" w:eastAsia="Times New Roman" w:hAnsi="Times New Roman"/>
                <w:sz w:val="20"/>
                <w:szCs w:val="20"/>
                <w:lang w:val="pl-PL" w:eastAsia="pl-PL"/>
              </w:rPr>
              <w:t xml:space="preserve">i wymagane u danego pacjenta z uwagi na </w:t>
            </w:r>
            <w:r w:rsidR="001152CB" w:rsidRPr="003555CD">
              <w:rPr>
                <w:rFonts w:ascii="Times New Roman" w:eastAsia="Times New Roman" w:hAnsi="Times New Roman"/>
                <w:sz w:val="20"/>
                <w:szCs w:val="20"/>
                <w:lang w:val="pl-PL" w:eastAsia="pl-PL"/>
              </w:rPr>
              <w:t>układową chorob</w:t>
            </w:r>
            <w:r w:rsidR="003555CD" w:rsidRPr="003555CD">
              <w:rPr>
                <w:rFonts w:ascii="Times New Roman" w:eastAsia="Times New Roman" w:hAnsi="Times New Roman"/>
                <w:sz w:val="20"/>
                <w:szCs w:val="20"/>
                <w:lang w:val="pl-PL" w:eastAsia="pl-PL"/>
              </w:rPr>
              <w:t>ę</w:t>
            </w:r>
            <w:r w:rsidR="001152CB" w:rsidRPr="003555CD">
              <w:rPr>
                <w:rFonts w:ascii="Times New Roman" w:eastAsia="Times New Roman" w:hAnsi="Times New Roman"/>
                <w:sz w:val="20"/>
                <w:szCs w:val="20"/>
                <w:lang w:val="pl-PL" w:eastAsia="pl-PL"/>
              </w:rPr>
              <w:t xml:space="preserve"> tkanki łącznej, w tym</w:t>
            </w:r>
            <w:r w:rsidR="0063257C" w:rsidRPr="003555CD">
              <w:rPr>
                <w:rFonts w:ascii="Times New Roman" w:eastAsia="Times New Roman" w:hAnsi="Times New Roman"/>
                <w:sz w:val="20"/>
                <w:szCs w:val="20"/>
                <w:lang w:val="pl-PL" w:eastAsia="pl-PL"/>
              </w:rPr>
              <w:t xml:space="preserve"> </w:t>
            </w:r>
            <w:r w:rsidR="007D642C" w:rsidRPr="003555CD">
              <w:rPr>
                <w:rFonts w:ascii="Times New Roman" w:eastAsia="Times New Roman" w:hAnsi="Times New Roman"/>
                <w:sz w:val="20"/>
                <w:szCs w:val="20"/>
                <w:lang w:val="pl-PL" w:eastAsia="pl-PL"/>
              </w:rPr>
              <w:t>twardziny układowej</w:t>
            </w:r>
            <w:r w:rsidR="001152CB" w:rsidRPr="003555CD">
              <w:rPr>
                <w:rFonts w:ascii="Times New Roman" w:eastAsia="Times New Roman" w:hAnsi="Times New Roman"/>
                <w:sz w:val="20"/>
                <w:szCs w:val="20"/>
                <w:lang w:val="pl-PL" w:eastAsia="pl-PL"/>
              </w:rPr>
              <w:t>,</w:t>
            </w:r>
            <w:r w:rsidR="0063257C" w:rsidRPr="003555CD">
              <w:rPr>
                <w:rFonts w:ascii="Times New Roman" w:eastAsia="Times New Roman" w:hAnsi="Times New Roman"/>
                <w:sz w:val="20"/>
                <w:szCs w:val="20"/>
                <w:lang w:val="pl-PL" w:eastAsia="pl-PL"/>
              </w:rPr>
              <w:t xml:space="preserve"> zgodnie z rekomendacjami </w:t>
            </w:r>
            <w:r w:rsidR="0063257C" w:rsidRPr="003555CD">
              <w:rPr>
                <w:rFonts w:ascii="Times New Roman" w:eastAsia="Times New Roman" w:hAnsi="Times New Roman"/>
                <w:sz w:val="20"/>
                <w:szCs w:val="20"/>
                <w:lang w:val="pl-PL" w:eastAsia="pl-PL"/>
              </w:rPr>
              <w:lastRenderedPageBreak/>
              <w:t>i aktualną wiedzą medyczną należy do lekarza reumatologa prowadzącego leczenie pacjenta z uwzględnieniem korzyści i ryzyka leczenia</w:t>
            </w:r>
            <w:r w:rsidR="00D94F58" w:rsidRPr="003555CD">
              <w:rPr>
                <w:rFonts w:ascii="Times New Roman" w:eastAsia="Times New Roman" w:hAnsi="Times New Roman"/>
                <w:sz w:val="20"/>
                <w:szCs w:val="20"/>
                <w:lang w:val="pl-PL" w:eastAsia="pl-PL"/>
              </w:rPr>
              <w:t xml:space="preserve"> </w:t>
            </w:r>
            <w:r w:rsidR="0063257C" w:rsidRPr="003555CD">
              <w:rPr>
                <w:rFonts w:ascii="Times New Roman" w:eastAsia="Times New Roman" w:hAnsi="Times New Roman"/>
                <w:sz w:val="20"/>
                <w:szCs w:val="20"/>
                <w:lang w:val="pl-PL" w:eastAsia="pl-PL"/>
              </w:rPr>
              <w:t>skojarzonego</w:t>
            </w:r>
            <w:r w:rsidRPr="003555CD">
              <w:rPr>
                <w:rFonts w:ascii="Times New Roman" w:eastAsia="Times New Roman" w:hAnsi="Times New Roman"/>
                <w:sz w:val="20"/>
                <w:szCs w:val="20"/>
                <w:lang w:val="pl-PL" w:eastAsia="pl-PL"/>
              </w:rPr>
              <w:t>.</w:t>
            </w:r>
          </w:p>
          <w:p w14:paraId="461DB9E2" w14:textId="77777777" w:rsidR="001152CB" w:rsidRPr="006513EE" w:rsidRDefault="001152CB" w:rsidP="00711029">
            <w:pPr>
              <w:widowControl w:val="0"/>
              <w:autoSpaceDE w:val="0"/>
              <w:autoSpaceDN w:val="0"/>
              <w:adjustRightInd w:val="0"/>
              <w:spacing w:after="60"/>
              <w:jc w:val="both"/>
              <w:rPr>
                <w:rFonts w:ascii="Times New Roman" w:hAnsi="Times New Roman"/>
                <w:sz w:val="20"/>
                <w:szCs w:val="20"/>
                <w:lang w:val="pl-PL"/>
              </w:rPr>
            </w:pPr>
            <w:r w:rsidRPr="003555CD">
              <w:rPr>
                <w:rFonts w:ascii="Times New Roman" w:hAnsi="Times New Roman"/>
                <w:sz w:val="20"/>
                <w:szCs w:val="20"/>
                <w:lang w:val="pl-PL"/>
              </w:rPr>
              <w:t xml:space="preserve">Decyzja o leczeniu </w:t>
            </w:r>
            <w:proofErr w:type="spellStart"/>
            <w:r w:rsidRPr="003555CD">
              <w:rPr>
                <w:rFonts w:ascii="Times New Roman" w:hAnsi="Times New Roman"/>
                <w:sz w:val="20"/>
                <w:szCs w:val="20"/>
                <w:lang w:val="pl-PL"/>
              </w:rPr>
              <w:t>nintedanibem</w:t>
            </w:r>
            <w:proofErr w:type="spellEnd"/>
            <w:r w:rsidRPr="003555CD">
              <w:rPr>
                <w:rFonts w:ascii="Times New Roman" w:hAnsi="Times New Roman"/>
                <w:sz w:val="20"/>
                <w:szCs w:val="20"/>
                <w:lang w:val="pl-PL"/>
              </w:rPr>
              <w:t xml:space="preserve"> w połączeniu z leczeniem immunosupresyjnym </w:t>
            </w:r>
            <w:r w:rsidRPr="003555CD">
              <w:rPr>
                <w:rFonts w:ascii="Times New Roman" w:eastAsia="Times New Roman" w:hAnsi="Times New Roman"/>
                <w:sz w:val="20"/>
                <w:szCs w:val="20"/>
                <w:lang w:val="pl-PL" w:eastAsia="pl-PL"/>
              </w:rPr>
              <w:t>lub lekami cytotoksycznymi lub klasycznymi lekami modyfikującymi przebieg choroby lub lekami biologicznymi lub innymi lekami będącymi inhibitorami kinaz</w:t>
            </w:r>
            <w:r w:rsidRPr="003555CD">
              <w:rPr>
                <w:rFonts w:ascii="Times New Roman" w:hAnsi="Times New Roman"/>
                <w:sz w:val="20"/>
                <w:szCs w:val="20"/>
                <w:lang w:val="pl-PL"/>
              </w:rPr>
              <w:t>,</w:t>
            </w:r>
            <w:r w:rsidRPr="006513EE">
              <w:rPr>
                <w:rFonts w:ascii="Times New Roman" w:eastAsia="Times New Roman" w:hAnsi="Times New Roman"/>
                <w:sz w:val="20"/>
                <w:szCs w:val="20"/>
                <w:lang w:val="pl-PL" w:eastAsia="pl-PL"/>
              </w:rPr>
              <w:t xml:space="preserve"> które jest wskazane i uznane za odpowiednie u danego pacjenta zgodnie z rekomendacjami lub aktualną wiedzą medyczną z uwagi na chorobę śródmiąższową płuc, należy do lekarza pulmonologa prowadzącego leczenie pacjenta z uwzględnieniem korzyści i ryzyka leczenia skojarzonego.</w:t>
            </w:r>
          </w:p>
          <w:p w14:paraId="44B9595F" w14:textId="77777777" w:rsidR="0063257C" w:rsidRDefault="00B33152" w:rsidP="00711029">
            <w:pPr>
              <w:widowControl w:val="0"/>
              <w:autoSpaceDE w:val="0"/>
              <w:autoSpaceDN w:val="0"/>
              <w:adjustRightInd w:val="0"/>
              <w:spacing w:after="60"/>
              <w:jc w:val="both"/>
              <w:rPr>
                <w:rFonts w:ascii="Times New Roman" w:hAnsi="Times New Roman"/>
                <w:sz w:val="20"/>
                <w:szCs w:val="20"/>
                <w:lang w:val="pl-PL"/>
              </w:rPr>
            </w:pPr>
            <w:r>
              <w:rPr>
                <w:rFonts w:ascii="Times New Roman" w:hAnsi="Times New Roman"/>
                <w:sz w:val="20"/>
                <w:szCs w:val="20"/>
                <w:lang w:val="pl-PL"/>
              </w:rPr>
              <w:t>U</w:t>
            </w:r>
            <w:r w:rsidR="0063257C" w:rsidRPr="006513EE">
              <w:rPr>
                <w:rFonts w:ascii="Times New Roman" w:hAnsi="Times New Roman"/>
                <w:sz w:val="20"/>
                <w:szCs w:val="20"/>
                <w:lang w:val="pl-PL"/>
              </w:rPr>
              <w:t xml:space="preserve"> pacjentów, u których leczenie </w:t>
            </w:r>
            <w:proofErr w:type="spellStart"/>
            <w:r w:rsidR="0063257C" w:rsidRPr="006513EE">
              <w:rPr>
                <w:rFonts w:ascii="Times New Roman" w:hAnsi="Times New Roman"/>
                <w:sz w:val="20"/>
                <w:szCs w:val="20"/>
                <w:lang w:val="pl-PL"/>
              </w:rPr>
              <w:t>my</w:t>
            </w:r>
            <w:r w:rsidR="005F4851" w:rsidRPr="006513EE">
              <w:rPr>
                <w:rFonts w:ascii="Times New Roman" w:hAnsi="Times New Roman"/>
                <w:sz w:val="20"/>
                <w:szCs w:val="20"/>
                <w:lang w:val="pl-PL"/>
              </w:rPr>
              <w:t>k</w:t>
            </w:r>
            <w:r w:rsidR="0063257C" w:rsidRPr="006513EE">
              <w:rPr>
                <w:rFonts w:ascii="Times New Roman" w:hAnsi="Times New Roman"/>
                <w:sz w:val="20"/>
                <w:szCs w:val="20"/>
                <w:lang w:val="pl-PL"/>
              </w:rPr>
              <w:t>ofenolanem</w:t>
            </w:r>
            <w:proofErr w:type="spellEnd"/>
            <w:r w:rsidR="0063257C" w:rsidRPr="006513EE">
              <w:rPr>
                <w:rFonts w:ascii="Times New Roman" w:hAnsi="Times New Roman"/>
                <w:sz w:val="20"/>
                <w:szCs w:val="20"/>
                <w:lang w:val="pl-PL"/>
              </w:rPr>
              <w:t xml:space="preserve"> </w:t>
            </w:r>
            <w:proofErr w:type="spellStart"/>
            <w:r w:rsidR="0063257C" w:rsidRPr="006513EE">
              <w:rPr>
                <w:rFonts w:ascii="Times New Roman" w:hAnsi="Times New Roman"/>
                <w:sz w:val="20"/>
                <w:szCs w:val="20"/>
                <w:lang w:val="pl-PL"/>
              </w:rPr>
              <w:t>mofet</w:t>
            </w:r>
            <w:r w:rsidR="005F4851" w:rsidRPr="006513EE">
              <w:rPr>
                <w:rFonts w:ascii="Times New Roman" w:hAnsi="Times New Roman"/>
                <w:sz w:val="20"/>
                <w:szCs w:val="20"/>
                <w:lang w:val="pl-PL"/>
              </w:rPr>
              <w:t>y</w:t>
            </w:r>
            <w:r w:rsidR="0063257C" w:rsidRPr="006513EE">
              <w:rPr>
                <w:rFonts w:ascii="Times New Roman" w:hAnsi="Times New Roman"/>
                <w:sz w:val="20"/>
                <w:szCs w:val="20"/>
                <w:lang w:val="pl-PL"/>
              </w:rPr>
              <w:t>lu</w:t>
            </w:r>
            <w:proofErr w:type="spellEnd"/>
            <w:r w:rsidR="0063257C" w:rsidRPr="006513EE">
              <w:rPr>
                <w:rFonts w:ascii="Times New Roman" w:hAnsi="Times New Roman"/>
                <w:sz w:val="20"/>
                <w:szCs w:val="20"/>
                <w:lang w:val="pl-PL"/>
              </w:rPr>
              <w:t xml:space="preserve"> nie jest dobrze tolerowane lub jest przeciwwskazane oraz leczenie innymi lekami immunosupresyjnymi nie jest wskazane lub jest przeciwwskazane </w:t>
            </w:r>
            <w:r w:rsidR="008F24F8" w:rsidRPr="006513EE">
              <w:rPr>
                <w:rFonts w:ascii="Times New Roman" w:hAnsi="Times New Roman"/>
                <w:sz w:val="20"/>
                <w:szCs w:val="20"/>
                <w:lang w:val="pl-PL"/>
              </w:rPr>
              <w:t xml:space="preserve">lub nie jest dobrze tolerowane, </w:t>
            </w:r>
            <w:proofErr w:type="spellStart"/>
            <w:r w:rsidR="008F24F8" w:rsidRPr="006513EE">
              <w:rPr>
                <w:rFonts w:ascii="Times New Roman" w:hAnsi="Times New Roman"/>
                <w:sz w:val="20"/>
                <w:szCs w:val="20"/>
                <w:lang w:val="pl-PL"/>
              </w:rPr>
              <w:t>nintedanib</w:t>
            </w:r>
            <w:proofErr w:type="spellEnd"/>
            <w:r w:rsidR="008F24F8" w:rsidRPr="006513EE">
              <w:rPr>
                <w:rFonts w:ascii="Times New Roman" w:hAnsi="Times New Roman"/>
                <w:sz w:val="20"/>
                <w:szCs w:val="20"/>
                <w:lang w:val="pl-PL"/>
              </w:rPr>
              <w:t xml:space="preserve"> </w:t>
            </w:r>
            <w:r w:rsidR="006A5BD2" w:rsidRPr="006513EE">
              <w:rPr>
                <w:rFonts w:ascii="Times New Roman" w:hAnsi="Times New Roman"/>
                <w:sz w:val="20"/>
                <w:szCs w:val="20"/>
                <w:lang w:val="pl-PL"/>
              </w:rPr>
              <w:t>zgodnie z decyzją lekarza reumatologa</w:t>
            </w:r>
            <w:r w:rsidR="001152CB" w:rsidRPr="006513EE">
              <w:rPr>
                <w:rFonts w:ascii="Times New Roman" w:hAnsi="Times New Roman"/>
                <w:sz w:val="20"/>
                <w:szCs w:val="20"/>
                <w:lang w:val="pl-PL"/>
              </w:rPr>
              <w:t xml:space="preserve"> lub pulmo</w:t>
            </w:r>
            <w:r w:rsidR="008A1006">
              <w:rPr>
                <w:rFonts w:ascii="Times New Roman" w:hAnsi="Times New Roman"/>
                <w:sz w:val="20"/>
                <w:szCs w:val="20"/>
                <w:lang w:val="pl-PL"/>
              </w:rPr>
              <w:t>n</w:t>
            </w:r>
            <w:r w:rsidR="001152CB" w:rsidRPr="006513EE">
              <w:rPr>
                <w:rFonts w:ascii="Times New Roman" w:hAnsi="Times New Roman"/>
                <w:sz w:val="20"/>
                <w:szCs w:val="20"/>
                <w:lang w:val="pl-PL"/>
              </w:rPr>
              <w:t>ologa</w:t>
            </w:r>
            <w:r w:rsidR="006A5BD2" w:rsidRPr="006513EE">
              <w:rPr>
                <w:rFonts w:ascii="Times New Roman" w:hAnsi="Times New Roman"/>
                <w:sz w:val="20"/>
                <w:szCs w:val="20"/>
                <w:lang w:val="pl-PL"/>
              </w:rPr>
              <w:t xml:space="preserve"> prowadzącego leczenie</w:t>
            </w:r>
            <w:r w:rsidR="00937C96" w:rsidRPr="006513EE">
              <w:rPr>
                <w:rFonts w:ascii="Times New Roman" w:hAnsi="Times New Roman"/>
                <w:sz w:val="20"/>
                <w:szCs w:val="20"/>
                <w:lang w:val="pl-PL"/>
              </w:rPr>
              <w:t>,</w:t>
            </w:r>
            <w:r w:rsidR="006A5BD2" w:rsidRPr="006513EE">
              <w:rPr>
                <w:rFonts w:ascii="Times New Roman" w:hAnsi="Times New Roman"/>
                <w:sz w:val="20"/>
                <w:szCs w:val="20"/>
                <w:lang w:val="pl-PL"/>
              </w:rPr>
              <w:t xml:space="preserve"> </w:t>
            </w:r>
            <w:r w:rsidR="008F24F8" w:rsidRPr="006513EE">
              <w:rPr>
                <w:rFonts w:ascii="Times New Roman" w:hAnsi="Times New Roman"/>
                <w:sz w:val="20"/>
                <w:szCs w:val="20"/>
                <w:lang w:val="pl-PL"/>
              </w:rPr>
              <w:t xml:space="preserve">może być podawany w </w:t>
            </w:r>
            <w:proofErr w:type="spellStart"/>
            <w:r w:rsidR="008F24F8" w:rsidRPr="006513EE">
              <w:rPr>
                <w:rFonts w:ascii="Times New Roman" w:hAnsi="Times New Roman"/>
                <w:sz w:val="20"/>
                <w:szCs w:val="20"/>
                <w:lang w:val="pl-PL"/>
              </w:rPr>
              <w:t>monoterapii</w:t>
            </w:r>
            <w:proofErr w:type="spellEnd"/>
            <w:r w:rsidR="008F24F8" w:rsidRPr="006513EE">
              <w:rPr>
                <w:rFonts w:ascii="Times New Roman" w:hAnsi="Times New Roman"/>
                <w:sz w:val="20"/>
                <w:szCs w:val="20"/>
                <w:lang w:val="pl-PL"/>
              </w:rPr>
              <w:t>.</w:t>
            </w:r>
          </w:p>
          <w:p w14:paraId="52F70B75" w14:textId="77777777" w:rsidR="00203D5E" w:rsidRDefault="00203D5E" w:rsidP="00711029">
            <w:pPr>
              <w:widowControl w:val="0"/>
              <w:autoSpaceDE w:val="0"/>
              <w:autoSpaceDN w:val="0"/>
              <w:adjustRightInd w:val="0"/>
              <w:spacing w:after="60"/>
              <w:jc w:val="both"/>
              <w:rPr>
                <w:rFonts w:ascii="Times New Roman" w:hAnsi="Times New Roman"/>
                <w:sz w:val="20"/>
                <w:szCs w:val="20"/>
                <w:lang w:val="pl-PL"/>
              </w:rPr>
            </w:pPr>
          </w:p>
          <w:p w14:paraId="0FB47880" w14:textId="6528A65B" w:rsidR="00F6457D" w:rsidRDefault="00F6457D" w:rsidP="00711029">
            <w:pPr>
              <w:pStyle w:val="Akapitzlist"/>
              <w:widowControl w:val="0"/>
              <w:numPr>
                <w:ilvl w:val="1"/>
                <w:numId w:val="43"/>
              </w:numPr>
              <w:autoSpaceDE w:val="0"/>
              <w:autoSpaceDN w:val="0"/>
              <w:adjustRightInd w:val="0"/>
              <w:spacing w:after="60"/>
              <w:contextualSpacing w:val="0"/>
              <w:jc w:val="both"/>
              <w:rPr>
                <w:rFonts w:ascii="Times New Roman" w:hAnsi="Times New Roman"/>
                <w:b/>
                <w:bCs/>
                <w:sz w:val="20"/>
                <w:szCs w:val="20"/>
                <w:lang w:val="pl-PL"/>
              </w:rPr>
            </w:pPr>
            <w:proofErr w:type="spellStart"/>
            <w:r w:rsidRPr="00203D5E">
              <w:rPr>
                <w:rFonts w:ascii="Times New Roman" w:hAnsi="Times New Roman"/>
                <w:b/>
                <w:bCs/>
                <w:sz w:val="20"/>
                <w:szCs w:val="20"/>
                <w:lang w:val="pl-PL"/>
              </w:rPr>
              <w:t>R</w:t>
            </w:r>
            <w:r w:rsidR="004F7C31">
              <w:rPr>
                <w:rFonts w:ascii="Times New Roman" w:hAnsi="Times New Roman"/>
                <w:b/>
                <w:bCs/>
                <w:sz w:val="20"/>
                <w:szCs w:val="20"/>
                <w:lang w:val="pl-PL"/>
              </w:rPr>
              <w:t>y</w:t>
            </w:r>
            <w:r w:rsidRPr="00203D5E">
              <w:rPr>
                <w:rFonts w:ascii="Times New Roman" w:hAnsi="Times New Roman"/>
                <w:b/>
                <w:bCs/>
                <w:sz w:val="20"/>
                <w:szCs w:val="20"/>
                <w:lang w:val="pl-PL"/>
              </w:rPr>
              <w:t>tuks</w:t>
            </w:r>
            <w:r w:rsidR="004F7C31">
              <w:rPr>
                <w:rFonts w:ascii="Times New Roman" w:hAnsi="Times New Roman"/>
                <w:b/>
                <w:bCs/>
                <w:sz w:val="20"/>
                <w:szCs w:val="20"/>
                <w:lang w:val="pl-PL"/>
              </w:rPr>
              <w:t>y</w:t>
            </w:r>
            <w:r w:rsidRPr="00203D5E">
              <w:rPr>
                <w:rFonts w:ascii="Times New Roman" w:hAnsi="Times New Roman"/>
                <w:b/>
                <w:bCs/>
                <w:sz w:val="20"/>
                <w:szCs w:val="20"/>
                <w:lang w:val="pl-PL"/>
              </w:rPr>
              <w:t>mab</w:t>
            </w:r>
            <w:proofErr w:type="spellEnd"/>
          </w:p>
          <w:p w14:paraId="660F8111" w14:textId="360F8A7E" w:rsidR="000436B3" w:rsidRPr="00203D5E" w:rsidRDefault="000436B3" w:rsidP="00711029">
            <w:pPr>
              <w:widowControl w:val="0"/>
              <w:autoSpaceDE w:val="0"/>
              <w:autoSpaceDN w:val="0"/>
              <w:adjustRightInd w:val="0"/>
              <w:spacing w:after="60"/>
              <w:jc w:val="both"/>
              <w:rPr>
                <w:rFonts w:ascii="Times New Roman" w:hAnsi="Times New Roman"/>
                <w:sz w:val="20"/>
                <w:szCs w:val="20"/>
                <w:lang w:val="pl-PL"/>
              </w:rPr>
            </w:pPr>
            <w:r w:rsidRPr="00203D5E">
              <w:rPr>
                <w:rFonts w:ascii="Times New Roman" w:hAnsi="Times New Roman"/>
                <w:sz w:val="20"/>
                <w:szCs w:val="20"/>
                <w:lang w:val="pl-PL"/>
              </w:rPr>
              <w:t xml:space="preserve">Cykl leczenia </w:t>
            </w:r>
            <w:proofErr w:type="spellStart"/>
            <w:r w:rsidRPr="00203D5E">
              <w:rPr>
                <w:rFonts w:ascii="Times New Roman" w:hAnsi="Times New Roman"/>
                <w:sz w:val="20"/>
                <w:szCs w:val="20"/>
                <w:lang w:val="pl-PL"/>
              </w:rPr>
              <w:t>rytuksymabem</w:t>
            </w:r>
            <w:proofErr w:type="spellEnd"/>
            <w:r w:rsidRPr="00203D5E">
              <w:rPr>
                <w:rFonts w:ascii="Times New Roman" w:hAnsi="Times New Roman"/>
                <w:sz w:val="20"/>
                <w:szCs w:val="20"/>
                <w:lang w:val="pl-PL"/>
              </w:rPr>
              <w:t xml:space="preserve"> składa się z dwóch infuzji dożylnych po 1000 mg każda podawanych w odstępie 2 tygodni. Kolejne cykle, w zależności od odpowiedzi klinicznej, mogą być podawane w odstępie nie krótszym niż 6 m-</w:t>
            </w:r>
            <w:proofErr w:type="spellStart"/>
            <w:r w:rsidRPr="00203D5E">
              <w:rPr>
                <w:rFonts w:ascii="Times New Roman" w:hAnsi="Times New Roman"/>
                <w:sz w:val="20"/>
                <w:szCs w:val="20"/>
                <w:lang w:val="pl-PL"/>
              </w:rPr>
              <w:t>cy</w:t>
            </w:r>
            <w:proofErr w:type="spellEnd"/>
            <w:r w:rsidRPr="00203D5E">
              <w:rPr>
                <w:rFonts w:ascii="Times New Roman" w:hAnsi="Times New Roman"/>
                <w:sz w:val="20"/>
                <w:szCs w:val="20"/>
                <w:lang w:val="pl-PL"/>
              </w:rPr>
              <w:t xml:space="preserve"> od podania drugiej infuzji poprzedniego </w:t>
            </w:r>
            <w:r w:rsidRPr="00203D5E">
              <w:rPr>
                <w:rFonts w:ascii="Times New Roman" w:hAnsi="Times New Roman"/>
                <w:sz w:val="20"/>
                <w:szCs w:val="20"/>
                <w:lang w:val="pl-PL"/>
              </w:rPr>
              <w:lastRenderedPageBreak/>
              <w:t xml:space="preserve">cyklu. </w:t>
            </w:r>
          </w:p>
          <w:p w14:paraId="3F2D0DA3" w14:textId="7BD751B3" w:rsidR="000436B3" w:rsidRPr="00203D5E" w:rsidRDefault="000436B3" w:rsidP="00711029">
            <w:pPr>
              <w:widowControl w:val="0"/>
              <w:autoSpaceDE w:val="0"/>
              <w:autoSpaceDN w:val="0"/>
              <w:adjustRightInd w:val="0"/>
              <w:spacing w:after="60"/>
              <w:jc w:val="both"/>
              <w:rPr>
                <w:rFonts w:ascii="Times New Roman" w:hAnsi="Times New Roman"/>
                <w:sz w:val="20"/>
                <w:szCs w:val="20"/>
                <w:lang w:val="pl-PL"/>
              </w:rPr>
            </w:pPr>
            <w:r w:rsidRPr="00203D5E">
              <w:rPr>
                <w:rFonts w:ascii="Times New Roman" w:hAnsi="Times New Roman"/>
                <w:sz w:val="20"/>
                <w:szCs w:val="20"/>
                <w:lang w:val="pl-PL"/>
              </w:rPr>
              <w:t xml:space="preserve">W sytuacjach szczególnych, za zgodą Zespołu Koordynacyjnego, dopuszcza się możliwość prowadzenia terapii skojarzonej </w:t>
            </w:r>
            <w:proofErr w:type="spellStart"/>
            <w:r w:rsidRPr="00203D5E">
              <w:rPr>
                <w:rFonts w:ascii="Times New Roman" w:hAnsi="Times New Roman"/>
                <w:sz w:val="20"/>
                <w:szCs w:val="20"/>
                <w:lang w:val="pl-PL"/>
              </w:rPr>
              <w:t>rytuksymab</w:t>
            </w:r>
            <w:proofErr w:type="spellEnd"/>
            <w:r w:rsidRPr="00203D5E">
              <w:rPr>
                <w:rFonts w:ascii="Times New Roman" w:hAnsi="Times New Roman"/>
                <w:sz w:val="20"/>
                <w:szCs w:val="20"/>
                <w:lang w:val="pl-PL"/>
              </w:rPr>
              <w:t xml:space="preserve"> + </w:t>
            </w:r>
            <w:proofErr w:type="spellStart"/>
            <w:r w:rsidRPr="00203D5E">
              <w:rPr>
                <w:rFonts w:ascii="Times New Roman" w:hAnsi="Times New Roman"/>
                <w:sz w:val="20"/>
                <w:szCs w:val="20"/>
                <w:lang w:val="pl-PL"/>
              </w:rPr>
              <w:t>nintedanib</w:t>
            </w:r>
            <w:proofErr w:type="spellEnd"/>
            <w:r w:rsidRPr="00203D5E">
              <w:rPr>
                <w:rFonts w:ascii="Times New Roman" w:hAnsi="Times New Roman"/>
                <w:sz w:val="20"/>
                <w:szCs w:val="20"/>
                <w:lang w:val="pl-PL"/>
              </w:rPr>
              <w:t>.</w:t>
            </w:r>
          </w:p>
          <w:p w14:paraId="114075CA" w14:textId="77777777" w:rsidR="000436B3" w:rsidRPr="00203D5E" w:rsidRDefault="000436B3" w:rsidP="00711029">
            <w:pPr>
              <w:widowControl w:val="0"/>
              <w:autoSpaceDE w:val="0"/>
              <w:autoSpaceDN w:val="0"/>
              <w:adjustRightInd w:val="0"/>
              <w:spacing w:after="60"/>
              <w:jc w:val="both"/>
              <w:rPr>
                <w:rFonts w:ascii="Times New Roman" w:hAnsi="Times New Roman"/>
                <w:b/>
                <w:bCs/>
                <w:sz w:val="20"/>
                <w:szCs w:val="20"/>
                <w:lang w:val="pl-PL"/>
              </w:rPr>
            </w:pPr>
          </w:p>
          <w:p w14:paraId="1E9F0158" w14:textId="77777777" w:rsidR="000436B3" w:rsidRDefault="000436B3" w:rsidP="00711029">
            <w:pPr>
              <w:pStyle w:val="Akapitzlist"/>
              <w:widowControl w:val="0"/>
              <w:numPr>
                <w:ilvl w:val="1"/>
                <w:numId w:val="43"/>
              </w:numPr>
              <w:autoSpaceDE w:val="0"/>
              <w:autoSpaceDN w:val="0"/>
              <w:adjustRightInd w:val="0"/>
              <w:spacing w:after="60"/>
              <w:contextualSpacing w:val="0"/>
              <w:jc w:val="both"/>
              <w:rPr>
                <w:rFonts w:ascii="Times New Roman" w:hAnsi="Times New Roman"/>
                <w:b/>
                <w:bCs/>
                <w:sz w:val="20"/>
                <w:szCs w:val="20"/>
                <w:lang w:val="pl-PL"/>
              </w:rPr>
            </w:pPr>
            <w:r>
              <w:rPr>
                <w:rFonts w:ascii="Times New Roman" w:hAnsi="Times New Roman"/>
                <w:b/>
                <w:bCs/>
                <w:sz w:val="20"/>
                <w:szCs w:val="20"/>
                <w:lang w:val="pl-PL"/>
              </w:rPr>
              <w:t>Tocilizumab</w:t>
            </w:r>
          </w:p>
          <w:p w14:paraId="72DFE308" w14:textId="77777777" w:rsidR="001B2938" w:rsidRPr="00203D5E" w:rsidRDefault="001B2938" w:rsidP="00711029">
            <w:pPr>
              <w:widowControl w:val="0"/>
              <w:autoSpaceDE w:val="0"/>
              <w:autoSpaceDN w:val="0"/>
              <w:adjustRightInd w:val="0"/>
              <w:spacing w:after="60"/>
              <w:jc w:val="both"/>
              <w:rPr>
                <w:rFonts w:ascii="Times New Roman" w:hAnsi="Times New Roman"/>
                <w:sz w:val="20"/>
                <w:szCs w:val="20"/>
                <w:lang w:val="pl-PL"/>
              </w:rPr>
            </w:pPr>
            <w:r w:rsidRPr="00203D5E">
              <w:rPr>
                <w:rFonts w:ascii="Times New Roman" w:hAnsi="Times New Roman"/>
                <w:sz w:val="20"/>
                <w:szCs w:val="20"/>
                <w:lang w:val="pl-PL"/>
              </w:rPr>
              <w:t xml:space="preserve">Tocilizumab w postaci dożylnej należy podawać we wlewie dożylnym co 4 tygodnie w dawce nie większej niż 8 mg/kg masy ciała. </w:t>
            </w:r>
          </w:p>
          <w:p w14:paraId="12159C53" w14:textId="77777777" w:rsidR="001B2938" w:rsidRPr="00203D5E" w:rsidRDefault="001B2938" w:rsidP="00711029">
            <w:pPr>
              <w:widowControl w:val="0"/>
              <w:autoSpaceDE w:val="0"/>
              <w:autoSpaceDN w:val="0"/>
              <w:adjustRightInd w:val="0"/>
              <w:spacing w:after="60"/>
              <w:jc w:val="both"/>
              <w:rPr>
                <w:rFonts w:ascii="Times New Roman" w:hAnsi="Times New Roman"/>
                <w:sz w:val="20"/>
                <w:szCs w:val="20"/>
                <w:lang w:val="pl-PL"/>
              </w:rPr>
            </w:pPr>
            <w:r w:rsidRPr="00203D5E">
              <w:rPr>
                <w:rFonts w:ascii="Times New Roman" w:hAnsi="Times New Roman"/>
                <w:sz w:val="20"/>
                <w:szCs w:val="20"/>
                <w:lang w:val="pl-PL"/>
              </w:rPr>
              <w:t>Zalecana maksymalna dawka tocilizumabu w postaci podskórnej wynosi 162 mg, podawane podskórnie raz w tygodniu.</w:t>
            </w:r>
          </w:p>
          <w:p w14:paraId="621ADDB6" w14:textId="77777777" w:rsidR="001B2938" w:rsidRPr="00203D5E" w:rsidRDefault="001B2938" w:rsidP="00711029">
            <w:pPr>
              <w:widowControl w:val="0"/>
              <w:autoSpaceDE w:val="0"/>
              <w:autoSpaceDN w:val="0"/>
              <w:adjustRightInd w:val="0"/>
              <w:spacing w:after="60"/>
              <w:jc w:val="both"/>
              <w:rPr>
                <w:rFonts w:ascii="Times New Roman" w:hAnsi="Times New Roman"/>
                <w:sz w:val="20"/>
                <w:szCs w:val="20"/>
                <w:lang w:val="pl-PL"/>
              </w:rPr>
            </w:pPr>
            <w:r w:rsidRPr="00203D5E">
              <w:rPr>
                <w:rFonts w:ascii="Times New Roman" w:hAnsi="Times New Roman"/>
                <w:sz w:val="20"/>
                <w:szCs w:val="20"/>
                <w:lang w:val="pl-PL"/>
              </w:rPr>
              <w:t>Ewentualne zmniejszenie dawki lub wydłużenie odstępu między podaniami leku prowadzone zgodnie z aktualną wiedzą medyczną lub rekomendacjami.</w:t>
            </w:r>
          </w:p>
          <w:p w14:paraId="0A1CEBA8" w14:textId="3BB88CD9" w:rsidR="00FF4326" w:rsidRPr="00203D5E" w:rsidRDefault="001B2938" w:rsidP="00711029">
            <w:pPr>
              <w:widowControl w:val="0"/>
              <w:autoSpaceDE w:val="0"/>
              <w:autoSpaceDN w:val="0"/>
              <w:adjustRightInd w:val="0"/>
              <w:spacing w:after="60"/>
              <w:jc w:val="both"/>
              <w:rPr>
                <w:rFonts w:ascii="Times New Roman" w:hAnsi="Times New Roman"/>
                <w:sz w:val="20"/>
                <w:szCs w:val="20"/>
                <w:lang w:val="pl-PL"/>
              </w:rPr>
            </w:pPr>
            <w:r w:rsidRPr="00203D5E">
              <w:rPr>
                <w:rFonts w:ascii="Times New Roman" w:hAnsi="Times New Roman"/>
                <w:sz w:val="20"/>
                <w:szCs w:val="20"/>
                <w:lang w:val="pl-PL"/>
              </w:rPr>
              <w:t xml:space="preserve">W sytuacjach szczególnych, za zgodą Zespołu Koordynacyjnego, dopuszcza się możliwość prowadzenia terapii skojarzonej tocilizumab + </w:t>
            </w:r>
            <w:proofErr w:type="spellStart"/>
            <w:r w:rsidRPr="00203D5E">
              <w:rPr>
                <w:rFonts w:ascii="Times New Roman" w:hAnsi="Times New Roman"/>
                <w:sz w:val="20"/>
                <w:szCs w:val="20"/>
                <w:lang w:val="pl-PL"/>
              </w:rPr>
              <w:t>nintedanib</w:t>
            </w:r>
            <w:proofErr w:type="spellEnd"/>
            <w:r w:rsidRPr="00203D5E">
              <w:rPr>
                <w:rFonts w:ascii="Times New Roman" w:hAnsi="Times New Roman"/>
                <w:sz w:val="20"/>
                <w:szCs w:val="20"/>
                <w:lang w:val="pl-PL"/>
              </w:rPr>
              <w:t>.</w:t>
            </w:r>
          </w:p>
          <w:p w14:paraId="248DC1E9" w14:textId="77777777" w:rsidR="00FF4326" w:rsidRPr="00203D5E" w:rsidRDefault="00FF4326" w:rsidP="00711029">
            <w:pPr>
              <w:widowControl w:val="0"/>
              <w:autoSpaceDE w:val="0"/>
              <w:autoSpaceDN w:val="0"/>
              <w:adjustRightInd w:val="0"/>
              <w:spacing w:after="60"/>
              <w:jc w:val="both"/>
              <w:rPr>
                <w:rFonts w:ascii="Times New Roman" w:hAnsi="Times New Roman"/>
                <w:b/>
                <w:bCs/>
                <w:sz w:val="20"/>
                <w:szCs w:val="20"/>
                <w:lang w:val="pl-PL"/>
              </w:rPr>
            </w:pPr>
          </w:p>
          <w:p w14:paraId="66F36476" w14:textId="77777777" w:rsidR="00050845" w:rsidRDefault="00050845" w:rsidP="00711029">
            <w:pPr>
              <w:pStyle w:val="Akapitzlist"/>
              <w:widowControl w:val="0"/>
              <w:numPr>
                <w:ilvl w:val="0"/>
                <w:numId w:val="43"/>
              </w:numPr>
              <w:autoSpaceDE w:val="0"/>
              <w:autoSpaceDN w:val="0"/>
              <w:adjustRightInd w:val="0"/>
              <w:spacing w:after="60"/>
              <w:contextualSpacing w:val="0"/>
              <w:jc w:val="both"/>
              <w:rPr>
                <w:rFonts w:ascii="Times New Roman" w:hAnsi="Times New Roman"/>
                <w:b/>
                <w:bCs/>
                <w:sz w:val="20"/>
                <w:szCs w:val="20"/>
                <w:lang w:val="pl-PL"/>
              </w:rPr>
            </w:pPr>
            <w:r>
              <w:rPr>
                <w:rFonts w:ascii="Times New Roman" w:hAnsi="Times New Roman"/>
                <w:b/>
                <w:bCs/>
                <w:sz w:val="20"/>
                <w:szCs w:val="20"/>
                <w:lang w:val="pl-PL"/>
              </w:rPr>
              <w:t>Modyfikacja dawkowania</w:t>
            </w:r>
          </w:p>
          <w:p w14:paraId="7D70F781" w14:textId="46AAD61A" w:rsidR="00050845" w:rsidRPr="00203D5E" w:rsidRDefault="00050845" w:rsidP="00711029">
            <w:pPr>
              <w:widowControl w:val="0"/>
              <w:autoSpaceDE w:val="0"/>
              <w:autoSpaceDN w:val="0"/>
              <w:adjustRightInd w:val="0"/>
              <w:spacing w:after="60"/>
              <w:jc w:val="both"/>
              <w:rPr>
                <w:rFonts w:ascii="Times New Roman" w:hAnsi="Times New Roman"/>
                <w:sz w:val="20"/>
                <w:szCs w:val="20"/>
                <w:lang w:val="pl-PL"/>
              </w:rPr>
            </w:pPr>
            <w:r w:rsidRPr="00050845">
              <w:rPr>
                <w:rFonts w:ascii="Times New Roman" w:hAnsi="Times New Roman"/>
                <w:sz w:val="20"/>
                <w:szCs w:val="20"/>
                <w:lang w:val="pl-PL"/>
              </w:rPr>
              <w:t>Szczegóły dotyczące sposobu podawania, ewentualnego czasowego wstrzymania leczenia oraz ewentualnego zmniejszania dawki leku zgodnie z aktualną Charakterystyką Produktu Leczniczego.</w:t>
            </w:r>
          </w:p>
        </w:tc>
        <w:tc>
          <w:tcPr>
            <w:tcW w:w="5614" w:type="dxa"/>
            <w:shd w:val="clear" w:color="auto" w:fill="auto"/>
          </w:tcPr>
          <w:p w14:paraId="71D3F8FC" w14:textId="60A5D433" w:rsidR="00B63A7E" w:rsidRPr="00680096" w:rsidRDefault="00B63A7E" w:rsidP="003D1E47">
            <w:pPr>
              <w:pStyle w:val="NormalnyWeb"/>
              <w:numPr>
                <w:ilvl w:val="0"/>
                <w:numId w:val="44"/>
              </w:numPr>
              <w:spacing w:before="120" w:beforeAutospacing="0" w:after="60" w:afterAutospacing="0" w:line="276" w:lineRule="auto"/>
              <w:jc w:val="both"/>
              <w:rPr>
                <w:b/>
                <w:sz w:val="20"/>
                <w:szCs w:val="20"/>
              </w:rPr>
            </w:pPr>
            <w:r w:rsidRPr="00680096">
              <w:rPr>
                <w:b/>
                <w:sz w:val="20"/>
                <w:szCs w:val="20"/>
              </w:rPr>
              <w:lastRenderedPageBreak/>
              <w:t>Badania przy kwalifikacji</w:t>
            </w:r>
            <w:r w:rsidR="00123EA8">
              <w:rPr>
                <w:b/>
                <w:sz w:val="20"/>
                <w:szCs w:val="20"/>
              </w:rPr>
              <w:t xml:space="preserve"> do leczenia</w:t>
            </w:r>
          </w:p>
          <w:p w14:paraId="6C03D5C1" w14:textId="157D81D7" w:rsidR="00AB3992" w:rsidRPr="003D1E47" w:rsidRDefault="00054071"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wartości </w:t>
            </w:r>
            <w:r w:rsidR="00AB3992" w:rsidRPr="003D1E47">
              <w:rPr>
                <w:rFonts w:ascii="Times New Roman" w:eastAsia="Times New Roman" w:hAnsi="Times New Roman"/>
                <w:color w:val="000000"/>
                <w:sz w:val="20"/>
                <w:szCs w:val="20"/>
                <w:lang w:val="pl-PL" w:eastAsia="pl-PL"/>
              </w:rPr>
              <w:t>odczyn</w:t>
            </w:r>
            <w:r w:rsidRPr="003D1E47">
              <w:rPr>
                <w:rFonts w:ascii="Times New Roman" w:eastAsia="Times New Roman" w:hAnsi="Times New Roman"/>
                <w:color w:val="000000"/>
                <w:sz w:val="20"/>
                <w:szCs w:val="20"/>
                <w:lang w:val="pl-PL" w:eastAsia="pl-PL"/>
              </w:rPr>
              <w:t>u</w:t>
            </w:r>
            <w:r w:rsidR="00AB3992" w:rsidRPr="003D1E47">
              <w:rPr>
                <w:rFonts w:ascii="Times New Roman" w:eastAsia="Times New Roman" w:hAnsi="Times New Roman"/>
                <w:color w:val="000000"/>
                <w:sz w:val="20"/>
                <w:szCs w:val="20"/>
                <w:lang w:val="pl-PL" w:eastAsia="pl-PL"/>
              </w:rPr>
              <w:t xml:space="preserve"> Biernackiego (OB)</w:t>
            </w:r>
            <w:r w:rsidR="00DC53C3" w:rsidRPr="003D1E47">
              <w:rPr>
                <w:rFonts w:ascii="Times New Roman" w:eastAsia="Times New Roman" w:hAnsi="Times New Roman"/>
                <w:color w:val="000000"/>
                <w:sz w:val="20"/>
                <w:szCs w:val="20"/>
                <w:lang w:val="pl-PL" w:eastAsia="pl-PL"/>
              </w:rPr>
              <w:t xml:space="preserve"> (do decyzji lekarza)</w:t>
            </w:r>
            <w:r w:rsidR="00680096" w:rsidRPr="003D1E47">
              <w:rPr>
                <w:rFonts w:ascii="Times New Roman" w:eastAsia="Times New Roman" w:hAnsi="Times New Roman"/>
                <w:color w:val="000000"/>
                <w:sz w:val="20"/>
                <w:szCs w:val="20"/>
                <w:lang w:val="pl-PL" w:eastAsia="pl-PL"/>
              </w:rPr>
              <w:t>,</w:t>
            </w:r>
          </w:p>
          <w:p w14:paraId="3C5A9F51" w14:textId="4B25A6DE" w:rsidR="00AB3992" w:rsidRPr="003D1E47" w:rsidRDefault="00054071"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w:t>
            </w:r>
            <w:r w:rsidR="00AB3992" w:rsidRPr="003D1E47">
              <w:rPr>
                <w:rFonts w:ascii="Times New Roman" w:eastAsia="Times New Roman" w:hAnsi="Times New Roman"/>
                <w:color w:val="000000"/>
                <w:sz w:val="20"/>
                <w:szCs w:val="20"/>
                <w:lang w:val="pl-PL" w:eastAsia="pl-PL"/>
              </w:rPr>
              <w:t>stężeni</w:t>
            </w:r>
            <w:r w:rsidRPr="003D1E47">
              <w:rPr>
                <w:rFonts w:ascii="Times New Roman" w:eastAsia="Times New Roman" w:hAnsi="Times New Roman"/>
                <w:color w:val="000000"/>
                <w:sz w:val="20"/>
                <w:szCs w:val="20"/>
                <w:lang w:val="pl-PL" w:eastAsia="pl-PL"/>
              </w:rPr>
              <w:t>a</w:t>
            </w:r>
            <w:r w:rsidR="00AB3992" w:rsidRPr="003D1E47">
              <w:rPr>
                <w:rFonts w:ascii="Times New Roman" w:eastAsia="Times New Roman" w:hAnsi="Times New Roman"/>
                <w:color w:val="000000"/>
                <w:sz w:val="20"/>
                <w:szCs w:val="20"/>
                <w:lang w:val="pl-PL" w:eastAsia="pl-PL"/>
              </w:rPr>
              <w:t xml:space="preserve"> białka C-reaktywnego (CRP)</w:t>
            </w:r>
            <w:r w:rsidR="00680096" w:rsidRPr="003D1E47">
              <w:rPr>
                <w:rFonts w:ascii="Times New Roman" w:eastAsia="Times New Roman" w:hAnsi="Times New Roman"/>
                <w:color w:val="000000"/>
                <w:sz w:val="20"/>
                <w:szCs w:val="20"/>
                <w:lang w:val="pl-PL" w:eastAsia="pl-PL"/>
              </w:rPr>
              <w:t>,</w:t>
            </w:r>
          </w:p>
          <w:p w14:paraId="2B311B8F" w14:textId="4649C176" w:rsidR="002D5C47" w:rsidRPr="003D1E47" w:rsidRDefault="00FF00DA"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badanie </w:t>
            </w:r>
            <w:r w:rsidR="00AB3992" w:rsidRPr="003D1E47">
              <w:rPr>
                <w:rFonts w:ascii="Times New Roman" w:eastAsia="Times New Roman" w:hAnsi="Times New Roman"/>
                <w:color w:val="000000"/>
                <w:sz w:val="20"/>
                <w:szCs w:val="20"/>
                <w:lang w:val="pl-PL" w:eastAsia="pl-PL"/>
              </w:rPr>
              <w:t>morfologi</w:t>
            </w:r>
            <w:r w:rsidRPr="003D1E47">
              <w:rPr>
                <w:rFonts w:ascii="Times New Roman" w:eastAsia="Times New Roman" w:hAnsi="Times New Roman"/>
                <w:color w:val="000000"/>
                <w:sz w:val="20"/>
                <w:szCs w:val="20"/>
                <w:lang w:val="pl-PL" w:eastAsia="pl-PL"/>
              </w:rPr>
              <w:t>i</w:t>
            </w:r>
            <w:r w:rsidR="00AB3992" w:rsidRPr="003D1E47">
              <w:rPr>
                <w:rFonts w:ascii="Times New Roman" w:eastAsia="Times New Roman" w:hAnsi="Times New Roman"/>
                <w:color w:val="000000"/>
                <w:sz w:val="20"/>
                <w:szCs w:val="20"/>
                <w:lang w:val="pl-PL" w:eastAsia="pl-PL"/>
              </w:rPr>
              <w:t xml:space="preserve"> krwi</w:t>
            </w:r>
            <w:r w:rsidR="00E7167E" w:rsidRPr="003D1E47">
              <w:rPr>
                <w:rFonts w:ascii="Times New Roman" w:eastAsia="Times New Roman" w:hAnsi="Times New Roman"/>
                <w:color w:val="000000"/>
                <w:sz w:val="20"/>
                <w:szCs w:val="20"/>
                <w:lang w:val="pl-PL" w:eastAsia="pl-PL"/>
              </w:rPr>
              <w:t xml:space="preserve"> z rozmazem</w:t>
            </w:r>
            <w:r w:rsidR="00680CC2" w:rsidRPr="003D1E47">
              <w:rPr>
                <w:rFonts w:ascii="Times New Roman" w:eastAsia="Times New Roman" w:hAnsi="Times New Roman"/>
                <w:color w:val="000000"/>
                <w:sz w:val="20"/>
                <w:szCs w:val="20"/>
                <w:lang w:val="pl-PL" w:eastAsia="pl-PL"/>
              </w:rPr>
              <w:t xml:space="preserve"> (u pacjentów kwalifikowanych do leczenia tocilizumabem wraz z oznaczeniem bezwzględnej liczby granulocytów obojętnochłonnych oraz limfocytów)</w:t>
            </w:r>
            <w:r w:rsidR="00680096" w:rsidRPr="003D1E47">
              <w:rPr>
                <w:rFonts w:ascii="Times New Roman" w:eastAsia="Times New Roman" w:hAnsi="Times New Roman"/>
                <w:color w:val="000000"/>
                <w:sz w:val="20"/>
                <w:szCs w:val="20"/>
                <w:lang w:val="pl-PL" w:eastAsia="pl-PL"/>
              </w:rPr>
              <w:t>,</w:t>
            </w:r>
          </w:p>
          <w:p w14:paraId="38C7A4E3" w14:textId="61BD2DE0" w:rsidR="00AB3992" w:rsidRPr="003D1E47" w:rsidRDefault="00E7167E"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w:t>
            </w:r>
            <w:r w:rsidR="008B39FF" w:rsidRPr="003D1E47">
              <w:rPr>
                <w:rFonts w:ascii="Times New Roman" w:eastAsia="Times New Roman" w:hAnsi="Times New Roman"/>
                <w:color w:val="000000"/>
                <w:sz w:val="20"/>
                <w:szCs w:val="20"/>
                <w:lang w:val="pl-PL" w:eastAsia="pl-PL"/>
              </w:rPr>
              <w:t>stężeni</w:t>
            </w:r>
            <w:r w:rsidRPr="003D1E47">
              <w:rPr>
                <w:rFonts w:ascii="Times New Roman" w:eastAsia="Times New Roman" w:hAnsi="Times New Roman"/>
                <w:color w:val="000000"/>
                <w:sz w:val="20"/>
                <w:szCs w:val="20"/>
                <w:lang w:val="pl-PL" w:eastAsia="pl-PL"/>
              </w:rPr>
              <w:t>a</w:t>
            </w:r>
            <w:r w:rsidR="008B39FF" w:rsidRPr="003D1E47">
              <w:rPr>
                <w:rFonts w:ascii="Times New Roman" w:eastAsia="Times New Roman" w:hAnsi="Times New Roman"/>
                <w:color w:val="000000"/>
                <w:sz w:val="20"/>
                <w:szCs w:val="20"/>
                <w:lang w:val="pl-PL" w:eastAsia="pl-PL"/>
              </w:rPr>
              <w:t xml:space="preserve"> kreatyniny</w:t>
            </w:r>
            <w:r w:rsidR="001E58F6" w:rsidRPr="003D1E47">
              <w:rPr>
                <w:rFonts w:ascii="Times New Roman" w:eastAsia="Times New Roman" w:hAnsi="Times New Roman"/>
                <w:color w:val="000000"/>
                <w:sz w:val="20"/>
                <w:szCs w:val="20"/>
                <w:lang w:val="pl-PL" w:eastAsia="pl-PL"/>
              </w:rPr>
              <w:t>/GFR</w:t>
            </w:r>
            <w:r w:rsidR="00AB3992" w:rsidRPr="003D1E47">
              <w:rPr>
                <w:rFonts w:ascii="Times New Roman" w:eastAsia="Times New Roman" w:hAnsi="Times New Roman"/>
                <w:color w:val="000000"/>
                <w:sz w:val="20"/>
                <w:szCs w:val="20"/>
                <w:lang w:val="pl-PL" w:eastAsia="pl-PL"/>
              </w:rPr>
              <w:t xml:space="preserve"> w surowicy</w:t>
            </w:r>
            <w:r w:rsidR="00680096" w:rsidRPr="003D1E47">
              <w:rPr>
                <w:rFonts w:ascii="Times New Roman" w:eastAsia="Times New Roman" w:hAnsi="Times New Roman"/>
                <w:color w:val="000000"/>
                <w:sz w:val="20"/>
                <w:szCs w:val="20"/>
                <w:lang w:val="pl-PL" w:eastAsia="pl-PL"/>
              </w:rPr>
              <w:t>,</w:t>
            </w:r>
          </w:p>
          <w:p w14:paraId="43ECD742" w14:textId="5C66C331" w:rsidR="007B1685" w:rsidRPr="003D1E47" w:rsidRDefault="00E7167E"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stężenia </w:t>
            </w:r>
            <w:r w:rsidR="007B1685" w:rsidRPr="003D1E47">
              <w:rPr>
                <w:rFonts w:ascii="Times New Roman" w:eastAsia="Times New Roman" w:hAnsi="Times New Roman"/>
                <w:color w:val="000000"/>
                <w:sz w:val="20"/>
                <w:szCs w:val="20"/>
                <w:lang w:val="pl-PL" w:eastAsia="pl-PL"/>
              </w:rPr>
              <w:t>kwas</w:t>
            </w:r>
            <w:r w:rsidRPr="003D1E47">
              <w:rPr>
                <w:rFonts w:ascii="Times New Roman" w:eastAsia="Times New Roman" w:hAnsi="Times New Roman"/>
                <w:color w:val="000000"/>
                <w:sz w:val="20"/>
                <w:szCs w:val="20"/>
                <w:lang w:val="pl-PL" w:eastAsia="pl-PL"/>
              </w:rPr>
              <w:t>u</w:t>
            </w:r>
            <w:r w:rsidR="007B1685" w:rsidRPr="003D1E47">
              <w:rPr>
                <w:rFonts w:ascii="Times New Roman" w:eastAsia="Times New Roman" w:hAnsi="Times New Roman"/>
                <w:color w:val="000000"/>
                <w:sz w:val="20"/>
                <w:szCs w:val="20"/>
                <w:lang w:val="pl-PL" w:eastAsia="pl-PL"/>
              </w:rPr>
              <w:t xml:space="preserve"> moczow</w:t>
            </w:r>
            <w:r w:rsidRPr="003D1E47">
              <w:rPr>
                <w:rFonts w:ascii="Times New Roman" w:eastAsia="Times New Roman" w:hAnsi="Times New Roman"/>
                <w:color w:val="000000"/>
                <w:sz w:val="20"/>
                <w:szCs w:val="20"/>
                <w:lang w:val="pl-PL" w:eastAsia="pl-PL"/>
              </w:rPr>
              <w:t>ego</w:t>
            </w:r>
            <w:r w:rsidR="007B1685" w:rsidRPr="003D1E47">
              <w:rPr>
                <w:rFonts w:ascii="Times New Roman" w:eastAsia="Times New Roman" w:hAnsi="Times New Roman"/>
                <w:color w:val="000000"/>
                <w:sz w:val="20"/>
                <w:szCs w:val="20"/>
                <w:lang w:val="pl-PL" w:eastAsia="pl-PL"/>
              </w:rPr>
              <w:t xml:space="preserve"> w surowicy</w:t>
            </w:r>
            <w:r w:rsidR="00680096" w:rsidRPr="003D1E47">
              <w:rPr>
                <w:rFonts w:ascii="Times New Roman" w:eastAsia="Times New Roman" w:hAnsi="Times New Roman"/>
                <w:color w:val="000000"/>
                <w:sz w:val="20"/>
                <w:szCs w:val="20"/>
                <w:lang w:val="pl-PL" w:eastAsia="pl-PL"/>
              </w:rPr>
              <w:t>,</w:t>
            </w:r>
          </w:p>
          <w:p w14:paraId="700AE5A0" w14:textId="279ECA4B" w:rsidR="00AB3992" w:rsidRPr="003D1E47" w:rsidRDefault="007C752B"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aktywności </w:t>
            </w:r>
            <w:r w:rsidR="00AB3992" w:rsidRPr="003D1E47">
              <w:rPr>
                <w:rFonts w:ascii="Times New Roman" w:eastAsia="Times New Roman" w:hAnsi="Times New Roman"/>
                <w:color w:val="000000"/>
                <w:sz w:val="20"/>
                <w:szCs w:val="20"/>
                <w:lang w:val="pl-PL" w:eastAsia="pl-PL"/>
              </w:rPr>
              <w:t>aminotransferaz</w:t>
            </w:r>
            <w:r w:rsidRPr="003D1E47">
              <w:rPr>
                <w:rFonts w:ascii="Times New Roman" w:eastAsia="Times New Roman" w:hAnsi="Times New Roman"/>
                <w:color w:val="000000"/>
                <w:sz w:val="20"/>
                <w:szCs w:val="20"/>
                <w:lang w:val="pl-PL" w:eastAsia="pl-PL"/>
              </w:rPr>
              <w:t>y</w:t>
            </w:r>
            <w:r w:rsidR="0053696C" w:rsidRPr="003D1E47">
              <w:rPr>
                <w:rFonts w:ascii="Times New Roman" w:eastAsia="Times New Roman" w:hAnsi="Times New Roman"/>
                <w:color w:val="000000"/>
                <w:sz w:val="20"/>
                <w:szCs w:val="20"/>
                <w:lang w:val="pl-PL" w:eastAsia="pl-PL"/>
              </w:rPr>
              <w:t xml:space="preserve"> </w:t>
            </w:r>
            <w:proofErr w:type="spellStart"/>
            <w:r w:rsidR="00AB3992" w:rsidRPr="003D1E47">
              <w:rPr>
                <w:rFonts w:ascii="Times New Roman" w:eastAsia="Times New Roman" w:hAnsi="Times New Roman"/>
                <w:color w:val="000000"/>
                <w:sz w:val="20"/>
                <w:szCs w:val="20"/>
                <w:lang w:val="pl-PL" w:eastAsia="pl-PL"/>
              </w:rPr>
              <w:t>asparaginianow</w:t>
            </w:r>
            <w:r w:rsidRPr="003D1E47">
              <w:rPr>
                <w:rFonts w:ascii="Times New Roman" w:eastAsia="Times New Roman" w:hAnsi="Times New Roman"/>
                <w:color w:val="000000"/>
                <w:sz w:val="20"/>
                <w:szCs w:val="20"/>
                <w:lang w:val="pl-PL" w:eastAsia="pl-PL"/>
              </w:rPr>
              <w:t>ej</w:t>
            </w:r>
            <w:proofErr w:type="spellEnd"/>
            <w:r w:rsidR="00AB3992" w:rsidRPr="003D1E47">
              <w:rPr>
                <w:rFonts w:ascii="Times New Roman" w:eastAsia="Times New Roman" w:hAnsi="Times New Roman"/>
                <w:color w:val="000000"/>
                <w:sz w:val="20"/>
                <w:szCs w:val="20"/>
                <w:lang w:val="pl-PL" w:eastAsia="pl-PL"/>
              </w:rPr>
              <w:t xml:space="preserve"> (</w:t>
            </w:r>
            <w:proofErr w:type="spellStart"/>
            <w:r w:rsidR="00AB3992" w:rsidRPr="003D1E47">
              <w:rPr>
                <w:rFonts w:ascii="Times New Roman" w:eastAsia="Times New Roman" w:hAnsi="Times New Roman"/>
                <w:color w:val="000000"/>
                <w:sz w:val="20"/>
                <w:szCs w:val="20"/>
                <w:lang w:val="pl-PL" w:eastAsia="pl-PL"/>
              </w:rPr>
              <w:t>AspAT</w:t>
            </w:r>
            <w:proofErr w:type="spellEnd"/>
            <w:r w:rsidR="00AB3992" w:rsidRPr="003D1E47">
              <w:rPr>
                <w:rFonts w:ascii="Times New Roman" w:eastAsia="Times New Roman" w:hAnsi="Times New Roman"/>
                <w:color w:val="000000"/>
                <w:sz w:val="20"/>
                <w:szCs w:val="20"/>
                <w:lang w:val="pl-PL" w:eastAsia="pl-PL"/>
              </w:rPr>
              <w:t>)</w:t>
            </w:r>
            <w:r w:rsidR="00680096" w:rsidRPr="003D1E47">
              <w:rPr>
                <w:rFonts w:ascii="Times New Roman" w:eastAsia="Times New Roman" w:hAnsi="Times New Roman"/>
                <w:color w:val="000000"/>
                <w:sz w:val="20"/>
                <w:szCs w:val="20"/>
                <w:lang w:val="pl-PL" w:eastAsia="pl-PL"/>
              </w:rPr>
              <w:t>,</w:t>
            </w:r>
          </w:p>
          <w:p w14:paraId="3D3E4BD4" w14:textId="27693A51" w:rsidR="00173B9B" w:rsidRPr="003D1E47" w:rsidRDefault="007C752B"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aktywności </w:t>
            </w:r>
            <w:r w:rsidR="00AB3992" w:rsidRPr="003D1E47">
              <w:rPr>
                <w:rFonts w:ascii="Times New Roman" w:eastAsia="Times New Roman" w:hAnsi="Times New Roman"/>
                <w:color w:val="000000"/>
                <w:sz w:val="20"/>
                <w:szCs w:val="20"/>
                <w:lang w:val="pl-PL" w:eastAsia="pl-PL"/>
              </w:rPr>
              <w:t>aminotransferaz</w:t>
            </w:r>
            <w:r w:rsidR="006B15B8" w:rsidRPr="003D1E47">
              <w:rPr>
                <w:rFonts w:ascii="Times New Roman" w:eastAsia="Times New Roman" w:hAnsi="Times New Roman"/>
                <w:color w:val="000000"/>
                <w:sz w:val="20"/>
                <w:szCs w:val="20"/>
                <w:lang w:val="pl-PL" w:eastAsia="pl-PL"/>
              </w:rPr>
              <w:t>y</w:t>
            </w:r>
            <w:r w:rsidR="0053696C" w:rsidRPr="003D1E47">
              <w:rPr>
                <w:rFonts w:ascii="Times New Roman" w:eastAsia="Times New Roman" w:hAnsi="Times New Roman"/>
                <w:color w:val="000000"/>
                <w:sz w:val="20"/>
                <w:szCs w:val="20"/>
                <w:lang w:val="pl-PL" w:eastAsia="pl-PL"/>
              </w:rPr>
              <w:t xml:space="preserve"> </w:t>
            </w:r>
            <w:r w:rsidR="00AB3992" w:rsidRPr="003D1E47">
              <w:rPr>
                <w:rFonts w:ascii="Times New Roman" w:eastAsia="Times New Roman" w:hAnsi="Times New Roman"/>
                <w:color w:val="000000"/>
                <w:sz w:val="20"/>
                <w:szCs w:val="20"/>
                <w:lang w:val="pl-PL" w:eastAsia="pl-PL"/>
              </w:rPr>
              <w:t>alaninow</w:t>
            </w:r>
            <w:r w:rsidR="006B15B8" w:rsidRPr="003D1E47">
              <w:rPr>
                <w:rFonts w:ascii="Times New Roman" w:eastAsia="Times New Roman" w:hAnsi="Times New Roman"/>
                <w:color w:val="000000"/>
                <w:sz w:val="20"/>
                <w:szCs w:val="20"/>
                <w:lang w:val="pl-PL" w:eastAsia="pl-PL"/>
              </w:rPr>
              <w:t>ej</w:t>
            </w:r>
            <w:r w:rsidR="00AB3992" w:rsidRPr="003D1E47">
              <w:rPr>
                <w:rFonts w:ascii="Times New Roman" w:eastAsia="Times New Roman" w:hAnsi="Times New Roman"/>
                <w:color w:val="000000"/>
                <w:sz w:val="20"/>
                <w:szCs w:val="20"/>
                <w:lang w:val="pl-PL" w:eastAsia="pl-PL"/>
              </w:rPr>
              <w:t xml:space="preserve"> (</w:t>
            </w:r>
            <w:proofErr w:type="spellStart"/>
            <w:r w:rsidR="00AB3992" w:rsidRPr="003D1E47">
              <w:rPr>
                <w:rFonts w:ascii="Times New Roman" w:eastAsia="Times New Roman" w:hAnsi="Times New Roman"/>
                <w:color w:val="000000"/>
                <w:sz w:val="20"/>
                <w:szCs w:val="20"/>
                <w:lang w:val="pl-PL" w:eastAsia="pl-PL"/>
              </w:rPr>
              <w:t>AlAT</w:t>
            </w:r>
            <w:proofErr w:type="spellEnd"/>
            <w:r w:rsidR="00AB3992" w:rsidRPr="003D1E47">
              <w:rPr>
                <w:rFonts w:ascii="Times New Roman" w:eastAsia="Times New Roman" w:hAnsi="Times New Roman"/>
                <w:color w:val="000000"/>
                <w:sz w:val="20"/>
                <w:szCs w:val="20"/>
                <w:lang w:val="pl-PL" w:eastAsia="pl-PL"/>
              </w:rPr>
              <w:t>)</w:t>
            </w:r>
            <w:r w:rsidR="00680096" w:rsidRPr="003D1E47">
              <w:rPr>
                <w:rFonts w:ascii="Times New Roman" w:eastAsia="Times New Roman" w:hAnsi="Times New Roman"/>
                <w:color w:val="000000"/>
                <w:sz w:val="20"/>
                <w:szCs w:val="20"/>
                <w:lang w:val="pl-PL" w:eastAsia="pl-PL"/>
              </w:rPr>
              <w:t>,</w:t>
            </w:r>
          </w:p>
          <w:p w14:paraId="3345643F" w14:textId="3DCBA490" w:rsidR="00AB7228" w:rsidRPr="003D1E47" w:rsidRDefault="008A1006"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oznaczenie stężenia NT-</w:t>
            </w:r>
            <w:proofErr w:type="spellStart"/>
            <w:r w:rsidRPr="003D1E47">
              <w:rPr>
                <w:rFonts w:ascii="Times New Roman" w:eastAsia="Times New Roman" w:hAnsi="Times New Roman"/>
                <w:color w:val="000000"/>
                <w:sz w:val="20"/>
                <w:szCs w:val="20"/>
                <w:lang w:val="pl-PL" w:eastAsia="pl-PL"/>
              </w:rPr>
              <w:t>proBNP</w:t>
            </w:r>
            <w:proofErr w:type="spellEnd"/>
            <w:r w:rsidR="00AB7228" w:rsidRPr="003D1E47">
              <w:rPr>
                <w:rFonts w:ascii="Times New Roman" w:eastAsia="Times New Roman" w:hAnsi="Times New Roman"/>
                <w:color w:val="000000"/>
                <w:sz w:val="20"/>
                <w:szCs w:val="20"/>
                <w:lang w:val="pl-PL" w:eastAsia="pl-PL"/>
              </w:rPr>
              <w:t xml:space="preserve"> </w:t>
            </w:r>
            <w:r w:rsidR="00D0278F" w:rsidRPr="003D1E47">
              <w:rPr>
                <w:rFonts w:ascii="Times New Roman" w:eastAsia="Times New Roman" w:hAnsi="Times New Roman"/>
                <w:color w:val="000000"/>
                <w:sz w:val="20"/>
                <w:szCs w:val="20"/>
                <w:lang w:val="pl-PL" w:eastAsia="pl-PL"/>
              </w:rPr>
              <w:t xml:space="preserve">(do decyzji lekarza) </w:t>
            </w:r>
            <w:r w:rsidR="00AB7228" w:rsidRPr="003D1E47">
              <w:rPr>
                <w:rFonts w:ascii="Times New Roman" w:eastAsia="Times New Roman" w:hAnsi="Times New Roman"/>
                <w:color w:val="000000"/>
                <w:sz w:val="20"/>
                <w:szCs w:val="20"/>
                <w:lang w:val="pl-PL" w:eastAsia="pl-PL"/>
              </w:rPr>
              <w:t xml:space="preserve">– dotyczy kwalifikacji do leczenia </w:t>
            </w:r>
            <w:proofErr w:type="spellStart"/>
            <w:r w:rsidR="00AB7228" w:rsidRPr="003D1E47">
              <w:rPr>
                <w:rFonts w:ascii="Times New Roman" w:eastAsia="Times New Roman" w:hAnsi="Times New Roman"/>
                <w:color w:val="000000"/>
                <w:sz w:val="20"/>
                <w:szCs w:val="20"/>
                <w:lang w:val="pl-PL" w:eastAsia="pl-PL"/>
              </w:rPr>
              <w:t>SSc</w:t>
            </w:r>
            <w:proofErr w:type="spellEnd"/>
            <w:r w:rsidR="00AB7228" w:rsidRPr="003D1E47">
              <w:rPr>
                <w:rFonts w:ascii="Times New Roman" w:eastAsia="Times New Roman" w:hAnsi="Times New Roman"/>
                <w:color w:val="000000"/>
                <w:sz w:val="20"/>
                <w:szCs w:val="20"/>
                <w:lang w:val="pl-PL" w:eastAsia="pl-PL"/>
              </w:rPr>
              <w:t>-ILD</w:t>
            </w:r>
            <w:r w:rsidRPr="003D1E47">
              <w:rPr>
                <w:rFonts w:ascii="Times New Roman" w:eastAsia="Times New Roman" w:hAnsi="Times New Roman"/>
                <w:color w:val="000000"/>
                <w:sz w:val="20"/>
                <w:szCs w:val="20"/>
                <w:lang w:val="pl-PL" w:eastAsia="pl-PL"/>
              </w:rPr>
              <w:t>,</w:t>
            </w:r>
          </w:p>
          <w:p w14:paraId="1CC57793" w14:textId="13803C68" w:rsidR="00B40DA5" w:rsidRPr="003D1E47" w:rsidRDefault="00AB7228"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oznaczenie stężenia czynnika reumatoidalnego RF</w:t>
            </w:r>
            <w:r w:rsidR="004E6EF7" w:rsidRPr="003D1E47">
              <w:rPr>
                <w:rFonts w:ascii="Times New Roman" w:eastAsia="Times New Roman" w:hAnsi="Times New Roman"/>
                <w:color w:val="000000"/>
                <w:sz w:val="20"/>
                <w:szCs w:val="20"/>
                <w:lang w:val="pl-PL" w:eastAsia="pl-PL"/>
              </w:rPr>
              <w:t xml:space="preserve"> </w:t>
            </w:r>
            <w:r w:rsidR="00F367D6" w:rsidRPr="003D1E47">
              <w:rPr>
                <w:rFonts w:ascii="Times New Roman" w:eastAsia="Times New Roman" w:hAnsi="Times New Roman"/>
                <w:color w:val="000000"/>
                <w:sz w:val="20"/>
                <w:szCs w:val="20"/>
                <w:lang w:val="pl-PL" w:eastAsia="pl-PL"/>
              </w:rPr>
              <w:t xml:space="preserve">– dotyczy kwalifikacji </w:t>
            </w:r>
            <w:r w:rsidR="00FD6B3A" w:rsidRPr="003D1E47">
              <w:rPr>
                <w:rFonts w:ascii="Times New Roman" w:eastAsia="Times New Roman" w:hAnsi="Times New Roman"/>
                <w:color w:val="000000"/>
                <w:sz w:val="20"/>
                <w:szCs w:val="20"/>
                <w:lang w:val="pl-PL" w:eastAsia="pl-PL"/>
              </w:rPr>
              <w:t>do leczenia PF-ILD</w:t>
            </w:r>
            <w:r w:rsidR="00B40DA5" w:rsidRPr="003D1E47">
              <w:rPr>
                <w:rFonts w:ascii="Times New Roman" w:eastAsia="Times New Roman" w:hAnsi="Times New Roman"/>
                <w:color w:val="000000"/>
                <w:sz w:val="20"/>
                <w:szCs w:val="20"/>
                <w:lang w:val="pl-PL" w:eastAsia="pl-PL"/>
              </w:rPr>
              <w:t>,</w:t>
            </w:r>
          </w:p>
          <w:p w14:paraId="36CE2956" w14:textId="64660AF3" w:rsidR="00B40DA5" w:rsidRPr="003D1E47" w:rsidRDefault="00AB7228"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miana p/ciał </w:t>
            </w:r>
            <w:proofErr w:type="spellStart"/>
            <w:r w:rsidRPr="003D1E47">
              <w:rPr>
                <w:rFonts w:ascii="Times New Roman" w:eastAsia="Times New Roman" w:hAnsi="Times New Roman"/>
                <w:color w:val="000000"/>
                <w:sz w:val="20"/>
                <w:szCs w:val="20"/>
                <w:lang w:val="pl-PL" w:eastAsia="pl-PL"/>
              </w:rPr>
              <w:t>aCCP</w:t>
            </w:r>
            <w:proofErr w:type="spellEnd"/>
            <w:r w:rsidR="00DB427E" w:rsidRPr="003D1E47">
              <w:rPr>
                <w:rFonts w:ascii="Times New Roman" w:eastAsia="Times New Roman" w:hAnsi="Times New Roman"/>
                <w:color w:val="000000"/>
                <w:sz w:val="20"/>
                <w:szCs w:val="20"/>
                <w:lang w:val="pl-PL" w:eastAsia="pl-PL"/>
              </w:rPr>
              <w:t xml:space="preserve"> (</w:t>
            </w:r>
            <w:r w:rsidR="007F4FDD" w:rsidRPr="003D1E47">
              <w:rPr>
                <w:rFonts w:ascii="Times New Roman" w:eastAsia="Times New Roman" w:hAnsi="Times New Roman"/>
                <w:color w:val="000000"/>
                <w:sz w:val="20"/>
                <w:szCs w:val="20"/>
                <w:lang w:val="pl-PL" w:eastAsia="pl-PL"/>
              </w:rPr>
              <w:t>dotyczy kwalifikacji do PF-ILD)</w:t>
            </w:r>
            <w:r w:rsidR="00B40DA5" w:rsidRPr="003D1E47">
              <w:rPr>
                <w:rFonts w:ascii="Times New Roman" w:eastAsia="Times New Roman" w:hAnsi="Times New Roman"/>
                <w:color w:val="000000"/>
                <w:sz w:val="20"/>
                <w:szCs w:val="20"/>
                <w:lang w:val="pl-PL" w:eastAsia="pl-PL"/>
              </w:rPr>
              <w:t>,</w:t>
            </w:r>
          </w:p>
          <w:p w14:paraId="507DB17F" w14:textId="6CDD5B4D" w:rsidR="00B40DA5" w:rsidRPr="003D1E47" w:rsidRDefault="00AB7228"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lastRenderedPageBreak/>
              <w:t>oznaczenie miana p/ciał c-ANCA i p-ANCA</w:t>
            </w:r>
            <w:r w:rsidR="007F4FDD" w:rsidRPr="003D1E47">
              <w:rPr>
                <w:rFonts w:ascii="Times New Roman" w:eastAsia="Times New Roman" w:hAnsi="Times New Roman"/>
                <w:color w:val="000000"/>
                <w:sz w:val="20"/>
                <w:szCs w:val="20"/>
                <w:lang w:val="pl-PL" w:eastAsia="pl-PL"/>
              </w:rPr>
              <w:t xml:space="preserve"> (dotyczy kwalifikacji do PF-ILD)</w:t>
            </w:r>
            <w:r w:rsidR="00B40DA5" w:rsidRPr="003D1E47">
              <w:rPr>
                <w:rFonts w:ascii="Times New Roman" w:eastAsia="Times New Roman" w:hAnsi="Times New Roman"/>
                <w:color w:val="000000"/>
                <w:sz w:val="20"/>
                <w:szCs w:val="20"/>
                <w:lang w:val="pl-PL" w:eastAsia="pl-PL"/>
              </w:rPr>
              <w:t>,</w:t>
            </w:r>
          </w:p>
          <w:p w14:paraId="4BBB87FA" w14:textId="758431F4" w:rsidR="009241EF" w:rsidRPr="003D1E47" w:rsidRDefault="00EC0AB4"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 </w:t>
            </w:r>
            <w:r w:rsidR="006B15B8" w:rsidRPr="003D1E47">
              <w:rPr>
                <w:rFonts w:ascii="Times New Roman" w:eastAsia="Times New Roman" w:hAnsi="Times New Roman"/>
                <w:color w:val="000000"/>
                <w:sz w:val="20"/>
                <w:szCs w:val="20"/>
                <w:lang w:val="pl-PL" w:eastAsia="pl-PL"/>
              </w:rPr>
              <w:t xml:space="preserve">oznaczenie </w:t>
            </w:r>
            <w:r w:rsidR="009241EF" w:rsidRPr="003D1E47">
              <w:rPr>
                <w:rFonts w:ascii="Times New Roman" w:eastAsia="Times New Roman" w:hAnsi="Times New Roman"/>
                <w:color w:val="000000"/>
                <w:sz w:val="20"/>
                <w:szCs w:val="20"/>
                <w:lang w:val="pl-PL" w:eastAsia="pl-PL"/>
              </w:rPr>
              <w:t>mian</w:t>
            </w:r>
            <w:r w:rsidR="006B15B8" w:rsidRPr="003D1E47">
              <w:rPr>
                <w:rFonts w:ascii="Times New Roman" w:eastAsia="Times New Roman" w:hAnsi="Times New Roman"/>
                <w:color w:val="000000"/>
                <w:sz w:val="20"/>
                <w:szCs w:val="20"/>
                <w:lang w:val="pl-PL" w:eastAsia="pl-PL"/>
              </w:rPr>
              <w:t>a</w:t>
            </w:r>
            <w:r w:rsidR="009241EF" w:rsidRPr="003D1E47">
              <w:rPr>
                <w:rFonts w:ascii="Times New Roman" w:eastAsia="Times New Roman" w:hAnsi="Times New Roman"/>
                <w:color w:val="000000"/>
                <w:sz w:val="20"/>
                <w:szCs w:val="20"/>
                <w:lang w:val="pl-PL" w:eastAsia="pl-PL"/>
              </w:rPr>
              <w:t xml:space="preserve"> p/ciał przeciwjądrowych (ANA)</w:t>
            </w:r>
            <w:r w:rsidR="00BD286B" w:rsidRPr="003D1E47">
              <w:rPr>
                <w:rFonts w:ascii="Times New Roman" w:eastAsia="Times New Roman" w:hAnsi="Times New Roman"/>
                <w:color w:val="000000"/>
                <w:sz w:val="20"/>
                <w:szCs w:val="20"/>
                <w:lang w:val="pl-PL" w:eastAsia="pl-PL"/>
              </w:rPr>
              <w:t xml:space="preserve"> met. IF</w:t>
            </w:r>
            <w:r w:rsidR="00680096" w:rsidRPr="003D1E47">
              <w:rPr>
                <w:rFonts w:ascii="Times New Roman" w:eastAsia="Times New Roman" w:hAnsi="Times New Roman"/>
                <w:color w:val="000000"/>
                <w:sz w:val="20"/>
                <w:szCs w:val="20"/>
                <w:lang w:val="pl-PL" w:eastAsia="pl-PL"/>
              </w:rPr>
              <w:t>,</w:t>
            </w:r>
            <w:r w:rsidR="00432400" w:rsidRPr="003D1E47">
              <w:rPr>
                <w:rFonts w:ascii="Times New Roman" w:eastAsia="Times New Roman" w:hAnsi="Times New Roman"/>
                <w:color w:val="000000"/>
                <w:sz w:val="20"/>
                <w:szCs w:val="20"/>
                <w:lang w:val="pl-PL" w:eastAsia="pl-PL"/>
              </w:rPr>
              <w:t xml:space="preserve"> a w przypadku wyniku dodatniego oznaczenie profilu ANA</w:t>
            </w:r>
            <w:r w:rsidR="000E2DC9" w:rsidRPr="003D1E47">
              <w:rPr>
                <w:rFonts w:ascii="Times New Roman" w:eastAsia="Times New Roman" w:hAnsi="Times New Roman"/>
                <w:color w:val="000000"/>
                <w:sz w:val="20"/>
                <w:szCs w:val="20"/>
                <w:lang w:val="pl-PL" w:eastAsia="pl-PL"/>
              </w:rPr>
              <w:t>,</w:t>
            </w:r>
          </w:p>
          <w:p w14:paraId="055736B9" w14:textId="2D3120A6" w:rsidR="000E2DC9" w:rsidRPr="003D1E47" w:rsidRDefault="006B15B8"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w:t>
            </w:r>
            <w:r w:rsidR="009241EF" w:rsidRPr="003D1E47">
              <w:rPr>
                <w:rFonts w:ascii="Times New Roman" w:eastAsia="Times New Roman" w:hAnsi="Times New Roman"/>
                <w:color w:val="000000"/>
                <w:sz w:val="20"/>
                <w:szCs w:val="20"/>
                <w:lang w:val="pl-PL" w:eastAsia="pl-PL"/>
              </w:rPr>
              <w:t>profil</w:t>
            </w:r>
            <w:r w:rsidRPr="003D1E47">
              <w:rPr>
                <w:rFonts w:ascii="Times New Roman" w:eastAsia="Times New Roman" w:hAnsi="Times New Roman"/>
                <w:color w:val="000000"/>
                <w:sz w:val="20"/>
                <w:szCs w:val="20"/>
                <w:lang w:val="pl-PL" w:eastAsia="pl-PL"/>
              </w:rPr>
              <w:t>u</w:t>
            </w:r>
            <w:r w:rsidR="009241EF" w:rsidRPr="003D1E47">
              <w:rPr>
                <w:rFonts w:ascii="Times New Roman" w:eastAsia="Times New Roman" w:hAnsi="Times New Roman"/>
                <w:color w:val="000000"/>
                <w:sz w:val="20"/>
                <w:szCs w:val="20"/>
                <w:lang w:val="pl-PL" w:eastAsia="pl-PL"/>
              </w:rPr>
              <w:t xml:space="preserve"> ANA</w:t>
            </w:r>
            <w:r w:rsidR="00BD286B" w:rsidRPr="003D1E47">
              <w:rPr>
                <w:rFonts w:ascii="Times New Roman" w:eastAsia="Times New Roman" w:hAnsi="Times New Roman"/>
                <w:color w:val="000000"/>
                <w:sz w:val="20"/>
                <w:szCs w:val="20"/>
                <w:lang w:val="pl-PL" w:eastAsia="pl-PL"/>
              </w:rPr>
              <w:t xml:space="preserve"> obejmując</w:t>
            </w:r>
            <w:r w:rsidRPr="003D1E47">
              <w:rPr>
                <w:rFonts w:ascii="Times New Roman" w:eastAsia="Times New Roman" w:hAnsi="Times New Roman"/>
                <w:color w:val="000000"/>
                <w:sz w:val="20"/>
                <w:szCs w:val="20"/>
                <w:lang w:val="pl-PL" w:eastAsia="pl-PL"/>
              </w:rPr>
              <w:t>ego</w:t>
            </w:r>
            <w:r w:rsidR="00BD286B" w:rsidRPr="003D1E47">
              <w:rPr>
                <w:rFonts w:ascii="Times New Roman" w:eastAsia="Times New Roman" w:hAnsi="Times New Roman"/>
                <w:color w:val="000000"/>
                <w:sz w:val="20"/>
                <w:szCs w:val="20"/>
                <w:lang w:val="pl-PL" w:eastAsia="pl-PL"/>
              </w:rPr>
              <w:t xml:space="preserve"> min. </w:t>
            </w:r>
            <w:r w:rsidR="008140E4" w:rsidRPr="003D1E47">
              <w:rPr>
                <w:rFonts w:ascii="Times New Roman" w:eastAsia="Times New Roman" w:hAnsi="Times New Roman"/>
                <w:color w:val="000000"/>
                <w:sz w:val="20"/>
                <w:szCs w:val="20"/>
                <w:lang w:val="pl-PL" w:eastAsia="pl-PL"/>
              </w:rPr>
              <w:t>anty-</w:t>
            </w:r>
            <w:r w:rsidR="00BD286B" w:rsidRPr="003D1E47">
              <w:rPr>
                <w:rFonts w:ascii="Times New Roman" w:eastAsia="Times New Roman" w:hAnsi="Times New Roman"/>
                <w:color w:val="000000"/>
                <w:sz w:val="20"/>
                <w:szCs w:val="20"/>
                <w:lang w:val="pl-PL" w:eastAsia="pl-PL"/>
              </w:rPr>
              <w:t xml:space="preserve">Scl-70, </w:t>
            </w:r>
            <w:r w:rsidR="008140E4" w:rsidRPr="003D1E47">
              <w:rPr>
                <w:rFonts w:ascii="Times New Roman" w:eastAsia="Times New Roman" w:hAnsi="Times New Roman"/>
                <w:color w:val="000000"/>
                <w:sz w:val="20"/>
                <w:szCs w:val="20"/>
                <w:lang w:val="pl-PL" w:eastAsia="pl-PL"/>
              </w:rPr>
              <w:t xml:space="preserve">przeciwciała </w:t>
            </w:r>
            <w:proofErr w:type="spellStart"/>
            <w:r w:rsidR="008140E4" w:rsidRPr="003D1E47">
              <w:rPr>
                <w:rFonts w:ascii="Times New Roman" w:eastAsia="Times New Roman" w:hAnsi="Times New Roman"/>
                <w:color w:val="000000"/>
                <w:sz w:val="20"/>
                <w:szCs w:val="20"/>
                <w:lang w:val="pl-PL" w:eastAsia="pl-PL"/>
              </w:rPr>
              <w:t>anty</w:t>
            </w:r>
            <w:r w:rsidR="00BD286B" w:rsidRPr="003D1E47">
              <w:rPr>
                <w:rFonts w:ascii="Times New Roman" w:eastAsia="Times New Roman" w:hAnsi="Times New Roman"/>
                <w:color w:val="000000"/>
                <w:sz w:val="20"/>
                <w:szCs w:val="20"/>
                <w:lang w:val="pl-PL" w:eastAsia="pl-PL"/>
              </w:rPr>
              <w:t>centromer</w:t>
            </w:r>
            <w:r w:rsidR="00D82AD6" w:rsidRPr="003D1E47">
              <w:rPr>
                <w:rFonts w:ascii="Times New Roman" w:eastAsia="Times New Roman" w:hAnsi="Times New Roman"/>
                <w:color w:val="000000"/>
                <w:sz w:val="20"/>
                <w:szCs w:val="20"/>
                <w:lang w:val="pl-PL" w:eastAsia="pl-PL"/>
              </w:rPr>
              <w:t>o</w:t>
            </w:r>
            <w:r w:rsidR="008140E4" w:rsidRPr="003D1E47">
              <w:rPr>
                <w:rFonts w:ascii="Times New Roman" w:eastAsia="Times New Roman" w:hAnsi="Times New Roman"/>
                <w:color w:val="000000"/>
                <w:sz w:val="20"/>
                <w:szCs w:val="20"/>
                <w:lang w:val="pl-PL" w:eastAsia="pl-PL"/>
              </w:rPr>
              <w:t>we</w:t>
            </w:r>
            <w:proofErr w:type="spellEnd"/>
            <w:r w:rsidR="00BD286B" w:rsidRPr="003D1E47">
              <w:rPr>
                <w:rFonts w:ascii="Times New Roman" w:eastAsia="Times New Roman" w:hAnsi="Times New Roman"/>
                <w:color w:val="000000"/>
                <w:sz w:val="20"/>
                <w:szCs w:val="20"/>
                <w:lang w:val="pl-PL" w:eastAsia="pl-PL"/>
              </w:rPr>
              <w:t xml:space="preserve"> i </w:t>
            </w:r>
            <w:r w:rsidR="008140E4" w:rsidRPr="003D1E47">
              <w:rPr>
                <w:rFonts w:ascii="Times New Roman" w:eastAsia="Times New Roman" w:hAnsi="Times New Roman"/>
                <w:color w:val="000000"/>
                <w:sz w:val="20"/>
                <w:szCs w:val="20"/>
                <w:lang w:val="pl-PL" w:eastAsia="pl-PL"/>
              </w:rPr>
              <w:t xml:space="preserve">przeciwko </w:t>
            </w:r>
            <w:r w:rsidR="00BD286B" w:rsidRPr="003D1E47">
              <w:rPr>
                <w:rFonts w:ascii="Times New Roman" w:eastAsia="Times New Roman" w:hAnsi="Times New Roman"/>
                <w:color w:val="000000"/>
                <w:sz w:val="20"/>
                <w:szCs w:val="20"/>
                <w:lang w:val="pl-PL" w:eastAsia="pl-PL"/>
              </w:rPr>
              <w:t>polimeraz</w:t>
            </w:r>
            <w:r w:rsidR="008140E4" w:rsidRPr="003D1E47">
              <w:rPr>
                <w:rFonts w:ascii="Times New Roman" w:eastAsia="Times New Roman" w:hAnsi="Times New Roman"/>
                <w:color w:val="000000"/>
                <w:sz w:val="20"/>
                <w:szCs w:val="20"/>
                <w:lang w:val="pl-PL" w:eastAsia="pl-PL"/>
              </w:rPr>
              <w:t>ie RNA</w:t>
            </w:r>
            <w:r w:rsidR="00BD286B" w:rsidRPr="003D1E47">
              <w:rPr>
                <w:rFonts w:ascii="Times New Roman" w:eastAsia="Times New Roman" w:hAnsi="Times New Roman"/>
                <w:color w:val="000000"/>
                <w:sz w:val="20"/>
                <w:szCs w:val="20"/>
                <w:lang w:val="pl-PL" w:eastAsia="pl-PL"/>
              </w:rPr>
              <w:t xml:space="preserve"> III</w:t>
            </w:r>
            <w:r w:rsidR="00081F35" w:rsidRPr="003D1E47">
              <w:rPr>
                <w:rFonts w:ascii="Times New Roman" w:eastAsia="Times New Roman" w:hAnsi="Times New Roman"/>
                <w:color w:val="000000"/>
                <w:sz w:val="20"/>
                <w:szCs w:val="20"/>
                <w:lang w:val="pl-PL" w:eastAsia="pl-PL"/>
              </w:rPr>
              <w:t xml:space="preserve"> - </w:t>
            </w:r>
            <w:r w:rsidR="00172359" w:rsidRPr="003D1E47">
              <w:rPr>
                <w:rFonts w:ascii="Times New Roman" w:eastAsia="Times New Roman" w:hAnsi="Times New Roman"/>
                <w:color w:val="000000"/>
                <w:sz w:val="20"/>
                <w:szCs w:val="20"/>
                <w:lang w:val="pl-PL" w:eastAsia="pl-PL"/>
              </w:rPr>
              <w:t xml:space="preserve">dotyczy kwalifikacji do leczenia </w:t>
            </w:r>
            <w:proofErr w:type="spellStart"/>
            <w:r w:rsidR="00172359" w:rsidRPr="003D1E47">
              <w:rPr>
                <w:rFonts w:ascii="Times New Roman" w:eastAsia="Times New Roman" w:hAnsi="Times New Roman"/>
                <w:color w:val="000000"/>
                <w:sz w:val="20"/>
                <w:szCs w:val="20"/>
                <w:lang w:val="pl-PL" w:eastAsia="pl-PL"/>
              </w:rPr>
              <w:t>SSc</w:t>
            </w:r>
            <w:proofErr w:type="spellEnd"/>
            <w:r w:rsidR="00172359" w:rsidRPr="003D1E47">
              <w:rPr>
                <w:rFonts w:ascii="Times New Roman" w:eastAsia="Times New Roman" w:hAnsi="Times New Roman"/>
                <w:color w:val="000000"/>
                <w:sz w:val="20"/>
                <w:szCs w:val="20"/>
                <w:lang w:val="pl-PL" w:eastAsia="pl-PL"/>
              </w:rPr>
              <w:t>-ILD</w:t>
            </w:r>
            <w:r w:rsidR="00FD6B3A" w:rsidRPr="003D1E47">
              <w:rPr>
                <w:rFonts w:ascii="Times New Roman" w:eastAsia="Times New Roman" w:hAnsi="Times New Roman"/>
                <w:color w:val="000000"/>
                <w:sz w:val="20"/>
                <w:szCs w:val="20"/>
                <w:lang w:val="pl-PL" w:eastAsia="pl-PL"/>
              </w:rPr>
              <w:t>,</w:t>
            </w:r>
          </w:p>
          <w:p w14:paraId="399A30B3" w14:textId="055DA639" w:rsidR="00680096" w:rsidRPr="003D1E47" w:rsidRDefault="00680096"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badanie ogólne moczu</w:t>
            </w:r>
            <w:r w:rsidR="002E7B41" w:rsidRPr="003D1E47">
              <w:rPr>
                <w:rFonts w:ascii="Times New Roman" w:eastAsia="Times New Roman" w:hAnsi="Times New Roman"/>
                <w:color w:val="000000"/>
                <w:sz w:val="20"/>
                <w:szCs w:val="20"/>
                <w:lang w:val="pl-PL" w:eastAsia="pl-PL"/>
              </w:rPr>
              <w:t xml:space="preserve"> </w:t>
            </w:r>
            <w:r w:rsidR="00470D5F" w:rsidRPr="003D1E47">
              <w:rPr>
                <w:rFonts w:ascii="Times New Roman" w:eastAsia="Times New Roman" w:hAnsi="Times New Roman"/>
                <w:color w:val="000000"/>
                <w:sz w:val="20"/>
                <w:szCs w:val="20"/>
                <w:lang w:val="pl-PL" w:eastAsia="pl-PL"/>
              </w:rPr>
              <w:t>(</w:t>
            </w:r>
            <w:r w:rsidR="002E7B41" w:rsidRPr="003D1E47">
              <w:rPr>
                <w:rFonts w:ascii="Times New Roman" w:eastAsia="Times New Roman" w:hAnsi="Times New Roman"/>
                <w:color w:val="000000"/>
                <w:sz w:val="20"/>
                <w:szCs w:val="20"/>
                <w:lang w:val="pl-PL" w:eastAsia="pl-PL"/>
              </w:rPr>
              <w:t>do decyzji lekarza</w:t>
            </w:r>
            <w:r w:rsidR="00470D5F" w:rsidRPr="003D1E47">
              <w:rPr>
                <w:rFonts w:ascii="Times New Roman" w:eastAsia="Times New Roman" w:hAnsi="Times New Roman"/>
                <w:color w:val="000000"/>
                <w:sz w:val="20"/>
                <w:szCs w:val="20"/>
                <w:lang w:val="pl-PL" w:eastAsia="pl-PL"/>
              </w:rPr>
              <w:t>),</w:t>
            </w:r>
          </w:p>
          <w:p w14:paraId="6B4B149F" w14:textId="77777777" w:rsidR="00AB7228" w:rsidRPr="003D1E47" w:rsidRDefault="00AB7228"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badanie </w:t>
            </w:r>
            <w:proofErr w:type="spellStart"/>
            <w:r w:rsidRPr="003D1E47">
              <w:rPr>
                <w:rFonts w:ascii="Times New Roman" w:eastAsia="Times New Roman" w:hAnsi="Times New Roman"/>
                <w:color w:val="000000"/>
                <w:sz w:val="20"/>
                <w:szCs w:val="20"/>
                <w:lang w:val="pl-PL" w:eastAsia="pl-PL"/>
              </w:rPr>
              <w:t>kapilaroskopowe</w:t>
            </w:r>
            <w:proofErr w:type="spellEnd"/>
            <w:r w:rsidRPr="003D1E47">
              <w:rPr>
                <w:rFonts w:ascii="Times New Roman" w:eastAsia="Times New Roman" w:hAnsi="Times New Roman"/>
                <w:color w:val="000000"/>
                <w:sz w:val="20"/>
                <w:szCs w:val="20"/>
                <w:lang w:val="pl-PL" w:eastAsia="pl-PL"/>
              </w:rPr>
              <w:t xml:space="preserve"> – dotyczy kwalifikacji do leczenia </w:t>
            </w:r>
            <w:proofErr w:type="spellStart"/>
            <w:r w:rsidRPr="003D1E47">
              <w:rPr>
                <w:rFonts w:ascii="Times New Roman" w:eastAsia="Times New Roman" w:hAnsi="Times New Roman"/>
                <w:color w:val="000000"/>
                <w:sz w:val="20"/>
                <w:szCs w:val="20"/>
                <w:lang w:val="pl-PL" w:eastAsia="pl-PL"/>
              </w:rPr>
              <w:t>SSc</w:t>
            </w:r>
            <w:proofErr w:type="spellEnd"/>
            <w:r w:rsidRPr="003D1E47">
              <w:rPr>
                <w:rFonts w:ascii="Times New Roman" w:eastAsia="Times New Roman" w:hAnsi="Times New Roman"/>
                <w:color w:val="000000"/>
                <w:sz w:val="20"/>
                <w:szCs w:val="20"/>
                <w:lang w:val="pl-PL" w:eastAsia="pl-PL"/>
              </w:rPr>
              <w:t>-ILD,</w:t>
            </w:r>
          </w:p>
          <w:p w14:paraId="057E9D36" w14:textId="17E51A31" w:rsidR="00AB3992" w:rsidRPr="003D1E47" w:rsidRDefault="00AE347E"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 badanie elektrokardiograficzne</w:t>
            </w:r>
            <w:r w:rsidR="0003619F" w:rsidRPr="003D1E47">
              <w:rPr>
                <w:rFonts w:ascii="Times New Roman" w:eastAsia="Times New Roman" w:hAnsi="Times New Roman"/>
                <w:color w:val="000000"/>
                <w:sz w:val="20"/>
                <w:szCs w:val="20"/>
                <w:lang w:val="pl-PL" w:eastAsia="pl-PL"/>
              </w:rPr>
              <w:t xml:space="preserve"> (</w:t>
            </w:r>
            <w:r w:rsidR="007B1685" w:rsidRPr="003D1E47">
              <w:rPr>
                <w:rFonts w:ascii="Times New Roman" w:eastAsia="Times New Roman" w:hAnsi="Times New Roman"/>
                <w:color w:val="000000"/>
                <w:sz w:val="20"/>
                <w:szCs w:val="20"/>
                <w:lang w:val="pl-PL" w:eastAsia="pl-PL"/>
              </w:rPr>
              <w:t>EKG</w:t>
            </w:r>
            <w:r w:rsidR="0003619F" w:rsidRPr="003D1E47">
              <w:rPr>
                <w:rFonts w:ascii="Times New Roman" w:eastAsia="Times New Roman" w:hAnsi="Times New Roman"/>
                <w:color w:val="000000"/>
                <w:sz w:val="20"/>
                <w:szCs w:val="20"/>
                <w:lang w:val="pl-PL" w:eastAsia="pl-PL"/>
              </w:rPr>
              <w:t>)</w:t>
            </w:r>
            <w:r w:rsidR="00680096" w:rsidRPr="003D1E47">
              <w:rPr>
                <w:rFonts w:ascii="Times New Roman" w:eastAsia="Times New Roman" w:hAnsi="Times New Roman"/>
                <w:color w:val="000000"/>
                <w:sz w:val="20"/>
                <w:szCs w:val="20"/>
                <w:lang w:val="pl-PL" w:eastAsia="pl-PL"/>
              </w:rPr>
              <w:t>,</w:t>
            </w:r>
          </w:p>
          <w:p w14:paraId="6561C5A1" w14:textId="4FF54D5D" w:rsidR="0072504D" w:rsidRPr="003D1E47" w:rsidRDefault="00E571FE"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badanie </w:t>
            </w:r>
            <w:r w:rsidR="0003619F" w:rsidRPr="003D1E47">
              <w:rPr>
                <w:rFonts w:ascii="Times New Roman" w:eastAsia="Times New Roman" w:hAnsi="Times New Roman"/>
                <w:color w:val="000000"/>
                <w:sz w:val="20"/>
                <w:szCs w:val="20"/>
                <w:lang w:val="pl-PL" w:eastAsia="pl-PL"/>
              </w:rPr>
              <w:t>ECHO serca</w:t>
            </w:r>
            <w:r w:rsidR="00680096" w:rsidRPr="003D1E47">
              <w:rPr>
                <w:rFonts w:ascii="Times New Roman" w:eastAsia="Times New Roman" w:hAnsi="Times New Roman"/>
                <w:color w:val="000000"/>
                <w:sz w:val="20"/>
                <w:szCs w:val="20"/>
                <w:lang w:val="pl-PL" w:eastAsia="pl-PL"/>
              </w:rPr>
              <w:t>,</w:t>
            </w:r>
          </w:p>
          <w:p w14:paraId="72E7A759" w14:textId="3115EF4F" w:rsidR="00AB3992" w:rsidRPr="003D1E47" w:rsidRDefault="00E571FE"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badanie </w:t>
            </w:r>
            <w:r w:rsidR="00680096" w:rsidRPr="003D1E47">
              <w:rPr>
                <w:rFonts w:ascii="Times New Roman" w:eastAsia="Times New Roman" w:hAnsi="Times New Roman"/>
                <w:color w:val="000000"/>
                <w:sz w:val="20"/>
                <w:szCs w:val="20"/>
                <w:lang w:val="pl-PL" w:eastAsia="pl-PL"/>
              </w:rPr>
              <w:t>s</w:t>
            </w:r>
            <w:r w:rsidR="00AB3992" w:rsidRPr="003D1E47">
              <w:rPr>
                <w:rFonts w:ascii="Times New Roman" w:eastAsia="Times New Roman" w:hAnsi="Times New Roman"/>
                <w:color w:val="000000"/>
                <w:sz w:val="20"/>
                <w:szCs w:val="20"/>
                <w:lang w:val="pl-PL" w:eastAsia="pl-PL"/>
              </w:rPr>
              <w:t>pirometr</w:t>
            </w:r>
            <w:r w:rsidRPr="003D1E47">
              <w:rPr>
                <w:rFonts w:ascii="Times New Roman" w:eastAsia="Times New Roman" w:hAnsi="Times New Roman"/>
                <w:color w:val="000000"/>
                <w:sz w:val="20"/>
                <w:szCs w:val="20"/>
                <w:lang w:val="pl-PL" w:eastAsia="pl-PL"/>
              </w:rPr>
              <w:t>yczne</w:t>
            </w:r>
            <w:r w:rsidR="00D53679" w:rsidRPr="003D1E47">
              <w:rPr>
                <w:rFonts w:ascii="Times New Roman" w:eastAsia="Times New Roman" w:hAnsi="Times New Roman"/>
                <w:color w:val="000000"/>
                <w:sz w:val="20"/>
                <w:szCs w:val="20"/>
                <w:lang w:val="pl-PL" w:eastAsia="pl-PL"/>
              </w:rPr>
              <w:t xml:space="preserve"> (maksymalnie do 3 m-</w:t>
            </w:r>
            <w:proofErr w:type="spellStart"/>
            <w:r w:rsidR="00D53679" w:rsidRPr="003D1E47">
              <w:rPr>
                <w:rFonts w:ascii="Times New Roman" w:eastAsia="Times New Roman" w:hAnsi="Times New Roman"/>
                <w:color w:val="000000"/>
                <w:sz w:val="20"/>
                <w:szCs w:val="20"/>
                <w:lang w:val="pl-PL" w:eastAsia="pl-PL"/>
              </w:rPr>
              <w:t>cy</w:t>
            </w:r>
            <w:proofErr w:type="spellEnd"/>
            <w:r w:rsidR="00D53679" w:rsidRPr="003D1E47">
              <w:rPr>
                <w:rFonts w:ascii="Times New Roman" w:eastAsia="Times New Roman" w:hAnsi="Times New Roman"/>
                <w:color w:val="000000"/>
                <w:sz w:val="20"/>
                <w:szCs w:val="20"/>
                <w:lang w:val="pl-PL" w:eastAsia="pl-PL"/>
              </w:rPr>
              <w:t xml:space="preserve"> przed kwalifikacją),</w:t>
            </w:r>
          </w:p>
          <w:p w14:paraId="1472B51F" w14:textId="2B1DC2B5" w:rsidR="00AF36F6" w:rsidRPr="003D1E47" w:rsidRDefault="00E571FE"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badanie </w:t>
            </w:r>
            <w:r w:rsidR="00FD6B3A" w:rsidRPr="003D1E47">
              <w:rPr>
                <w:rFonts w:ascii="Times New Roman" w:eastAsia="Times New Roman" w:hAnsi="Times New Roman"/>
                <w:color w:val="000000"/>
                <w:sz w:val="20"/>
                <w:szCs w:val="20"/>
                <w:lang w:val="pl-PL" w:eastAsia="pl-PL"/>
              </w:rPr>
              <w:t>w</w:t>
            </w:r>
            <w:r w:rsidR="002E7B41" w:rsidRPr="003D1E47">
              <w:rPr>
                <w:rFonts w:ascii="Times New Roman" w:eastAsia="Times New Roman" w:hAnsi="Times New Roman"/>
                <w:color w:val="000000"/>
                <w:sz w:val="20"/>
                <w:szCs w:val="20"/>
                <w:lang w:val="pl-PL" w:eastAsia="pl-PL"/>
              </w:rPr>
              <w:t>skaźnik</w:t>
            </w:r>
            <w:r w:rsidR="007F4FDD" w:rsidRPr="003D1E47">
              <w:rPr>
                <w:rFonts w:ascii="Times New Roman" w:eastAsia="Times New Roman" w:hAnsi="Times New Roman"/>
                <w:color w:val="000000"/>
                <w:sz w:val="20"/>
                <w:szCs w:val="20"/>
                <w:lang w:val="pl-PL" w:eastAsia="pl-PL"/>
              </w:rPr>
              <w:t>a</w:t>
            </w:r>
            <w:r w:rsidR="002E7B41" w:rsidRPr="003D1E47">
              <w:rPr>
                <w:rFonts w:ascii="Times New Roman" w:eastAsia="Times New Roman" w:hAnsi="Times New Roman"/>
                <w:color w:val="000000"/>
                <w:sz w:val="20"/>
                <w:szCs w:val="20"/>
                <w:lang w:val="pl-PL" w:eastAsia="pl-PL"/>
              </w:rPr>
              <w:t xml:space="preserve"> transferu płucnego</w:t>
            </w:r>
            <w:r w:rsidR="006A5BD2" w:rsidRPr="003D1E47">
              <w:rPr>
                <w:rFonts w:ascii="Times New Roman" w:eastAsia="Times New Roman" w:hAnsi="Times New Roman"/>
                <w:color w:val="000000"/>
                <w:sz w:val="20"/>
                <w:szCs w:val="20"/>
                <w:lang w:val="pl-PL" w:eastAsia="pl-PL"/>
              </w:rPr>
              <w:t xml:space="preserve"> dla </w:t>
            </w:r>
            <w:r w:rsidR="000F1776" w:rsidRPr="003D1E47">
              <w:rPr>
                <w:rFonts w:ascii="Times New Roman" w:eastAsia="Times New Roman" w:hAnsi="Times New Roman"/>
                <w:color w:val="000000"/>
                <w:sz w:val="20"/>
                <w:szCs w:val="20"/>
                <w:lang w:val="pl-PL" w:eastAsia="pl-PL"/>
              </w:rPr>
              <w:t>CO</w:t>
            </w:r>
            <w:r w:rsidR="008C5BB4" w:rsidRPr="003D1E47">
              <w:rPr>
                <w:rFonts w:ascii="Times New Roman" w:eastAsia="Times New Roman" w:hAnsi="Times New Roman"/>
                <w:color w:val="000000"/>
                <w:sz w:val="20"/>
                <w:szCs w:val="20"/>
                <w:lang w:val="pl-PL" w:eastAsia="pl-PL"/>
              </w:rPr>
              <w:t xml:space="preserve"> (</w:t>
            </w:r>
            <w:proofErr w:type="spellStart"/>
            <w:r w:rsidR="0031135E" w:rsidRPr="003D1E47">
              <w:rPr>
                <w:rFonts w:ascii="Times New Roman" w:eastAsia="Times New Roman" w:hAnsi="Times New Roman"/>
                <w:color w:val="000000"/>
                <w:sz w:val="20"/>
                <w:szCs w:val="20"/>
                <w:lang w:val="pl-PL" w:eastAsia="pl-PL"/>
              </w:rPr>
              <w:t>T</w:t>
            </w:r>
            <w:r w:rsidR="008C5BB4" w:rsidRPr="003D1E47">
              <w:rPr>
                <w:rFonts w:ascii="Times New Roman" w:eastAsia="Times New Roman" w:hAnsi="Times New Roman"/>
                <w:color w:val="000000"/>
                <w:sz w:val="20"/>
                <w:szCs w:val="20"/>
                <w:lang w:val="pl-PL" w:eastAsia="pl-PL"/>
              </w:rPr>
              <w:t>L</w:t>
            </w:r>
            <w:r w:rsidR="002E7B41" w:rsidRPr="003D1E47">
              <w:rPr>
                <w:rFonts w:ascii="Times New Roman" w:eastAsia="Times New Roman" w:hAnsi="Times New Roman"/>
                <w:color w:val="000000"/>
                <w:sz w:val="20"/>
                <w:szCs w:val="20"/>
                <w:lang w:val="pl-PL" w:eastAsia="pl-PL"/>
              </w:rPr>
              <w:t>co</w:t>
            </w:r>
            <w:proofErr w:type="spellEnd"/>
            <w:r w:rsidR="00AB3992" w:rsidRPr="003D1E47">
              <w:rPr>
                <w:rFonts w:ascii="Times New Roman" w:eastAsia="Times New Roman" w:hAnsi="Times New Roman"/>
                <w:color w:val="000000"/>
                <w:sz w:val="20"/>
                <w:szCs w:val="20"/>
                <w:lang w:val="pl-PL" w:eastAsia="pl-PL"/>
              </w:rPr>
              <w:t>)</w:t>
            </w:r>
            <w:r w:rsidR="00D53679" w:rsidRPr="003D1E47">
              <w:rPr>
                <w:rFonts w:ascii="Times New Roman" w:eastAsia="Times New Roman" w:hAnsi="Times New Roman"/>
                <w:color w:val="000000"/>
                <w:sz w:val="20"/>
                <w:szCs w:val="20"/>
                <w:lang w:val="pl-PL" w:eastAsia="pl-PL"/>
              </w:rPr>
              <w:t xml:space="preserve"> (maksymalnie do 3 m-</w:t>
            </w:r>
            <w:proofErr w:type="spellStart"/>
            <w:r w:rsidR="00D53679" w:rsidRPr="003D1E47">
              <w:rPr>
                <w:rFonts w:ascii="Times New Roman" w:eastAsia="Times New Roman" w:hAnsi="Times New Roman"/>
                <w:color w:val="000000"/>
                <w:sz w:val="20"/>
                <w:szCs w:val="20"/>
                <w:lang w:val="pl-PL" w:eastAsia="pl-PL"/>
              </w:rPr>
              <w:t>cy</w:t>
            </w:r>
            <w:proofErr w:type="spellEnd"/>
            <w:r w:rsidR="00D53679" w:rsidRPr="003D1E47">
              <w:rPr>
                <w:rFonts w:ascii="Times New Roman" w:eastAsia="Times New Roman" w:hAnsi="Times New Roman"/>
                <w:color w:val="000000"/>
                <w:sz w:val="20"/>
                <w:szCs w:val="20"/>
                <w:lang w:val="pl-PL" w:eastAsia="pl-PL"/>
              </w:rPr>
              <w:t xml:space="preserve"> przed kwalifikacją),</w:t>
            </w:r>
          </w:p>
          <w:p w14:paraId="1145C014" w14:textId="71257306" w:rsidR="00AB3992" w:rsidRPr="003D1E47" w:rsidRDefault="00E571FE"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badanie </w:t>
            </w:r>
            <w:r w:rsidR="00AB3992" w:rsidRPr="003D1E47">
              <w:rPr>
                <w:rFonts w:ascii="Times New Roman" w:eastAsia="Times New Roman" w:hAnsi="Times New Roman"/>
                <w:color w:val="000000"/>
                <w:sz w:val="20"/>
                <w:szCs w:val="20"/>
                <w:lang w:val="pl-PL" w:eastAsia="pl-PL"/>
              </w:rPr>
              <w:t>TK</w:t>
            </w:r>
            <w:r w:rsidR="008B39FF" w:rsidRPr="003D1E47">
              <w:rPr>
                <w:rFonts w:ascii="Times New Roman" w:eastAsia="Times New Roman" w:hAnsi="Times New Roman"/>
                <w:color w:val="000000"/>
                <w:sz w:val="20"/>
                <w:szCs w:val="20"/>
                <w:lang w:val="pl-PL" w:eastAsia="pl-PL"/>
              </w:rPr>
              <w:t xml:space="preserve"> </w:t>
            </w:r>
            <w:r w:rsidR="00AB3992" w:rsidRPr="003D1E47">
              <w:rPr>
                <w:rFonts w:ascii="Times New Roman" w:eastAsia="Times New Roman" w:hAnsi="Times New Roman"/>
                <w:color w:val="000000"/>
                <w:sz w:val="20"/>
                <w:szCs w:val="20"/>
                <w:lang w:val="pl-PL" w:eastAsia="pl-PL"/>
              </w:rPr>
              <w:t xml:space="preserve">wysokiej rozdzielczości </w:t>
            </w:r>
            <w:r w:rsidR="00B63A7E" w:rsidRPr="003D1E47">
              <w:rPr>
                <w:rFonts w:ascii="Times New Roman" w:eastAsia="Times New Roman" w:hAnsi="Times New Roman"/>
                <w:color w:val="000000"/>
                <w:sz w:val="20"/>
                <w:szCs w:val="20"/>
                <w:lang w:val="pl-PL" w:eastAsia="pl-PL"/>
              </w:rPr>
              <w:t>klatki piersiowej (</w:t>
            </w:r>
            <w:r w:rsidR="0031135E" w:rsidRPr="003D1E47">
              <w:rPr>
                <w:rFonts w:ascii="Times New Roman" w:eastAsia="Times New Roman" w:hAnsi="Times New Roman"/>
                <w:color w:val="000000"/>
                <w:sz w:val="20"/>
                <w:szCs w:val="20"/>
                <w:lang w:val="pl-PL" w:eastAsia="pl-PL"/>
              </w:rPr>
              <w:t>TKWR</w:t>
            </w:r>
            <w:r w:rsidR="00B63A7E" w:rsidRPr="003D1E47">
              <w:rPr>
                <w:rFonts w:ascii="Times New Roman" w:eastAsia="Times New Roman" w:hAnsi="Times New Roman"/>
                <w:color w:val="000000"/>
                <w:sz w:val="20"/>
                <w:szCs w:val="20"/>
                <w:lang w:val="pl-PL" w:eastAsia="pl-PL"/>
              </w:rPr>
              <w:t>)</w:t>
            </w:r>
            <w:r w:rsidR="009241EF" w:rsidRPr="003D1E47">
              <w:rPr>
                <w:rFonts w:ascii="Times New Roman" w:eastAsia="Times New Roman" w:hAnsi="Times New Roman"/>
                <w:color w:val="000000"/>
                <w:sz w:val="20"/>
                <w:szCs w:val="20"/>
                <w:lang w:val="pl-PL" w:eastAsia="pl-PL"/>
              </w:rPr>
              <w:t xml:space="preserve"> (maksymalnie do </w:t>
            </w:r>
            <w:r w:rsidR="00340383" w:rsidRPr="003D1E47">
              <w:rPr>
                <w:rFonts w:ascii="Times New Roman" w:eastAsia="Times New Roman" w:hAnsi="Times New Roman"/>
                <w:color w:val="000000"/>
                <w:sz w:val="20"/>
                <w:szCs w:val="20"/>
                <w:lang w:val="pl-PL" w:eastAsia="pl-PL"/>
              </w:rPr>
              <w:t>12</w:t>
            </w:r>
            <w:r w:rsidR="009241EF" w:rsidRPr="003D1E47">
              <w:rPr>
                <w:rFonts w:ascii="Times New Roman" w:eastAsia="Times New Roman" w:hAnsi="Times New Roman"/>
                <w:color w:val="000000"/>
                <w:sz w:val="20"/>
                <w:szCs w:val="20"/>
                <w:lang w:val="pl-PL" w:eastAsia="pl-PL"/>
              </w:rPr>
              <w:t xml:space="preserve"> m-</w:t>
            </w:r>
            <w:proofErr w:type="spellStart"/>
            <w:r w:rsidR="009241EF" w:rsidRPr="003D1E47">
              <w:rPr>
                <w:rFonts w:ascii="Times New Roman" w:eastAsia="Times New Roman" w:hAnsi="Times New Roman"/>
                <w:color w:val="000000"/>
                <w:sz w:val="20"/>
                <w:szCs w:val="20"/>
                <w:lang w:val="pl-PL" w:eastAsia="pl-PL"/>
              </w:rPr>
              <w:t>cy</w:t>
            </w:r>
            <w:proofErr w:type="spellEnd"/>
            <w:r w:rsidR="009241EF" w:rsidRPr="003D1E47">
              <w:rPr>
                <w:rFonts w:ascii="Times New Roman" w:eastAsia="Times New Roman" w:hAnsi="Times New Roman"/>
                <w:color w:val="000000"/>
                <w:sz w:val="20"/>
                <w:szCs w:val="20"/>
                <w:lang w:val="pl-PL" w:eastAsia="pl-PL"/>
              </w:rPr>
              <w:t xml:space="preserve"> przed kwalifikacją)</w:t>
            </w:r>
            <w:r w:rsidR="00680096" w:rsidRPr="003D1E47">
              <w:rPr>
                <w:rFonts w:ascii="Times New Roman" w:eastAsia="Times New Roman" w:hAnsi="Times New Roman"/>
                <w:color w:val="000000"/>
                <w:sz w:val="20"/>
                <w:szCs w:val="20"/>
                <w:lang w:val="pl-PL" w:eastAsia="pl-PL"/>
              </w:rPr>
              <w:t>,</w:t>
            </w:r>
          </w:p>
          <w:p w14:paraId="3BE67E48" w14:textId="635483D0" w:rsidR="00B63A7E" w:rsidRPr="003D1E47" w:rsidRDefault="006C597D"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badanie </w:t>
            </w:r>
            <w:r w:rsidR="0053696C" w:rsidRPr="003D1E47">
              <w:rPr>
                <w:rFonts w:ascii="Times New Roman" w:eastAsia="Times New Roman" w:hAnsi="Times New Roman"/>
                <w:color w:val="000000"/>
                <w:sz w:val="20"/>
                <w:szCs w:val="20"/>
                <w:lang w:val="pl-PL" w:eastAsia="pl-PL"/>
              </w:rPr>
              <w:t>g</w:t>
            </w:r>
            <w:r w:rsidR="00B63A7E" w:rsidRPr="003D1E47">
              <w:rPr>
                <w:rFonts w:ascii="Times New Roman" w:eastAsia="Times New Roman" w:hAnsi="Times New Roman"/>
                <w:color w:val="000000"/>
                <w:sz w:val="20"/>
                <w:szCs w:val="20"/>
                <w:lang w:val="pl-PL" w:eastAsia="pl-PL"/>
              </w:rPr>
              <w:t>azometri</w:t>
            </w:r>
            <w:r w:rsidRPr="003D1E47">
              <w:rPr>
                <w:rFonts w:ascii="Times New Roman" w:eastAsia="Times New Roman" w:hAnsi="Times New Roman"/>
                <w:color w:val="000000"/>
                <w:sz w:val="20"/>
                <w:szCs w:val="20"/>
                <w:lang w:val="pl-PL" w:eastAsia="pl-PL"/>
              </w:rPr>
              <w:t>i</w:t>
            </w:r>
            <w:r w:rsidR="0053696C" w:rsidRPr="003D1E47">
              <w:rPr>
                <w:rFonts w:ascii="Times New Roman" w:eastAsia="Times New Roman" w:hAnsi="Times New Roman"/>
                <w:color w:val="000000"/>
                <w:sz w:val="20"/>
                <w:szCs w:val="20"/>
                <w:lang w:val="pl-PL" w:eastAsia="pl-PL"/>
              </w:rPr>
              <w:t xml:space="preserve"> </w:t>
            </w:r>
            <w:r w:rsidR="00B63A7E" w:rsidRPr="003D1E47">
              <w:rPr>
                <w:rFonts w:ascii="Times New Roman" w:eastAsia="Times New Roman" w:hAnsi="Times New Roman"/>
                <w:color w:val="000000"/>
                <w:sz w:val="20"/>
                <w:szCs w:val="20"/>
                <w:lang w:val="pl-PL" w:eastAsia="pl-PL"/>
              </w:rPr>
              <w:t>krwi</w:t>
            </w:r>
            <w:r w:rsidR="0053696C" w:rsidRPr="003D1E47">
              <w:rPr>
                <w:rFonts w:ascii="Times New Roman" w:eastAsia="Times New Roman" w:hAnsi="Times New Roman"/>
                <w:color w:val="000000"/>
                <w:sz w:val="20"/>
                <w:szCs w:val="20"/>
                <w:lang w:val="pl-PL" w:eastAsia="pl-PL"/>
              </w:rPr>
              <w:t xml:space="preserve"> </w:t>
            </w:r>
            <w:r w:rsidR="00B63A7E" w:rsidRPr="003D1E47">
              <w:rPr>
                <w:rFonts w:ascii="Times New Roman" w:eastAsia="Times New Roman" w:hAnsi="Times New Roman"/>
                <w:color w:val="000000"/>
                <w:sz w:val="20"/>
                <w:szCs w:val="20"/>
                <w:lang w:val="pl-PL" w:eastAsia="pl-PL"/>
              </w:rPr>
              <w:t>lub</w:t>
            </w:r>
            <w:r w:rsidR="0053696C" w:rsidRPr="003D1E47">
              <w:rPr>
                <w:rFonts w:ascii="Times New Roman" w:eastAsia="Times New Roman" w:hAnsi="Times New Roman"/>
                <w:color w:val="000000"/>
                <w:sz w:val="20"/>
                <w:szCs w:val="20"/>
                <w:lang w:val="pl-PL" w:eastAsia="pl-PL"/>
              </w:rPr>
              <w:t xml:space="preserve"> </w:t>
            </w:r>
            <w:proofErr w:type="spellStart"/>
            <w:r w:rsidR="00B63A7E" w:rsidRPr="003D1E47">
              <w:rPr>
                <w:rFonts w:ascii="Times New Roman" w:eastAsia="Times New Roman" w:hAnsi="Times New Roman"/>
                <w:color w:val="000000"/>
                <w:sz w:val="20"/>
                <w:szCs w:val="20"/>
                <w:lang w:val="pl-PL" w:eastAsia="pl-PL"/>
              </w:rPr>
              <w:t>pulsoksymetria</w:t>
            </w:r>
            <w:proofErr w:type="spellEnd"/>
            <w:r w:rsidR="00680096" w:rsidRPr="003D1E47">
              <w:rPr>
                <w:rFonts w:ascii="Times New Roman" w:eastAsia="Times New Roman" w:hAnsi="Times New Roman"/>
                <w:color w:val="000000"/>
                <w:sz w:val="20"/>
                <w:szCs w:val="20"/>
                <w:lang w:val="pl-PL" w:eastAsia="pl-PL"/>
              </w:rPr>
              <w:t>,</w:t>
            </w:r>
          </w:p>
          <w:p w14:paraId="148760C8" w14:textId="21B0EDFA" w:rsidR="000D21A0" w:rsidRPr="003D1E47" w:rsidRDefault="006D6C83"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konsultacja pulmonologiczna </w:t>
            </w:r>
            <w:r w:rsidR="005E6A62" w:rsidRPr="003D1E47">
              <w:rPr>
                <w:rFonts w:ascii="Times New Roman" w:eastAsia="Times New Roman" w:hAnsi="Times New Roman"/>
                <w:color w:val="000000"/>
                <w:sz w:val="20"/>
                <w:szCs w:val="20"/>
                <w:lang w:val="pl-PL" w:eastAsia="pl-PL"/>
              </w:rPr>
              <w:t xml:space="preserve">lub reumatologiczna </w:t>
            </w:r>
            <w:r w:rsidRPr="003D1E47">
              <w:rPr>
                <w:rFonts w:ascii="Times New Roman" w:eastAsia="Times New Roman" w:hAnsi="Times New Roman"/>
                <w:color w:val="000000"/>
                <w:sz w:val="20"/>
                <w:szCs w:val="20"/>
                <w:lang w:val="pl-PL" w:eastAsia="pl-PL"/>
              </w:rPr>
              <w:t>(do decyzji lekarza)</w:t>
            </w:r>
            <w:r w:rsidR="00713EFD" w:rsidRPr="003D1E47">
              <w:rPr>
                <w:rFonts w:ascii="Times New Roman" w:eastAsia="Times New Roman" w:hAnsi="Times New Roman"/>
                <w:color w:val="000000"/>
                <w:sz w:val="20"/>
                <w:szCs w:val="20"/>
                <w:lang w:val="pl-PL" w:eastAsia="pl-PL"/>
              </w:rPr>
              <w:t>,</w:t>
            </w:r>
          </w:p>
          <w:p w14:paraId="32337210" w14:textId="7FB67199" w:rsidR="006C597D" w:rsidRPr="003D1E47" w:rsidRDefault="006C597D"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test ciążowy (u kobiet w wieku rozrodczym),</w:t>
            </w:r>
          </w:p>
          <w:p w14:paraId="775E0C29" w14:textId="7E13D895" w:rsidR="00332643" w:rsidRPr="003D1E47" w:rsidRDefault="002020C6"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d</w:t>
            </w:r>
            <w:r w:rsidR="00332643" w:rsidRPr="003D1E47">
              <w:rPr>
                <w:rFonts w:ascii="Times New Roman" w:eastAsia="Times New Roman" w:hAnsi="Times New Roman"/>
                <w:color w:val="000000"/>
                <w:sz w:val="20"/>
                <w:szCs w:val="20"/>
                <w:lang w:val="pl-PL" w:eastAsia="pl-PL"/>
              </w:rPr>
              <w:t xml:space="preserve">odatkowo w przypadku kwalifikacji do leczenia </w:t>
            </w:r>
            <w:proofErr w:type="spellStart"/>
            <w:r w:rsidRPr="003D1E47">
              <w:rPr>
                <w:rFonts w:ascii="Times New Roman" w:eastAsia="Times New Roman" w:hAnsi="Times New Roman"/>
                <w:color w:val="000000"/>
                <w:sz w:val="20"/>
                <w:szCs w:val="20"/>
                <w:lang w:val="pl-PL" w:eastAsia="pl-PL"/>
              </w:rPr>
              <w:t>nintedanibem</w:t>
            </w:r>
            <w:proofErr w:type="spellEnd"/>
            <w:r w:rsidRPr="003D1E47">
              <w:rPr>
                <w:rFonts w:ascii="Times New Roman" w:eastAsia="Times New Roman" w:hAnsi="Times New Roman"/>
                <w:color w:val="000000"/>
                <w:sz w:val="20"/>
                <w:szCs w:val="20"/>
                <w:lang w:val="pl-PL" w:eastAsia="pl-PL"/>
              </w:rPr>
              <w:t>:</w:t>
            </w:r>
          </w:p>
          <w:p w14:paraId="64B6F0E4" w14:textId="78FA2C63" w:rsidR="002020C6" w:rsidRPr="003D1E47" w:rsidRDefault="001F4255"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oznaczenie stężenia bilirubiny w surowicy,</w:t>
            </w:r>
          </w:p>
          <w:p w14:paraId="1070772D" w14:textId="6FF7222C" w:rsidR="001F4255" w:rsidRPr="003D1E47" w:rsidRDefault="005A771E"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czasu </w:t>
            </w:r>
            <w:proofErr w:type="spellStart"/>
            <w:r w:rsidRPr="003D1E47">
              <w:rPr>
                <w:rFonts w:ascii="Times New Roman" w:eastAsia="Times New Roman" w:hAnsi="Times New Roman"/>
                <w:color w:val="000000"/>
                <w:sz w:val="20"/>
                <w:szCs w:val="20"/>
                <w:lang w:val="pl-PL" w:eastAsia="pl-PL"/>
              </w:rPr>
              <w:t>kaolinowo-kefalinowego</w:t>
            </w:r>
            <w:proofErr w:type="spellEnd"/>
            <w:r w:rsidRPr="003D1E47">
              <w:rPr>
                <w:rFonts w:ascii="Times New Roman" w:eastAsia="Times New Roman" w:hAnsi="Times New Roman"/>
                <w:color w:val="000000"/>
                <w:sz w:val="20"/>
                <w:szCs w:val="20"/>
                <w:lang w:val="pl-PL" w:eastAsia="pl-PL"/>
              </w:rPr>
              <w:t xml:space="preserve"> (APTT),</w:t>
            </w:r>
          </w:p>
          <w:p w14:paraId="5F994A60" w14:textId="4538B9D0" w:rsidR="005A771E" w:rsidRPr="003D1E47" w:rsidRDefault="00D97808"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oznaczenie wskaźnika INR,</w:t>
            </w:r>
          </w:p>
          <w:p w14:paraId="0387A58D" w14:textId="4E0F7542" w:rsidR="002020C6" w:rsidRPr="003D1E47" w:rsidRDefault="00AE1BBD"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dodatkowo w przypadku kwalifikacji do leczenia </w:t>
            </w:r>
            <w:proofErr w:type="spellStart"/>
            <w:r w:rsidRPr="003D1E47">
              <w:rPr>
                <w:rFonts w:ascii="Times New Roman" w:eastAsia="Times New Roman" w:hAnsi="Times New Roman"/>
                <w:color w:val="000000"/>
                <w:sz w:val="20"/>
                <w:szCs w:val="20"/>
                <w:lang w:val="pl-PL" w:eastAsia="pl-PL"/>
              </w:rPr>
              <w:t>rytuksymabem</w:t>
            </w:r>
            <w:proofErr w:type="spellEnd"/>
            <w:r w:rsidRPr="003D1E47">
              <w:rPr>
                <w:rFonts w:ascii="Times New Roman" w:eastAsia="Times New Roman" w:hAnsi="Times New Roman"/>
                <w:color w:val="000000"/>
                <w:sz w:val="20"/>
                <w:szCs w:val="20"/>
                <w:lang w:val="pl-PL" w:eastAsia="pl-PL"/>
              </w:rPr>
              <w:t>:</w:t>
            </w:r>
          </w:p>
          <w:p w14:paraId="2AC5B2A5" w14:textId="0F0909C4" w:rsidR="00AE1BBD" w:rsidRPr="003D1E47" w:rsidRDefault="00AE1BBD"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lastRenderedPageBreak/>
              <w:t>test IGRA,</w:t>
            </w:r>
          </w:p>
          <w:p w14:paraId="7E34D4B0" w14:textId="5C535BBB" w:rsidR="00AE1BBD" w:rsidRPr="003D1E47" w:rsidRDefault="00AE1BBD"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antygenu </w:t>
            </w:r>
            <w:proofErr w:type="spellStart"/>
            <w:r w:rsidRPr="003D1E47">
              <w:rPr>
                <w:rFonts w:ascii="Times New Roman" w:eastAsia="Times New Roman" w:hAnsi="Times New Roman"/>
                <w:color w:val="000000"/>
                <w:sz w:val="20"/>
                <w:szCs w:val="20"/>
                <w:lang w:val="pl-PL" w:eastAsia="pl-PL"/>
              </w:rPr>
              <w:t>HBs</w:t>
            </w:r>
            <w:proofErr w:type="spellEnd"/>
            <w:r w:rsidR="00A143D7" w:rsidRPr="003D1E47">
              <w:rPr>
                <w:rFonts w:ascii="Times New Roman" w:eastAsia="Times New Roman" w:hAnsi="Times New Roman"/>
                <w:color w:val="000000"/>
                <w:sz w:val="20"/>
                <w:szCs w:val="20"/>
                <w:lang w:val="pl-PL" w:eastAsia="pl-PL"/>
              </w:rPr>
              <w:t>,</w:t>
            </w:r>
          </w:p>
          <w:p w14:paraId="4D40F79B" w14:textId="3FAE88B1" w:rsidR="00A6531E" w:rsidRPr="003D1E47" w:rsidRDefault="00A6531E"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przeciwciał anty- </w:t>
            </w:r>
            <w:proofErr w:type="spellStart"/>
            <w:r w:rsidRPr="003D1E47">
              <w:rPr>
                <w:rFonts w:ascii="Times New Roman" w:eastAsia="Times New Roman" w:hAnsi="Times New Roman"/>
                <w:color w:val="000000"/>
                <w:sz w:val="20"/>
                <w:szCs w:val="20"/>
                <w:lang w:val="pl-PL" w:eastAsia="pl-PL"/>
              </w:rPr>
              <w:t>Hbc</w:t>
            </w:r>
            <w:proofErr w:type="spellEnd"/>
            <w:r w:rsidRPr="003D1E47">
              <w:rPr>
                <w:rFonts w:ascii="Times New Roman" w:eastAsia="Times New Roman" w:hAnsi="Times New Roman"/>
                <w:color w:val="000000"/>
                <w:sz w:val="20"/>
                <w:szCs w:val="20"/>
                <w:lang w:val="pl-PL" w:eastAsia="pl-PL"/>
              </w:rPr>
              <w:t>,</w:t>
            </w:r>
          </w:p>
          <w:p w14:paraId="0055EDC6" w14:textId="5177A83E" w:rsidR="00A143D7" w:rsidRPr="003D1E47" w:rsidRDefault="00A143D7"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oznaczenie przeciwciał anty-HCV</w:t>
            </w:r>
            <w:r w:rsidR="00426AE5" w:rsidRPr="003D1E47">
              <w:rPr>
                <w:rFonts w:ascii="Times New Roman" w:eastAsia="Times New Roman" w:hAnsi="Times New Roman"/>
                <w:color w:val="000000"/>
                <w:sz w:val="20"/>
                <w:szCs w:val="20"/>
                <w:lang w:val="pl-PL" w:eastAsia="pl-PL"/>
              </w:rPr>
              <w:t>,</w:t>
            </w:r>
          </w:p>
          <w:p w14:paraId="7EE4E4A8" w14:textId="78FA1AFF" w:rsidR="00426AE5" w:rsidRPr="003D1E47" w:rsidRDefault="00426AE5"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oznaczenie antygenu wirusa HIV (HIV Ag/Ab Combo)</w:t>
            </w:r>
            <w:r w:rsidR="00DD46A1" w:rsidRPr="003D1E47">
              <w:rPr>
                <w:rFonts w:ascii="Times New Roman" w:eastAsia="Times New Roman" w:hAnsi="Times New Roman"/>
                <w:color w:val="000000"/>
                <w:sz w:val="20"/>
                <w:szCs w:val="20"/>
                <w:lang w:val="pl-PL" w:eastAsia="pl-PL"/>
              </w:rPr>
              <w:t>,</w:t>
            </w:r>
          </w:p>
          <w:p w14:paraId="08FBCA2D" w14:textId="5DA58877" w:rsidR="00C82336" w:rsidRPr="003D1E47" w:rsidRDefault="007B6689"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w:t>
            </w:r>
            <w:r w:rsidR="00C82336" w:rsidRPr="003D1E47">
              <w:rPr>
                <w:rFonts w:ascii="Times New Roman" w:eastAsia="Times New Roman" w:hAnsi="Times New Roman"/>
                <w:color w:val="000000"/>
                <w:sz w:val="20"/>
                <w:szCs w:val="20"/>
                <w:lang w:val="pl-PL" w:eastAsia="pl-PL"/>
              </w:rPr>
              <w:t>stężeni</w:t>
            </w:r>
            <w:r w:rsidRPr="003D1E47">
              <w:rPr>
                <w:rFonts w:ascii="Times New Roman" w:eastAsia="Times New Roman" w:hAnsi="Times New Roman"/>
                <w:color w:val="000000"/>
                <w:sz w:val="20"/>
                <w:szCs w:val="20"/>
                <w:lang w:val="pl-PL" w:eastAsia="pl-PL"/>
              </w:rPr>
              <w:t>a</w:t>
            </w:r>
            <w:r w:rsidR="00C82336" w:rsidRPr="003D1E47">
              <w:rPr>
                <w:rFonts w:ascii="Times New Roman" w:eastAsia="Times New Roman" w:hAnsi="Times New Roman"/>
                <w:color w:val="000000"/>
                <w:sz w:val="20"/>
                <w:szCs w:val="20"/>
                <w:lang w:val="pl-PL" w:eastAsia="pl-PL"/>
              </w:rPr>
              <w:t xml:space="preserve"> </w:t>
            </w:r>
            <w:proofErr w:type="spellStart"/>
            <w:r w:rsidR="00C82336" w:rsidRPr="003D1E47">
              <w:rPr>
                <w:rFonts w:ascii="Times New Roman" w:eastAsia="Times New Roman" w:hAnsi="Times New Roman"/>
                <w:color w:val="000000"/>
                <w:sz w:val="20"/>
                <w:szCs w:val="20"/>
                <w:lang w:val="pl-PL" w:eastAsia="pl-PL"/>
              </w:rPr>
              <w:t>IgG</w:t>
            </w:r>
            <w:proofErr w:type="spellEnd"/>
            <w:r w:rsidR="00C82336" w:rsidRPr="003D1E47">
              <w:rPr>
                <w:rFonts w:ascii="Times New Roman" w:eastAsia="Times New Roman" w:hAnsi="Times New Roman"/>
                <w:color w:val="000000"/>
                <w:sz w:val="20"/>
                <w:szCs w:val="20"/>
                <w:lang w:val="pl-PL" w:eastAsia="pl-PL"/>
              </w:rPr>
              <w:t xml:space="preserve">, </w:t>
            </w:r>
            <w:proofErr w:type="spellStart"/>
            <w:r w:rsidR="00C82336" w:rsidRPr="003D1E47">
              <w:rPr>
                <w:rFonts w:ascii="Times New Roman" w:eastAsia="Times New Roman" w:hAnsi="Times New Roman"/>
                <w:color w:val="000000"/>
                <w:sz w:val="20"/>
                <w:szCs w:val="20"/>
                <w:lang w:val="pl-PL" w:eastAsia="pl-PL"/>
              </w:rPr>
              <w:t>IgM</w:t>
            </w:r>
            <w:proofErr w:type="spellEnd"/>
            <w:r w:rsidR="00C82336" w:rsidRPr="003D1E47">
              <w:rPr>
                <w:rFonts w:ascii="Times New Roman" w:eastAsia="Times New Roman" w:hAnsi="Times New Roman"/>
                <w:color w:val="000000"/>
                <w:sz w:val="20"/>
                <w:szCs w:val="20"/>
                <w:lang w:val="pl-PL" w:eastAsia="pl-PL"/>
              </w:rPr>
              <w:t xml:space="preserve">, </w:t>
            </w:r>
            <w:proofErr w:type="spellStart"/>
            <w:r w:rsidR="00C82336" w:rsidRPr="003D1E47">
              <w:rPr>
                <w:rFonts w:ascii="Times New Roman" w:eastAsia="Times New Roman" w:hAnsi="Times New Roman"/>
                <w:color w:val="000000"/>
                <w:sz w:val="20"/>
                <w:szCs w:val="20"/>
                <w:lang w:val="pl-PL" w:eastAsia="pl-PL"/>
              </w:rPr>
              <w:t>IgA</w:t>
            </w:r>
            <w:proofErr w:type="spellEnd"/>
            <w:r w:rsidRPr="003D1E47">
              <w:rPr>
                <w:rFonts w:ascii="Times New Roman" w:eastAsia="Times New Roman" w:hAnsi="Times New Roman"/>
                <w:color w:val="000000"/>
                <w:sz w:val="20"/>
                <w:szCs w:val="20"/>
                <w:lang w:val="pl-PL" w:eastAsia="pl-PL"/>
              </w:rPr>
              <w:t>,</w:t>
            </w:r>
          </w:p>
          <w:p w14:paraId="013C9B1B" w14:textId="0732586D" w:rsidR="002020C6" w:rsidRPr="003D1E47" w:rsidRDefault="00FF04EF" w:rsidP="003D1E47">
            <w:pPr>
              <w:pStyle w:val="Akapitzlist"/>
              <w:numPr>
                <w:ilvl w:val="0"/>
                <w:numId w:val="76"/>
              </w:numPr>
              <w:autoSpaceDE w:val="0"/>
              <w:autoSpaceDN w:val="0"/>
              <w:adjustRightInd w:val="0"/>
              <w:spacing w:after="60"/>
              <w:ind w:left="454"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dodatkowo w przypadku kwalifikacji do leczenia tocilizumabem:</w:t>
            </w:r>
          </w:p>
          <w:p w14:paraId="743E350C" w14:textId="6963E7AB" w:rsidR="00851B30" w:rsidRPr="003D1E47" w:rsidRDefault="00851B30"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test IGRA</w:t>
            </w:r>
            <w:r w:rsidR="00112505" w:rsidRPr="003D1E47">
              <w:rPr>
                <w:rFonts w:ascii="Times New Roman" w:eastAsia="Times New Roman" w:hAnsi="Times New Roman"/>
                <w:color w:val="000000"/>
                <w:sz w:val="20"/>
                <w:szCs w:val="20"/>
                <w:lang w:val="pl-PL" w:eastAsia="pl-PL"/>
              </w:rPr>
              <w:t>,</w:t>
            </w:r>
          </w:p>
          <w:p w14:paraId="11860EC4" w14:textId="38BB7452" w:rsidR="00851B30" w:rsidRPr="003D1E47" w:rsidRDefault="00851B30"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antygenu </w:t>
            </w:r>
            <w:proofErr w:type="spellStart"/>
            <w:r w:rsidRPr="003D1E47">
              <w:rPr>
                <w:rFonts w:ascii="Times New Roman" w:eastAsia="Times New Roman" w:hAnsi="Times New Roman"/>
                <w:color w:val="000000"/>
                <w:sz w:val="20"/>
                <w:szCs w:val="20"/>
                <w:lang w:val="pl-PL" w:eastAsia="pl-PL"/>
              </w:rPr>
              <w:t>HBs</w:t>
            </w:r>
            <w:proofErr w:type="spellEnd"/>
            <w:r w:rsidR="00112505" w:rsidRPr="003D1E47">
              <w:rPr>
                <w:rFonts w:ascii="Times New Roman" w:eastAsia="Times New Roman" w:hAnsi="Times New Roman"/>
                <w:color w:val="000000"/>
                <w:sz w:val="20"/>
                <w:szCs w:val="20"/>
                <w:lang w:val="pl-PL" w:eastAsia="pl-PL"/>
              </w:rPr>
              <w:t>,</w:t>
            </w:r>
          </w:p>
          <w:p w14:paraId="672E00E2" w14:textId="2A6D3B9C" w:rsidR="005B3068" w:rsidRPr="003D1E47" w:rsidRDefault="00851B30"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 xml:space="preserve">oznaczenie przeciwciał anty- </w:t>
            </w:r>
            <w:proofErr w:type="spellStart"/>
            <w:r w:rsidRPr="003D1E47">
              <w:rPr>
                <w:rFonts w:ascii="Times New Roman" w:eastAsia="Times New Roman" w:hAnsi="Times New Roman"/>
                <w:color w:val="000000"/>
                <w:sz w:val="20"/>
                <w:szCs w:val="20"/>
                <w:lang w:val="pl-PL" w:eastAsia="pl-PL"/>
              </w:rPr>
              <w:t>Hbc</w:t>
            </w:r>
            <w:proofErr w:type="spellEnd"/>
            <w:r w:rsidR="005B3068" w:rsidRPr="003D1E47">
              <w:rPr>
                <w:rFonts w:ascii="Times New Roman" w:eastAsia="Times New Roman" w:hAnsi="Times New Roman"/>
                <w:color w:val="000000"/>
                <w:sz w:val="20"/>
                <w:szCs w:val="20"/>
                <w:lang w:val="pl-PL" w:eastAsia="pl-PL"/>
              </w:rPr>
              <w:t>,</w:t>
            </w:r>
          </w:p>
          <w:p w14:paraId="5A96FAF2" w14:textId="3B949DF9" w:rsidR="00851B30" w:rsidRPr="003D1E47" w:rsidRDefault="00851B30"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oznaczenie antygenu wirusa HIV (HIV Ag/Ab Combo)</w:t>
            </w:r>
            <w:r w:rsidR="00112505" w:rsidRPr="003D1E47">
              <w:rPr>
                <w:rFonts w:ascii="Times New Roman" w:eastAsia="Times New Roman" w:hAnsi="Times New Roman"/>
                <w:color w:val="000000"/>
                <w:sz w:val="20"/>
                <w:szCs w:val="20"/>
                <w:lang w:val="pl-PL" w:eastAsia="pl-PL"/>
              </w:rPr>
              <w:t>,</w:t>
            </w:r>
          </w:p>
          <w:p w14:paraId="71220E84" w14:textId="426FEAFE" w:rsidR="00FF04EF" w:rsidRPr="003D1E47" w:rsidRDefault="00FF04EF" w:rsidP="003D1E47">
            <w:pPr>
              <w:pStyle w:val="Akapitzlist"/>
              <w:numPr>
                <w:ilvl w:val="1"/>
                <w:numId w:val="76"/>
              </w:numPr>
              <w:autoSpaceDE w:val="0"/>
              <w:autoSpaceDN w:val="0"/>
              <w:adjustRightInd w:val="0"/>
              <w:spacing w:after="60"/>
              <w:ind w:left="681" w:hanging="227"/>
              <w:contextualSpacing w:val="0"/>
              <w:jc w:val="both"/>
              <w:rPr>
                <w:rFonts w:ascii="Times New Roman" w:eastAsia="Times New Roman" w:hAnsi="Times New Roman"/>
                <w:color w:val="000000"/>
                <w:sz w:val="20"/>
                <w:szCs w:val="20"/>
                <w:lang w:val="pl-PL" w:eastAsia="pl-PL"/>
              </w:rPr>
            </w:pPr>
            <w:r w:rsidRPr="003D1E47">
              <w:rPr>
                <w:rFonts w:ascii="Times New Roman" w:eastAsia="Times New Roman" w:hAnsi="Times New Roman"/>
                <w:color w:val="000000"/>
                <w:sz w:val="20"/>
                <w:szCs w:val="20"/>
                <w:lang w:val="pl-PL" w:eastAsia="pl-PL"/>
              </w:rPr>
              <w:t>oznaczenie stężenia cholesterolu całkowitego, LDL, HDL, trójglicerydów.</w:t>
            </w:r>
          </w:p>
          <w:p w14:paraId="01D4288B" w14:textId="77777777" w:rsidR="00490140" w:rsidRPr="003D1E47" w:rsidRDefault="00490140" w:rsidP="003D1E47">
            <w:pPr>
              <w:suppressAutoHyphens/>
              <w:snapToGrid w:val="0"/>
              <w:spacing w:after="60"/>
              <w:jc w:val="both"/>
              <w:rPr>
                <w:rFonts w:ascii="Times New Roman" w:eastAsia="Times New Roman" w:hAnsi="Times New Roman"/>
                <w:sz w:val="20"/>
                <w:szCs w:val="20"/>
                <w:lang w:val="pl-PL" w:eastAsia="pl-PL"/>
              </w:rPr>
            </w:pPr>
          </w:p>
          <w:p w14:paraId="4323FCA4" w14:textId="1BA66218" w:rsidR="00B63A7E" w:rsidRPr="003D1E47" w:rsidRDefault="00320D5B" w:rsidP="003D1E47">
            <w:pPr>
              <w:pStyle w:val="NormalnyWeb"/>
              <w:numPr>
                <w:ilvl w:val="0"/>
                <w:numId w:val="44"/>
              </w:numPr>
              <w:spacing w:before="0" w:beforeAutospacing="0" w:after="60" w:afterAutospacing="0" w:line="276" w:lineRule="auto"/>
              <w:jc w:val="both"/>
              <w:rPr>
                <w:b/>
                <w:sz w:val="20"/>
                <w:szCs w:val="20"/>
              </w:rPr>
            </w:pPr>
            <w:r w:rsidRPr="003D1E47">
              <w:rPr>
                <w:b/>
                <w:sz w:val="20"/>
                <w:szCs w:val="20"/>
              </w:rPr>
              <w:t xml:space="preserve">Monitorowanie </w:t>
            </w:r>
            <w:r w:rsidR="00B621D2" w:rsidRPr="003D1E47">
              <w:rPr>
                <w:b/>
                <w:sz w:val="20"/>
                <w:szCs w:val="20"/>
              </w:rPr>
              <w:t>leczenia</w:t>
            </w:r>
            <w:r w:rsidRPr="003D1E47">
              <w:rPr>
                <w:b/>
                <w:sz w:val="20"/>
                <w:szCs w:val="20"/>
              </w:rPr>
              <w:t xml:space="preserve"> </w:t>
            </w:r>
          </w:p>
          <w:p w14:paraId="569FF67F" w14:textId="77777777" w:rsidR="008C5BB4" w:rsidRPr="003D1E47" w:rsidRDefault="00490140" w:rsidP="003D1E47">
            <w:pPr>
              <w:pStyle w:val="Akapitzlist"/>
              <w:numPr>
                <w:ilvl w:val="0"/>
                <w:numId w:val="57"/>
              </w:numPr>
              <w:autoSpaceDE w:val="0"/>
              <w:autoSpaceDN w:val="0"/>
              <w:adjustRightInd w:val="0"/>
              <w:spacing w:after="60"/>
              <w:ind w:left="454" w:hanging="227"/>
              <w:contextualSpacing w:val="0"/>
              <w:jc w:val="both"/>
              <w:rPr>
                <w:rFonts w:ascii="Times New Roman" w:hAnsi="Times New Roman"/>
                <w:sz w:val="20"/>
                <w:szCs w:val="20"/>
                <w:lang w:val="pl-PL"/>
              </w:rPr>
            </w:pPr>
            <w:r w:rsidRPr="003D1E47">
              <w:rPr>
                <w:rFonts w:ascii="Times New Roman" w:hAnsi="Times New Roman"/>
                <w:sz w:val="20"/>
                <w:szCs w:val="20"/>
                <w:lang w:val="pl-PL"/>
              </w:rPr>
              <w:t>b</w:t>
            </w:r>
            <w:r w:rsidR="00320D5B" w:rsidRPr="003D1E47">
              <w:rPr>
                <w:rFonts w:ascii="Times New Roman" w:hAnsi="Times New Roman"/>
                <w:sz w:val="20"/>
                <w:szCs w:val="20"/>
                <w:lang w:val="pl-PL"/>
              </w:rPr>
              <w:t>adania laboratoryjne</w:t>
            </w:r>
            <w:r w:rsidR="008B39FF" w:rsidRPr="003D1E47">
              <w:rPr>
                <w:rFonts w:ascii="Times New Roman" w:hAnsi="Times New Roman"/>
                <w:sz w:val="20"/>
                <w:szCs w:val="20"/>
                <w:lang w:val="pl-PL"/>
              </w:rPr>
              <w:t xml:space="preserve"> </w:t>
            </w:r>
          </w:p>
          <w:p w14:paraId="51C04B97" w14:textId="590DF721" w:rsidR="008C5BB4" w:rsidRPr="003D1E47" w:rsidRDefault="002B16E5" w:rsidP="003D1E47">
            <w:pPr>
              <w:numPr>
                <w:ilvl w:val="4"/>
                <w:numId w:val="40"/>
              </w:numPr>
              <w:autoSpaceDE w:val="0"/>
              <w:autoSpaceDN w:val="0"/>
              <w:adjustRightInd w:val="0"/>
              <w:spacing w:after="60"/>
              <w:ind w:left="681" w:hanging="227"/>
              <w:jc w:val="both"/>
              <w:rPr>
                <w:rFonts w:ascii="Times New Roman" w:hAnsi="Times New Roman"/>
                <w:sz w:val="20"/>
                <w:szCs w:val="20"/>
                <w:lang w:val="pl-PL"/>
              </w:rPr>
            </w:pPr>
            <w:r w:rsidRPr="003D1E47">
              <w:rPr>
                <w:rFonts w:ascii="Times New Roman" w:hAnsi="Times New Roman"/>
                <w:sz w:val="20"/>
                <w:szCs w:val="20"/>
                <w:lang w:val="pl-PL"/>
              </w:rPr>
              <w:t xml:space="preserve">badanie </w:t>
            </w:r>
            <w:r w:rsidR="008C5BB4" w:rsidRPr="003D1E47">
              <w:rPr>
                <w:rFonts w:ascii="Times New Roman" w:hAnsi="Times New Roman"/>
                <w:sz w:val="20"/>
                <w:szCs w:val="20"/>
                <w:lang w:val="pl-PL"/>
              </w:rPr>
              <w:t>morfologi</w:t>
            </w:r>
            <w:r w:rsidRPr="003D1E47">
              <w:rPr>
                <w:rFonts w:ascii="Times New Roman" w:hAnsi="Times New Roman"/>
                <w:sz w:val="20"/>
                <w:szCs w:val="20"/>
                <w:lang w:val="pl-PL"/>
              </w:rPr>
              <w:t>i</w:t>
            </w:r>
            <w:r w:rsidR="008C5BB4" w:rsidRPr="003D1E47">
              <w:rPr>
                <w:rFonts w:ascii="Times New Roman" w:hAnsi="Times New Roman"/>
                <w:sz w:val="20"/>
                <w:szCs w:val="20"/>
                <w:lang w:val="pl-PL"/>
              </w:rPr>
              <w:t xml:space="preserve"> krwi</w:t>
            </w:r>
            <w:r w:rsidR="0087211D" w:rsidRPr="003D1E47">
              <w:rPr>
                <w:rFonts w:ascii="Times New Roman" w:hAnsi="Times New Roman"/>
                <w:sz w:val="20"/>
                <w:szCs w:val="20"/>
                <w:lang w:val="pl-PL"/>
              </w:rPr>
              <w:t xml:space="preserve"> z rozmazem</w:t>
            </w:r>
            <w:r w:rsidR="00BD7B82" w:rsidRPr="003D1E47">
              <w:rPr>
                <w:rFonts w:ascii="Times New Roman" w:hAnsi="Times New Roman"/>
                <w:sz w:val="20"/>
                <w:szCs w:val="20"/>
                <w:lang w:val="pl-PL"/>
              </w:rPr>
              <w:t xml:space="preserve"> (u pacjentów leczonych tocilizumabem wraz z oznaczeniem bezwzględnej liczby granulocytów)</w:t>
            </w:r>
            <w:r w:rsidR="00490140" w:rsidRPr="003D1E47">
              <w:rPr>
                <w:rFonts w:ascii="Times New Roman" w:hAnsi="Times New Roman"/>
                <w:sz w:val="20"/>
                <w:szCs w:val="20"/>
                <w:lang w:val="pl-PL"/>
              </w:rPr>
              <w:t>,</w:t>
            </w:r>
          </w:p>
          <w:p w14:paraId="572A7737" w14:textId="325EC62D" w:rsidR="008C5BB4" w:rsidRPr="003D1E47" w:rsidRDefault="0087211D" w:rsidP="003D1E47">
            <w:pPr>
              <w:numPr>
                <w:ilvl w:val="4"/>
                <w:numId w:val="40"/>
              </w:numPr>
              <w:autoSpaceDE w:val="0"/>
              <w:autoSpaceDN w:val="0"/>
              <w:adjustRightInd w:val="0"/>
              <w:spacing w:after="60"/>
              <w:ind w:left="681" w:hanging="227"/>
              <w:jc w:val="both"/>
              <w:rPr>
                <w:rFonts w:ascii="Times New Roman" w:hAnsi="Times New Roman"/>
                <w:sz w:val="20"/>
                <w:szCs w:val="20"/>
                <w:lang w:val="pl-PL"/>
              </w:rPr>
            </w:pPr>
            <w:r w:rsidRPr="003D1E47">
              <w:rPr>
                <w:rFonts w:ascii="Times New Roman" w:hAnsi="Times New Roman"/>
                <w:sz w:val="20"/>
                <w:szCs w:val="20"/>
                <w:lang w:val="pl-PL"/>
              </w:rPr>
              <w:t xml:space="preserve">oznaczenie </w:t>
            </w:r>
            <w:r w:rsidR="008C5BB4" w:rsidRPr="003D1E47">
              <w:rPr>
                <w:rFonts w:ascii="Times New Roman" w:hAnsi="Times New Roman"/>
                <w:sz w:val="20"/>
                <w:szCs w:val="20"/>
                <w:lang w:val="pl-PL"/>
              </w:rPr>
              <w:t>stężeni</w:t>
            </w:r>
            <w:r w:rsidRPr="003D1E47">
              <w:rPr>
                <w:rFonts w:ascii="Times New Roman" w:hAnsi="Times New Roman"/>
                <w:sz w:val="20"/>
                <w:szCs w:val="20"/>
                <w:lang w:val="pl-PL"/>
              </w:rPr>
              <w:t>a</w:t>
            </w:r>
            <w:r w:rsidR="008C5BB4" w:rsidRPr="003D1E47">
              <w:rPr>
                <w:rFonts w:ascii="Times New Roman" w:hAnsi="Times New Roman"/>
                <w:sz w:val="20"/>
                <w:szCs w:val="20"/>
                <w:lang w:val="pl-PL"/>
              </w:rPr>
              <w:t xml:space="preserve"> kreatyniny/GFR w surowicy</w:t>
            </w:r>
            <w:r w:rsidR="00490140" w:rsidRPr="003D1E47">
              <w:rPr>
                <w:rFonts w:ascii="Times New Roman" w:hAnsi="Times New Roman"/>
                <w:sz w:val="20"/>
                <w:szCs w:val="20"/>
                <w:lang w:val="pl-PL"/>
              </w:rPr>
              <w:t>,</w:t>
            </w:r>
          </w:p>
          <w:p w14:paraId="132C5AEA" w14:textId="77777777" w:rsidR="0087211D" w:rsidRPr="003D1E47" w:rsidRDefault="0087211D" w:rsidP="003D1E47">
            <w:pPr>
              <w:numPr>
                <w:ilvl w:val="4"/>
                <w:numId w:val="40"/>
              </w:numPr>
              <w:autoSpaceDE w:val="0"/>
              <w:autoSpaceDN w:val="0"/>
              <w:adjustRightInd w:val="0"/>
              <w:spacing w:after="60"/>
              <w:ind w:left="681" w:hanging="227"/>
              <w:jc w:val="both"/>
              <w:rPr>
                <w:rFonts w:ascii="Times New Roman" w:hAnsi="Times New Roman"/>
                <w:sz w:val="20"/>
                <w:szCs w:val="20"/>
                <w:lang w:val="pl-PL"/>
              </w:rPr>
            </w:pPr>
            <w:r w:rsidRPr="003D1E47">
              <w:rPr>
                <w:rFonts w:ascii="Times New Roman" w:hAnsi="Times New Roman"/>
                <w:sz w:val="20"/>
                <w:szCs w:val="20"/>
                <w:lang w:val="pl-PL"/>
              </w:rPr>
              <w:t xml:space="preserve">oznaczenie aktywności aminotransferazy </w:t>
            </w:r>
            <w:proofErr w:type="spellStart"/>
            <w:r w:rsidRPr="003D1E47">
              <w:rPr>
                <w:rFonts w:ascii="Times New Roman" w:hAnsi="Times New Roman"/>
                <w:sz w:val="20"/>
                <w:szCs w:val="20"/>
                <w:lang w:val="pl-PL"/>
              </w:rPr>
              <w:t>asparaginianowej</w:t>
            </w:r>
            <w:proofErr w:type="spellEnd"/>
            <w:r w:rsidRPr="003D1E47">
              <w:rPr>
                <w:rFonts w:ascii="Times New Roman" w:hAnsi="Times New Roman"/>
                <w:sz w:val="20"/>
                <w:szCs w:val="20"/>
                <w:lang w:val="pl-PL"/>
              </w:rPr>
              <w:t xml:space="preserve"> (</w:t>
            </w:r>
            <w:proofErr w:type="spellStart"/>
            <w:r w:rsidRPr="003D1E47">
              <w:rPr>
                <w:rFonts w:ascii="Times New Roman" w:hAnsi="Times New Roman"/>
                <w:sz w:val="20"/>
                <w:szCs w:val="20"/>
                <w:lang w:val="pl-PL"/>
              </w:rPr>
              <w:t>AspAT</w:t>
            </w:r>
            <w:proofErr w:type="spellEnd"/>
            <w:r w:rsidRPr="003D1E47">
              <w:rPr>
                <w:rFonts w:ascii="Times New Roman" w:hAnsi="Times New Roman"/>
                <w:sz w:val="20"/>
                <w:szCs w:val="20"/>
                <w:lang w:val="pl-PL"/>
              </w:rPr>
              <w:t>)</w:t>
            </w:r>
            <w:r w:rsidR="00680096" w:rsidRPr="003D1E47">
              <w:rPr>
                <w:rFonts w:ascii="Times New Roman" w:hAnsi="Times New Roman"/>
                <w:sz w:val="20"/>
                <w:szCs w:val="20"/>
                <w:lang w:val="pl-PL"/>
              </w:rPr>
              <w:t>,</w:t>
            </w:r>
          </w:p>
          <w:p w14:paraId="52171350" w14:textId="21FD0CD3" w:rsidR="00680096" w:rsidRPr="003D1E47" w:rsidRDefault="0087211D" w:rsidP="003D1E47">
            <w:pPr>
              <w:numPr>
                <w:ilvl w:val="4"/>
                <w:numId w:val="40"/>
              </w:numPr>
              <w:autoSpaceDE w:val="0"/>
              <w:autoSpaceDN w:val="0"/>
              <w:adjustRightInd w:val="0"/>
              <w:spacing w:after="60"/>
              <w:ind w:left="681" w:hanging="227"/>
              <w:jc w:val="both"/>
              <w:rPr>
                <w:rFonts w:ascii="Times New Roman" w:hAnsi="Times New Roman"/>
                <w:sz w:val="20"/>
                <w:szCs w:val="20"/>
                <w:lang w:val="pl-PL"/>
              </w:rPr>
            </w:pPr>
            <w:r w:rsidRPr="003D1E47">
              <w:rPr>
                <w:rFonts w:ascii="Times New Roman" w:hAnsi="Times New Roman"/>
                <w:sz w:val="20"/>
                <w:szCs w:val="20"/>
                <w:lang w:val="pl-PL"/>
              </w:rPr>
              <w:t>oznaczenie aktywności aminotransferazy alaninowej (</w:t>
            </w:r>
            <w:proofErr w:type="spellStart"/>
            <w:r w:rsidRPr="003D1E47">
              <w:rPr>
                <w:rFonts w:ascii="Times New Roman" w:hAnsi="Times New Roman"/>
                <w:sz w:val="20"/>
                <w:szCs w:val="20"/>
                <w:lang w:val="pl-PL"/>
              </w:rPr>
              <w:t>AlAT</w:t>
            </w:r>
            <w:proofErr w:type="spellEnd"/>
            <w:r w:rsidRPr="003D1E47">
              <w:rPr>
                <w:rFonts w:ascii="Times New Roman" w:hAnsi="Times New Roman"/>
                <w:sz w:val="20"/>
                <w:szCs w:val="20"/>
                <w:lang w:val="pl-PL"/>
              </w:rPr>
              <w:t>)</w:t>
            </w:r>
            <w:r w:rsidR="00680096" w:rsidRPr="003D1E47">
              <w:rPr>
                <w:rFonts w:ascii="Times New Roman" w:hAnsi="Times New Roman"/>
                <w:sz w:val="20"/>
                <w:szCs w:val="20"/>
                <w:lang w:val="pl-PL"/>
              </w:rPr>
              <w:t>,</w:t>
            </w:r>
          </w:p>
          <w:p w14:paraId="143BC1B9" w14:textId="7B75A64B" w:rsidR="00F16D4D" w:rsidRPr="003D1E47" w:rsidRDefault="00F16D4D" w:rsidP="003D1E47">
            <w:pPr>
              <w:numPr>
                <w:ilvl w:val="4"/>
                <w:numId w:val="40"/>
              </w:numPr>
              <w:autoSpaceDE w:val="0"/>
              <w:autoSpaceDN w:val="0"/>
              <w:adjustRightInd w:val="0"/>
              <w:spacing w:after="60"/>
              <w:ind w:left="681" w:hanging="227"/>
              <w:jc w:val="both"/>
              <w:rPr>
                <w:rFonts w:ascii="Times New Roman" w:hAnsi="Times New Roman"/>
                <w:sz w:val="20"/>
                <w:szCs w:val="20"/>
                <w:lang w:val="pl-PL"/>
              </w:rPr>
            </w:pPr>
            <w:r w:rsidRPr="003D1E47">
              <w:rPr>
                <w:rFonts w:ascii="Times New Roman" w:hAnsi="Times New Roman"/>
                <w:sz w:val="20"/>
                <w:szCs w:val="20"/>
                <w:lang w:val="pl-PL"/>
              </w:rPr>
              <w:t xml:space="preserve">dodatkowo w przypadku leczenia </w:t>
            </w:r>
            <w:proofErr w:type="spellStart"/>
            <w:r w:rsidRPr="003D1E47">
              <w:rPr>
                <w:rFonts w:ascii="Times New Roman" w:hAnsi="Times New Roman"/>
                <w:sz w:val="20"/>
                <w:szCs w:val="20"/>
                <w:lang w:val="pl-PL"/>
              </w:rPr>
              <w:t>nintedanibem</w:t>
            </w:r>
            <w:proofErr w:type="spellEnd"/>
            <w:r w:rsidRPr="003D1E47">
              <w:rPr>
                <w:rFonts w:ascii="Times New Roman" w:hAnsi="Times New Roman"/>
                <w:sz w:val="20"/>
                <w:szCs w:val="20"/>
                <w:lang w:val="pl-PL"/>
              </w:rPr>
              <w:t>:</w:t>
            </w:r>
          </w:p>
          <w:p w14:paraId="7ED032CF" w14:textId="6D979F20" w:rsidR="00F16D4D" w:rsidRPr="003D1E47" w:rsidRDefault="00F16D4D" w:rsidP="003D1E47">
            <w:pPr>
              <w:numPr>
                <w:ilvl w:val="5"/>
                <w:numId w:val="40"/>
              </w:num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oznaczenie stężenia bilirubiny w surowicy,</w:t>
            </w:r>
          </w:p>
          <w:p w14:paraId="51EF816B" w14:textId="78FA7756" w:rsidR="00EE6874" w:rsidRPr="003D1E47" w:rsidRDefault="00EE6874" w:rsidP="003D1E47">
            <w:pPr>
              <w:numPr>
                <w:ilvl w:val="5"/>
                <w:numId w:val="40"/>
              </w:num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oznaczenie wskaźnika INR,</w:t>
            </w:r>
          </w:p>
          <w:p w14:paraId="3DE29FBB" w14:textId="444451EB" w:rsidR="00DE06F1" w:rsidRPr="003D1E47" w:rsidRDefault="00EF14AB" w:rsidP="003D1E47">
            <w:pPr>
              <w:numPr>
                <w:ilvl w:val="5"/>
                <w:numId w:val="40"/>
              </w:num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lastRenderedPageBreak/>
              <w:t xml:space="preserve">oznaczenie czasu </w:t>
            </w:r>
            <w:proofErr w:type="spellStart"/>
            <w:r w:rsidRPr="003D1E47">
              <w:rPr>
                <w:rFonts w:ascii="Times New Roman" w:hAnsi="Times New Roman"/>
                <w:sz w:val="20"/>
                <w:szCs w:val="20"/>
                <w:lang w:val="pl-PL"/>
              </w:rPr>
              <w:t>kaolinowo-kefalinowego</w:t>
            </w:r>
            <w:proofErr w:type="spellEnd"/>
            <w:r w:rsidRPr="003D1E47">
              <w:rPr>
                <w:rFonts w:ascii="Times New Roman" w:hAnsi="Times New Roman"/>
                <w:sz w:val="20"/>
                <w:szCs w:val="20"/>
                <w:lang w:val="pl-PL"/>
              </w:rPr>
              <w:t xml:space="preserve"> (APTT),</w:t>
            </w:r>
          </w:p>
          <w:p w14:paraId="6C6EBAC5" w14:textId="4580DE18" w:rsidR="00F16D4D" w:rsidRPr="003D1E47" w:rsidRDefault="00F16D4D" w:rsidP="003D1E47">
            <w:pPr>
              <w:numPr>
                <w:ilvl w:val="4"/>
                <w:numId w:val="40"/>
              </w:numPr>
              <w:autoSpaceDE w:val="0"/>
              <w:autoSpaceDN w:val="0"/>
              <w:adjustRightInd w:val="0"/>
              <w:spacing w:after="60"/>
              <w:ind w:left="681" w:hanging="227"/>
              <w:jc w:val="both"/>
              <w:rPr>
                <w:rFonts w:ascii="Times New Roman" w:hAnsi="Times New Roman"/>
                <w:sz w:val="20"/>
                <w:szCs w:val="20"/>
                <w:lang w:val="pl-PL"/>
              </w:rPr>
            </w:pPr>
            <w:r w:rsidRPr="003D1E47">
              <w:rPr>
                <w:rFonts w:ascii="Times New Roman" w:hAnsi="Times New Roman"/>
                <w:sz w:val="20"/>
                <w:szCs w:val="20"/>
                <w:lang w:val="pl-PL"/>
              </w:rPr>
              <w:t xml:space="preserve">dodatkowo w przypadku leczenia </w:t>
            </w:r>
            <w:proofErr w:type="spellStart"/>
            <w:r w:rsidRPr="003D1E47">
              <w:rPr>
                <w:rFonts w:ascii="Times New Roman" w:hAnsi="Times New Roman"/>
                <w:sz w:val="20"/>
                <w:szCs w:val="20"/>
                <w:lang w:val="pl-PL"/>
              </w:rPr>
              <w:t>r</w:t>
            </w:r>
            <w:r w:rsidR="004F7C31" w:rsidRPr="003D1E47">
              <w:rPr>
                <w:rFonts w:ascii="Times New Roman" w:hAnsi="Times New Roman"/>
                <w:sz w:val="20"/>
                <w:szCs w:val="20"/>
                <w:lang w:val="pl-PL"/>
              </w:rPr>
              <w:t>y</w:t>
            </w:r>
            <w:r w:rsidRPr="003D1E47">
              <w:rPr>
                <w:rFonts w:ascii="Times New Roman" w:hAnsi="Times New Roman"/>
                <w:sz w:val="20"/>
                <w:szCs w:val="20"/>
                <w:lang w:val="pl-PL"/>
              </w:rPr>
              <w:t>tuks</w:t>
            </w:r>
            <w:r w:rsidR="004F7C31" w:rsidRPr="003D1E47">
              <w:rPr>
                <w:rFonts w:ascii="Times New Roman" w:hAnsi="Times New Roman"/>
                <w:sz w:val="20"/>
                <w:szCs w:val="20"/>
                <w:lang w:val="pl-PL"/>
              </w:rPr>
              <w:t>y</w:t>
            </w:r>
            <w:r w:rsidRPr="003D1E47">
              <w:rPr>
                <w:rFonts w:ascii="Times New Roman" w:hAnsi="Times New Roman"/>
                <w:sz w:val="20"/>
                <w:szCs w:val="20"/>
                <w:lang w:val="pl-PL"/>
              </w:rPr>
              <w:t>mabem</w:t>
            </w:r>
            <w:proofErr w:type="spellEnd"/>
            <w:r w:rsidRPr="003D1E47">
              <w:rPr>
                <w:rFonts w:ascii="Times New Roman" w:hAnsi="Times New Roman"/>
                <w:sz w:val="20"/>
                <w:szCs w:val="20"/>
                <w:lang w:val="pl-PL"/>
              </w:rPr>
              <w:t>:</w:t>
            </w:r>
          </w:p>
          <w:p w14:paraId="11BE3F36" w14:textId="0FDACA8B" w:rsidR="002B2304" w:rsidRPr="003D1E47" w:rsidRDefault="002B2304" w:rsidP="003D1E47">
            <w:pPr>
              <w:numPr>
                <w:ilvl w:val="5"/>
                <w:numId w:val="40"/>
              </w:num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 xml:space="preserve">oznaczenie stężenia </w:t>
            </w:r>
            <w:proofErr w:type="spellStart"/>
            <w:r w:rsidRPr="003D1E47">
              <w:rPr>
                <w:rFonts w:ascii="Times New Roman" w:hAnsi="Times New Roman"/>
                <w:sz w:val="20"/>
                <w:szCs w:val="20"/>
                <w:lang w:val="pl-PL"/>
              </w:rPr>
              <w:t>IgG</w:t>
            </w:r>
            <w:proofErr w:type="spellEnd"/>
            <w:r w:rsidRPr="003D1E47">
              <w:rPr>
                <w:rFonts w:ascii="Times New Roman" w:hAnsi="Times New Roman"/>
                <w:sz w:val="20"/>
                <w:szCs w:val="20"/>
                <w:lang w:val="pl-PL"/>
              </w:rPr>
              <w:t xml:space="preserve">, </w:t>
            </w:r>
            <w:proofErr w:type="spellStart"/>
            <w:r w:rsidRPr="003D1E47">
              <w:rPr>
                <w:rFonts w:ascii="Times New Roman" w:hAnsi="Times New Roman"/>
                <w:sz w:val="20"/>
                <w:szCs w:val="20"/>
                <w:lang w:val="pl-PL"/>
              </w:rPr>
              <w:t>IgM</w:t>
            </w:r>
            <w:proofErr w:type="spellEnd"/>
            <w:r w:rsidRPr="003D1E47">
              <w:rPr>
                <w:rFonts w:ascii="Times New Roman" w:hAnsi="Times New Roman"/>
                <w:sz w:val="20"/>
                <w:szCs w:val="20"/>
                <w:lang w:val="pl-PL"/>
              </w:rPr>
              <w:t xml:space="preserve">, </w:t>
            </w:r>
            <w:proofErr w:type="spellStart"/>
            <w:r w:rsidRPr="003D1E47">
              <w:rPr>
                <w:rFonts w:ascii="Times New Roman" w:hAnsi="Times New Roman"/>
                <w:sz w:val="20"/>
                <w:szCs w:val="20"/>
                <w:lang w:val="pl-PL"/>
              </w:rPr>
              <w:t>IgA</w:t>
            </w:r>
            <w:proofErr w:type="spellEnd"/>
            <w:r w:rsidRPr="003D1E47">
              <w:rPr>
                <w:rFonts w:ascii="Times New Roman" w:hAnsi="Times New Roman"/>
                <w:sz w:val="20"/>
                <w:szCs w:val="20"/>
                <w:lang w:val="pl-PL"/>
              </w:rPr>
              <w:t>,</w:t>
            </w:r>
          </w:p>
          <w:p w14:paraId="48DE9DAA" w14:textId="5B413400" w:rsidR="00F16D4D" w:rsidRPr="003D1E47" w:rsidRDefault="004B2DE1" w:rsidP="003D1E47">
            <w:pPr>
              <w:numPr>
                <w:ilvl w:val="4"/>
                <w:numId w:val="40"/>
              </w:num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dodatkowo w przypadku leczenia tocilizumabem:</w:t>
            </w:r>
          </w:p>
          <w:p w14:paraId="387C3A44" w14:textId="36D5857F" w:rsidR="004B2DE1" w:rsidRPr="003D1E47" w:rsidRDefault="00F2509D" w:rsidP="003D1E47">
            <w:pPr>
              <w:numPr>
                <w:ilvl w:val="5"/>
                <w:numId w:val="40"/>
              </w:num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oznaczenie stężenia cholesterolu całkowitego, LDL, HDL, trójglicerydów.</w:t>
            </w:r>
          </w:p>
          <w:p w14:paraId="5A4CCF6F" w14:textId="1D0052A9" w:rsidR="00B55B47" w:rsidRPr="003D1E47" w:rsidRDefault="00B55B47" w:rsidP="003D1E47">
            <w:p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 xml:space="preserve">Wymienione badania powinny być wykonywane po 1 miesiącu (±15 dni), po 3 miesiącach (±1 miesiąc) i po 6 miesiącach (±1 miesiąc) od </w:t>
            </w:r>
            <w:r w:rsidR="00FD5354" w:rsidRPr="003D1E47">
              <w:rPr>
                <w:rFonts w:ascii="Times New Roman" w:hAnsi="Times New Roman"/>
                <w:sz w:val="20"/>
                <w:szCs w:val="20"/>
                <w:lang w:val="pl-PL"/>
              </w:rPr>
              <w:t>rozpoczęcia leczenia</w:t>
            </w:r>
            <w:r w:rsidRPr="003D1E47">
              <w:rPr>
                <w:rFonts w:ascii="Times New Roman" w:hAnsi="Times New Roman"/>
                <w:sz w:val="20"/>
                <w:szCs w:val="20"/>
                <w:lang w:val="pl-PL"/>
              </w:rPr>
              <w:t xml:space="preserve"> </w:t>
            </w:r>
            <w:proofErr w:type="spellStart"/>
            <w:r w:rsidR="006E628E" w:rsidRPr="003D1E47">
              <w:rPr>
                <w:rFonts w:ascii="Times New Roman" w:hAnsi="Times New Roman"/>
                <w:sz w:val="20"/>
                <w:szCs w:val="20"/>
                <w:lang w:val="pl-PL"/>
              </w:rPr>
              <w:t>nintedanib</w:t>
            </w:r>
            <w:r w:rsidR="000830CD" w:rsidRPr="003D1E47">
              <w:rPr>
                <w:rFonts w:ascii="Times New Roman" w:hAnsi="Times New Roman"/>
                <w:sz w:val="20"/>
                <w:szCs w:val="20"/>
                <w:lang w:val="pl-PL"/>
              </w:rPr>
              <w:t>em</w:t>
            </w:r>
            <w:proofErr w:type="spellEnd"/>
            <w:r w:rsidR="006E628E" w:rsidRPr="003D1E47">
              <w:rPr>
                <w:rFonts w:ascii="Times New Roman" w:hAnsi="Times New Roman"/>
                <w:sz w:val="20"/>
                <w:szCs w:val="20"/>
                <w:lang w:val="pl-PL"/>
              </w:rPr>
              <w:t xml:space="preserve"> lub po 6 miesiącach (±1 miesiąc) od </w:t>
            </w:r>
            <w:r w:rsidR="00E65764" w:rsidRPr="003D1E47">
              <w:rPr>
                <w:rFonts w:ascii="Times New Roman" w:hAnsi="Times New Roman"/>
                <w:sz w:val="20"/>
                <w:szCs w:val="20"/>
                <w:lang w:val="pl-PL"/>
              </w:rPr>
              <w:t>rozpocz</w:t>
            </w:r>
            <w:r w:rsidR="00636EC9" w:rsidRPr="003D1E47">
              <w:rPr>
                <w:rFonts w:ascii="Times New Roman" w:hAnsi="Times New Roman"/>
                <w:sz w:val="20"/>
                <w:szCs w:val="20"/>
                <w:lang w:val="pl-PL"/>
              </w:rPr>
              <w:t>ęcia</w:t>
            </w:r>
            <w:r w:rsidR="006E628E" w:rsidRPr="003D1E47">
              <w:rPr>
                <w:rFonts w:ascii="Times New Roman" w:hAnsi="Times New Roman"/>
                <w:sz w:val="20"/>
                <w:szCs w:val="20"/>
                <w:lang w:val="pl-PL"/>
              </w:rPr>
              <w:t xml:space="preserve"> leczenia </w:t>
            </w:r>
            <w:proofErr w:type="spellStart"/>
            <w:r w:rsidR="006E628E" w:rsidRPr="003D1E47">
              <w:rPr>
                <w:rFonts w:ascii="Times New Roman" w:hAnsi="Times New Roman"/>
                <w:sz w:val="20"/>
                <w:szCs w:val="20"/>
                <w:lang w:val="pl-PL"/>
              </w:rPr>
              <w:t>rytuksymabem</w:t>
            </w:r>
            <w:proofErr w:type="spellEnd"/>
            <w:r w:rsidR="00C261DC" w:rsidRPr="003D1E47">
              <w:rPr>
                <w:rFonts w:ascii="Times New Roman" w:hAnsi="Times New Roman"/>
                <w:sz w:val="20"/>
                <w:szCs w:val="20"/>
                <w:lang w:val="pl-PL"/>
              </w:rPr>
              <w:t xml:space="preserve"> lub po 3 miesiącach (±1 miesiąc) i po 6 miesiącach (±1 miesiąc) od </w:t>
            </w:r>
            <w:r w:rsidR="00C445D5" w:rsidRPr="003D1E47">
              <w:rPr>
                <w:rFonts w:ascii="Times New Roman" w:hAnsi="Times New Roman"/>
                <w:sz w:val="20"/>
                <w:szCs w:val="20"/>
                <w:lang w:val="pl-PL"/>
              </w:rPr>
              <w:t>rozpoczęcia leczenia</w:t>
            </w:r>
            <w:r w:rsidR="00C261DC" w:rsidRPr="003D1E47">
              <w:rPr>
                <w:rFonts w:ascii="Times New Roman" w:hAnsi="Times New Roman"/>
                <w:sz w:val="20"/>
                <w:szCs w:val="20"/>
                <w:lang w:val="pl-PL"/>
              </w:rPr>
              <w:t xml:space="preserve"> tocilizumab</w:t>
            </w:r>
            <w:r w:rsidR="00C445D5" w:rsidRPr="003D1E47">
              <w:rPr>
                <w:rFonts w:ascii="Times New Roman" w:hAnsi="Times New Roman"/>
                <w:sz w:val="20"/>
                <w:szCs w:val="20"/>
                <w:lang w:val="pl-PL"/>
              </w:rPr>
              <w:t>em</w:t>
            </w:r>
            <w:r w:rsidR="00C261DC" w:rsidRPr="003D1E47">
              <w:rPr>
                <w:rFonts w:ascii="Times New Roman" w:hAnsi="Times New Roman"/>
                <w:sz w:val="20"/>
                <w:szCs w:val="20"/>
                <w:lang w:val="pl-PL"/>
              </w:rPr>
              <w:t>.</w:t>
            </w:r>
          </w:p>
          <w:p w14:paraId="4FBEBA54" w14:textId="77777777" w:rsidR="008C5BB4" w:rsidRPr="003D1E47" w:rsidRDefault="008C5BB4" w:rsidP="003D1E47">
            <w:p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Jeżeli terapia jest kontynuowana</w:t>
            </w:r>
            <w:r w:rsidR="00680096" w:rsidRPr="003D1E47">
              <w:rPr>
                <w:rFonts w:ascii="Times New Roman" w:hAnsi="Times New Roman"/>
                <w:sz w:val="20"/>
                <w:szCs w:val="20"/>
                <w:lang w:val="pl-PL"/>
              </w:rPr>
              <w:t>,</w:t>
            </w:r>
            <w:r w:rsidRPr="003D1E47">
              <w:rPr>
                <w:rFonts w:ascii="Times New Roman" w:hAnsi="Times New Roman"/>
                <w:sz w:val="20"/>
                <w:szCs w:val="20"/>
                <w:lang w:val="pl-PL"/>
              </w:rPr>
              <w:t xml:space="preserve"> powyższe </w:t>
            </w:r>
            <w:r w:rsidR="001A41FA" w:rsidRPr="003D1E47">
              <w:rPr>
                <w:rFonts w:ascii="Times New Roman" w:hAnsi="Times New Roman"/>
                <w:sz w:val="20"/>
                <w:szCs w:val="20"/>
                <w:lang w:val="pl-PL"/>
              </w:rPr>
              <w:t xml:space="preserve">należy </w:t>
            </w:r>
            <w:r w:rsidRPr="003D1E47">
              <w:rPr>
                <w:rFonts w:ascii="Times New Roman" w:hAnsi="Times New Roman"/>
                <w:sz w:val="20"/>
                <w:szCs w:val="20"/>
                <w:lang w:val="pl-PL"/>
              </w:rPr>
              <w:t>powtarzać po każdych kolejnych 6 miesiącach</w:t>
            </w:r>
            <w:r w:rsidR="00FB4D8D" w:rsidRPr="003D1E47">
              <w:rPr>
                <w:rFonts w:ascii="Times New Roman" w:hAnsi="Times New Roman"/>
                <w:sz w:val="20"/>
                <w:szCs w:val="20"/>
                <w:lang w:val="pl-PL"/>
              </w:rPr>
              <w:t xml:space="preserve"> </w:t>
            </w:r>
            <w:r w:rsidRPr="003D1E47">
              <w:rPr>
                <w:rFonts w:ascii="Times New Roman" w:hAnsi="Times New Roman"/>
                <w:sz w:val="20"/>
                <w:szCs w:val="20"/>
                <w:lang w:val="pl-PL"/>
              </w:rPr>
              <w:t>(±</w:t>
            </w:r>
            <w:r w:rsidR="004D1AA8" w:rsidRPr="003D1E47">
              <w:rPr>
                <w:rFonts w:ascii="Times New Roman" w:hAnsi="Times New Roman"/>
                <w:sz w:val="20"/>
                <w:szCs w:val="20"/>
                <w:lang w:val="pl-PL"/>
              </w:rPr>
              <w:t>3</w:t>
            </w:r>
            <w:r w:rsidRPr="003D1E47">
              <w:rPr>
                <w:rFonts w:ascii="Times New Roman" w:hAnsi="Times New Roman"/>
                <w:sz w:val="20"/>
                <w:szCs w:val="20"/>
                <w:lang w:val="pl-PL"/>
              </w:rPr>
              <w:t xml:space="preserve"> miesiąc</w:t>
            </w:r>
            <w:r w:rsidR="004D1AA8" w:rsidRPr="003D1E47">
              <w:rPr>
                <w:rFonts w:ascii="Times New Roman" w:hAnsi="Times New Roman"/>
                <w:sz w:val="20"/>
                <w:szCs w:val="20"/>
                <w:lang w:val="pl-PL"/>
              </w:rPr>
              <w:t>e</w:t>
            </w:r>
            <w:r w:rsidRPr="003D1E47">
              <w:rPr>
                <w:rFonts w:ascii="Times New Roman" w:hAnsi="Times New Roman"/>
                <w:sz w:val="20"/>
                <w:szCs w:val="20"/>
                <w:lang w:val="pl-PL"/>
              </w:rPr>
              <w:t>).</w:t>
            </w:r>
          </w:p>
          <w:p w14:paraId="593526F6" w14:textId="77777777" w:rsidR="00933168" w:rsidRPr="003D1E47" w:rsidRDefault="00933168" w:rsidP="003D1E47">
            <w:pPr>
              <w:autoSpaceDE w:val="0"/>
              <w:autoSpaceDN w:val="0"/>
              <w:adjustRightInd w:val="0"/>
              <w:spacing w:after="60"/>
              <w:jc w:val="both"/>
              <w:rPr>
                <w:rFonts w:ascii="Times New Roman" w:hAnsi="Times New Roman"/>
                <w:sz w:val="20"/>
                <w:szCs w:val="20"/>
                <w:lang w:val="pl-PL"/>
              </w:rPr>
            </w:pPr>
          </w:p>
          <w:p w14:paraId="62FEFCA9" w14:textId="62106CD8" w:rsidR="00B63A7E" w:rsidRPr="003D1E47" w:rsidRDefault="00490140" w:rsidP="003D1E47">
            <w:pPr>
              <w:pStyle w:val="Akapitzlist"/>
              <w:numPr>
                <w:ilvl w:val="0"/>
                <w:numId w:val="57"/>
              </w:numPr>
              <w:autoSpaceDE w:val="0"/>
              <w:autoSpaceDN w:val="0"/>
              <w:adjustRightInd w:val="0"/>
              <w:spacing w:after="60"/>
              <w:ind w:left="454" w:hanging="227"/>
              <w:contextualSpacing w:val="0"/>
              <w:jc w:val="both"/>
              <w:rPr>
                <w:rFonts w:ascii="Times New Roman" w:hAnsi="Times New Roman"/>
                <w:sz w:val="20"/>
                <w:szCs w:val="20"/>
                <w:lang w:val="pl-PL"/>
              </w:rPr>
            </w:pPr>
            <w:r w:rsidRPr="003D1E47">
              <w:rPr>
                <w:rFonts w:ascii="Times New Roman" w:hAnsi="Times New Roman"/>
                <w:sz w:val="20"/>
                <w:szCs w:val="20"/>
                <w:lang w:val="pl-PL"/>
              </w:rPr>
              <w:t>b</w:t>
            </w:r>
            <w:r w:rsidR="00320D5B" w:rsidRPr="003D1E47">
              <w:rPr>
                <w:rFonts w:ascii="Times New Roman" w:hAnsi="Times New Roman"/>
                <w:sz w:val="20"/>
                <w:szCs w:val="20"/>
                <w:lang w:val="pl-PL"/>
              </w:rPr>
              <w:t>adania czynnościowe</w:t>
            </w:r>
            <w:r w:rsidR="00B63A7E" w:rsidRPr="003D1E47">
              <w:rPr>
                <w:rFonts w:ascii="Times New Roman" w:hAnsi="Times New Roman"/>
                <w:sz w:val="20"/>
                <w:szCs w:val="20"/>
                <w:lang w:val="pl-PL"/>
              </w:rPr>
              <w:t xml:space="preserve"> układu od</w:t>
            </w:r>
            <w:r w:rsidR="00320D5B" w:rsidRPr="003D1E47">
              <w:rPr>
                <w:rFonts w:ascii="Times New Roman" w:hAnsi="Times New Roman"/>
                <w:sz w:val="20"/>
                <w:szCs w:val="20"/>
                <w:lang w:val="pl-PL"/>
              </w:rPr>
              <w:t>dechowego:</w:t>
            </w:r>
          </w:p>
          <w:p w14:paraId="6B2FB88F" w14:textId="503C03B0" w:rsidR="00B63A7E" w:rsidRPr="003D1E47" w:rsidRDefault="004E5806" w:rsidP="003D1E47">
            <w:pPr>
              <w:numPr>
                <w:ilvl w:val="4"/>
                <w:numId w:val="58"/>
              </w:num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 xml:space="preserve">badanie </w:t>
            </w:r>
            <w:r w:rsidR="00320D5B" w:rsidRPr="003D1E47">
              <w:rPr>
                <w:rFonts w:ascii="Times New Roman" w:hAnsi="Times New Roman"/>
                <w:sz w:val="20"/>
                <w:szCs w:val="20"/>
                <w:lang w:val="pl-PL"/>
              </w:rPr>
              <w:t>spirometr</w:t>
            </w:r>
            <w:r w:rsidR="000830CD" w:rsidRPr="003D1E47">
              <w:rPr>
                <w:rFonts w:ascii="Times New Roman" w:hAnsi="Times New Roman"/>
                <w:sz w:val="20"/>
                <w:szCs w:val="20"/>
                <w:lang w:val="pl-PL"/>
              </w:rPr>
              <w:t>yczne</w:t>
            </w:r>
            <w:r w:rsidR="00490140" w:rsidRPr="003D1E47">
              <w:rPr>
                <w:rFonts w:ascii="Times New Roman" w:hAnsi="Times New Roman"/>
                <w:sz w:val="20"/>
                <w:szCs w:val="20"/>
                <w:lang w:val="pl-PL"/>
              </w:rPr>
              <w:t>,</w:t>
            </w:r>
          </w:p>
          <w:p w14:paraId="3958900B" w14:textId="61008EFC" w:rsidR="00FA683F" w:rsidRPr="003D1E47" w:rsidRDefault="004E5806" w:rsidP="003D1E47">
            <w:pPr>
              <w:numPr>
                <w:ilvl w:val="4"/>
                <w:numId w:val="58"/>
              </w:num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 xml:space="preserve">badanie </w:t>
            </w:r>
            <w:r w:rsidR="00FA683F" w:rsidRPr="003D1E47">
              <w:rPr>
                <w:rFonts w:ascii="Times New Roman" w:hAnsi="Times New Roman"/>
                <w:sz w:val="20"/>
                <w:szCs w:val="20"/>
                <w:lang w:val="pl-PL"/>
              </w:rPr>
              <w:t>wskaźnik</w:t>
            </w:r>
            <w:r w:rsidRPr="003D1E47">
              <w:rPr>
                <w:rFonts w:ascii="Times New Roman" w:hAnsi="Times New Roman"/>
                <w:sz w:val="20"/>
                <w:szCs w:val="20"/>
                <w:lang w:val="pl-PL"/>
              </w:rPr>
              <w:t>a</w:t>
            </w:r>
            <w:r w:rsidR="00FA683F" w:rsidRPr="003D1E47">
              <w:rPr>
                <w:rFonts w:ascii="Times New Roman" w:hAnsi="Times New Roman"/>
                <w:sz w:val="20"/>
                <w:szCs w:val="20"/>
                <w:lang w:val="pl-PL"/>
              </w:rPr>
              <w:t xml:space="preserve"> transferu płucnego</w:t>
            </w:r>
            <w:r w:rsidR="000F1776" w:rsidRPr="003D1E47">
              <w:rPr>
                <w:rFonts w:ascii="Times New Roman" w:hAnsi="Times New Roman"/>
                <w:sz w:val="20"/>
                <w:szCs w:val="20"/>
                <w:lang w:val="pl-PL"/>
              </w:rPr>
              <w:t xml:space="preserve"> dla </w:t>
            </w:r>
            <w:r w:rsidR="004F7AB1" w:rsidRPr="003D1E47">
              <w:rPr>
                <w:rFonts w:ascii="Times New Roman" w:hAnsi="Times New Roman"/>
                <w:sz w:val="20"/>
                <w:szCs w:val="20"/>
                <w:lang w:val="pl-PL"/>
              </w:rPr>
              <w:t>CO</w:t>
            </w:r>
            <w:r w:rsidR="000F1776" w:rsidRPr="003D1E47">
              <w:rPr>
                <w:rFonts w:ascii="Times New Roman" w:hAnsi="Times New Roman"/>
                <w:sz w:val="20"/>
                <w:szCs w:val="20"/>
                <w:lang w:val="pl-PL"/>
              </w:rPr>
              <w:t xml:space="preserve"> </w:t>
            </w:r>
            <w:r w:rsidR="00320D5B" w:rsidRPr="003D1E47">
              <w:rPr>
                <w:rFonts w:ascii="Times New Roman" w:hAnsi="Times New Roman"/>
                <w:sz w:val="20"/>
                <w:szCs w:val="20"/>
                <w:lang w:val="pl-PL"/>
              </w:rPr>
              <w:t>(</w:t>
            </w:r>
            <w:proofErr w:type="spellStart"/>
            <w:r w:rsidR="0031135E" w:rsidRPr="003D1E47">
              <w:rPr>
                <w:rFonts w:ascii="Times New Roman" w:hAnsi="Times New Roman"/>
                <w:sz w:val="20"/>
                <w:szCs w:val="20"/>
                <w:lang w:val="pl-PL"/>
              </w:rPr>
              <w:t>T</w:t>
            </w:r>
            <w:r w:rsidR="00320D5B" w:rsidRPr="003D1E47">
              <w:rPr>
                <w:rFonts w:ascii="Times New Roman" w:hAnsi="Times New Roman"/>
                <w:sz w:val="20"/>
                <w:szCs w:val="20"/>
                <w:lang w:val="pl-PL"/>
              </w:rPr>
              <w:t>L</w:t>
            </w:r>
            <w:r w:rsidR="00FA683F" w:rsidRPr="003D1E47">
              <w:rPr>
                <w:rFonts w:ascii="Times New Roman" w:hAnsi="Times New Roman"/>
                <w:sz w:val="20"/>
                <w:szCs w:val="20"/>
                <w:lang w:val="pl-PL"/>
              </w:rPr>
              <w:t>co</w:t>
            </w:r>
            <w:proofErr w:type="spellEnd"/>
            <w:r w:rsidR="00320D5B" w:rsidRPr="003D1E47">
              <w:rPr>
                <w:rFonts w:ascii="Times New Roman" w:hAnsi="Times New Roman"/>
                <w:sz w:val="20"/>
                <w:szCs w:val="20"/>
                <w:lang w:val="pl-PL"/>
              </w:rPr>
              <w:t>)</w:t>
            </w:r>
            <w:r w:rsidR="00490140" w:rsidRPr="003D1E47">
              <w:rPr>
                <w:rFonts w:ascii="Times New Roman" w:hAnsi="Times New Roman"/>
                <w:sz w:val="20"/>
                <w:szCs w:val="20"/>
                <w:lang w:val="pl-PL"/>
              </w:rPr>
              <w:t>,</w:t>
            </w:r>
          </w:p>
          <w:p w14:paraId="159AC7D2" w14:textId="0628D696" w:rsidR="001B4328" w:rsidRPr="003D1E47" w:rsidRDefault="000830CD" w:rsidP="003D1E47">
            <w:pPr>
              <w:numPr>
                <w:ilvl w:val="4"/>
                <w:numId w:val="58"/>
              </w:num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b</w:t>
            </w:r>
            <w:r w:rsidR="004735CB" w:rsidRPr="003D1E47">
              <w:rPr>
                <w:rFonts w:ascii="Times New Roman" w:hAnsi="Times New Roman"/>
                <w:sz w:val="20"/>
                <w:szCs w:val="20"/>
                <w:lang w:val="pl-PL"/>
              </w:rPr>
              <w:t xml:space="preserve">adanie </w:t>
            </w:r>
            <w:r w:rsidR="00320D5B" w:rsidRPr="003D1E47">
              <w:rPr>
                <w:rFonts w:ascii="Times New Roman" w:hAnsi="Times New Roman"/>
                <w:sz w:val="20"/>
                <w:szCs w:val="20"/>
                <w:lang w:val="pl-PL"/>
              </w:rPr>
              <w:t>gazometri</w:t>
            </w:r>
            <w:r w:rsidR="004735CB" w:rsidRPr="003D1E47">
              <w:rPr>
                <w:rFonts w:ascii="Times New Roman" w:hAnsi="Times New Roman"/>
                <w:sz w:val="20"/>
                <w:szCs w:val="20"/>
                <w:lang w:val="pl-PL"/>
              </w:rPr>
              <w:t>i</w:t>
            </w:r>
            <w:r w:rsidR="00320D5B" w:rsidRPr="003D1E47">
              <w:rPr>
                <w:rFonts w:ascii="Times New Roman" w:hAnsi="Times New Roman"/>
                <w:sz w:val="20"/>
                <w:szCs w:val="20"/>
                <w:lang w:val="pl-PL"/>
              </w:rPr>
              <w:t xml:space="preserve"> krwi lub </w:t>
            </w:r>
            <w:proofErr w:type="spellStart"/>
            <w:r w:rsidR="001A41FA" w:rsidRPr="003D1E47">
              <w:rPr>
                <w:rFonts w:ascii="Times New Roman" w:hAnsi="Times New Roman"/>
                <w:sz w:val="20"/>
                <w:szCs w:val="20"/>
                <w:lang w:val="pl-PL"/>
              </w:rPr>
              <w:t>pulsoksymetri</w:t>
            </w:r>
            <w:r w:rsidR="004735CB" w:rsidRPr="003D1E47">
              <w:rPr>
                <w:rFonts w:ascii="Times New Roman" w:hAnsi="Times New Roman"/>
                <w:sz w:val="20"/>
                <w:szCs w:val="20"/>
                <w:lang w:val="pl-PL"/>
              </w:rPr>
              <w:t>a</w:t>
            </w:r>
            <w:proofErr w:type="spellEnd"/>
            <w:r w:rsidR="001B4328" w:rsidRPr="003D1E47">
              <w:rPr>
                <w:rFonts w:ascii="Times New Roman" w:hAnsi="Times New Roman"/>
                <w:sz w:val="20"/>
                <w:szCs w:val="20"/>
                <w:lang w:val="pl-PL"/>
              </w:rPr>
              <w:t>.</w:t>
            </w:r>
          </w:p>
          <w:p w14:paraId="6DF08440" w14:textId="67BCEC44" w:rsidR="00B63A7E" w:rsidRPr="003D1E47" w:rsidRDefault="001B4328" w:rsidP="003D1E47">
            <w:p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 xml:space="preserve">Wymienione badania powinny być wykonywane po każdych 12 miesiącach (±3 miesiące) od </w:t>
            </w:r>
            <w:r w:rsidR="00512E41" w:rsidRPr="003D1E47">
              <w:rPr>
                <w:rFonts w:ascii="Times New Roman" w:hAnsi="Times New Roman"/>
                <w:sz w:val="20"/>
                <w:szCs w:val="20"/>
                <w:lang w:val="pl-PL"/>
              </w:rPr>
              <w:t>rozpoczęcia leczenia</w:t>
            </w:r>
            <w:r w:rsidRPr="003D1E47">
              <w:rPr>
                <w:rFonts w:ascii="Times New Roman" w:hAnsi="Times New Roman"/>
                <w:sz w:val="20"/>
                <w:szCs w:val="20"/>
                <w:lang w:val="pl-PL"/>
              </w:rPr>
              <w:t>.</w:t>
            </w:r>
          </w:p>
          <w:p w14:paraId="022AB07F" w14:textId="77777777" w:rsidR="00933168" w:rsidRPr="003D1E47" w:rsidRDefault="00933168" w:rsidP="003D1E47">
            <w:pPr>
              <w:autoSpaceDE w:val="0"/>
              <w:autoSpaceDN w:val="0"/>
              <w:adjustRightInd w:val="0"/>
              <w:spacing w:after="60"/>
              <w:jc w:val="both"/>
              <w:rPr>
                <w:rFonts w:ascii="Times New Roman" w:hAnsi="Times New Roman"/>
                <w:sz w:val="20"/>
                <w:szCs w:val="20"/>
                <w:lang w:val="pl-PL"/>
              </w:rPr>
            </w:pPr>
          </w:p>
          <w:p w14:paraId="3F0E7799" w14:textId="39EAB7A9" w:rsidR="00DE2E1F" w:rsidRPr="003D1E47" w:rsidRDefault="00490140" w:rsidP="003D1E47">
            <w:pPr>
              <w:pStyle w:val="Akapitzlist"/>
              <w:numPr>
                <w:ilvl w:val="0"/>
                <w:numId w:val="57"/>
              </w:numPr>
              <w:autoSpaceDE w:val="0"/>
              <w:autoSpaceDN w:val="0"/>
              <w:adjustRightInd w:val="0"/>
              <w:spacing w:after="60"/>
              <w:ind w:left="454" w:hanging="227"/>
              <w:contextualSpacing w:val="0"/>
              <w:jc w:val="both"/>
              <w:rPr>
                <w:rFonts w:ascii="Times New Roman" w:hAnsi="Times New Roman"/>
                <w:sz w:val="20"/>
                <w:szCs w:val="20"/>
                <w:lang w:val="pl-PL"/>
              </w:rPr>
            </w:pPr>
            <w:r w:rsidRPr="003D1E47">
              <w:rPr>
                <w:rFonts w:ascii="Times New Roman" w:hAnsi="Times New Roman"/>
                <w:sz w:val="20"/>
                <w:szCs w:val="20"/>
                <w:lang w:val="pl-PL"/>
              </w:rPr>
              <w:t>b</w:t>
            </w:r>
            <w:r w:rsidR="00320D5B" w:rsidRPr="003D1E47">
              <w:rPr>
                <w:rFonts w:ascii="Times New Roman" w:hAnsi="Times New Roman"/>
                <w:sz w:val="20"/>
                <w:szCs w:val="20"/>
                <w:lang w:val="pl-PL"/>
              </w:rPr>
              <w:t>adanie obrazowe płuc</w:t>
            </w:r>
            <w:r w:rsidR="00DE2E1F" w:rsidRPr="003D1E47">
              <w:rPr>
                <w:rFonts w:ascii="Times New Roman" w:hAnsi="Times New Roman"/>
                <w:sz w:val="20"/>
                <w:szCs w:val="20"/>
                <w:lang w:val="pl-PL"/>
              </w:rPr>
              <w:t>:</w:t>
            </w:r>
          </w:p>
          <w:p w14:paraId="290EF53C" w14:textId="0FCA2755" w:rsidR="00DE2E1F" w:rsidRPr="003D1E47" w:rsidRDefault="00DB12B1" w:rsidP="003D1E47">
            <w:pPr>
              <w:numPr>
                <w:ilvl w:val="4"/>
                <w:numId w:val="59"/>
              </w:num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 xml:space="preserve">badanie </w:t>
            </w:r>
            <w:r w:rsidR="00DE2E1F" w:rsidRPr="003D1E47">
              <w:rPr>
                <w:rFonts w:ascii="Times New Roman" w:hAnsi="Times New Roman"/>
                <w:sz w:val="20"/>
                <w:szCs w:val="20"/>
                <w:lang w:val="pl-PL"/>
              </w:rPr>
              <w:t>TKWR klatki piersiowej.</w:t>
            </w:r>
          </w:p>
          <w:p w14:paraId="3DE2D1AB" w14:textId="62819227" w:rsidR="00142078" w:rsidRPr="003D1E47" w:rsidRDefault="00DE2E1F" w:rsidP="003D1E47">
            <w:p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Badanie należy wykonać</w:t>
            </w:r>
            <w:r w:rsidR="00F25158" w:rsidRPr="003D1E47">
              <w:rPr>
                <w:rFonts w:ascii="Times New Roman" w:hAnsi="Times New Roman"/>
                <w:sz w:val="20"/>
                <w:szCs w:val="20"/>
                <w:lang w:val="pl-PL"/>
              </w:rPr>
              <w:t xml:space="preserve"> po 12</w:t>
            </w:r>
            <w:r w:rsidR="008B39FF" w:rsidRPr="003D1E47">
              <w:rPr>
                <w:rFonts w:ascii="Times New Roman" w:hAnsi="Times New Roman"/>
                <w:sz w:val="20"/>
                <w:szCs w:val="20"/>
                <w:lang w:val="pl-PL"/>
              </w:rPr>
              <w:t xml:space="preserve"> </w:t>
            </w:r>
            <w:r w:rsidR="00F25158" w:rsidRPr="003D1E47">
              <w:rPr>
                <w:rFonts w:ascii="Times New Roman" w:hAnsi="Times New Roman"/>
                <w:sz w:val="20"/>
                <w:szCs w:val="20"/>
                <w:lang w:val="pl-PL"/>
              </w:rPr>
              <w:t>miesiącach</w:t>
            </w:r>
            <w:r w:rsidR="00FB4D8D" w:rsidRPr="003D1E47">
              <w:rPr>
                <w:rFonts w:ascii="Times New Roman" w:hAnsi="Times New Roman"/>
                <w:sz w:val="20"/>
                <w:szCs w:val="20"/>
                <w:lang w:val="pl-PL"/>
              </w:rPr>
              <w:t xml:space="preserve"> </w:t>
            </w:r>
            <w:r w:rsidR="00F25158" w:rsidRPr="003D1E47">
              <w:rPr>
                <w:rFonts w:ascii="Times New Roman" w:hAnsi="Times New Roman"/>
                <w:sz w:val="20"/>
                <w:szCs w:val="20"/>
                <w:lang w:val="pl-PL"/>
              </w:rPr>
              <w:t>(±</w:t>
            </w:r>
            <w:r w:rsidR="0072504D" w:rsidRPr="003D1E47">
              <w:rPr>
                <w:rFonts w:ascii="Times New Roman" w:hAnsi="Times New Roman"/>
                <w:sz w:val="20"/>
                <w:szCs w:val="20"/>
                <w:lang w:val="pl-PL"/>
              </w:rPr>
              <w:t>3</w:t>
            </w:r>
            <w:r w:rsidR="00F25158" w:rsidRPr="003D1E47">
              <w:rPr>
                <w:rFonts w:ascii="Times New Roman" w:hAnsi="Times New Roman"/>
                <w:sz w:val="20"/>
                <w:szCs w:val="20"/>
                <w:lang w:val="pl-PL"/>
              </w:rPr>
              <w:t xml:space="preserve"> miesiąc</w:t>
            </w:r>
            <w:r w:rsidR="00142078" w:rsidRPr="003D1E47">
              <w:rPr>
                <w:rFonts w:ascii="Times New Roman" w:hAnsi="Times New Roman"/>
                <w:sz w:val="20"/>
                <w:szCs w:val="20"/>
                <w:lang w:val="pl-PL"/>
              </w:rPr>
              <w:t>e</w:t>
            </w:r>
            <w:r w:rsidR="00F25158" w:rsidRPr="003D1E47">
              <w:rPr>
                <w:rFonts w:ascii="Times New Roman" w:hAnsi="Times New Roman"/>
                <w:sz w:val="20"/>
                <w:szCs w:val="20"/>
                <w:lang w:val="pl-PL"/>
              </w:rPr>
              <w:t xml:space="preserve">) od </w:t>
            </w:r>
            <w:r w:rsidR="0014107F" w:rsidRPr="003D1E47">
              <w:rPr>
                <w:rFonts w:ascii="Times New Roman" w:hAnsi="Times New Roman"/>
                <w:sz w:val="20"/>
                <w:szCs w:val="20"/>
                <w:lang w:val="pl-PL"/>
              </w:rPr>
              <w:t>rozpoczęcia leczenia</w:t>
            </w:r>
            <w:r w:rsidR="00320D5B" w:rsidRPr="003D1E47">
              <w:rPr>
                <w:rFonts w:ascii="Times New Roman" w:hAnsi="Times New Roman"/>
                <w:sz w:val="20"/>
                <w:szCs w:val="20"/>
                <w:lang w:val="pl-PL"/>
              </w:rPr>
              <w:t>.</w:t>
            </w:r>
            <w:r w:rsidR="00E24450" w:rsidRPr="003D1E47">
              <w:rPr>
                <w:rFonts w:ascii="Times New Roman" w:hAnsi="Times New Roman"/>
                <w:sz w:val="20"/>
                <w:szCs w:val="20"/>
                <w:lang w:val="pl-PL"/>
              </w:rPr>
              <w:t xml:space="preserve"> W przypadku kontynuacji leczenia w programie, decyzja</w:t>
            </w:r>
            <w:r w:rsidR="00FB4D8D" w:rsidRPr="003D1E47">
              <w:rPr>
                <w:rFonts w:ascii="Times New Roman" w:hAnsi="Times New Roman"/>
                <w:sz w:val="20"/>
                <w:szCs w:val="20"/>
                <w:lang w:val="pl-PL"/>
              </w:rPr>
              <w:t xml:space="preserve"> </w:t>
            </w:r>
            <w:r w:rsidR="00E24450" w:rsidRPr="003D1E47">
              <w:rPr>
                <w:rFonts w:ascii="Times New Roman" w:hAnsi="Times New Roman"/>
                <w:sz w:val="20"/>
                <w:szCs w:val="20"/>
                <w:lang w:val="pl-PL"/>
              </w:rPr>
              <w:t>o terminie kolejnego badania należy</w:t>
            </w:r>
            <w:r w:rsidR="00FB4D8D" w:rsidRPr="003D1E47">
              <w:rPr>
                <w:rFonts w:ascii="Times New Roman" w:hAnsi="Times New Roman"/>
                <w:sz w:val="20"/>
                <w:szCs w:val="20"/>
                <w:lang w:val="pl-PL"/>
              </w:rPr>
              <w:t xml:space="preserve"> </w:t>
            </w:r>
            <w:r w:rsidR="00E24450" w:rsidRPr="003D1E47">
              <w:rPr>
                <w:rFonts w:ascii="Times New Roman" w:hAnsi="Times New Roman"/>
                <w:sz w:val="20"/>
                <w:szCs w:val="20"/>
                <w:lang w:val="pl-PL"/>
              </w:rPr>
              <w:t>do lekarza prowadzącego</w:t>
            </w:r>
            <w:r w:rsidR="00490140" w:rsidRPr="003D1E47">
              <w:rPr>
                <w:rFonts w:ascii="Times New Roman" w:hAnsi="Times New Roman"/>
                <w:sz w:val="20"/>
                <w:szCs w:val="20"/>
                <w:lang w:val="pl-PL"/>
              </w:rPr>
              <w:t>;</w:t>
            </w:r>
          </w:p>
          <w:p w14:paraId="30521532" w14:textId="77777777" w:rsidR="00933168" w:rsidRPr="003D1E47" w:rsidRDefault="00933168" w:rsidP="003D1E47">
            <w:pPr>
              <w:autoSpaceDE w:val="0"/>
              <w:autoSpaceDN w:val="0"/>
              <w:adjustRightInd w:val="0"/>
              <w:spacing w:after="60"/>
              <w:jc w:val="both"/>
              <w:rPr>
                <w:rFonts w:ascii="Times New Roman" w:hAnsi="Times New Roman"/>
                <w:sz w:val="20"/>
                <w:szCs w:val="20"/>
                <w:lang w:val="pl-PL"/>
              </w:rPr>
            </w:pPr>
          </w:p>
          <w:p w14:paraId="419262EA" w14:textId="77777777" w:rsidR="00320D5B" w:rsidRPr="003D1E47" w:rsidRDefault="00490140" w:rsidP="003D1E47">
            <w:pPr>
              <w:pStyle w:val="Akapitzlist"/>
              <w:numPr>
                <w:ilvl w:val="0"/>
                <w:numId w:val="57"/>
              </w:numPr>
              <w:autoSpaceDE w:val="0"/>
              <w:autoSpaceDN w:val="0"/>
              <w:adjustRightInd w:val="0"/>
              <w:spacing w:after="60"/>
              <w:ind w:left="454" w:hanging="227"/>
              <w:contextualSpacing w:val="0"/>
              <w:jc w:val="both"/>
              <w:rPr>
                <w:rFonts w:ascii="Times New Roman" w:hAnsi="Times New Roman"/>
                <w:sz w:val="20"/>
                <w:szCs w:val="20"/>
                <w:lang w:val="pl-PL"/>
              </w:rPr>
            </w:pPr>
            <w:r w:rsidRPr="003D1E47">
              <w:rPr>
                <w:rFonts w:ascii="Times New Roman" w:hAnsi="Times New Roman"/>
                <w:sz w:val="20"/>
                <w:szCs w:val="20"/>
                <w:lang w:val="pl-PL"/>
              </w:rPr>
              <w:lastRenderedPageBreak/>
              <w:t>b</w:t>
            </w:r>
            <w:r w:rsidR="00375AE9" w:rsidRPr="003D1E47">
              <w:rPr>
                <w:rFonts w:ascii="Times New Roman" w:hAnsi="Times New Roman"/>
                <w:sz w:val="20"/>
                <w:szCs w:val="20"/>
                <w:lang w:val="pl-PL"/>
              </w:rPr>
              <w:t>adani</w:t>
            </w:r>
            <w:r w:rsidR="0072504D" w:rsidRPr="003D1E47">
              <w:rPr>
                <w:rFonts w:ascii="Times New Roman" w:hAnsi="Times New Roman"/>
                <w:sz w:val="20"/>
                <w:szCs w:val="20"/>
                <w:lang w:val="pl-PL"/>
              </w:rPr>
              <w:t>a</w:t>
            </w:r>
            <w:r w:rsidR="00926AF1" w:rsidRPr="003D1E47">
              <w:rPr>
                <w:rFonts w:ascii="Times New Roman" w:hAnsi="Times New Roman"/>
                <w:sz w:val="20"/>
                <w:szCs w:val="20"/>
                <w:lang w:val="pl-PL"/>
              </w:rPr>
              <w:t xml:space="preserve"> </w:t>
            </w:r>
            <w:r w:rsidR="00375AE9" w:rsidRPr="003D1E47">
              <w:rPr>
                <w:rFonts w:ascii="Times New Roman" w:hAnsi="Times New Roman"/>
                <w:sz w:val="20"/>
                <w:szCs w:val="20"/>
                <w:lang w:val="pl-PL"/>
              </w:rPr>
              <w:t>układu krążenia:</w:t>
            </w:r>
          </w:p>
          <w:p w14:paraId="27E98406" w14:textId="1FD0D842" w:rsidR="00375AE9" w:rsidRPr="003D1E47" w:rsidRDefault="00DB12B1" w:rsidP="003D1E47">
            <w:pPr>
              <w:numPr>
                <w:ilvl w:val="4"/>
                <w:numId w:val="60"/>
              </w:num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 xml:space="preserve">badanie </w:t>
            </w:r>
            <w:r w:rsidR="0087211D" w:rsidRPr="003D1E47">
              <w:rPr>
                <w:rFonts w:ascii="Times New Roman" w:hAnsi="Times New Roman"/>
                <w:sz w:val="20"/>
                <w:szCs w:val="20"/>
                <w:lang w:val="pl-PL"/>
              </w:rPr>
              <w:t>elektrokardiografi</w:t>
            </w:r>
            <w:r w:rsidR="000B06AD" w:rsidRPr="003D1E47">
              <w:rPr>
                <w:rFonts w:ascii="Times New Roman" w:hAnsi="Times New Roman"/>
                <w:sz w:val="20"/>
                <w:szCs w:val="20"/>
                <w:lang w:val="pl-PL"/>
              </w:rPr>
              <w:t>czne</w:t>
            </w:r>
            <w:r w:rsidR="0087211D" w:rsidRPr="003D1E47">
              <w:rPr>
                <w:rFonts w:ascii="Times New Roman" w:hAnsi="Times New Roman"/>
                <w:sz w:val="20"/>
                <w:szCs w:val="20"/>
                <w:lang w:val="pl-PL"/>
              </w:rPr>
              <w:t xml:space="preserve"> (</w:t>
            </w:r>
            <w:r w:rsidR="00375AE9" w:rsidRPr="003D1E47">
              <w:rPr>
                <w:rFonts w:ascii="Times New Roman" w:hAnsi="Times New Roman"/>
                <w:sz w:val="20"/>
                <w:szCs w:val="20"/>
                <w:lang w:val="pl-PL"/>
              </w:rPr>
              <w:t>EKG</w:t>
            </w:r>
            <w:r w:rsidR="0087211D" w:rsidRPr="003D1E47">
              <w:rPr>
                <w:rFonts w:ascii="Times New Roman" w:hAnsi="Times New Roman"/>
                <w:sz w:val="20"/>
                <w:szCs w:val="20"/>
                <w:lang w:val="pl-PL"/>
              </w:rPr>
              <w:t>)</w:t>
            </w:r>
            <w:r w:rsidR="00375AE9" w:rsidRPr="003D1E47">
              <w:rPr>
                <w:rFonts w:ascii="Times New Roman" w:hAnsi="Times New Roman"/>
                <w:sz w:val="20"/>
                <w:szCs w:val="20"/>
                <w:lang w:val="pl-PL"/>
              </w:rPr>
              <w:t xml:space="preserve"> po każdych 6 miesiącach (±</w:t>
            </w:r>
            <w:r w:rsidR="0072504D" w:rsidRPr="003D1E47">
              <w:rPr>
                <w:rFonts w:ascii="Times New Roman" w:hAnsi="Times New Roman"/>
                <w:sz w:val="20"/>
                <w:szCs w:val="20"/>
                <w:lang w:val="pl-PL"/>
              </w:rPr>
              <w:t>3</w:t>
            </w:r>
            <w:r w:rsidR="00375AE9" w:rsidRPr="003D1E47">
              <w:rPr>
                <w:rFonts w:ascii="Times New Roman" w:hAnsi="Times New Roman"/>
                <w:sz w:val="20"/>
                <w:szCs w:val="20"/>
                <w:lang w:val="pl-PL"/>
              </w:rPr>
              <w:t xml:space="preserve"> miesiąc</w:t>
            </w:r>
            <w:r w:rsidR="0072504D" w:rsidRPr="003D1E47">
              <w:rPr>
                <w:rFonts w:ascii="Times New Roman" w:hAnsi="Times New Roman"/>
                <w:sz w:val="20"/>
                <w:szCs w:val="20"/>
                <w:lang w:val="pl-PL"/>
              </w:rPr>
              <w:t>e</w:t>
            </w:r>
            <w:r w:rsidR="00375AE9" w:rsidRPr="003D1E47">
              <w:rPr>
                <w:rFonts w:ascii="Times New Roman" w:hAnsi="Times New Roman"/>
                <w:sz w:val="20"/>
                <w:szCs w:val="20"/>
                <w:lang w:val="pl-PL"/>
              </w:rPr>
              <w:t>)</w:t>
            </w:r>
            <w:r w:rsidR="00490140" w:rsidRPr="003D1E47">
              <w:rPr>
                <w:rFonts w:ascii="Times New Roman" w:hAnsi="Times New Roman"/>
                <w:sz w:val="20"/>
                <w:szCs w:val="20"/>
                <w:lang w:val="pl-PL"/>
              </w:rPr>
              <w:t>,</w:t>
            </w:r>
          </w:p>
          <w:p w14:paraId="2BEA47BC" w14:textId="712A9414" w:rsidR="00933168" w:rsidRPr="003D1E47" w:rsidRDefault="00EF62B7" w:rsidP="003D1E47">
            <w:pPr>
              <w:numPr>
                <w:ilvl w:val="4"/>
                <w:numId w:val="60"/>
              </w:num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 xml:space="preserve">badanie </w:t>
            </w:r>
            <w:r w:rsidR="0087211D" w:rsidRPr="003D1E47">
              <w:rPr>
                <w:rFonts w:ascii="Times New Roman" w:hAnsi="Times New Roman"/>
                <w:sz w:val="20"/>
                <w:szCs w:val="20"/>
                <w:lang w:val="pl-PL"/>
              </w:rPr>
              <w:t xml:space="preserve">ECHO serca </w:t>
            </w:r>
            <w:r w:rsidR="00375AE9" w:rsidRPr="003D1E47">
              <w:rPr>
                <w:rFonts w:ascii="Times New Roman" w:hAnsi="Times New Roman"/>
                <w:sz w:val="20"/>
                <w:szCs w:val="20"/>
                <w:lang w:val="pl-PL"/>
              </w:rPr>
              <w:t>po każdych 12 miesiącach (±3 miesiąc</w:t>
            </w:r>
            <w:r w:rsidR="00142078" w:rsidRPr="003D1E47">
              <w:rPr>
                <w:rFonts w:ascii="Times New Roman" w:hAnsi="Times New Roman"/>
                <w:sz w:val="20"/>
                <w:szCs w:val="20"/>
                <w:lang w:val="pl-PL"/>
              </w:rPr>
              <w:t>e</w:t>
            </w:r>
            <w:r w:rsidR="00375AE9" w:rsidRPr="003D1E47">
              <w:rPr>
                <w:rFonts w:ascii="Times New Roman" w:hAnsi="Times New Roman"/>
                <w:sz w:val="20"/>
                <w:szCs w:val="20"/>
                <w:lang w:val="pl-PL"/>
              </w:rPr>
              <w:t>)</w:t>
            </w:r>
            <w:r w:rsidR="001A41FA" w:rsidRPr="003D1E47">
              <w:rPr>
                <w:rFonts w:ascii="Times New Roman" w:hAnsi="Times New Roman"/>
                <w:sz w:val="20"/>
                <w:szCs w:val="20"/>
                <w:lang w:val="pl-PL"/>
              </w:rPr>
              <w:t>.</w:t>
            </w:r>
          </w:p>
          <w:p w14:paraId="348C6385" w14:textId="77777777" w:rsidR="00611786" w:rsidRPr="003D1E47" w:rsidRDefault="00611786" w:rsidP="003D1E47">
            <w:pPr>
              <w:autoSpaceDE w:val="0"/>
              <w:autoSpaceDN w:val="0"/>
              <w:adjustRightInd w:val="0"/>
              <w:spacing w:after="60"/>
              <w:jc w:val="both"/>
              <w:rPr>
                <w:rFonts w:ascii="Times New Roman" w:hAnsi="Times New Roman"/>
                <w:sz w:val="20"/>
                <w:szCs w:val="20"/>
                <w:lang w:val="pl-PL"/>
              </w:rPr>
            </w:pPr>
          </w:p>
          <w:p w14:paraId="092F7DA5" w14:textId="00BD3104" w:rsidR="00611786" w:rsidRPr="003D1E47" w:rsidRDefault="00611786" w:rsidP="003D1E47">
            <w:pPr>
              <w:autoSpaceDE w:val="0"/>
              <w:autoSpaceDN w:val="0"/>
              <w:adjustRightInd w:val="0"/>
              <w:spacing w:after="60"/>
              <w:jc w:val="both"/>
              <w:rPr>
                <w:rFonts w:ascii="Times New Roman" w:hAnsi="Times New Roman"/>
                <w:sz w:val="20"/>
                <w:szCs w:val="20"/>
                <w:lang w:val="pl-PL"/>
              </w:rPr>
            </w:pPr>
            <w:r w:rsidRPr="003D1E47">
              <w:rPr>
                <w:rFonts w:ascii="Times New Roman" w:hAnsi="Times New Roman"/>
                <w:bCs/>
                <w:sz w:val="20"/>
                <w:szCs w:val="20"/>
                <w:lang w:val="pl-PL"/>
              </w:rPr>
              <w:t>Ocena odpowiedzi na leczenie powinna być przeprowadzona, w miarę możliwości, z wykorzystaniem tego samego rodzaju badań, który był zastosowany podczas kwalifikowania pacjenta do leczenia. Wykonane badania muszą pozwolić na obiektywną ocenę odpowiedzi na leczenie.</w:t>
            </w:r>
          </w:p>
          <w:p w14:paraId="31228375" w14:textId="4D45C8A7" w:rsidR="00490140" w:rsidRPr="003D1E47" w:rsidRDefault="000D54DE" w:rsidP="003D1E47">
            <w:pPr>
              <w:autoSpaceDE w:val="0"/>
              <w:autoSpaceDN w:val="0"/>
              <w:adjustRightInd w:val="0"/>
              <w:spacing w:after="60"/>
              <w:jc w:val="both"/>
              <w:rPr>
                <w:rFonts w:ascii="Times New Roman" w:hAnsi="Times New Roman"/>
                <w:sz w:val="20"/>
                <w:szCs w:val="20"/>
                <w:lang w:val="pl-PL"/>
              </w:rPr>
            </w:pPr>
            <w:r w:rsidRPr="003D1E47">
              <w:rPr>
                <w:rFonts w:ascii="Times New Roman" w:hAnsi="Times New Roman"/>
                <w:sz w:val="20"/>
                <w:szCs w:val="20"/>
                <w:lang w:val="pl-PL"/>
              </w:rPr>
              <w:t>Weryfikacja skuteczności leczenia odbywa się w oparciu o w/w kryteria oraz ocenę stanu klinicznego pacjenta dokonywaną przez Zespół Koordynacyjny co 12 miesięcy. Dane gromadzone są w elektronicznym systemie monitorowania programów lekowych i analizowane przez Zespół Koordynacyjny</w:t>
            </w:r>
            <w:r w:rsidR="00D53679" w:rsidRPr="003D1E47">
              <w:rPr>
                <w:rFonts w:ascii="Times New Roman" w:hAnsi="Times New Roman"/>
                <w:sz w:val="20"/>
                <w:szCs w:val="20"/>
                <w:lang w:val="pl-PL"/>
              </w:rPr>
              <w:t xml:space="preserve"> </w:t>
            </w:r>
            <w:r w:rsidR="00FA683F" w:rsidRPr="003D1E47">
              <w:rPr>
                <w:rFonts w:ascii="Times New Roman" w:hAnsi="Times New Roman"/>
                <w:sz w:val="20"/>
                <w:szCs w:val="20"/>
                <w:lang w:val="pl-PL"/>
              </w:rPr>
              <w:t>do Spraw Leczenia Bi</w:t>
            </w:r>
            <w:r w:rsidR="00B40DA5" w:rsidRPr="003D1E47">
              <w:rPr>
                <w:rFonts w:ascii="Times New Roman" w:hAnsi="Times New Roman"/>
                <w:sz w:val="20"/>
                <w:szCs w:val="20"/>
                <w:lang w:val="pl-PL"/>
              </w:rPr>
              <w:t>o</w:t>
            </w:r>
            <w:r w:rsidR="00FA683F" w:rsidRPr="003D1E47">
              <w:rPr>
                <w:rFonts w:ascii="Times New Roman" w:hAnsi="Times New Roman"/>
                <w:sz w:val="20"/>
                <w:szCs w:val="20"/>
                <w:lang w:val="pl-PL"/>
              </w:rPr>
              <w:t xml:space="preserve">logicznego w Chorobach Reumatycznych </w:t>
            </w:r>
            <w:r w:rsidRPr="003D1E47">
              <w:rPr>
                <w:rFonts w:ascii="Times New Roman" w:hAnsi="Times New Roman"/>
                <w:sz w:val="20"/>
                <w:szCs w:val="20"/>
                <w:lang w:val="pl-PL"/>
              </w:rPr>
              <w:t xml:space="preserve">który podsumowuje wyniki leczenia w programie lekowym </w:t>
            </w:r>
            <w:r w:rsidR="00FA683F" w:rsidRPr="003D1E47">
              <w:rPr>
                <w:rFonts w:ascii="Times New Roman" w:hAnsi="Times New Roman"/>
                <w:sz w:val="20"/>
                <w:szCs w:val="20"/>
                <w:lang w:val="pl-PL"/>
              </w:rPr>
              <w:t xml:space="preserve">chorych na chorobę śródmiąższową płuc w przebiegu układowych chorób tkanki łącznej lub Zespół Koordynacyjny do Spraw Leczenia Chorób Śródmiąższowych Płuc, który podsumowuje wyniki leczenia chorych na śródmiąższowe choroby płuc nie związane z chorobą układową tkanki łącznej </w:t>
            </w:r>
            <w:r w:rsidRPr="003D1E47">
              <w:rPr>
                <w:rFonts w:ascii="Times New Roman" w:hAnsi="Times New Roman"/>
                <w:sz w:val="20"/>
                <w:szCs w:val="20"/>
                <w:lang w:val="pl-PL"/>
              </w:rPr>
              <w:t>na koniec każdego roku.</w:t>
            </w:r>
          </w:p>
          <w:p w14:paraId="44F4738E" w14:textId="77777777" w:rsidR="008D2C64" w:rsidRPr="003D1E47" w:rsidRDefault="008D2C64" w:rsidP="003D1E47">
            <w:pPr>
              <w:autoSpaceDE w:val="0"/>
              <w:autoSpaceDN w:val="0"/>
              <w:adjustRightInd w:val="0"/>
              <w:spacing w:after="60"/>
              <w:jc w:val="both"/>
              <w:rPr>
                <w:rFonts w:ascii="Times New Roman" w:hAnsi="Times New Roman"/>
                <w:sz w:val="20"/>
                <w:szCs w:val="20"/>
                <w:lang w:val="pl-PL"/>
              </w:rPr>
            </w:pPr>
          </w:p>
          <w:p w14:paraId="1419E99C" w14:textId="77777777" w:rsidR="00B63A7E" w:rsidRPr="003D1E47" w:rsidRDefault="00B63A7E" w:rsidP="003D1E47">
            <w:pPr>
              <w:pStyle w:val="NormalnyWeb"/>
              <w:numPr>
                <w:ilvl w:val="0"/>
                <w:numId w:val="44"/>
              </w:numPr>
              <w:spacing w:before="0" w:beforeAutospacing="0" w:after="60" w:afterAutospacing="0" w:line="276" w:lineRule="auto"/>
              <w:jc w:val="both"/>
              <w:rPr>
                <w:b/>
                <w:sz w:val="20"/>
                <w:szCs w:val="20"/>
              </w:rPr>
            </w:pPr>
            <w:r w:rsidRPr="003D1E47">
              <w:rPr>
                <w:b/>
                <w:sz w:val="20"/>
                <w:szCs w:val="20"/>
              </w:rPr>
              <w:t>Monitorowanie programu</w:t>
            </w:r>
          </w:p>
          <w:p w14:paraId="4123D1CD" w14:textId="77777777" w:rsidR="00B63A7E" w:rsidRPr="003D1E47" w:rsidRDefault="00490140" w:rsidP="003D1E47">
            <w:pPr>
              <w:pStyle w:val="Akapitzlist"/>
              <w:numPr>
                <w:ilvl w:val="0"/>
                <w:numId w:val="67"/>
              </w:numPr>
              <w:autoSpaceDE w:val="0"/>
              <w:autoSpaceDN w:val="0"/>
              <w:adjustRightInd w:val="0"/>
              <w:spacing w:after="60"/>
              <w:ind w:left="454" w:hanging="227"/>
              <w:contextualSpacing w:val="0"/>
              <w:jc w:val="both"/>
              <w:rPr>
                <w:rFonts w:ascii="Times New Roman" w:hAnsi="Times New Roman"/>
                <w:sz w:val="20"/>
                <w:szCs w:val="20"/>
                <w:lang w:val="pl-PL"/>
              </w:rPr>
            </w:pPr>
            <w:r w:rsidRPr="003D1E47">
              <w:rPr>
                <w:rFonts w:ascii="Times New Roman" w:hAnsi="Times New Roman"/>
                <w:sz w:val="20"/>
                <w:szCs w:val="20"/>
                <w:lang w:val="pl-PL"/>
              </w:rPr>
              <w:t>g</w:t>
            </w:r>
            <w:r w:rsidR="00B63A7E" w:rsidRPr="003D1E47">
              <w:rPr>
                <w:rFonts w:ascii="Times New Roman" w:hAnsi="Times New Roman"/>
                <w:sz w:val="20"/>
                <w:szCs w:val="20"/>
                <w:lang w:val="pl-PL"/>
              </w:rPr>
              <w:t>romadzenie w dokumentacji medycznej pacjenta danych dotyc</w:t>
            </w:r>
            <w:r w:rsidR="00F73690" w:rsidRPr="003D1E47">
              <w:rPr>
                <w:rFonts w:ascii="Times New Roman" w:hAnsi="Times New Roman"/>
                <w:sz w:val="20"/>
                <w:szCs w:val="20"/>
                <w:lang w:val="pl-PL"/>
              </w:rPr>
              <w:t>zących monitorowania leczenia</w:t>
            </w:r>
            <w:r w:rsidR="00FB4D8D" w:rsidRPr="003D1E47">
              <w:rPr>
                <w:rFonts w:ascii="Times New Roman" w:hAnsi="Times New Roman"/>
                <w:sz w:val="20"/>
                <w:szCs w:val="20"/>
                <w:lang w:val="pl-PL"/>
              </w:rPr>
              <w:t xml:space="preserve"> </w:t>
            </w:r>
            <w:r w:rsidR="00F73690" w:rsidRPr="003D1E47">
              <w:rPr>
                <w:rFonts w:ascii="Times New Roman" w:hAnsi="Times New Roman"/>
                <w:sz w:val="20"/>
                <w:szCs w:val="20"/>
                <w:lang w:val="pl-PL"/>
              </w:rPr>
              <w:t xml:space="preserve">i </w:t>
            </w:r>
            <w:r w:rsidR="00B63A7E" w:rsidRPr="003D1E47">
              <w:rPr>
                <w:rFonts w:ascii="Times New Roman" w:hAnsi="Times New Roman"/>
                <w:sz w:val="20"/>
                <w:szCs w:val="20"/>
                <w:lang w:val="pl-PL"/>
              </w:rPr>
              <w:t>każdorazowe ich przedstawianie na żądanie kontrolerów Narodowego Funduszu Zdrowia;</w:t>
            </w:r>
          </w:p>
          <w:p w14:paraId="746A0FBC" w14:textId="0A731B78" w:rsidR="00AE1E8D" w:rsidRPr="003D1E47" w:rsidRDefault="00490140" w:rsidP="003D1E47">
            <w:pPr>
              <w:pStyle w:val="Akapitzlist"/>
              <w:numPr>
                <w:ilvl w:val="0"/>
                <w:numId w:val="67"/>
              </w:numPr>
              <w:autoSpaceDE w:val="0"/>
              <w:autoSpaceDN w:val="0"/>
              <w:adjustRightInd w:val="0"/>
              <w:spacing w:after="60"/>
              <w:ind w:left="454" w:hanging="227"/>
              <w:contextualSpacing w:val="0"/>
              <w:jc w:val="both"/>
              <w:rPr>
                <w:rFonts w:ascii="Times New Roman" w:hAnsi="Times New Roman"/>
                <w:sz w:val="20"/>
                <w:szCs w:val="20"/>
                <w:lang w:val="pl-PL"/>
              </w:rPr>
            </w:pPr>
            <w:r w:rsidRPr="003D1E47">
              <w:rPr>
                <w:rFonts w:ascii="Times New Roman" w:hAnsi="Times New Roman"/>
                <w:sz w:val="20"/>
                <w:szCs w:val="20"/>
                <w:lang w:val="pl-PL"/>
              </w:rPr>
              <w:t>u</w:t>
            </w:r>
            <w:r w:rsidR="00DE5042" w:rsidRPr="003D1E47">
              <w:rPr>
                <w:rFonts w:ascii="Times New Roman" w:hAnsi="Times New Roman"/>
                <w:sz w:val="20"/>
                <w:szCs w:val="20"/>
                <w:lang w:val="pl-PL"/>
              </w:rPr>
              <w:t xml:space="preserve">zupełnienie danych zawartych w elektronicznym systemie monitorowania programów lekowych dostępnym za pomocą </w:t>
            </w:r>
            <w:r w:rsidR="00DE5042" w:rsidRPr="003D1E47">
              <w:rPr>
                <w:rFonts w:ascii="Times New Roman" w:hAnsi="Times New Roman"/>
                <w:sz w:val="20"/>
                <w:szCs w:val="20"/>
                <w:lang w:val="pl-PL"/>
              </w:rPr>
              <w:lastRenderedPageBreak/>
              <w:t>aplikacji internetowej udostępnionej przez OW NFZ, z częstotliwością zgodną z opisem programu oraz na zakończenie leczenia</w:t>
            </w:r>
            <w:r w:rsidR="006E6740" w:rsidRPr="003D1E47">
              <w:rPr>
                <w:rFonts w:ascii="Times New Roman" w:hAnsi="Times New Roman"/>
                <w:sz w:val="20"/>
                <w:szCs w:val="20"/>
                <w:lang w:val="pl-PL"/>
              </w:rPr>
              <w:t>,</w:t>
            </w:r>
            <w:r w:rsidR="006E6740" w:rsidRPr="003D1E47">
              <w:rPr>
                <w:rFonts w:ascii="Times New Roman" w:hAnsi="Times New Roman"/>
              </w:rPr>
              <w:t xml:space="preserve"> </w:t>
            </w:r>
            <w:r w:rsidR="006E6740" w:rsidRPr="003D1E47">
              <w:rPr>
                <w:rFonts w:ascii="Times New Roman" w:hAnsi="Times New Roman"/>
                <w:sz w:val="20"/>
                <w:szCs w:val="20"/>
                <w:lang w:val="pl-PL"/>
              </w:rPr>
              <w:t>w tym przekazywanie danych dotyczących wskaźników skuteczności terapii zawartych w pkt.2</w:t>
            </w:r>
            <w:r w:rsidR="00AE1E8D" w:rsidRPr="003D1E47">
              <w:rPr>
                <w:rFonts w:ascii="Times New Roman" w:hAnsi="Times New Roman"/>
                <w:sz w:val="20"/>
                <w:szCs w:val="20"/>
                <w:lang w:val="pl-PL"/>
              </w:rPr>
              <w:t>;</w:t>
            </w:r>
          </w:p>
          <w:p w14:paraId="23EA9C0E" w14:textId="77777777" w:rsidR="00B63A7E" w:rsidRPr="00CA536D" w:rsidRDefault="00490140" w:rsidP="003D1E47">
            <w:pPr>
              <w:pStyle w:val="Akapitzlist"/>
              <w:numPr>
                <w:ilvl w:val="0"/>
                <w:numId w:val="67"/>
              </w:numPr>
              <w:autoSpaceDE w:val="0"/>
              <w:autoSpaceDN w:val="0"/>
              <w:adjustRightInd w:val="0"/>
              <w:spacing w:after="60"/>
              <w:ind w:left="454" w:hanging="227"/>
              <w:contextualSpacing w:val="0"/>
              <w:jc w:val="both"/>
              <w:rPr>
                <w:sz w:val="20"/>
                <w:szCs w:val="20"/>
                <w:lang w:val="pl-PL"/>
              </w:rPr>
            </w:pPr>
            <w:r w:rsidRPr="003D1E47">
              <w:rPr>
                <w:rFonts w:ascii="Times New Roman" w:hAnsi="Times New Roman"/>
                <w:sz w:val="20"/>
                <w:szCs w:val="20"/>
                <w:lang w:val="pl-PL"/>
              </w:rPr>
              <w:t>p</w:t>
            </w:r>
            <w:r w:rsidR="00B63A7E" w:rsidRPr="003D1E47">
              <w:rPr>
                <w:rFonts w:ascii="Times New Roman" w:hAnsi="Times New Roman"/>
                <w:sz w:val="20"/>
                <w:szCs w:val="20"/>
                <w:lang w:val="pl-PL"/>
              </w:rPr>
              <w:t>rzekazywanie informacji sprawozdawczo</w:t>
            </w:r>
            <w:r w:rsidR="00307E16" w:rsidRPr="003D1E47">
              <w:rPr>
                <w:rFonts w:ascii="Times New Roman" w:hAnsi="Times New Roman"/>
                <w:sz w:val="20"/>
                <w:szCs w:val="20"/>
                <w:lang w:val="pl-PL"/>
              </w:rPr>
              <w:t xml:space="preserve"> </w:t>
            </w:r>
            <w:r w:rsidR="00B63A7E" w:rsidRPr="003D1E47">
              <w:rPr>
                <w:rFonts w:ascii="Times New Roman" w:hAnsi="Times New Roman"/>
                <w:sz w:val="20"/>
                <w:szCs w:val="20"/>
                <w:lang w:val="pl-PL"/>
              </w:rPr>
              <w:t>rozliczeniowych do NFZ: informacje przekazuje się</w:t>
            </w:r>
            <w:r w:rsidR="00FB4D8D" w:rsidRPr="003D1E47">
              <w:rPr>
                <w:rFonts w:ascii="Times New Roman" w:hAnsi="Times New Roman"/>
                <w:sz w:val="20"/>
                <w:szCs w:val="20"/>
                <w:lang w:val="pl-PL"/>
              </w:rPr>
              <w:t xml:space="preserve"> </w:t>
            </w:r>
            <w:r w:rsidR="00B63A7E" w:rsidRPr="003D1E47">
              <w:rPr>
                <w:rFonts w:ascii="Times New Roman" w:hAnsi="Times New Roman"/>
                <w:sz w:val="20"/>
                <w:szCs w:val="20"/>
                <w:lang w:val="pl-PL"/>
              </w:rPr>
              <w:t>do NFZ w formie papierowej lub w formie elektronicznej, zgodnie z wymaganiami</w:t>
            </w:r>
            <w:r w:rsidR="00307E16" w:rsidRPr="003D1E47">
              <w:rPr>
                <w:rFonts w:ascii="Times New Roman" w:hAnsi="Times New Roman"/>
                <w:sz w:val="20"/>
                <w:szCs w:val="20"/>
                <w:lang w:val="pl-PL"/>
              </w:rPr>
              <w:t xml:space="preserve"> </w:t>
            </w:r>
            <w:r w:rsidR="00B63A7E" w:rsidRPr="003D1E47">
              <w:rPr>
                <w:rFonts w:ascii="Times New Roman" w:hAnsi="Times New Roman"/>
                <w:sz w:val="20"/>
                <w:szCs w:val="20"/>
                <w:lang w:val="pl-PL"/>
              </w:rPr>
              <w:t>opublikowanymi przez NFZ.</w:t>
            </w:r>
          </w:p>
        </w:tc>
      </w:tr>
    </w:tbl>
    <w:p w14:paraId="70A92145" w14:textId="77777777" w:rsidR="00B73B51" w:rsidRPr="00FB4D8D" w:rsidRDefault="00B73B51" w:rsidP="00DD6596">
      <w:pPr>
        <w:jc w:val="both"/>
        <w:rPr>
          <w:lang w:val="pl-PL"/>
        </w:rPr>
      </w:pPr>
    </w:p>
    <w:sectPr w:rsidR="00B73B51" w:rsidRPr="00FB4D8D" w:rsidSect="00A2533A">
      <w:pgSz w:w="16840" w:h="11907" w:orient="landscape"/>
      <w:pgMar w:top="1588" w:right="720" w:bottom="1418"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6E703" w14:textId="77777777" w:rsidR="00A654F0" w:rsidRDefault="00A654F0" w:rsidP="00BD2918">
      <w:pPr>
        <w:spacing w:after="0" w:line="240" w:lineRule="auto"/>
      </w:pPr>
      <w:r>
        <w:separator/>
      </w:r>
    </w:p>
  </w:endnote>
  <w:endnote w:type="continuationSeparator" w:id="0">
    <w:p w14:paraId="45E2275B" w14:textId="77777777" w:rsidR="00A654F0" w:rsidRDefault="00A654F0" w:rsidP="00BD2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BF47F" w14:textId="77777777" w:rsidR="00A654F0" w:rsidRDefault="00A654F0" w:rsidP="00BD2918">
      <w:pPr>
        <w:spacing w:after="0" w:line="240" w:lineRule="auto"/>
      </w:pPr>
      <w:r>
        <w:separator/>
      </w:r>
    </w:p>
  </w:footnote>
  <w:footnote w:type="continuationSeparator" w:id="0">
    <w:p w14:paraId="3E6AEF7A" w14:textId="77777777" w:rsidR="00A654F0" w:rsidRDefault="00A654F0" w:rsidP="00BD2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F6A"/>
    <w:multiLevelType w:val="hybridMultilevel"/>
    <w:tmpl w:val="54CEB5B6"/>
    <w:lvl w:ilvl="0" w:tplc="AEDE20EA">
      <w:start w:val="25"/>
      <w:numFmt w:val="decimal"/>
      <w:lvlText w:val="%1)"/>
      <w:lvlJc w:val="left"/>
      <w:pPr>
        <w:ind w:left="1494" w:hanging="360"/>
      </w:pPr>
      <w:rPr>
        <w:rFonts w:hint="default"/>
      </w:rPr>
    </w:lvl>
    <w:lvl w:ilvl="1" w:tplc="FFFFFFFF">
      <w:start w:val="1"/>
      <w:numFmt w:val="lowerLetter"/>
      <w:lvlText w:val="%2)"/>
      <w:lvlJc w:val="left"/>
      <w:pPr>
        <w:ind w:left="1210" w:hanging="360"/>
      </w:pPr>
    </w:lvl>
    <w:lvl w:ilvl="2" w:tplc="FFFFFFFF" w:tentative="1">
      <w:start w:val="1"/>
      <w:numFmt w:val="lowerRoman"/>
      <w:lvlText w:val="%3."/>
      <w:lvlJc w:val="right"/>
      <w:pPr>
        <w:ind w:left="2934" w:hanging="180"/>
      </w:pPr>
    </w:lvl>
    <w:lvl w:ilvl="3" w:tplc="FFFFFFFF">
      <w:start w:val="1"/>
      <w:numFmt w:val="decimal"/>
      <w:lvlText w:val="%4."/>
      <w:lvlJc w:val="left"/>
      <w:pPr>
        <w:ind w:left="3654" w:hanging="360"/>
      </w:pPr>
    </w:lvl>
    <w:lvl w:ilvl="4" w:tplc="FFFFFFFF">
      <w:start w:val="1"/>
      <w:numFmt w:val="lowerLetter"/>
      <w:lvlText w:val="%5."/>
      <w:lvlJc w:val="left"/>
      <w:pPr>
        <w:ind w:left="4374" w:hanging="360"/>
      </w:pPr>
    </w:lvl>
    <w:lvl w:ilvl="5" w:tplc="FFFFFFFF">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 w15:restartNumberingAfterBreak="0">
    <w:nsid w:val="00EC1256"/>
    <w:multiLevelType w:val="hybridMultilevel"/>
    <w:tmpl w:val="5ADE8096"/>
    <w:lvl w:ilvl="0" w:tplc="172AECA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0F90B6F"/>
    <w:multiLevelType w:val="hybridMultilevel"/>
    <w:tmpl w:val="AA38D8AC"/>
    <w:lvl w:ilvl="0" w:tplc="E4B46EC0">
      <w:start w:val="1"/>
      <w:numFmt w:val="lowerLetter"/>
      <w:suff w:val="space"/>
      <w:lvlText w:val="%1)"/>
      <w:lvlJc w:val="left"/>
      <w:pPr>
        <w:ind w:left="720" w:hanging="360"/>
      </w:pPr>
      <w:rPr>
        <w:rFonts w:hint="default"/>
      </w:rPr>
    </w:lvl>
    <w:lvl w:ilvl="1" w:tplc="04150019">
      <w:start w:val="1"/>
      <w:numFmt w:val="lowerLetter"/>
      <w:lvlText w:val="%2."/>
      <w:lvlJc w:val="left"/>
      <w:pPr>
        <w:ind w:left="1156" w:hanging="360"/>
      </w:pPr>
    </w:lvl>
    <w:lvl w:ilvl="2" w:tplc="0415001B" w:tentative="1">
      <w:start w:val="1"/>
      <w:numFmt w:val="lowerRoman"/>
      <w:lvlText w:val="%3."/>
      <w:lvlJc w:val="right"/>
      <w:pPr>
        <w:ind w:left="1876" w:hanging="180"/>
      </w:pPr>
    </w:lvl>
    <w:lvl w:ilvl="3" w:tplc="0415000F" w:tentative="1">
      <w:start w:val="1"/>
      <w:numFmt w:val="decimal"/>
      <w:lvlText w:val="%4."/>
      <w:lvlJc w:val="left"/>
      <w:pPr>
        <w:ind w:left="2596" w:hanging="360"/>
      </w:pPr>
    </w:lvl>
    <w:lvl w:ilvl="4" w:tplc="04150019" w:tentative="1">
      <w:start w:val="1"/>
      <w:numFmt w:val="lowerLetter"/>
      <w:lvlText w:val="%5."/>
      <w:lvlJc w:val="left"/>
      <w:pPr>
        <w:ind w:left="3316" w:hanging="360"/>
      </w:pPr>
    </w:lvl>
    <w:lvl w:ilvl="5" w:tplc="0415001B" w:tentative="1">
      <w:start w:val="1"/>
      <w:numFmt w:val="lowerRoman"/>
      <w:lvlText w:val="%6."/>
      <w:lvlJc w:val="right"/>
      <w:pPr>
        <w:ind w:left="4036" w:hanging="180"/>
      </w:pPr>
    </w:lvl>
    <w:lvl w:ilvl="6" w:tplc="0415000F" w:tentative="1">
      <w:start w:val="1"/>
      <w:numFmt w:val="decimal"/>
      <w:lvlText w:val="%7."/>
      <w:lvlJc w:val="left"/>
      <w:pPr>
        <w:ind w:left="4756" w:hanging="360"/>
      </w:pPr>
    </w:lvl>
    <w:lvl w:ilvl="7" w:tplc="04150019" w:tentative="1">
      <w:start w:val="1"/>
      <w:numFmt w:val="lowerLetter"/>
      <w:lvlText w:val="%8."/>
      <w:lvlJc w:val="left"/>
      <w:pPr>
        <w:ind w:left="5476" w:hanging="360"/>
      </w:pPr>
    </w:lvl>
    <w:lvl w:ilvl="8" w:tplc="0415001B" w:tentative="1">
      <w:start w:val="1"/>
      <w:numFmt w:val="lowerRoman"/>
      <w:lvlText w:val="%9."/>
      <w:lvlJc w:val="right"/>
      <w:pPr>
        <w:ind w:left="6196" w:hanging="180"/>
      </w:pPr>
    </w:lvl>
  </w:abstractNum>
  <w:abstractNum w:abstractNumId="3" w15:restartNumberingAfterBreak="0">
    <w:nsid w:val="00FF53FF"/>
    <w:multiLevelType w:val="hybridMultilevel"/>
    <w:tmpl w:val="590CAB44"/>
    <w:lvl w:ilvl="0" w:tplc="12CC81F4">
      <w:start w:val="1"/>
      <w:numFmt w:val="decimal"/>
      <w:lvlText w:val="%1)"/>
      <w:lvlJc w:val="left"/>
      <w:pPr>
        <w:ind w:left="492"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4B70FC9"/>
    <w:multiLevelType w:val="hybridMultilevel"/>
    <w:tmpl w:val="853005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232517"/>
    <w:multiLevelType w:val="hybridMultilevel"/>
    <w:tmpl w:val="357AF526"/>
    <w:lvl w:ilvl="0" w:tplc="77FA15EC">
      <w:start w:val="1"/>
      <w:numFmt w:val="decimal"/>
      <w:lvlText w:val="%1)"/>
      <w:lvlJc w:val="left"/>
      <w:pPr>
        <w:ind w:left="720"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7027CE5"/>
    <w:multiLevelType w:val="hybridMultilevel"/>
    <w:tmpl w:val="6CCC29B0"/>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7C36425"/>
    <w:multiLevelType w:val="hybridMultilevel"/>
    <w:tmpl w:val="71649D72"/>
    <w:lvl w:ilvl="0" w:tplc="04150017">
      <w:start w:val="1"/>
      <w:numFmt w:val="lowerLetter"/>
      <w:lvlText w:val="%1)"/>
      <w:lvlJc w:val="left"/>
      <w:pPr>
        <w:ind w:left="717" w:hanging="360"/>
      </w:pPr>
    </w:lvl>
    <w:lvl w:ilvl="1" w:tplc="04150019" w:tentative="1">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abstractNum w:abstractNumId="8" w15:restartNumberingAfterBreak="0">
    <w:nsid w:val="0807301A"/>
    <w:multiLevelType w:val="hybridMultilevel"/>
    <w:tmpl w:val="F88008DA"/>
    <w:lvl w:ilvl="0" w:tplc="0CFA52FE">
      <w:start w:val="1"/>
      <w:numFmt w:val="decimal"/>
      <w:suff w:val="space"/>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B1D0E26"/>
    <w:multiLevelType w:val="hybridMultilevel"/>
    <w:tmpl w:val="DF6489C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F55573C"/>
    <w:multiLevelType w:val="multilevel"/>
    <w:tmpl w:val="2116A120"/>
    <w:lvl w:ilvl="0">
      <w:start w:val="1"/>
      <w:numFmt w:val="decimal"/>
      <w:suff w:val="space"/>
      <w:lvlText w:val="%1."/>
      <w:lvlJc w:val="left"/>
      <w:pPr>
        <w:ind w:left="227" w:hanging="227"/>
      </w:pPr>
      <w:rPr>
        <w:rFonts w:hint="default"/>
        <w:b/>
        <w:color w:val="auto"/>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1" w15:restartNumberingAfterBreak="0">
    <w:nsid w:val="132C439D"/>
    <w:multiLevelType w:val="multilevel"/>
    <w:tmpl w:val="2116A120"/>
    <w:lvl w:ilvl="0">
      <w:start w:val="1"/>
      <w:numFmt w:val="decimal"/>
      <w:suff w:val="space"/>
      <w:lvlText w:val="%1."/>
      <w:lvlJc w:val="left"/>
      <w:pPr>
        <w:ind w:left="227" w:hanging="227"/>
      </w:pPr>
      <w:rPr>
        <w:rFonts w:hint="default"/>
        <w:b/>
        <w:color w:val="auto"/>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2" w15:restartNumberingAfterBreak="0">
    <w:nsid w:val="15064E61"/>
    <w:multiLevelType w:val="hybridMultilevel"/>
    <w:tmpl w:val="853005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5C009E"/>
    <w:multiLevelType w:val="hybridMultilevel"/>
    <w:tmpl w:val="F1BEC66C"/>
    <w:lvl w:ilvl="0" w:tplc="9508E170">
      <w:start w:val="1"/>
      <w:numFmt w:val="decimal"/>
      <w:suff w:val="space"/>
      <w:lvlText w:val="%1)"/>
      <w:lvlJc w:val="left"/>
      <w:pPr>
        <w:ind w:left="64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A21AED"/>
    <w:multiLevelType w:val="multilevel"/>
    <w:tmpl w:val="2116A120"/>
    <w:lvl w:ilvl="0">
      <w:start w:val="1"/>
      <w:numFmt w:val="decimal"/>
      <w:suff w:val="space"/>
      <w:lvlText w:val="%1."/>
      <w:lvlJc w:val="left"/>
      <w:pPr>
        <w:ind w:left="227" w:hanging="227"/>
      </w:pPr>
      <w:rPr>
        <w:rFonts w:hint="default"/>
        <w:b/>
        <w:color w:val="auto"/>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5" w15:restartNumberingAfterBreak="0">
    <w:nsid w:val="1CAF2033"/>
    <w:multiLevelType w:val="hybridMultilevel"/>
    <w:tmpl w:val="EA26523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FCD3A8B"/>
    <w:multiLevelType w:val="multilevel"/>
    <w:tmpl w:val="4FFE4D9C"/>
    <w:lvl w:ilvl="0">
      <w:start w:val="1"/>
      <w:numFmt w:val="decimal"/>
      <w:suff w:val="space"/>
      <w:lvlText w:val="%1."/>
      <w:lvlJc w:val="left"/>
      <w:pPr>
        <w:ind w:left="227" w:hanging="227"/>
      </w:pPr>
      <w:rPr>
        <w:rFonts w:hint="default"/>
        <w:b/>
        <w:color w:val="auto"/>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3"/>
      <w:numFmt w:val="decimal"/>
      <w:lvlText w:val="%5)"/>
      <w:lvlJc w:val="left"/>
      <w:pPr>
        <w:ind w:left="814" w:hanging="360"/>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7" w15:restartNumberingAfterBreak="0">
    <w:nsid w:val="240D498A"/>
    <w:multiLevelType w:val="hybridMultilevel"/>
    <w:tmpl w:val="20803A60"/>
    <w:lvl w:ilvl="0" w:tplc="AC1646B2">
      <w:start w:val="1"/>
      <w:numFmt w:val="decimal"/>
      <w:lvlText w:val="%1)"/>
      <w:lvlJc w:val="left"/>
      <w:pPr>
        <w:ind w:left="1080" w:hanging="720"/>
      </w:pPr>
      <w:rPr>
        <w:rFonts w:hint="default"/>
      </w:rPr>
    </w:lvl>
    <w:lvl w:ilvl="1" w:tplc="39D6337C">
      <w:start w:val="1"/>
      <w:numFmt w:val="lowerLetter"/>
      <w:lvlText w:val="%2)"/>
      <w:lvlJc w:val="left"/>
      <w:pPr>
        <w:ind w:left="1440" w:hanging="360"/>
      </w:pPr>
      <w:rPr>
        <w:rFonts w:hint="default"/>
      </w:rPr>
    </w:lvl>
    <w:lvl w:ilvl="2" w:tplc="39D6337C">
      <w:start w:val="1"/>
      <w:numFmt w:val="lowerLetter"/>
      <w:lvlText w:val="%3)"/>
      <w:lvlJc w:val="left"/>
      <w:pPr>
        <w:ind w:left="2160" w:hanging="180"/>
      </w:pPr>
      <w:rPr>
        <w:rFonts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4D12561"/>
    <w:multiLevelType w:val="hybridMultilevel"/>
    <w:tmpl w:val="853005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FC2619"/>
    <w:multiLevelType w:val="hybridMultilevel"/>
    <w:tmpl w:val="853005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A2738C"/>
    <w:multiLevelType w:val="hybridMultilevel"/>
    <w:tmpl w:val="5E9032D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AF82AD4"/>
    <w:multiLevelType w:val="hybridMultilevel"/>
    <w:tmpl w:val="7B7838FA"/>
    <w:lvl w:ilvl="0" w:tplc="18F8605E">
      <w:start w:val="5"/>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2BFC1686"/>
    <w:multiLevelType w:val="hybridMultilevel"/>
    <w:tmpl w:val="36FA8260"/>
    <w:lvl w:ilvl="0" w:tplc="76D43ABC">
      <w:start w:val="1"/>
      <w:numFmt w:val="decimal"/>
      <w:suff w:val="space"/>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F2D0965"/>
    <w:multiLevelType w:val="hybridMultilevel"/>
    <w:tmpl w:val="853005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04D3B89"/>
    <w:multiLevelType w:val="hybridMultilevel"/>
    <w:tmpl w:val="DF6489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6E12"/>
    <w:multiLevelType w:val="multilevel"/>
    <w:tmpl w:val="E91EC9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15:restartNumberingAfterBreak="0">
    <w:nsid w:val="33E23178"/>
    <w:multiLevelType w:val="hybridMultilevel"/>
    <w:tmpl w:val="18F2554E"/>
    <w:lvl w:ilvl="0" w:tplc="AC1646B2">
      <w:start w:val="1"/>
      <w:numFmt w:val="decimal"/>
      <w:lvlText w:val="%1)"/>
      <w:lvlJc w:val="left"/>
      <w:pPr>
        <w:ind w:left="1080" w:hanging="720"/>
      </w:pPr>
      <w:rPr>
        <w:rFonts w:hint="default"/>
      </w:rPr>
    </w:lvl>
    <w:lvl w:ilvl="1" w:tplc="39D6337C">
      <w:start w:val="1"/>
      <w:numFmt w:val="lowerLetter"/>
      <w:lvlText w:val="%2)"/>
      <w:lvlJc w:val="left"/>
      <w:pPr>
        <w:ind w:left="1440" w:hanging="360"/>
      </w:pPr>
      <w:rPr>
        <w:rFonts w:hint="default"/>
      </w:rPr>
    </w:lvl>
    <w:lvl w:ilvl="2" w:tplc="39D6337C">
      <w:start w:val="1"/>
      <w:numFmt w:val="lowerLetter"/>
      <w:lvlText w:val="%3)"/>
      <w:lvlJc w:val="left"/>
      <w:pPr>
        <w:ind w:left="2160" w:hanging="180"/>
      </w:pPr>
      <w:rPr>
        <w:rFonts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35DB47F7"/>
    <w:multiLevelType w:val="multilevel"/>
    <w:tmpl w:val="05D4D354"/>
    <w:lvl w:ilvl="0">
      <w:start w:val="1"/>
      <w:numFmt w:val="decimal"/>
      <w:suff w:val="space"/>
      <w:lvlText w:val="%1."/>
      <w:lvlJc w:val="left"/>
      <w:pPr>
        <w:ind w:left="227" w:hanging="227"/>
      </w:pPr>
      <w:rPr>
        <w:rFonts w:hint="default"/>
        <w:b/>
        <w:color w:val="auto"/>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8" w15:restartNumberingAfterBreak="0">
    <w:nsid w:val="35E3780E"/>
    <w:multiLevelType w:val="hybridMultilevel"/>
    <w:tmpl w:val="375661D2"/>
    <w:lvl w:ilvl="0" w:tplc="235A7F8A">
      <w:start w:val="3"/>
      <w:numFmt w:val="decimal"/>
      <w:lvlText w:val="%1."/>
      <w:lvlJc w:val="left"/>
      <w:pPr>
        <w:ind w:left="360" w:hanging="360"/>
      </w:pPr>
      <w:rPr>
        <w:rFonts w:hint="default"/>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3691137E"/>
    <w:multiLevelType w:val="hybridMultilevel"/>
    <w:tmpl w:val="0EC28294"/>
    <w:lvl w:ilvl="0" w:tplc="69541FB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380E3C61"/>
    <w:multiLevelType w:val="hybridMultilevel"/>
    <w:tmpl w:val="D57696B2"/>
    <w:lvl w:ilvl="0" w:tplc="FFFFFFFF">
      <w:start w:val="1"/>
      <w:numFmt w:val="decimal"/>
      <w:lvlText w:val="%1)"/>
      <w:lvlJc w:val="left"/>
      <w:pPr>
        <w:ind w:left="720" w:hanging="360"/>
      </w:pPr>
    </w:lvl>
    <w:lvl w:ilvl="1" w:tplc="04150017">
      <w:start w:val="1"/>
      <w:numFmt w:val="lowerLetter"/>
      <w:lvlText w:val="%2)"/>
      <w:lvlJc w:val="left"/>
      <w:pPr>
        <w:ind w:left="436"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87B00C5"/>
    <w:multiLevelType w:val="hybridMultilevel"/>
    <w:tmpl w:val="8A985378"/>
    <w:lvl w:ilvl="0" w:tplc="255A6EB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38C3432A"/>
    <w:multiLevelType w:val="hybridMultilevel"/>
    <w:tmpl w:val="56069640"/>
    <w:lvl w:ilvl="0" w:tplc="6F50BD84">
      <w:start w:val="1"/>
      <w:numFmt w:val="decimal"/>
      <w:suff w:val="space"/>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3D1D3E5B"/>
    <w:multiLevelType w:val="hybridMultilevel"/>
    <w:tmpl w:val="55D2CD7A"/>
    <w:lvl w:ilvl="0" w:tplc="FFA8692E">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3D7C6D67"/>
    <w:multiLevelType w:val="hybridMultilevel"/>
    <w:tmpl w:val="6CCC29B0"/>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3DC033BE"/>
    <w:multiLevelType w:val="hybridMultilevel"/>
    <w:tmpl w:val="7DFA4E54"/>
    <w:lvl w:ilvl="0" w:tplc="921E1476">
      <w:start w:val="3"/>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3F1259BA"/>
    <w:multiLevelType w:val="hybridMultilevel"/>
    <w:tmpl w:val="4514A270"/>
    <w:lvl w:ilvl="0" w:tplc="89ECC2D8">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4171896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41977C95"/>
    <w:multiLevelType w:val="hybridMultilevel"/>
    <w:tmpl w:val="AA38D8AC"/>
    <w:lvl w:ilvl="0" w:tplc="FFFFFFFF">
      <w:start w:val="1"/>
      <w:numFmt w:val="lowerLetter"/>
      <w:suff w:val="space"/>
      <w:lvlText w:val="%1)"/>
      <w:lvlJc w:val="left"/>
      <w:pPr>
        <w:ind w:left="720" w:hanging="360"/>
      </w:pPr>
      <w:rPr>
        <w:rFonts w:hint="default"/>
      </w:rPr>
    </w:lvl>
    <w:lvl w:ilvl="1" w:tplc="FFFFFFFF">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39" w15:restartNumberingAfterBreak="0">
    <w:nsid w:val="43875D5B"/>
    <w:multiLevelType w:val="hybridMultilevel"/>
    <w:tmpl w:val="07221E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46660B90"/>
    <w:multiLevelType w:val="hybridMultilevel"/>
    <w:tmpl w:val="05420ADA"/>
    <w:lvl w:ilvl="0" w:tplc="94225E1A">
      <w:start w:val="1"/>
      <w:numFmt w:val="decimal"/>
      <w:lvlText w:val="%1)"/>
      <w:lvlJc w:val="left"/>
      <w:pPr>
        <w:ind w:left="492" w:hanging="360"/>
      </w:pPr>
      <w:rPr>
        <w:b w:val="0"/>
      </w:rPr>
    </w:lvl>
    <w:lvl w:ilvl="1" w:tplc="04150019">
      <w:start w:val="1"/>
      <w:numFmt w:val="lowerLetter"/>
      <w:lvlText w:val="%2."/>
      <w:lvlJc w:val="left"/>
      <w:pPr>
        <w:ind w:left="1212" w:hanging="360"/>
      </w:pPr>
    </w:lvl>
    <w:lvl w:ilvl="2" w:tplc="0415001B" w:tentative="1">
      <w:start w:val="1"/>
      <w:numFmt w:val="lowerRoman"/>
      <w:lvlText w:val="%3."/>
      <w:lvlJc w:val="right"/>
      <w:pPr>
        <w:ind w:left="1932" w:hanging="180"/>
      </w:pPr>
    </w:lvl>
    <w:lvl w:ilvl="3" w:tplc="0415000F" w:tentative="1">
      <w:start w:val="1"/>
      <w:numFmt w:val="decimal"/>
      <w:lvlText w:val="%4."/>
      <w:lvlJc w:val="left"/>
      <w:pPr>
        <w:ind w:left="2652" w:hanging="360"/>
      </w:pPr>
    </w:lvl>
    <w:lvl w:ilvl="4" w:tplc="04150019" w:tentative="1">
      <w:start w:val="1"/>
      <w:numFmt w:val="lowerLetter"/>
      <w:lvlText w:val="%5."/>
      <w:lvlJc w:val="left"/>
      <w:pPr>
        <w:ind w:left="3372" w:hanging="360"/>
      </w:pPr>
    </w:lvl>
    <w:lvl w:ilvl="5" w:tplc="0415001B" w:tentative="1">
      <w:start w:val="1"/>
      <w:numFmt w:val="lowerRoman"/>
      <w:lvlText w:val="%6."/>
      <w:lvlJc w:val="right"/>
      <w:pPr>
        <w:ind w:left="4092" w:hanging="180"/>
      </w:pPr>
    </w:lvl>
    <w:lvl w:ilvl="6" w:tplc="0415000F" w:tentative="1">
      <w:start w:val="1"/>
      <w:numFmt w:val="decimal"/>
      <w:lvlText w:val="%7."/>
      <w:lvlJc w:val="left"/>
      <w:pPr>
        <w:ind w:left="4812" w:hanging="360"/>
      </w:pPr>
    </w:lvl>
    <w:lvl w:ilvl="7" w:tplc="04150019" w:tentative="1">
      <w:start w:val="1"/>
      <w:numFmt w:val="lowerLetter"/>
      <w:lvlText w:val="%8."/>
      <w:lvlJc w:val="left"/>
      <w:pPr>
        <w:ind w:left="5532" w:hanging="360"/>
      </w:pPr>
    </w:lvl>
    <w:lvl w:ilvl="8" w:tplc="0415001B" w:tentative="1">
      <w:start w:val="1"/>
      <w:numFmt w:val="lowerRoman"/>
      <w:lvlText w:val="%9."/>
      <w:lvlJc w:val="right"/>
      <w:pPr>
        <w:ind w:left="6252" w:hanging="180"/>
      </w:pPr>
    </w:lvl>
  </w:abstractNum>
  <w:abstractNum w:abstractNumId="41" w15:restartNumberingAfterBreak="0">
    <w:nsid w:val="48B33DE6"/>
    <w:multiLevelType w:val="hybridMultilevel"/>
    <w:tmpl w:val="A7FE6214"/>
    <w:lvl w:ilvl="0" w:tplc="04150017">
      <w:start w:val="1"/>
      <w:numFmt w:val="lowerLetter"/>
      <w:lvlText w:val="%1)"/>
      <w:lvlJc w:val="left"/>
      <w:pPr>
        <w:ind w:left="852" w:hanging="360"/>
      </w:pPr>
    </w:lvl>
    <w:lvl w:ilvl="1" w:tplc="04150019" w:tentative="1">
      <w:start w:val="1"/>
      <w:numFmt w:val="lowerLetter"/>
      <w:lvlText w:val="%2."/>
      <w:lvlJc w:val="left"/>
      <w:pPr>
        <w:ind w:left="1572" w:hanging="360"/>
      </w:pPr>
    </w:lvl>
    <w:lvl w:ilvl="2" w:tplc="0415001B" w:tentative="1">
      <w:start w:val="1"/>
      <w:numFmt w:val="lowerRoman"/>
      <w:lvlText w:val="%3."/>
      <w:lvlJc w:val="right"/>
      <w:pPr>
        <w:ind w:left="2292" w:hanging="180"/>
      </w:pPr>
    </w:lvl>
    <w:lvl w:ilvl="3" w:tplc="0415000F" w:tentative="1">
      <w:start w:val="1"/>
      <w:numFmt w:val="decimal"/>
      <w:lvlText w:val="%4."/>
      <w:lvlJc w:val="left"/>
      <w:pPr>
        <w:ind w:left="3012" w:hanging="360"/>
      </w:pPr>
    </w:lvl>
    <w:lvl w:ilvl="4" w:tplc="04150019" w:tentative="1">
      <w:start w:val="1"/>
      <w:numFmt w:val="lowerLetter"/>
      <w:lvlText w:val="%5."/>
      <w:lvlJc w:val="left"/>
      <w:pPr>
        <w:ind w:left="3732" w:hanging="360"/>
      </w:pPr>
    </w:lvl>
    <w:lvl w:ilvl="5" w:tplc="0415001B" w:tentative="1">
      <w:start w:val="1"/>
      <w:numFmt w:val="lowerRoman"/>
      <w:lvlText w:val="%6."/>
      <w:lvlJc w:val="right"/>
      <w:pPr>
        <w:ind w:left="4452" w:hanging="180"/>
      </w:pPr>
    </w:lvl>
    <w:lvl w:ilvl="6" w:tplc="0415000F" w:tentative="1">
      <w:start w:val="1"/>
      <w:numFmt w:val="decimal"/>
      <w:lvlText w:val="%7."/>
      <w:lvlJc w:val="left"/>
      <w:pPr>
        <w:ind w:left="5172" w:hanging="360"/>
      </w:pPr>
    </w:lvl>
    <w:lvl w:ilvl="7" w:tplc="04150019" w:tentative="1">
      <w:start w:val="1"/>
      <w:numFmt w:val="lowerLetter"/>
      <w:lvlText w:val="%8."/>
      <w:lvlJc w:val="left"/>
      <w:pPr>
        <w:ind w:left="5892" w:hanging="360"/>
      </w:pPr>
    </w:lvl>
    <w:lvl w:ilvl="8" w:tplc="0415001B" w:tentative="1">
      <w:start w:val="1"/>
      <w:numFmt w:val="lowerRoman"/>
      <w:lvlText w:val="%9."/>
      <w:lvlJc w:val="right"/>
      <w:pPr>
        <w:ind w:left="6612" w:hanging="180"/>
      </w:pPr>
    </w:lvl>
  </w:abstractNum>
  <w:abstractNum w:abstractNumId="42" w15:restartNumberingAfterBreak="0">
    <w:nsid w:val="4DD474CA"/>
    <w:multiLevelType w:val="hybridMultilevel"/>
    <w:tmpl w:val="FE6E66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4F8C6A5F"/>
    <w:multiLevelType w:val="hybridMultilevel"/>
    <w:tmpl w:val="6B5071B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50115D65"/>
    <w:multiLevelType w:val="multilevel"/>
    <w:tmpl w:val="2116A120"/>
    <w:lvl w:ilvl="0">
      <w:start w:val="1"/>
      <w:numFmt w:val="decimal"/>
      <w:suff w:val="space"/>
      <w:lvlText w:val="%1."/>
      <w:lvlJc w:val="left"/>
      <w:pPr>
        <w:ind w:left="227" w:hanging="227"/>
      </w:pPr>
      <w:rPr>
        <w:rFonts w:hint="default"/>
        <w:b/>
        <w:color w:val="auto"/>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45" w15:restartNumberingAfterBreak="0">
    <w:nsid w:val="506739FB"/>
    <w:multiLevelType w:val="hybridMultilevel"/>
    <w:tmpl w:val="209C7E2C"/>
    <w:lvl w:ilvl="0" w:tplc="04150011">
      <w:start w:val="1"/>
      <w:numFmt w:val="decimal"/>
      <w:lvlText w:val="%1)"/>
      <w:lvlJc w:val="left"/>
      <w:pPr>
        <w:ind w:left="755" w:hanging="360"/>
      </w:pPr>
    </w:lvl>
    <w:lvl w:ilvl="1" w:tplc="04150019" w:tentative="1">
      <w:start w:val="1"/>
      <w:numFmt w:val="lowerLetter"/>
      <w:lvlText w:val="%2."/>
      <w:lvlJc w:val="left"/>
      <w:pPr>
        <w:ind w:left="1475" w:hanging="360"/>
      </w:pPr>
    </w:lvl>
    <w:lvl w:ilvl="2" w:tplc="0415001B" w:tentative="1">
      <w:start w:val="1"/>
      <w:numFmt w:val="lowerRoman"/>
      <w:lvlText w:val="%3."/>
      <w:lvlJc w:val="right"/>
      <w:pPr>
        <w:ind w:left="2195" w:hanging="180"/>
      </w:pPr>
    </w:lvl>
    <w:lvl w:ilvl="3" w:tplc="0415000F" w:tentative="1">
      <w:start w:val="1"/>
      <w:numFmt w:val="decimal"/>
      <w:lvlText w:val="%4."/>
      <w:lvlJc w:val="left"/>
      <w:pPr>
        <w:ind w:left="2915" w:hanging="360"/>
      </w:pPr>
    </w:lvl>
    <w:lvl w:ilvl="4" w:tplc="04150019" w:tentative="1">
      <w:start w:val="1"/>
      <w:numFmt w:val="lowerLetter"/>
      <w:lvlText w:val="%5."/>
      <w:lvlJc w:val="left"/>
      <w:pPr>
        <w:ind w:left="3635" w:hanging="360"/>
      </w:pPr>
    </w:lvl>
    <w:lvl w:ilvl="5" w:tplc="0415001B" w:tentative="1">
      <w:start w:val="1"/>
      <w:numFmt w:val="lowerRoman"/>
      <w:lvlText w:val="%6."/>
      <w:lvlJc w:val="right"/>
      <w:pPr>
        <w:ind w:left="4355" w:hanging="180"/>
      </w:pPr>
    </w:lvl>
    <w:lvl w:ilvl="6" w:tplc="0415000F" w:tentative="1">
      <w:start w:val="1"/>
      <w:numFmt w:val="decimal"/>
      <w:lvlText w:val="%7."/>
      <w:lvlJc w:val="left"/>
      <w:pPr>
        <w:ind w:left="5075" w:hanging="360"/>
      </w:pPr>
    </w:lvl>
    <w:lvl w:ilvl="7" w:tplc="04150019" w:tentative="1">
      <w:start w:val="1"/>
      <w:numFmt w:val="lowerLetter"/>
      <w:lvlText w:val="%8."/>
      <w:lvlJc w:val="left"/>
      <w:pPr>
        <w:ind w:left="5795" w:hanging="360"/>
      </w:pPr>
    </w:lvl>
    <w:lvl w:ilvl="8" w:tplc="0415001B" w:tentative="1">
      <w:start w:val="1"/>
      <w:numFmt w:val="lowerRoman"/>
      <w:lvlText w:val="%9."/>
      <w:lvlJc w:val="right"/>
      <w:pPr>
        <w:ind w:left="6515" w:hanging="180"/>
      </w:pPr>
    </w:lvl>
  </w:abstractNum>
  <w:abstractNum w:abstractNumId="46" w15:restartNumberingAfterBreak="0">
    <w:nsid w:val="532A45E7"/>
    <w:multiLevelType w:val="hybridMultilevel"/>
    <w:tmpl w:val="DB084F5E"/>
    <w:lvl w:ilvl="0" w:tplc="C074CA6E">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53576D79"/>
    <w:multiLevelType w:val="hybridMultilevel"/>
    <w:tmpl w:val="853005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4B61ED6"/>
    <w:multiLevelType w:val="hybridMultilevel"/>
    <w:tmpl w:val="47480D4E"/>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9" w15:restartNumberingAfterBreak="0">
    <w:nsid w:val="55306969"/>
    <w:multiLevelType w:val="hybridMultilevel"/>
    <w:tmpl w:val="256AD9F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15:restartNumberingAfterBreak="0">
    <w:nsid w:val="56430D6A"/>
    <w:multiLevelType w:val="hybridMultilevel"/>
    <w:tmpl w:val="757EC270"/>
    <w:lvl w:ilvl="0" w:tplc="BB2286E0">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57005B71"/>
    <w:multiLevelType w:val="multilevel"/>
    <w:tmpl w:val="2116A120"/>
    <w:lvl w:ilvl="0">
      <w:start w:val="1"/>
      <w:numFmt w:val="decimal"/>
      <w:suff w:val="space"/>
      <w:lvlText w:val="%1."/>
      <w:lvlJc w:val="left"/>
      <w:pPr>
        <w:ind w:left="227" w:hanging="227"/>
      </w:pPr>
      <w:rPr>
        <w:rFonts w:hint="default"/>
        <w:b/>
        <w:color w:val="auto"/>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52" w15:restartNumberingAfterBreak="0">
    <w:nsid w:val="574702FA"/>
    <w:multiLevelType w:val="hybridMultilevel"/>
    <w:tmpl w:val="AB6E191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53" w15:restartNumberingAfterBreak="0">
    <w:nsid w:val="58A735CE"/>
    <w:multiLevelType w:val="hybridMultilevel"/>
    <w:tmpl w:val="AD2878E0"/>
    <w:lvl w:ilvl="0" w:tplc="2BEA217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59EF7EBD"/>
    <w:multiLevelType w:val="hybridMultilevel"/>
    <w:tmpl w:val="5B4C035C"/>
    <w:lvl w:ilvl="0" w:tplc="8FF63FA8">
      <w:start w:val="1"/>
      <w:numFmt w:val="lowerLetter"/>
      <w:suff w:val="space"/>
      <w:lvlText w:val="%1)"/>
      <w:lvlJc w:val="left"/>
      <w:pPr>
        <w:ind w:left="644"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15:restartNumberingAfterBreak="0">
    <w:nsid w:val="5ABA5463"/>
    <w:multiLevelType w:val="multilevel"/>
    <w:tmpl w:val="F4F4DB7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val="0"/>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56" w15:restartNumberingAfterBreak="0">
    <w:nsid w:val="5BA93E16"/>
    <w:multiLevelType w:val="multilevel"/>
    <w:tmpl w:val="05D4D354"/>
    <w:lvl w:ilvl="0">
      <w:start w:val="1"/>
      <w:numFmt w:val="decimal"/>
      <w:suff w:val="space"/>
      <w:lvlText w:val="%1."/>
      <w:lvlJc w:val="left"/>
      <w:pPr>
        <w:ind w:left="227" w:hanging="227"/>
      </w:pPr>
      <w:rPr>
        <w:rFonts w:hint="default"/>
        <w:b/>
        <w:color w:val="auto"/>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57" w15:restartNumberingAfterBreak="0">
    <w:nsid w:val="5D374C60"/>
    <w:multiLevelType w:val="hybridMultilevel"/>
    <w:tmpl w:val="74F2DFEE"/>
    <w:lvl w:ilvl="0" w:tplc="D2E42A9A">
      <w:start w:val="2"/>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5D513B0C"/>
    <w:multiLevelType w:val="hybridMultilevel"/>
    <w:tmpl w:val="76D66B5A"/>
    <w:lvl w:ilvl="0" w:tplc="66DC6448">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9" w15:restartNumberingAfterBreak="0">
    <w:nsid w:val="6288484C"/>
    <w:multiLevelType w:val="hybridMultilevel"/>
    <w:tmpl w:val="94667F0C"/>
    <w:lvl w:ilvl="0" w:tplc="90686806">
      <w:start w:val="1"/>
      <w:numFmt w:val="lowerLetter"/>
      <w:lvlText w:val="%1)"/>
      <w:lvlJc w:val="left"/>
      <w:pPr>
        <w:ind w:left="720" w:hanging="360"/>
      </w:pPr>
      <w:rPr>
        <w:rFonts w:hint="default"/>
      </w:rPr>
    </w:lvl>
    <w:lvl w:ilvl="1" w:tplc="C074CA6E">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0" w15:restartNumberingAfterBreak="0">
    <w:nsid w:val="63481CD6"/>
    <w:multiLevelType w:val="hybridMultilevel"/>
    <w:tmpl w:val="E6922D54"/>
    <w:lvl w:ilvl="0" w:tplc="F3CA2FA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1" w15:restartNumberingAfterBreak="0">
    <w:nsid w:val="649503D0"/>
    <w:multiLevelType w:val="hybridMultilevel"/>
    <w:tmpl w:val="ACCC973E"/>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62" w15:restartNumberingAfterBreak="0">
    <w:nsid w:val="65803DEB"/>
    <w:multiLevelType w:val="multilevel"/>
    <w:tmpl w:val="2116A120"/>
    <w:lvl w:ilvl="0">
      <w:start w:val="1"/>
      <w:numFmt w:val="decimal"/>
      <w:suff w:val="space"/>
      <w:lvlText w:val="%1."/>
      <w:lvlJc w:val="left"/>
      <w:pPr>
        <w:ind w:left="227" w:hanging="227"/>
      </w:pPr>
      <w:rPr>
        <w:rFonts w:hint="default"/>
        <w:b/>
        <w:color w:val="auto"/>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63" w15:restartNumberingAfterBreak="0">
    <w:nsid w:val="6631379B"/>
    <w:multiLevelType w:val="hybridMultilevel"/>
    <w:tmpl w:val="E56AD302"/>
    <w:lvl w:ilvl="0" w:tplc="33CC68A4">
      <w:start w:val="4"/>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15:restartNumberingAfterBreak="0">
    <w:nsid w:val="671E382D"/>
    <w:multiLevelType w:val="hybridMultilevel"/>
    <w:tmpl w:val="853005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79E5BC1"/>
    <w:multiLevelType w:val="hybridMultilevel"/>
    <w:tmpl w:val="963CF7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6" w15:restartNumberingAfterBreak="0">
    <w:nsid w:val="681115B3"/>
    <w:multiLevelType w:val="hybridMultilevel"/>
    <w:tmpl w:val="6B168B9E"/>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7" w15:restartNumberingAfterBreak="0">
    <w:nsid w:val="69EB302B"/>
    <w:multiLevelType w:val="hybridMultilevel"/>
    <w:tmpl w:val="90E2ADCC"/>
    <w:lvl w:ilvl="0" w:tplc="FE8E1840">
      <w:start w:val="1"/>
      <w:numFmt w:val="decimal"/>
      <w:suff w:val="space"/>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340297"/>
    <w:multiLevelType w:val="hybridMultilevel"/>
    <w:tmpl w:val="F89654EE"/>
    <w:lvl w:ilvl="0" w:tplc="C51C581E">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9" w15:restartNumberingAfterBreak="0">
    <w:nsid w:val="6F211F55"/>
    <w:multiLevelType w:val="hybridMultilevel"/>
    <w:tmpl w:val="0B2C1B1C"/>
    <w:lvl w:ilvl="0" w:tplc="7F485F44">
      <w:start w:val="1"/>
      <w:numFmt w:val="decimal"/>
      <w:suff w:val="space"/>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1260148"/>
    <w:multiLevelType w:val="hybridMultilevel"/>
    <w:tmpl w:val="39A6E5B4"/>
    <w:lvl w:ilvl="0" w:tplc="B3DC7C7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15:restartNumberingAfterBreak="0">
    <w:nsid w:val="72FA2FB7"/>
    <w:multiLevelType w:val="hybridMultilevel"/>
    <w:tmpl w:val="7166B3F0"/>
    <w:lvl w:ilvl="0" w:tplc="5E324166">
      <w:start w:val="1"/>
      <w:numFmt w:val="decimal"/>
      <w:lvlText w:val="%1)"/>
      <w:lvlJc w:val="left"/>
      <w:pPr>
        <w:ind w:left="492" w:hanging="360"/>
      </w:pPr>
      <w:rPr>
        <w:b w:val="0"/>
      </w:rPr>
    </w:lvl>
    <w:lvl w:ilvl="1" w:tplc="04150019">
      <w:start w:val="1"/>
      <w:numFmt w:val="lowerLetter"/>
      <w:lvlText w:val="%2."/>
      <w:lvlJc w:val="left"/>
      <w:pPr>
        <w:ind w:left="1212" w:hanging="360"/>
      </w:pPr>
    </w:lvl>
    <w:lvl w:ilvl="2" w:tplc="0415001B" w:tentative="1">
      <w:start w:val="1"/>
      <w:numFmt w:val="lowerRoman"/>
      <w:lvlText w:val="%3."/>
      <w:lvlJc w:val="right"/>
      <w:pPr>
        <w:ind w:left="1932" w:hanging="180"/>
      </w:pPr>
    </w:lvl>
    <w:lvl w:ilvl="3" w:tplc="0415000F" w:tentative="1">
      <w:start w:val="1"/>
      <w:numFmt w:val="decimal"/>
      <w:lvlText w:val="%4."/>
      <w:lvlJc w:val="left"/>
      <w:pPr>
        <w:ind w:left="2652" w:hanging="360"/>
      </w:pPr>
    </w:lvl>
    <w:lvl w:ilvl="4" w:tplc="04150019" w:tentative="1">
      <w:start w:val="1"/>
      <w:numFmt w:val="lowerLetter"/>
      <w:lvlText w:val="%5."/>
      <w:lvlJc w:val="left"/>
      <w:pPr>
        <w:ind w:left="3372" w:hanging="360"/>
      </w:pPr>
    </w:lvl>
    <w:lvl w:ilvl="5" w:tplc="0415001B" w:tentative="1">
      <w:start w:val="1"/>
      <w:numFmt w:val="lowerRoman"/>
      <w:lvlText w:val="%6."/>
      <w:lvlJc w:val="right"/>
      <w:pPr>
        <w:ind w:left="4092" w:hanging="180"/>
      </w:pPr>
    </w:lvl>
    <w:lvl w:ilvl="6" w:tplc="0415000F" w:tentative="1">
      <w:start w:val="1"/>
      <w:numFmt w:val="decimal"/>
      <w:lvlText w:val="%7."/>
      <w:lvlJc w:val="left"/>
      <w:pPr>
        <w:ind w:left="4812" w:hanging="360"/>
      </w:pPr>
    </w:lvl>
    <w:lvl w:ilvl="7" w:tplc="04150019" w:tentative="1">
      <w:start w:val="1"/>
      <w:numFmt w:val="lowerLetter"/>
      <w:lvlText w:val="%8."/>
      <w:lvlJc w:val="left"/>
      <w:pPr>
        <w:ind w:left="5532" w:hanging="360"/>
      </w:pPr>
    </w:lvl>
    <w:lvl w:ilvl="8" w:tplc="0415001B" w:tentative="1">
      <w:start w:val="1"/>
      <w:numFmt w:val="lowerRoman"/>
      <w:lvlText w:val="%9."/>
      <w:lvlJc w:val="right"/>
      <w:pPr>
        <w:ind w:left="6252" w:hanging="180"/>
      </w:pPr>
    </w:lvl>
  </w:abstractNum>
  <w:abstractNum w:abstractNumId="72" w15:restartNumberingAfterBreak="0">
    <w:nsid w:val="7A265DB5"/>
    <w:multiLevelType w:val="multilevel"/>
    <w:tmpl w:val="2116A120"/>
    <w:lvl w:ilvl="0">
      <w:start w:val="1"/>
      <w:numFmt w:val="decimal"/>
      <w:suff w:val="space"/>
      <w:lvlText w:val="%1."/>
      <w:lvlJc w:val="left"/>
      <w:pPr>
        <w:ind w:left="227" w:hanging="227"/>
      </w:pPr>
      <w:rPr>
        <w:rFonts w:hint="default"/>
        <w:b/>
        <w:color w:val="auto"/>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73" w15:restartNumberingAfterBreak="0">
    <w:nsid w:val="7A9F0986"/>
    <w:multiLevelType w:val="hybridMultilevel"/>
    <w:tmpl w:val="389E5984"/>
    <w:lvl w:ilvl="0" w:tplc="8D766302">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4" w15:restartNumberingAfterBreak="0">
    <w:nsid w:val="7E240BDF"/>
    <w:multiLevelType w:val="hybridMultilevel"/>
    <w:tmpl w:val="2EF498B0"/>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5" w15:restartNumberingAfterBreak="0">
    <w:nsid w:val="7EDA3D82"/>
    <w:multiLevelType w:val="hybridMultilevel"/>
    <w:tmpl w:val="0EF8ABB2"/>
    <w:lvl w:ilvl="0" w:tplc="47027E44">
      <w:start w:val="1"/>
      <w:numFmt w:val="decimal"/>
      <w:suff w:val="space"/>
      <w:lvlText w:val="%1)"/>
      <w:lvlJc w:val="left"/>
      <w:pPr>
        <w:ind w:left="227" w:firstLine="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F681813"/>
    <w:multiLevelType w:val="multilevel"/>
    <w:tmpl w:val="53DA2A84"/>
    <w:lvl w:ilvl="0">
      <w:start w:val="1"/>
      <w:numFmt w:val="decimal"/>
      <w:suff w:val="space"/>
      <w:lvlText w:val="%1)"/>
      <w:lvlJc w:val="left"/>
      <w:pPr>
        <w:ind w:left="360" w:hanging="360"/>
      </w:pPr>
      <w:rPr>
        <w:rFonts w:hint="default"/>
      </w:rPr>
    </w:lvl>
    <w:lvl w:ilvl="1">
      <w:start w:val="1"/>
      <w:numFmt w:val="lowerLetter"/>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32464478">
    <w:abstractNumId w:val="25"/>
  </w:num>
  <w:num w:numId="2" w16cid:durableId="2004700915">
    <w:abstractNumId w:val="15"/>
  </w:num>
  <w:num w:numId="3" w16cid:durableId="749739052">
    <w:abstractNumId w:val="9"/>
  </w:num>
  <w:num w:numId="4" w16cid:durableId="598291352">
    <w:abstractNumId w:val="17"/>
  </w:num>
  <w:num w:numId="5" w16cid:durableId="1326321713">
    <w:abstractNumId w:val="26"/>
  </w:num>
  <w:num w:numId="6" w16cid:durableId="1938520217">
    <w:abstractNumId w:val="1"/>
  </w:num>
  <w:num w:numId="7" w16cid:durableId="860124058">
    <w:abstractNumId w:val="2"/>
  </w:num>
  <w:num w:numId="8" w16cid:durableId="478235328">
    <w:abstractNumId w:val="66"/>
  </w:num>
  <w:num w:numId="9" w16cid:durableId="1286080749">
    <w:abstractNumId w:val="74"/>
  </w:num>
  <w:num w:numId="10" w16cid:durableId="721055359">
    <w:abstractNumId w:val="36"/>
  </w:num>
  <w:num w:numId="11" w16cid:durableId="1683121877">
    <w:abstractNumId w:val="39"/>
  </w:num>
  <w:num w:numId="12" w16cid:durableId="1686906689">
    <w:abstractNumId w:val="45"/>
  </w:num>
  <w:num w:numId="13" w16cid:durableId="1816678541">
    <w:abstractNumId w:val="43"/>
  </w:num>
  <w:num w:numId="14" w16cid:durableId="99491659">
    <w:abstractNumId w:val="20"/>
  </w:num>
  <w:num w:numId="15" w16cid:durableId="801734403">
    <w:abstractNumId w:val="6"/>
  </w:num>
  <w:num w:numId="16" w16cid:durableId="77219261">
    <w:abstractNumId w:val="57"/>
  </w:num>
  <w:num w:numId="17" w16cid:durableId="306521243">
    <w:abstractNumId w:val="35"/>
  </w:num>
  <w:num w:numId="18" w16cid:durableId="1160270500">
    <w:abstractNumId w:val="29"/>
  </w:num>
  <w:num w:numId="19" w16cid:durableId="1358039763">
    <w:abstractNumId w:val="7"/>
  </w:num>
  <w:num w:numId="20" w16cid:durableId="379210420">
    <w:abstractNumId w:val="68"/>
  </w:num>
  <w:num w:numId="21" w16cid:durableId="1183013197">
    <w:abstractNumId w:val="71"/>
  </w:num>
  <w:num w:numId="22" w16cid:durableId="1048721789">
    <w:abstractNumId w:val="40"/>
  </w:num>
  <w:num w:numId="23" w16cid:durableId="1236621251">
    <w:abstractNumId w:val="41"/>
  </w:num>
  <w:num w:numId="24" w16cid:durableId="98724338">
    <w:abstractNumId w:val="54"/>
  </w:num>
  <w:num w:numId="25" w16cid:durableId="1431857463">
    <w:abstractNumId w:val="61"/>
  </w:num>
  <w:num w:numId="26" w16cid:durableId="1707674545">
    <w:abstractNumId w:val="5"/>
  </w:num>
  <w:num w:numId="27" w16cid:durableId="998390122">
    <w:abstractNumId w:val="28"/>
  </w:num>
  <w:num w:numId="28" w16cid:durableId="112094917">
    <w:abstractNumId w:val="33"/>
  </w:num>
  <w:num w:numId="29" w16cid:durableId="1286932750">
    <w:abstractNumId w:val="73"/>
  </w:num>
  <w:num w:numId="30" w16cid:durableId="1733891013">
    <w:abstractNumId w:val="63"/>
  </w:num>
  <w:num w:numId="31" w16cid:durableId="1165126638">
    <w:abstractNumId w:val="50"/>
  </w:num>
  <w:num w:numId="32" w16cid:durableId="2069378721">
    <w:abstractNumId w:val="58"/>
  </w:num>
  <w:num w:numId="33" w16cid:durableId="156657247">
    <w:abstractNumId w:val="53"/>
  </w:num>
  <w:num w:numId="34" w16cid:durableId="818956125">
    <w:abstractNumId w:val="21"/>
  </w:num>
  <w:num w:numId="35" w16cid:durableId="723721263">
    <w:abstractNumId w:val="34"/>
  </w:num>
  <w:num w:numId="36" w16cid:durableId="368268023">
    <w:abstractNumId w:val="3"/>
  </w:num>
  <w:num w:numId="37" w16cid:durableId="1488012436">
    <w:abstractNumId w:val="24"/>
  </w:num>
  <w:num w:numId="38" w16cid:durableId="1496609866">
    <w:abstractNumId w:val="37"/>
  </w:num>
  <w:num w:numId="39" w16cid:durableId="2043050411">
    <w:abstractNumId w:val="52"/>
  </w:num>
  <w:num w:numId="40" w16cid:durableId="571083353">
    <w:abstractNumId w:val="62"/>
  </w:num>
  <w:num w:numId="41" w16cid:durableId="2027631543">
    <w:abstractNumId w:val="70"/>
  </w:num>
  <w:num w:numId="42" w16cid:durableId="1511946519">
    <w:abstractNumId w:val="60"/>
  </w:num>
  <w:num w:numId="43" w16cid:durableId="1652521024">
    <w:abstractNumId w:val="27"/>
  </w:num>
  <w:num w:numId="44" w16cid:durableId="1284917553">
    <w:abstractNumId w:val="10"/>
  </w:num>
  <w:num w:numId="45" w16cid:durableId="378554806">
    <w:abstractNumId w:val="31"/>
  </w:num>
  <w:num w:numId="46" w16cid:durableId="978418263">
    <w:abstractNumId w:val="32"/>
  </w:num>
  <w:num w:numId="47" w16cid:durableId="1200239649">
    <w:abstractNumId w:val="49"/>
  </w:num>
  <w:num w:numId="48" w16cid:durableId="380784882">
    <w:abstractNumId w:val="16"/>
  </w:num>
  <w:num w:numId="49" w16cid:durableId="1365710297">
    <w:abstractNumId w:val="65"/>
  </w:num>
  <w:num w:numId="50" w16cid:durableId="2113620713">
    <w:abstractNumId w:val="42"/>
  </w:num>
  <w:num w:numId="51" w16cid:durableId="1707825281">
    <w:abstractNumId w:val="23"/>
  </w:num>
  <w:num w:numId="52" w16cid:durableId="1150559657">
    <w:abstractNumId w:val="4"/>
  </w:num>
  <w:num w:numId="53" w16cid:durableId="215052567">
    <w:abstractNumId w:val="72"/>
  </w:num>
  <w:num w:numId="54" w16cid:durableId="811101967">
    <w:abstractNumId w:val="12"/>
  </w:num>
  <w:num w:numId="55" w16cid:durableId="903755693">
    <w:abstractNumId w:val="69"/>
  </w:num>
  <w:num w:numId="56" w16cid:durableId="170605344">
    <w:abstractNumId w:val="47"/>
  </w:num>
  <w:num w:numId="57" w16cid:durableId="774788715">
    <w:abstractNumId w:val="67"/>
  </w:num>
  <w:num w:numId="58" w16cid:durableId="1106970492">
    <w:abstractNumId w:val="44"/>
  </w:num>
  <w:num w:numId="59" w16cid:durableId="1522009011">
    <w:abstractNumId w:val="51"/>
  </w:num>
  <w:num w:numId="60" w16cid:durableId="563759749">
    <w:abstractNumId w:val="11"/>
  </w:num>
  <w:num w:numId="61" w16cid:durableId="1264848037">
    <w:abstractNumId w:val="19"/>
  </w:num>
  <w:num w:numId="62" w16cid:durableId="1010529173">
    <w:abstractNumId w:val="22"/>
  </w:num>
  <w:num w:numId="63" w16cid:durableId="628433256">
    <w:abstractNumId w:val="18"/>
  </w:num>
  <w:num w:numId="64" w16cid:durableId="1767463241">
    <w:abstractNumId w:val="13"/>
  </w:num>
  <w:num w:numId="65" w16cid:durableId="547569370">
    <w:abstractNumId w:val="8"/>
  </w:num>
  <w:num w:numId="66" w16cid:durableId="622230604">
    <w:abstractNumId w:val="30"/>
  </w:num>
  <w:num w:numId="67" w16cid:durableId="1702584527">
    <w:abstractNumId w:val="75"/>
  </w:num>
  <w:num w:numId="68" w16cid:durableId="1182402930">
    <w:abstractNumId w:val="64"/>
  </w:num>
  <w:num w:numId="69" w16cid:durableId="1514878743">
    <w:abstractNumId w:val="14"/>
  </w:num>
  <w:num w:numId="70" w16cid:durableId="1632709868">
    <w:abstractNumId w:val="55"/>
  </w:num>
  <w:num w:numId="71" w16cid:durableId="1898974420">
    <w:abstractNumId w:val="56"/>
  </w:num>
  <w:num w:numId="72" w16cid:durableId="2047219966">
    <w:abstractNumId w:val="0"/>
  </w:num>
  <w:num w:numId="73" w16cid:durableId="100490358">
    <w:abstractNumId w:val="59"/>
  </w:num>
  <w:num w:numId="74" w16cid:durableId="682974235">
    <w:abstractNumId w:val="48"/>
  </w:num>
  <w:num w:numId="75" w16cid:durableId="1621257465">
    <w:abstractNumId w:val="46"/>
  </w:num>
  <w:num w:numId="76" w16cid:durableId="2512687">
    <w:abstractNumId w:val="76"/>
  </w:num>
  <w:num w:numId="77" w16cid:durableId="1131216926">
    <w:abstractNumId w:val="3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7E"/>
    <w:rsid w:val="00014263"/>
    <w:rsid w:val="00014A5A"/>
    <w:rsid w:val="000168BF"/>
    <w:rsid w:val="00026C79"/>
    <w:rsid w:val="000353F0"/>
    <w:rsid w:val="0003619F"/>
    <w:rsid w:val="00041187"/>
    <w:rsid w:val="000436B3"/>
    <w:rsid w:val="00043DA3"/>
    <w:rsid w:val="00044FBB"/>
    <w:rsid w:val="00050774"/>
    <w:rsid w:val="00050845"/>
    <w:rsid w:val="00054071"/>
    <w:rsid w:val="00054283"/>
    <w:rsid w:val="00054D94"/>
    <w:rsid w:val="00056A21"/>
    <w:rsid w:val="00062EE2"/>
    <w:rsid w:val="00067646"/>
    <w:rsid w:val="00074CB0"/>
    <w:rsid w:val="00081F35"/>
    <w:rsid w:val="000830CD"/>
    <w:rsid w:val="00083EF6"/>
    <w:rsid w:val="00090913"/>
    <w:rsid w:val="00094132"/>
    <w:rsid w:val="00095DA6"/>
    <w:rsid w:val="00097520"/>
    <w:rsid w:val="000B06AD"/>
    <w:rsid w:val="000B15B0"/>
    <w:rsid w:val="000B3AFD"/>
    <w:rsid w:val="000B40AD"/>
    <w:rsid w:val="000B6BE7"/>
    <w:rsid w:val="000C0A83"/>
    <w:rsid w:val="000D21A0"/>
    <w:rsid w:val="000D25BE"/>
    <w:rsid w:val="000D54DE"/>
    <w:rsid w:val="000D759F"/>
    <w:rsid w:val="000E2BA8"/>
    <w:rsid w:val="000E2D9A"/>
    <w:rsid w:val="000E2DC9"/>
    <w:rsid w:val="000F1776"/>
    <w:rsid w:val="00100260"/>
    <w:rsid w:val="0011095C"/>
    <w:rsid w:val="0011150B"/>
    <w:rsid w:val="00112505"/>
    <w:rsid w:val="001152CB"/>
    <w:rsid w:val="00121102"/>
    <w:rsid w:val="00123EA8"/>
    <w:rsid w:val="001345AA"/>
    <w:rsid w:val="00136FFB"/>
    <w:rsid w:val="00140EE6"/>
    <w:rsid w:val="0014107F"/>
    <w:rsid w:val="00142078"/>
    <w:rsid w:val="00143A7B"/>
    <w:rsid w:val="00143B5E"/>
    <w:rsid w:val="0014590F"/>
    <w:rsid w:val="00147AA5"/>
    <w:rsid w:val="00151654"/>
    <w:rsid w:val="00163E44"/>
    <w:rsid w:val="001644B8"/>
    <w:rsid w:val="00167528"/>
    <w:rsid w:val="00172359"/>
    <w:rsid w:val="001727FD"/>
    <w:rsid w:val="00173B9B"/>
    <w:rsid w:val="001757DF"/>
    <w:rsid w:val="001814E6"/>
    <w:rsid w:val="00183691"/>
    <w:rsid w:val="00183F2D"/>
    <w:rsid w:val="00190CAC"/>
    <w:rsid w:val="0019462D"/>
    <w:rsid w:val="00194C14"/>
    <w:rsid w:val="001A41FA"/>
    <w:rsid w:val="001B23A7"/>
    <w:rsid w:val="001B2938"/>
    <w:rsid w:val="001B3231"/>
    <w:rsid w:val="001B4328"/>
    <w:rsid w:val="001B7CBD"/>
    <w:rsid w:val="001C3B2F"/>
    <w:rsid w:val="001C4A3A"/>
    <w:rsid w:val="001C5FBF"/>
    <w:rsid w:val="001C73AE"/>
    <w:rsid w:val="001D4B95"/>
    <w:rsid w:val="001D4E1B"/>
    <w:rsid w:val="001E17D6"/>
    <w:rsid w:val="001E17F7"/>
    <w:rsid w:val="001E2FDF"/>
    <w:rsid w:val="001E3492"/>
    <w:rsid w:val="001E501B"/>
    <w:rsid w:val="001E58F6"/>
    <w:rsid w:val="001E6E1E"/>
    <w:rsid w:val="001F043D"/>
    <w:rsid w:val="001F31E1"/>
    <w:rsid w:val="001F4255"/>
    <w:rsid w:val="002020C6"/>
    <w:rsid w:val="00203D5E"/>
    <w:rsid w:val="002141CE"/>
    <w:rsid w:val="0021693E"/>
    <w:rsid w:val="00232852"/>
    <w:rsid w:val="00235E03"/>
    <w:rsid w:val="002365FC"/>
    <w:rsid w:val="0024046A"/>
    <w:rsid w:val="002443E7"/>
    <w:rsid w:val="00261831"/>
    <w:rsid w:val="002633D2"/>
    <w:rsid w:val="00281E0A"/>
    <w:rsid w:val="002864BD"/>
    <w:rsid w:val="00290028"/>
    <w:rsid w:val="00296E87"/>
    <w:rsid w:val="002A284C"/>
    <w:rsid w:val="002A4C5C"/>
    <w:rsid w:val="002A57B6"/>
    <w:rsid w:val="002B16E5"/>
    <w:rsid w:val="002B2304"/>
    <w:rsid w:val="002B3B0B"/>
    <w:rsid w:val="002B5B26"/>
    <w:rsid w:val="002C0F37"/>
    <w:rsid w:val="002C1BCC"/>
    <w:rsid w:val="002D06C8"/>
    <w:rsid w:val="002D2E55"/>
    <w:rsid w:val="002D5C47"/>
    <w:rsid w:val="002E313B"/>
    <w:rsid w:val="002E7B41"/>
    <w:rsid w:val="002F5C7A"/>
    <w:rsid w:val="002F737E"/>
    <w:rsid w:val="00300568"/>
    <w:rsid w:val="0030089C"/>
    <w:rsid w:val="00302891"/>
    <w:rsid w:val="00302BC9"/>
    <w:rsid w:val="00307E16"/>
    <w:rsid w:val="0031135E"/>
    <w:rsid w:val="00316899"/>
    <w:rsid w:val="00317BC2"/>
    <w:rsid w:val="00320D5B"/>
    <w:rsid w:val="00322C65"/>
    <w:rsid w:val="0032519F"/>
    <w:rsid w:val="00332643"/>
    <w:rsid w:val="00340383"/>
    <w:rsid w:val="003430CA"/>
    <w:rsid w:val="003555CD"/>
    <w:rsid w:val="00360B72"/>
    <w:rsid w:val="0036512F"/>
    <w:rsid w:val="003679C3"/>
    <w:rsid w:val="003741CF"/>
    <w:rsid w:val="00375A47"/>
    <w:rsid w:val="00375AE9"/>
    <w:rsid w:val="00384742"/>
    <w:rsid w:val="00386CC4"/>
    <w:rsid w:val="003876AF"/>
    <w:rsid w:val="00387C48"/>
    <w:rsid w:val="003C01BD"/>
    <w:rsid w:val="003C5905"/>
    <w:rsid w:val="003C5D61"/>
    <w:rsid w:val="003C671E"/>
    <w:rsid w:val="003C78F5"/>
    <w:rsid w:val="003D1E47"/>
    <w:rsid w:val="003D6A68"/>
    <w:rsid w:val="003E10CA"/>
    <w:rsid w:val="003E2170"/>
    <w:rsid w:val="003E77E7"/>
    <w:rsid w:val="003F2E66"/>
    <w:rsid w:val="003F3B27"/>
    <w:rsid w:val="00400250"/>
    <w:rsid w:val="00401425"/>
    <w:rsid w:val="004019FF"/>
    <w:rsid w:val="00402E0F"/>
    <w:rsid w:val="00411D3A"/>
    <w:rsid w:val="00413B47"/>
    <w:rsid w:val="00423A0F"/>
    <w:rsid w:val="00426AE5"/>
    <w:rsid w:val="00427DCF"/>
    <w:rsid w:val="0043003A"/>
    <w:rsid w:val="00430AD0"/>
    <w:rsid w:val="004312B8"/>
    <w:rsid w:val="00432400"/>
    <w:rsid w:val="0045561C"/>
    <w:rsid w:val="0046304A"/>
    <w:rsid w:val="00464E37"/>
    <w:rsid w:val="00470D5F"/>
    <w:rsid w:val="004722AB"/>
    <w:rsid w:val="004735CB"/>
    <w:rsid w:val="00474D57"/>
    <w:rsid w:val="00477462"/>
    <w:rsid w:val="00484E8B"/>
    <w:rsid w:val="00490140"/>
    <w:rsid w:val="00496306"/>
    <w:rsid w:val="004A5FED"/>
    <w:rsid w:val="004B189D"/>
    <w:rsid w:val="004B2DE1"/>
    <w:rsid w:val="004B4169"/>
    <w:rsid w:val="004B6EF0"/>
    <w:rsid w:val="004C2ACB"/>
    <w:rsid w:val="004C30FE"/>
    <w:rsid w:val="004C75D3"/>
    <w:rsid w:val="004D1AA8"/>
    <w:rsid w:val="004E5806"/>
    <w:rsid w:val="004E6EF7"/>
    <w:rsid w:val="004F7AB1"/>
    <w:rsid w:val="004F7C31"/>
    <w:rsid w:val="00504CBC"/>
    <w:rsid w:val="00512E41"/>
    <w:rsid w:val="00514276"/>
    <w:rsid w:val="005233C0"/>
    <w:rsid w:val="00531D57"/>
    <w:rsid w:val="005343B2"/>
    <w:rsid w:val="00534FCD"/>
    <w:rsid w:val="00536141"/>
    <w:rsid w:val="0053696C"/>
    <w:rsid w:val="005430FB"/>
    <w:rsid w:val="00547041"/>
    <w:rsid w:val="00547B3C"/>
    <w:rsid w:val="00550F44"/>
    <w:rsid w:val="0055139D"/>
    <w:rsid w:val="005533D6"/>
    <w:rsid w:val="00554C01"/>
    <w:rsid w:val="00560802"/>
    <w:rsid w:val="00563AAC"/>
    <w:rsid w:val="0057094F"/>
    <w:rsid w:val="00581CEB"/>
    <w:rsid w:val="0058389F"/>
    <w:rsid w:val="00584F36"/>
    <w:rsid w:val="005A771E"/>
    <w:rsid w:val="005B189B"/>
    <w:rsid w:val="005B3068"/>
    <w:rsid w:val="005B3AFD"/>
    <w:rsid w:val="005C0ECB"/>
    <w:rsid w:val="005C1C87"/>
    <w:rsid w:val="005C7C5C"/>
    <w:rsid w:val="005D2076"/>
    <w:rsid w:val="005D5D86"/>
    <w:rsid w:val="005E4D29"/>
    <w:rsid w:val="005E52C2"/>
    <w:rsid w:val="005E65BC"/>
    <w:rsid w:val="005E6A62"/>
    <w:rsid w:val="005F4851"/>
    <w:rsid w:val="006004E2"/>
    <w:rsid w:val="006008A9"/>
    <w:rsid w:val="00601EB6"/>
    <w:rsid w:val="00604A2E"/>
    <w:rsid w:val="00611786"/>
    <w:rsid w:val="00614464"/>
    <w:rsid w:val="00624BAC"/>
    <w:rsid w:val="00625D86"/>
    <w:rsid w:val="0063257C"/>
    <w:rsid w:val="00636EC9"/>
    <w:rsid w:val="00637515"/>
    <w:rsid w:val="00643540"/>
    <w:rsid w:val="00645967"/>
    <w:rsid w:val="00645AFD"/>
    <w:rsid w:val="006513EE"/>
    <w:rsid w:val="00651447"/>
    <w:rsid w:val="006607F3"/>
    <w:rsid w:val="006666DC"/>
    <w:rsid w:val="006676F7"/>
    <w:rsid w:val="00680096"/>
    <w:rsid w:val="00680CC2"/>
    <w:rsid w:val="00680FCC"/>
    <w:rsid w:val="00684664"/>
    <w:rsid w:val="00690A59"/>
    <w:rsid w:val="00693470"/>
    <w:rsid w:val="006A5BD2"/>
    <w:rsid w:val="006A6E4F"/>
    <w:rsid w:val="006B15B8"/>
    <w:rsid w:val="006B23D0"/>
    <w:rsid w:val="006C5224"/>
    <w:rsid w:val="006C597D"/>
    <w:rsid w:val="006D513A"/>
    <w:rsid w:val="006D5300"/>
    <w:rsid w:val="006D584A"/>
    <w:rsid w:val="006D6C83"/>
    <w:rsid w:val="006E0DE0"/>
    <w:rsid w:val="006E0F2C"/>
    <w:rsid w:val="006E30EC"/>
    <w:rsid w:val="006E628E"/>
    <w:rsid w:val="006E6740"/>
    <w:rsid w:val="006F3B4C"/>
    <w:rsid w:val="007004DD"/>
    <w:rsid w:val="00701DEF"/>
    <w:rsid w:val="00706D43"/>
    <w:rsid w:val="00711029"/>
    <w:rsid w:val="00712F55"/>
    <w:rsid w:val="00713EFD"/>
    <w:rsid w:val="00722F1C"/>
    <w:rsid w:val="0072504D"/>
    <w:rsid w:val="007271A4"/>
    <w:rsid w:val="007339A7"/>
    <w:rsid w:val="007431E2"/>
    <w:rsid w:val="00753A8E"/>
    <w:rsid w:val="007549FC"/>
    <w:rsid w:val="00760091"/>
    <w:rsid w:val="007601A1"/>
    <w:rsid w:val="00770D22"/>
    <w:rsid w:val="00776285"/>
    <w:rsid w:val="007878B1"/>
    <w:rsid w:val="007905D7"/>
    <w:rsid w:val="00793917"/>
    <w:rsid w:val="007A1AA4"/>
    <w:rsid w:val="007B1685"/>
    <w:rsid w:val="007B5A56"/>
    <w:rsid w:val="007B6689"/>
    <w:rsid w:val="007C0461"/>
    <w:rsid w:val="007C2898"/>
    <w:rsid w:val="007C752B"/>
    <w:rsid w:val="007D31F0"/>
    <w:rsid w:val="007D5F75"/>
    <w:rsid w:val="007D6184"/>
    <w:rsid w:val="007D642C"/>
    <w:rsid w:val="007E047C"/>
    <w:rsid w:val="007E0D06"/>
    <w:rsid w:val="007F2195"/>
    <w:rsid w:val="007F4FDD"/>
    <w:rsid w:val="007F6C27"/>
    <w:rsid w:val="00800E2D"/>
    <w:rsid w:val="0080251A"/>
    <w:rsid w:val="00802950"/>
    <w:rsid w:val="008072B6"/>
    <w:rsid w:val="008140E4"/>
    <w:rsid w:val="00820932"/>
    <w:rsid w:val="0082339A"/>
    <w:rsid w:val="00827835"/>
    <w:rsid w:val="00827ED5"/>
    <w:rsid w:val="00843DA6"/>
    <w:rsid w:val="00851B30"/>
    <w:rsid w:val="00852C24"/>
    <w:rsid w:val="00862E9A"/>
    <w:rsid w:val="00864DA5"/>
    <w:rsid w:val="00870EEE"/>
    <w:rsid w:val="0087211D"/>
    <w:rsid w:val="0087316D"/>
    <w:rsid w:val="0087405D"/>
    <w:rsid w:val="00875C86"/>
    <w:rsid w:val="00877082"/>
    <w:rsid w:val="00880610"/>
    <w:rsid w:val="00885746"/>
    <w:rsid w:val="008978A0"/>
    <w:rsid w:val="008A004F"/>
    <w:rsid w:val="008A1006"/>
    <w:rsid w:val="008B39FF"/>
    <w:rsid w:val="008B660D"/>
    <w:rsid w:val="008C50A6"/>
    <w:rsid w:val="008C5BB4"/>
    <w:rsid w:val="008D2C64"/>
    <w:rsid w:val="008D612A"/>
    <w:rsid w:val="008E3B0A"/>
    <w:rsid w:val="008F24F8"/>
    <w:rsid w:val="008F3BAB"/>
    <w:rsid w:val="00900380"/>
    <w:rsid w:val="00903FC0"/>
    <w:rsid w:val="00906789"/>
    <w:rsid w:val="0091286E"/>
    <w:rsid w:val="00915EAB"/>
    <w:rsid w:val="00921C12"/>
    <w:rsid w:val="00922907"/>
    <w:rsid w:val="009241EF"/>
    <w:rsid w:val="00926459"/>
    <w:rsid w:val="00926AF1"/>
    <w:rsid w:val="00931B48"/>
    <w:rsid w:val="00933168"/>
    <w:rsid w:val="009360DF"/>
    <w:rsid w:val="009362C0"/>
    <w:rsid w:val="00937C96"/>
    <w:rsid w:val="009404CB"/>
    <w:rsid w:val="00942B8A"/>
    <w:rsid w:val="00950FDB"/>
    <w:rsid w:val="009530C2"/>
    <w:rsid w:val="00954616"/>
    <w:rsid w:val="00957420"/>
    <w:rsid w:val="00960AB4"/>
    <w:rsid w:val="00972003"/>
    <w:rsid w:val="009721E5"/>
    <w:rsid w:val="00974C1D"/>
    <w:rsid w:val="00990777"/>
    <w:rsid w:val="00996DE5"/>
    <w:rsid w:val="009A2FB8"/>
    <w:rsid w:val="009C587C"/>
    <w:rsid w:val="009D05A7"/>
    <w:rsid w:val="009D5CB9"/>
    <w:rsid w:val="009D774D"/>
    <w:rsid w:val="009E1121"/>
    <w:rsid w:val="009E1B3F"/>
    <w:rsid w:val="009E650A"/>
    <w:rsid w:val="00A1158A"/>
    <w:rsid w:val="00A13F87"/>
    <w:rsid w:val="00A143D7"/>
    <w:rsid w:val="00A2533A"/>
    <w:rsid w:val="00A27354"/>
    <w:rsid w:val="00A31A35"/>
    <w:rsid w:val="00A33610"/>
    <w:rsid w:val="00A33F28"/>
    <w:rsid w:val="00A37ABA"/>
    <w:rsid w:val="00A40150"/>
    <w:rsid w:val="00A418C2"/>
    <w:rsid w:val="00A439F3"/>
    <w:rsid w:val="00A54CF4"/>
    <w:rsid w:val="00A57CBE"/>
    <w:rsid w:val="00A6531E"/>
    <w:rsid w:val="00A654F0"/>
    <w:rsid w:val="00A74C50"/>
    <w:rsid w:val="00A82E16"/>
    <w:rsid w:val="00A85CB2"/>
    <w:rsid w:val="00A953BF"/>
    <w:rsid w:val="00AA589D"/>
    <w:rsid w:val="00AA5B78"/>
    <w:rsid w:val="00AA7BAD"/>
    <w:rsid w:val="00AB3992"/>
    <w:rsid w:val="00AB7228"/>
    <w:rsid w:val="00AC2E8E"/>
    <w:rsid w:val="00AC7942"/>
    <w:rsid w:val="00AD1A15"/>
    <w:rsid w:val="00AE1BBD"/>
    <w:rsid w:val="00AE1E8D"/>
    <w:rsid w:val="00AE347E"/>
    <w:rsid w:val="00AE395B"/>
    <w:rsid w:val="00AE4B46"/>
    <w:rsid w:val="00AF0F4A"/>
    <w:rsid w:val="00AF2F65"/>
    <w:rsid w:val="00AF36F6"/>
    <w:rsid w:val="00B02301"/>
    <w:rsid w:val="00B06F96"/>
    <w:rsid w:val="00B14B8B"/>
    <w:rsid w:val="00B33152"/>
    <w:rsid w:val="00B40DA5"/>
    <w:rsid w:val="00B417AC"/>
    <w:rsid w:val="00B465EB"/>
    <w:rsid w:val="00B55B47"/>
    <w:rsid w:val="00B574BF"/>
    <w:rsid w:val="00B621D2"/>
    <w:rsid w:val="00B63A7E"/>
    <w:rsid w:val="00B715C4"/>
    <w:rsid w:val="00B721C8"/>
    <w:rsid w:val="00B73B51"/>
    <w:rsid w:val="00B83812"/>
    <w:rsid w:val="00B9251B"/>
    <w:rsid w:val="00B92908"/>
    <w:rsid w:val="00B932A1"/>
    <w:rsid w:val="00BB31C8"/>
    <w:rsid w:val="00BC4C2B"/>
    <w:rsid w:val="00BD286B"/>
    <w:rsid w:val="00BD2918"/>
    <w:rsid w:val="00BD2FA1"/>
    <w:rsid w:val="00BD7B82"/>
    <w:rsid w:val="00BE45B4"/>
    <w:rsid w:val="00BE67A4"/>
    <w:rsid w:val="00BE7753"/>
    <w:rsid w:val="00BF3CEC"/>
    <w:rsid w:val="00BF674D"/>
    <w:rsid w:val="00BF6D95"/>
    <w:rsid w:val="00C1075D"/>
    <w:rsid w:val="00C21B68"/>
    <w:rsid w:val="00C261DC"/>
    <w:rsid w:val="00C268A7"/>
    <w:rsid w:val="00C42702"/>
    <w:rsid w:val="00C4351D"/>
    <w:rsid w:val="00C445D5"/>
    <w:rsid w:val="00C46415"/>
    <w:rsid w:val="00C54A98"/>
    <w:rsid w:val="00C56C14"/>
    <w:rsid w:val="00C67350"/>
    <w:rsid w:val="00C71289"/>
    <w:rsid w:val="00C74671"/>
    <w:rsid w:val="00C81F39"/>
    <w:rsid w:val="00C82336"/>
    <w:rsid w:val="00C85F5B"/>
    <w:rsid w:val="00CA536D"/>
    <w:rsid w:val="00CA7620"/>
    <w:rsid w:val="00CB220B"/>
    <w:rsid w:val="00CC5EDE"/>
    <w:rsid w:val="00CC69CF"/>
    <w:rsid w:val="00CD1A89"/>
    <w:rsid w:val="00CD1EB8"/>
    <w:rsid w:val="00CD2EA6"/>
    <w:rsid w:val="00CE48DD"/>
    <w:rsid w:val="00CF1874"/>
    <w:rsid w:val="00CF7E2B"/>
    <w:rsid w:val="00D01629"/>
    <w:rsid w:val="00D0278F"/>
    <w:rsid w:val="00D10E73"/>
    <w:rsid w:val="00D10E99"/>
    <w:rsid w:val="00D12090"/>
    <w:rsid w:val="00D15926"/>
    <w:rsid w:val="00D203F6"/>
    <w:rsid w:val="00D45499"/>
    <w:rsid w:val="00D53679"/>
    <w:rsid w:val="00D75D91"/>
    <w:rsid w:val="00D77326"/>
    <w:rsid w:val="00D77576"/>
    <w:rsid w:val="00D80ECC"/>
    <w:rsid w:val="00D82AD6"/>
    <w:rsid w:val="00D846D6"/>
    <w:rsid w:val="00D94F58"/>
    <w:rsid w:val="00D97808"/>
    <w:rsid w:val="00DB12B1"/>
    <w:rsid w:val="00DB174A"/>
    <w:rsid w:val="00DB404E"/>
    <w:rsid w:val="00DB427E"/>
    <w:rsid w:val="00DB430D"/>
    <w:rsid w:val="00DC271E"/>
    <w:rsid w:val="00DC53C3"/>
    <w:rsid w:val="00DD18C8"/>
    <w:rsid w:val="00DD46A1"/>
    <w:rsid w:val="00DD5EC2"/>
    <w:rsid w:val="00DD6596"/>
    <w:rsid w:val="00DE06F1"/>
    <w:rsid w:val="00DE2E1F"/>
    <w:rsid w:val="00DE5042"/>
    <w:rsid w:val="00DF3CEA"/>
    <w:rsid w:val="00E01C56"/>
    <w:rsid w:val="00E062CE"/>
    <w:rsid w:val="00E11D2D"/>
    <w:rsid w:val="00E149C9"/>
    <w:rsid w:val="00E20E29"/>
    <w:rsid w:val="00E214BB"/>
    <w:rsid w:val="00E24450"/>
    <w:rsid w:val="00E33077"/>
    <w:rsid w:val="00E45819"/>
    <w:rsid w:val="00E47E37"/>
    <w:rsid w:val="00E50D1E"/>
    <w:rsid w:val="00E52754"/>
    <w:rsid w:val="00E54585"/>
    <w:rsid w:val="00E56205"/>
    <w:rsid w:val="00E56EB0"/>
    <w:rsid w:val="00E571FE"/>
    <w:rsid w:val="00E648A7"/>
    <w:rsid w:val="00E65764"/>
    <w:rsid w:val="00E67BFC"/>
    <w:rsid w:val="00E7167E"/>
    <w:rsid w:val="00E72A07"/>
    <w:rsid w:val="00E730E9"/>
    <w:rsid w:val="00E84570"/>
    <w:rsid w:val="00E85F54"/>
    <w:rsid w:val="00E87089"/>
    <w:rsid w:val="00E93A5C"/>
    <w:rsid w:val="00E9664F"/>
    <w:rsid w:val="00EB50E8"/>
    <w:rsid w:val="00EC0AB4"/>
    <w:rsid w:val="00EC272C"/>
    <w:rsid w:val="00EC3ECF"/>
    <w:rsid w:val="00EC592E"/>
    <w:rsid w:val="00ED12DF"/>
    <w:rsid w:val="00ED6EF3"/>
    <w:rsid w:val="00EE0B00"/>
    <w:rsid w:val="00EE4284"/>
    <w:rsid w:val="00EE6874"/>
    <w:rsid w:val="00EF14AB"/>
    <w:rsid w:val="00EF3A39"/>
    <w:rsid w:val="00EF4AB0"/>
    <w:rsid w:val="00EF5FF2"/>
    <w:rsid w:val="00EF62B7"/>
    <w:rsid w:val="00F043F3"/>
    <w:rsid w:val="00F11182"/>
    <w:rsid w:val="00F124B5"/>
    <w:rsid w:val="00F13FD3"/>
    <w:rsid w:val="00F14183"/>
    <w:rsid w:val="00F16D4D"/>
    <w:rsid w:val="00F21482"/>
    <w:rsid w:val="00F2399B"/>
    <w:rsid w:val="00F2509D"/>
    <w:rsid w:val="00F25158"/>
    <w:rsid w:val="00F30EA8"/>
    <w:rsid w:val="00F367D6"/>
    <w:rsid w:val="00F36BAA"/>
    <w:rsid w:val="00F4337B"/>
    <w:rsid w:val="00F45AE7"/>
    <w:rsid w:val="00F50F70"/>
    <w:rsid w:val="00F55C84"/>
    <w:rsid w:val="00F60DD1"/>
    <w:rsid w:val="00F6457D"/>
    <w:rsid w:val="00F64DF4"/>
    <w:rsid w:val="00F70A60"/>
    <w:rsid w:val="00F7119C"/>
    <w:rsid w:val="00F724F0"/>
    <w:rsid w:val="00F72FE3"/>
    <w:rsid w:val="00F73690"/>
    <w:rsid w:val="00F77462"/>
    <w:rsid w:val="00F81343"/>
    <w:rsid w:val="00F92D8F"/>
    <w:rsid w:val="00F949FC"/>
    <w:rsid w:val="00F95295"/>
    <w:rsid w:val="00F9605F"/>
    <w:rsid w:val="00F966FD"/>
    <w:rsid w:val="00FA0AE3"/>
    <w:rsid w:val="00FA683F"/>
    <w:rsid w:val="00FB4D8D"/>
    <w:rsid w:val="00FC0131"/>
    <w:rsid w:val="00FC1C6E"/>
    <w:rsid w:val="00FD5354"/>
    <w:rsid w:val="00FD6B3A"/>
    <w:rsid w:val="00FD6E8B"/>
    <w:rsid w:val="00FE1B23"/>
    <w:rsid w:val="00FE460B"/>
    <w:rsid w:val="00FE68B4"/>
    <w:rsid w:val="00FF00DA"/>
    <w:rsid w:val="00FF04EF"/>
    <w:rsid w:val="00FF4326"/>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4F17"/>
  <w15:chartTrackingRefBased/>
  <w15:docId w15:val="{33302D0C-D7DF-409E-975A-700755DA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63A7E"/>
    <w:pPr>
      <w:spacing w:after="200" w:line="276" w:lineRule="auto"/>
    </w:pPr>
    <w:rPr>
      <w:sz w:val="22"/>
      <w:szCs w:val="22"/>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B63A7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B63A7E"/>
    <w:pPr>
      <w:spacing w:before="100" w:beforeAutospacing="1" w:after="100" w:afterAutospacing="1" w:line="240" w:lineRule="auto"/>
    </w:pPr>
    <w:rPr>
      <w:rFonts w:ascii="Times New Roman" w:eastAsia="Times New Roman" w:hAnsi="Times New Roman"/>
      <w:sz w:val="24"/>
      <w:szCs w:val="24"/>
      <w:lang w:val="pl-PL" w:eastAsia="pl-PL"/>
    </w:rPr>
  </w:style>
  <w:style w:type="character" w:styleId="Odwoaniedokomentarza">
    <w:name w:val="annotation reference"/>
    <w:uiPriority w:val="99"/>
    <w:semiHidden/>
    <w:unhideWhenUsed/>
    <w:rsid w:val="00B63A7E"/>
    <w:rPr>
      <w:sz w:val="16"/>
      <w:szCs w:val="16"/>
    </w:rPr>
  </w:style>
  <w:style w:type="paragraph" w:styleId="Tekstkomentarza">
    <w:name w:val="annotation text"/>
    <w:basedOn w:val="Normalny"/>
    <w:link w:val="TekstkomentarzaZnak"/>
    <w:uiPriority w:val="99"/>
    <w:unhideWhenUsed/>
    <w:rsid w:val="00B63A7E"/>
    <w:pPr>
      <w:spacing w:line="240" w:lineRule="auto"/>
    </w:pPr>
    <w:rPr>
      <w:sz w:val="20"/>
      <w:szCs w:val="20"/>
      <w:lang w:eastAsia="x-none"/>
    </w:rPr>
  </w:style>
  <w:style w:type="character" w:customStyle="1" w:styleId="TekstkomentarzaZnak">
    <w:name w:val="Tekst komentarza Znak"/>
    <w:link w:val="Tekstkomentarza"/>
    <w:uiPriority w:val="99"/>
    <w:rsid w:val="00B63A7E"/>
    <w:rPr>
      <w:sz w:val="20"/>
      <w:szCs w:val="20"/>
      <w:lang w:val="en-US"/>
    </w:rPr>
  </w:style>
  <w:style w:type="paragraph" w:styleId="Tekstdymka">
    <w:name w:val="Balloon Text"/>
    <w:basedOn w:val="Normalny"/>
    <w:link w:val="TekstdymkaZnak"/>
    <w:uiPriority w:val="99"/>
    <w:semiHidden/>
    <w:unhideWhenUsed/>
    <w:rsid w:val="00B63A7E"/>
    <w:pPr>
      <w:spacing w:after="0" w:line="240" w:lineRule="auto"/>
    </w:pPr>
    <w:rPr>
      <w:rFonts w:ascii="Segoe UI" w:hAnsi="Segoe UI"/>
      <w:sz w:val="18"/>
      <w:szCs w:val="18"/>
      <w:lang w:eastAsia="x-none"/>
    </w:rPr>
  </w:style>
  <w:style w:type="character" w:customStyle="1" w:styleId="TekstdymkaZnak">
    <w:name w:val="Tekst dymka Znak"/>
    <w:link w:val="Tekstdymka"/>
    <w:uiPriority w:val="99"/>
    <w:semiHidden/>
    <w:rsid w:val="00B63A7E"/>
    <w:rPr>
      <w:rFonts w:ascii="Segoe UI" w:hAnsi="Segoe UI" w:cs="Segoe UI"/>
      <w:sz w:val="18"/>
      <w:szCs w:val="18"/>
      <w:lang w:val="en-US"/>
    </w:rPr>
  </w:style>
  <w:style w:type="paragraph" w:styleId="Nagwek">
    <w:name w:val="header"/>
    <w:basedOn w:val="Normalny"/>
    <w:link w:val="NagwekZnak"/>
    <w:unhideWhenUsed/>
    <w:rsid w:val="00BD2918"/>
    <w:pPr>
      <w:tabs>
        <w:tab w:val="center" w:pos="4536"/>
        <w:tab w:val="right" w:pos="9072"/>
      </w:tabs>
      <w:spacing w:after="0" w:line="240" w:lineRule="auto"/>
    </w:pPr>
    <w:rPr>
      <w:sz w:val="20"/>
      <w:szCs w:val="20"/>
      <w:lang w:eastAsia="x-none"/>
    </w:rPr>
  </w:style>
  <w:style w:type="character" w:customStyle="1" w:styleId="NagwekZnak">
    <w:name w:val="Nagłówek Znak"/>
    <w:link w:val="Nagwek"/>
    <w:rsid w:val="00BD2918"/>
    <w:rPr>
      <w:lang w:val="en-US"/>
    </w:rPr>
  </w:style>
  <w:style w:type="paragraph" w:styleId="Stopka">
    <w:name w:val="footer"/>
    <w:basedOn w:val="Normalny"/>
    <w:link w:val="StopkaZnak"/>
    <w:uiPriority w:val="99"/>
    <w:unhideWhenUsed/>
    <w:rsid w:val="00BD2918"/>
    <w:pPr>
      <w:tabs>
        <w:tab w:val="center" w:pos="4536"/>
        <w:tab w:val="right" w:pos="9072"/>
      </w:tabs>
      <w:spacing w:after="0" w:line="240" w:lineRule="auto"/>
    </w:pPr>
    <w:rPr>
      <w:sz w:val="20"/>
      <w:szCs w:val="20"/>
      <w:lang w:eastAsia="x-none"/>
    </w:rPr>
  </w:style>
  <w:style w:type="character" w:customStyle="1" w:styleId="StopkaZnak">
    <w:name w:val="Stopka Znak"/>
    <w:link w:val="Stopka"/>
    <w:uiPriority w:val="99"/>
    <w:rsid w:val="00BD2918"/>
    <w:rPr>
      <w:lang w:val="en-US"/>
    </w:rPr>
  </w:style>
  <w:style w:type="paragraph" w:styleId="Akapitzlist">
    <w:name w:val="List Paragraph"/>
    <w:aliases w:val="Styl moj,Akapit z listą11,podpunkt ankietyy,Bullet List,Table Legend"/>
    <w:basedOn w:val="Normalny"/>
    <w:link w:val="AkapitzlistZnak"/>
    <w:uiPriority w:val="34"/>
    <w:qFormat/>
    <w:rsid w:val="00BD2918"/>
    <w:pPr>
      <w:ind w:left="720"/>
      <w:contextualSpacing/>
    </w:pPr>
  </w:style>
  <w:style w:type="paragraph" w:styleId="Tematkomentarza">
    <w:name w:val="annotation subject"/>
    <w:basedOn w:val="Tekstkomentarza"/>
    <w:next w:val="Tekstkomentarza"/>
    <w:link w:val="TematkomentarzaZnak"/>
    <w:uiPriority w:val="99"/>
    <w:semiHidden/>
    <w:unhideWhenUsed/>
    <w:rsid w:val="0091286E"/>
    <w:pPr>
      <w:spacing w:line="276" w:lineRule="auto"/>
    </w:pPr>
    <w:rPr>
      <w:b/>
      <w:bCs/>
      <w:lang w:eastAsia="en-US"/>
    </w:rPr>
  </w:style>
  <w:style w:type="character" w:customStyle="1" w:styleId="TematkomentarzaZnak">
    <w:name w:val="Temat komentarza Znak"/>
    <w:link w:val="Tematkomentarza"/>
    <w:uiPriority w:val="99"/>
    <w:semiHidden/>
    <w:rsid w:val="0091286E"/>
    <w:rPr>
      <w:b/>
      <w:bCs/>
      <w:sz w:val="20"/>
      <w:szCs w:val="20"/>
      <w:lang w:val="en-US" w:eastAsia="en-US" w:bidi="ar-SA"/>
    </w:rPr>
  </w:style>
  <w:style w:type="paragraph" w:customStyle="1" w:styleId="Default">
    <w:name w:val="Default"/>
    <w:rsid w:val="00706D43"/>
    <w:pPr>
      <w:autoSpaceDE w:val="0"/>
      <w:autoSpaceDN w:val="0"/>
      <w:adjustRightInd w:val="0"/>
    </w:pPr>
    <w:rPr>
      <w:rFonts w:ascii="Arial" w:hAnsi="Arial" w:cs="Arial"/>
      <w:color w:val="000000"/>
      <w:sz w:val="24"/>
      <w:szCs w:val="24"/>
    </w:rPr>
  </w:style>
  <w:style w:type="paragraph" w:styleId="Poprawka">
    <w:name w:val="Revision"/>
    <w:hidden/>
    <w:uiPriority w:val="99"/>
    <w:semiHidden/>
    <w:rsid w:val="00F81343"/>
    <w:rPr>
      <w:sz w:val="22"/>
      <w:szCs w:val="22"/>
      <w:lang w:val="en-US" w:eastAsia="en-US"/>
    </w:rPr>
  </w:style>
  <w:style w:type="character" w:customStyle="1" w:styleId="AkapitzlistZnak">
    <w:name w:val="Akapit z listą Znak"/>
    <w:aliases w:val="Styl moj Znak,Akapit z listą11 Znak,podpunkt ankietyy Znak,Bullet List Znak,Table Legend Znak"/>
    <w:link w:val="Akapitzlist"/>
    <w:uiPriority w:val="34"/>
    <w:locked/>
    <w:rsid w:val="008D2C6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247115">
      <w:bodyDiv w:val="1"/>
      <w:marLeft w:val="0"/>
      <w:marRight w:val="0"/>
      <w:marTop w:val="0"/>
      <w:marBottom w:val="0"/>
      <w:divBdr>
        <w:top w:val="none" w:sz="0" w:space="0" w:color="auto"/>
        <w:left w:val="none" w:sz="0" w:space="0" w:color="auto"/>
        <w:bottom w:val="none" w:sz="0" w:space="0" w:color="auto"/>
        <w:right w:val="none" w:sz="0" w:space="0" w:color="auto"/>
      </w:divBdr>
    </w:div>
    <w:div w:id="786701703">
      <w:bodyDiv w:val="1"/>
      <w:marLeft w:val="0"/>
      <w:marRight w:val="0"/>
      <w:marTop w:val="0"/>
      <w:marBottom w:val="0"/>
      <w:divBdr>
        <w:top w:val="none" w:sz="0" w:space="0" w:color="auto"/>
        <w:left w:val="none" w:sz="0" w:space="0" w:color="auto"/>
        <w:bottom w:val="none" w:sz="0" w:space="0" w:color="auto"/>
        <w:right w:val="none" w:sz="0" w:space="0" w:color="auto"/>
      </w:divBdr>
    </w:div>
    <w:div w:id="1005782785">
      <w:bodyDiv w:val="1"/>
      <w:marLeft w:val="0"/>
      <w:marRight w:val="0"/>
      <w:marTop w:val="0"/>
      <w:marBottom w:val="0"/>
      <w:divBdr>
        <w:top w:val="none" w:sz="0" w:space="0" w:color="auto"/>
        <w:left w:val="none" w:sz="0" w:space="0" w:color="auto"/>
        <w:bottom w:val="none" w:sz="0" w:space="0" w:color="auto"/>
        <w:right w:val="none" w:sz="0" w:space="0" w:color="auto"/>
      </w:divBdr>
    </w:div>
    <w:div w:id="13940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034FC21984022419F3584ECAEC38939" ma:contentTypeVersion="16" ma:contentTypeDescription="Utwórz nowy dokument." ma:contentTypeScope="" ma:versionID="c135d07b5e999c192e343eb3c4a450d5">
  <xsd:schema xmlns:xsd="http://www.w3.org/2001/XMLSchema" xmlns:xs="http://www.w3.org/2001/XMLSchema" xmlns:p="http://schemas.microsoft.com/office/2006/metadata/properties" xmlns:ns2="8459ae71-e765-4433-9c09-b6571650456b" xmlns:ns3="28494a8f-65c3-4830-a156-212c8b18fecd" targetNamespace="http://schemas.microsoft.com/office/2006/metadata/properties" ma:root="true" ma:fieldsID="ec851485fd21c64869f75884910735fc" ns2:_="" ns3:_="">
    <xsd:import namespace="8459ae71-e765-4433-9c09-b6571650456b"/>
    <xsd:import namespace="28494a8f-65c3-4830-a156-212c8b18fe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9ae71-e765-4433-9c09-b65716504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agi obrazów" ma:readOnly="false" ma:fieldId="{5cf76f15-5ced-4ddc-b409-7134ff3c332f}" ma:taxonomyMulti="true" ma:sspId="798f3110-b2b7-48bc-b5f0-a137367be0c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8494a8f-65c3-4830-a156-212c8b18fecd" elementFormDefault="qualified">
    <xsd:import namespace="http://schemas.microsoft.com/office/2006/documentManagement/types"/>
    <xsd:import namespace="http://schemas.microsoft.com/office/infopath/2007/PartnerControls"/>
    <xsd:element name="SharedWithUsers" ma:index="19"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Udostępnione dla — szczegóły" ma:internalName="SharedWithDetails" ma:readOnly="true">
      <xsd:simpleType>
        <xsd:restriction base="dms:Note">
          <xsd:maxLength value="255"/>
        </xsd:restriction>
      </xsd:simpleType>
    </xsd:element>
    <xsd:element name="TaxCatchAll" ma:index="23" nillable="true" ma:displayName="Taxonomy Catch All Column" ma:hidden="true" ma:list="{ea66ffee-5454-49ab-9a5d-43f78862541a}" ma:internalName="TaxCatchAll" ma:showField="CatchAllData" ma:web="28494a8f-65c3-4830-a156-212c8b18fe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8494a8f-65c3-4830-a156-212c8b18fecd" xsi:nil="true"/>
    <lcf76f155ced4ddcb4097134ff3c332f xmlns="8459ae71-e765-4433-9c09-b657165045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BF20E1-18DD-40DF-8F55-F277AB4A5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9ae71-e765-4433-9c09-b6571650456b"/>
    <ds:schemaRef ds:uri="28494a8f-65c3-4830-a156-212c8b18f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7271C3-6ED4-4AFD-8781-3D765AB1B061}">
  <ds:schemaRefs>
    <ds:schemaRef ds:uri="http://schemas.microsoft.com/sharepoint/v3/contenttype/forms"/>
  </ds:schemaRefs>
</ds:datastoreItem>
</file>

<file path=customXml/itemProps3.xml><?xml version="1.0" encoding="utf-8"?>
<ds:datastoreItem xmlns:ds="http://schemas.openxmlformats.org/officeDocument/2006/customXml" ds:itemID="{EC9372CB-C6C1-477C-B11F-4703DC229485}">
  <ds:schemaRefs>
    <ds:schemaRef ds:uri="http://schemas.openxmlformats.org/officeDocument/2006/bibliography"/>
  </ds:schemaRefs>
</ds:datastoreItem>
</file>

<file path=customXml/itemProps4.xml><?xml version="1.0" encoding="utf-8"?>
<ds:datastoreItem xmlns:ds="http://schemas.openxmlformats.org/officeDocument/2006/customXml" ds:itemID="{A9CDE9CC-4D82-498B-A645-234D2B37F4BA}">
  <ds:schemaRefs>
    <ds:schemaRef ds:uri="http://schemas.microsoft.com/office/2006/metadata/properties"/>
    <ds:schemaRef ds:uri="http://schemas.microsoft.com/office/infopath/2007/PartnerControls"/>
    <ds:schemaRef ds:uri="28494a8f-65c3-4830-a156-212c8b18fecd"/>
    <ds:schemaRef ds:uri="8459ae71-e765-4433-9c09-b6571650456b"/>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2641</Words>
  <Characters>15846</Characters>
  <Application>Microsoft Office Word</Application>
  <DocSecurity>0</DocSecurity>
  <Lines>132</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Stajszczyk</dc:creator>
  <cp:keywords/>
  <cp:lastModifiedBy>Wilk Justyna</cp:lastModifiedBy>
  <cp:revision>7</cp:revision>
  <cp:lastPrinted>2022-05-31T12:37:00Z</cp:lastPrinted>
  <dcterms:created xsi:type="dcterms:W3CDTF">2025-09-11T15:57:00Z</dcterms:created>
  <dcterms:modified xsi:type="dcterms:W3CDTF">2025-09-11T16:25:00Z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0x010100A034FC21984022419F3584ECAEC38939</vt:lpwstr>
  </property>
  <property fmtid="{D5CDD505-2E9C-101B-9397-08002B2CF9AE}" pid="3" name="MediaServiceImageTags">
    <vt:lpwstr/>
  </property>
</Properties>
</file>