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AE66B" w14:textId="0B196341" w:rsidR="00925BA4" w:rsidRPr="00925BA4" w:rsidRDefault="00925BA4" w:rsidP="00925BA4">
      <w:pPr>
        <w:spacing w:line="240" w:lineRule="auto"/>
        <w:rPr>
          <w:rFonts w:ascii="Times New Roman" w:hAnsi="Times New Roman"/>
        </w:rPr>
      </w:pPr>
      <w:r w:rsidRPr="00925BA4">
        <w:rPr>
          <w:rFonts w:ascii="Times New Roman" w:hAnsi="Times New Roman"/>
        </w:rPr>
        <w:t>Załącznik</w:t>
      </w:r>
      <w:r w:rsidR="00BE03E8">
        <w:rPr>
          <w:rFonts w:ascii="Times New Roman" w:hAnsi="Times New Roman"/>
        </w:rPr>
        <w:t xml:space="preserve"> </w:t>
      </w:r>
      <w:r w:rsidRPr="00925BA4">
        <w:rPr>
          <w:rFonts w:ascii="Times New Roman" w:hAnsi="Times New Roman"/>
        </w:rPr>
        <w:t>B.</w:t>
      </w:r>
      <w:r>
        <w:rPr>
          <w:rFonts w:ascii="Times New Roman" w:hAnsi="Times New Roman"/>
        </w:rPr>
        <w:t>141</w:t>
      </w:r>
      <w:r w:rsidRPr="00925BA4">
        <w:rPr>
          <w:rFonts w:ascii="Times New Roman" w:hAnsi="Times New Roman"/>
        </w:rPr>
        <w:t>.</w:t>
      </w:r>
      <w:r w:rsidR="004A380B">
        <w:rPr>
          <w:rFonts w:ascii="Times New Roman" w:hAnsi="Times New Roman"/>
        </w:rPr>
        <w:t>FM.</w:t>
      </w:r>
    </w:p>
    <w:p w14:paraId="52665EA7" w14:textId="77777777" w:rsidR="00925BA4" w:rsidRPr="00925BA4" w:rsidRDefault="00925BA4" w:rsidP="00925BA4">
      <w:pPr>
        <w:spacing w:line="240" w:lineRule="auto"/>
        <w:rPr>
          <w:rFonts w:ascii="Times New Roman" w:hAnsi="Times New Roman"/>
        </w:rPr>
      </w:pPr>
    </w:p>
    <w:p w14:paraId="3C4A06F5" w14:textId="77777777" w:rsidR="00287AA4" w:rsidRPr="00925BA4" w:rsidRDefault="00287AA4" w:rsidP="00287AA4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b/>
          <w:bCs/>
          <w:sz w:val="28"/>
          <w:lang w:eastAsia="en-US"/>
        </w:rPr>
      </w:pPr>
      <w:r w:rsidRPr="00925BA4">
        <w:rPr>
          <w:rFonts w:ascii="Times New Roman" w:hAnsi="Times New Roman"/>
          <w:b/>
          <w:bCs/>
          <w:sz w:val="28"/>
          <w:lang w:eastAsia="en-US"/>
        </w:rPr>
        <w:t>LECZENIE</w:t>
      </w:r>
      <w:r w:rsidR="00BE03E8">
        <w:rPr>
          <w:rFonts w:ascii="Times New Roman" w:hAnsi="Times New Roman"/>
          <w:b/>
          <w:bCs/>
          <w:sz w:val="28"/>
          <w:lang w:eastAsia="en-US"/>
        </w:rPr>
        <w:t xml:space="preserve"> </w:t>
      </w:r>
      <w:r w:rsidR="000D08C1" w:rsidRPr="00925BA4">
        <w:rPr>
          <w:rFonts w:ascii="Times New Roman" w:hAnsi="Times New Roman"/>
          <w:b/>
          <w:bCs/>
          <w:sz w:val="28"/>
          <w:lang w:eastAsia="en-US"/>
        </w:rPr>
        <w:t>PACJENTÓW</w:t>
      </w:r>
      <w:r w:rsidR="00BE03E8">
        <w:rPr>
          <w:rFonts w:ascii="Times New Roman" w:hAnsi="Times New Roman"/>
          <w:b/>
          <w:bCs/>
          <w:sz w:val="28"/>
          <w:lang w:eastAsia="en-US"/>
        </w:rPr>
        <w:t xml:space="preserve"> </w:t>
      </w:r>
      <w:r w:rsidR="000D08C1" w:rsidRPr="00925BA4">
        <w:rPr>
          <w:rFonts w:ascii="Times New Roman" w:hAnsi="Times New Roman"/>
          <w:b/>
          <w:bCs/>
          <w:sz w:val="28"/>
          <w:lang w:eastAsia="en-US"/>
        </w:rPr>
        <w:t>Z</w:t>
      </w:r>
      <w:r w:rsidR="00BE03E8">
        <w:rPr>
          <w:rFonts w:ascii="Times New Roman" w:hAnsi="Times New Roman"/>
          <w:b/>
          <w:bCs/>
          <w:sz w:val="28"/>
          <w:lang w:eastAsia="en-US"/>
        </w:rPr>
        <w:t xml:space="preserve"> </w:t>
      </w:r>
      <w:r w:rsidRPr="00925BA4">
        <w:rPr>
          <w:rFonts w:ascii="Times New Roman" w:hAnsi="Times New Roman"/>
          <w:b/>
          <w:bCs/>
          <w:sz w:val="28"/>
          <w:lang w:eastAsia="en-US"/>
        </w:rPr>
        <w:t>RA</w:t>
      </w:r>
      <w:r w:rsidR="00390D06" w:rsidRPr="00925BA4">
        <w:rPr>
          <w:rFonts w:ascii="Times New Roman" w:hAnsi="Times New Roman"/>
          <w:b/>
          <w:bCs/>
          <w:sz w:val="28"/>
          <w:lang w:eastAsia="en-US"/>
        </w:rPr>
        <w:t>K</w:t>
      </w:r>
      <w:r w:rsidR="000D08C1" w:rsidRPr="00925BA4">
        <w:rPr>
          <w:rFonts w:ascii="Times New Roman" w:hAnsi="Times New Roman"/>
          <w:b/>
          <w:bCs/>
          <w:sz w:val="28"/>
          <w:lang w:eastAsia="en-US"/>
        </w:rPr>
        <w:t>IEM</w:t>
      </w:r>
      <w:r w:rsidR="00BE03E8">
        <w:rPr>
          <w:rFonts w:ascii="Times New Roman" w:hAnsi="Times New Roman"/>
          <w:b/>
          <w:bCs/>
          <w:sz w:val="28"/>
          <w:lang w:eastAsia="en-US"/>
        </w:rPr>
        <w:t xml:space="preserve"> </w:t>
      </w:r>
      <w:r w:rsidRPr="00925BA4">
        <w:rPr>
          <w:rFonts w:ascii="Times New Roman" w:hAnsi="Times New Roman"/>
          <w:b/>
          <w:bCs/>
          <w:sz w:val="28"/>
          <w:lang w:eastAsia="en-US"/>
        </w:rPr>
        <w:t>UROTELIALN</w:t>
      </w:r>
      <w:r w:rsidR="000D08C1" w:rsidRPr="00925BA4">
        <w:rPr>
          <w:rFonts w:ascii="Times New Roman" w:hAnsi="Times New Roman"/>
          <w:b/>
          <w:bCs/>
          <w:sz w:val="28"/>
          <w:lang w:eastAsia="en-US"/>
        </w:rPr>
        <w:t>YM</w:t>
      </w:r>
      <w:r w:rsidR="00BE03E8">
        <w:rPr>
          <w:rFonts w:ascii="Times New Roman" w:hAnsi="Times New Roman"/>
          <w:b/>
          <w:bCs/>
          <w:sz w:val="28"/>
          <w:lang w:eastAsia="en-US"/>
        </w:rPr>
        <w:t xml:space="preserve"> </w:t>
      </w:r>
      <w:r w:rsidRPr="00925BA4">
        <w:rPr>
          <w:rFonts w:ascii="Times New Roman" w:hAnsi="Times New Roman"/>
          <w:b/>
          <w:bCs/>
          <w:sz w:val="28"/>
          <w:lang w:eastAsia="en-US"/>
        </w:rPr>
        <w:t>(ICD-10</w:t>
      </w:r>
      <w:r w:rsidR="00925BA4">
        <w:rPr>
          <w:rFonts w:ascii="Times New Roman" w:hAnsi="Times New Roman"/>
          <w:b/>
          <w:bCs/>
          <w:sz w:val="28"/>
          <w:lang w:eastAsia="en-US"/>
        </w:rPr>
        <w:t>:</w:t>
      </w:r>
      <w:r w:rsidR="00BE03E8">
        <w:rPr>
          <w:rFonts w:ascii="Times New Roman" w:hAnsi="Times New Roman"/>
          <w:b/>
          <w:bCs/>
          <w:sz w:val="28"/>
          <w:lang w:eastAsia="en-US"/>
        </w:rPr>
        <w:t xml:space="preserve"> </w:t>
      </w:r>
      <w:r w:rsidRPr="00925BA4">
        <w:rPr>
          <w:rFonts w:ascii="Times New Roman" w:hAnsi="Times New Roman"/>
          <w:b/>
          <w:bCs/>
          <w:sz w:val="28"/>
          <w:lang w:eastAsia="en-US"/>
        </w:rPr>
        <w:t>C61,</w:t>
      </w:r>
      <w:r w:rsidR="00BE03E8">
        <w:rPr>
          <w:rFonts w:ascii="Times New Roman" w:hAnsi="Times New Roman"/>
          <w:b/>
          <w:bCs/>
          <w:sz w:val="28"/>
          <w:lang w:eastAsia="en-US"/>
        </w:rPr>
        <w:t xml:space="preserve"> </w:t>
      </w:r>
      <w:r w:rsidRPr="00925BA4">
        <w:rPr>
          <w:rFonts w:ascii="Times New Roman" w:hAnsi="Times New Roman"/>
          <w:b/>
          <w:bCs/>
          <w:sz w:val="28"/>
          <w:lang w:eastAsia="en-US"/>
        </w:rPr>
        <w:t>C65,</w:t>
      </w:r>
      <w:r w:rsidR="00BE03E8">
        <w:rPr>
          <w:rFonts w:ascii="Times New Roman" w:hAnsi="Times New Roman"/>
          <w:b/>
          <w:bCs/>
          <w:sz w:val="28"/>
          <w:lang w:eastAsia="en-US"/>
        </w:rPr>
        <w:t xml:space="preserve"> </w:t>
      </w:r>
      <w:r w:rsidRPr="00925BA4">
        <w:rPr>
          <w:rFonts w:ascii="Times New Roman" w:hAnsi="Times New Roman"/>
          <w:b/>
          <w:bCs/>
          <w:sz w:val="28"/>
          <w:lang w:eastAsia="en-US"/>
        </w:rPr>
        <w:t>C66,</w:t>
      </w:r>
      <w:r w:rsidR="00BE03E8">
        <w:rPr>
          <w:rFonts w:ascii="Times New Roman" w:hAnsi="Times New Roman"/>
          <w:b/>
          <w:bCs/>
          <w:sz w:val="28"/>
          <w:lang w:eastAsia="en-US"/>
        </w:rPr>
        <w:t xml:space="preserve"> </w:t>
      </w:r>
      <w:r w:rsidRPr="00925BA4">
        <w:rPr>
          <w:rFonts w:ascii="Times New Roman" w:hAnsi="Times New Roman"/>
          <w:b/>
          <w:bCs/>
          <w:sz w:val="28"/>
          <w:lang w:eastAsia="en-US"/>
        </w:rPr>
        <w:t>C67,</w:t>
      </w:r>
      <w:r w:rsidR="00BE03E8">
        <w:rPr>
          <w:rFonts w:ascii="Times New Roman" w:hAnsi="Times New Roman"/>
          <w:b/>
          <w:bCs/>
          <w:sz w:val="28"/>
          <w:lang w:eastAsia="en-US"/>
        </w:rPr>
        <w:t xml:space="preserve"> </w:t>
      </w:r>
      <w:r w:rsidRPr="00925BA4">
        <w:rPr>
          <w:rFonts w:ascii="Times New Roman" w:hAnsi="Times New Roman"/>
          <w:b/>
          <w:bCs/>
          <w:sz w:val="28"/>
          <w:lang w:eastAsia="en-US"/>
        </w:rPr>
        <w:t>C68)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666"/>
        <w:gridCol w:w="4112"/>
        <w:gridCol w:w="5610"/>
      </w:tblGrid>
      <w:tr w:rsidR="00CC3D8A" w:rsidRPr="00CC3D8A" w14:paraId="4D661E4A" w14:textId="77777777" w:rsidTr="00CE232B">
        <w:trPr>
          <w:trHeight w:val="567"/>
        </w:trPr>
        <w:tc>
          <w:tcPr>
            <w:tcW w:w="15388" w:type="dxa"/>
            <w:gridSpan w:val="3"/>
            <w:vAlign w:val="center"/>
            <w:hideMark/>
          </w:tcPr>
          <w:p w14:paraId="7EF9BA1E" w14:textId="77777777" w:rsidR="00287AA4" w:rsidRPr="00CC3D8A" w:rsidRDefault="00287AA4" w:rsidP="00CE232B">
            <w:pPr>
              <w:spacing w:line="276" w:lineRule="auto"/>
              <w:jc w:val="center"/>
              <w:rPr>
                <w:rFonts w:ascii="Times New Roman" w:hAnsi="Times New Roman"/>
                <w:b/>
                <w:sz w:val="20"/>
                <w:lang w:eastAsia="en-US"/>
              </w:rPr>
            </w:pPr>
            <w:r w:rsidRPr="00CC3D8A">
              <w:rPr>
                <w:rFonts w:ascii="Times New Roman" w:hAnsi="Times New Roman"/>
                <w:b/>
                <w:sz w:val="20"/>
                <w:lang w:eastAsia="en-US"/>
              </w:rPr>
              <w:t>ZAKRES</w:t>
            </w:r>
            <w:r w:rsidR="00BE03E8" w:rsidRPr="00CC3D8A">
              <w:rPr>
                <w:rFonts w:ascii="Times New Roman" w:hAnsi="Times New Roman"/>
                <w:b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hAnsi="Times New Roman"/>
                <w:b/>
                <w:sz w:val="20"/>
                <w:lang w:eastAsia="en-US"/>
              </w:rPr>
              <w:t>ŚWIADCZENIA</w:t>
            </w:r>
            <w:r w:rsidR="00BE03E8" w:rsidRPr="00CC3D8A">
              <w:rPr>
                <w:rFonts w:ascii="Times New Roman" w:hAnsi="Times New Roman"/>
                <w:b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hAnsi="Times New Roman"/>
                <w:b/>
                <w:sz w:val="20"/>
                <w:lang w:eastAsia="en-US"/>
              </w:rPr>
              <w:t>GWARANTOWANEGO</w:t>
            </w:r>
          </w:p>
        </w:tc>
      </w:tr>
      <w:tr w:rsidR="00CC3D8A" w:rsidRPr="00CC3D8A" w14:paraId="13AA1C13" w14:textId="77777777" w:rsidTr="00CE232B">
        <w:trPr>
          <w:trHeight w:val="567"/>
        </w:trPr>
        <w:tc>
          <w:tcPr>
            <w:tcW w:w="5666" w:type="dxa"/>
            <w:vAlign w:val="center"/>
            <w:hideMark/>
          </w:tcPr>
          <w:p w14:paraId="61A4CD6E" w14:textId="77777777" w:rsidR="00287AA4" w:rsidRPr="00CC3D8A" w:rsidRDefault="00287AA4" w:rsidP="00CE232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sz w:val="20"/>
                <w:lang w:eastAsia="en-US"/>
              </w:rPr>
            </w:pPr>
            <w:r w:rsidRPr="00CC3D8A">
              <w:rPr>
                <w:rFonts w:ascii="Times New Roman" w:hAnsi="Times New Roman"/>
                <w:b/>
                <w:sz w:val="20"/>
                <w:lang w:eastAsia="en-US"/>
              </w:rPr>
              <w:t>ŚWIADCZENIOBIORCY</w:t>
            </w:r>
          </w:p>
        </w:tc>
        <w:tc>
          <w:tcPr>
            <w:tcW w:w="4112" w:type="dxa"/>
            <w:vAlign w:val="center"/>
            <w:hideMark/>
          </w:tcPr>
          <w:p w14:paraId="0A69D8EB" w14:textId="77777777" w:rsidR="00287AA4" w:rsidRPr="00CC3D8A" w:rsidRDefault="00287AA4" w:rsidP="00CE232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sz w:val="20"/>
                <w:lang w:eastAsia="en-US"/>
              </w:rPr>
            </w:pPr>
            <w:r w:rsidRPr="00CC3D8A">
              <w:rPr>
                <w:rFonts w:ascii="Times New Roman" w:hAnsi="Times New Roman"/>
                <w:b/>
                <w:sz w:val="20"/>
                <w:lang w:eastAsia="en-US"/>
              </w:rPr>
              <w:t>SCHEMAT</w:t>
            </w:r>
            <w:r w:rsidR="00BE03E8" w:rsidRPr="00CC3D8A">
              <w:rPr>
                <w:rFonts w:ascii="Times New Roman" w:hAnsi="Times New Roman"/>
                <w:b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hAnsi="Times New Roman"/>
                <w:b/>
                <w:sz w:val="20"/>
                <w:lang w:eastAsia="en-US"/>
              </w:rPr>
              <w:t>DAWKOWANIA</w:t>
            </w:r>
            <w:r w:rsidR="00BE03E8" w:rsidRPr="00CC3D8A">
              <w:rPr>
                <w:rFonts w:ascii="Times New Roman" w:hAnsi="Times New Roman"/>
                <w:b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hAnsi="Times New Roman"/>
                <w:b/>
                <w:sz w:val="20"/>
                <w:lang w:eastAsia="en-US"/>
              </w:rPr>
              <w:t>LEK</w:t>
            </w:r>
            <w:r w:rsidR="00726482" w:rsidRPr="00CC3D8A">
              <w:rPr>
                <w:rFonts w:ascii="Times New Roman" w:hAnsi="Times New Roman"/>
                <w:b/>
                <w:sz w:val="20"/>
                <w:lang w:eastAsia="en-US"/>
              </w:rPr>
              <w:t>ÓW</w:t>
            </w:r>
            <w:r w:rsidR="00BE03E8" w:rsidRPr="00CC3D8A">
              <w:rPr>
                <w:rFonts w:ascii="Times New Roman" w:hAnsi="Times New Roman"/>
                <w:b/>
                <w:sz w:val="20"/>
                <w:lang w:eastAsia="en-US"/>
              </w:rPr>
              <w:t xml:space="preserve"> </w:t>
            </w:r>
            <w:r w:rsidR="00790072" w:rsidRPr="00CC3D8A">
              <w:rPr>
                <w:rFonts w:ascii="Times New Roman" w:hAnsi="Times New Roman"/>
                <w:b/>
                <w:sz w:val="20"/>
                <w:lang w:eastAsia="en-US"/>
              </w:rPr>
              <w:br/>
            </w:r>
            <w:r w:rsidRPr="00CC3D8A">
              <w:rPr>
                <w:rFonts w:ascii="Times New Roman" w:hAnsi="Times New Roman"/>
                <w:b/>
                <w:sz w:val="20"/>
                <w:lang w:eastAsia="en-US"/>
              </w:rPr>
              <w:t>W</w:t>
            </w:r>
            <w:r w:rsidR="00BE03E8" w:rsidRPr="00CC3D8A">
              <w:rPr>
                <w:rFonts w:ascii="Times New Roman" w:hAnsi="Times New Roman"/>
                <w:b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hAnsi="Times New Roman"/>
                <w:b/>
                <w:sz w:val="20"/>
                <w:lang w:eastAsia="en-US"/>
              </w:rPr>
              <w:t>PROGRAMIE</w:t>
            </w:r>
          </w:p>
        </w:tc>
        <w:tc>
          <w:tcPr>
            <w:tcW w:w="5610" w:type="dxa"/>
            <w:vAlign w:val="center"/>
            <w:hideMark/>
          </w:tcPr>
          <w:p w14:paraId="19B36EB0" w14:textId="77777777" w:rsidR="00287AA4" w:rsidRPr="00CC3D8A" w:rsidRDefault="00287AA4" w:rsidP="00CE232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sz w:val="20"/>
                <w:lang w:eastAsia="en-US"/>
              </w:rPr>
            </w:pPr>
            <w:r w:rsidRPr="00CC3D8A">
              <w:rPr>
                <w:rFonts w:ascii="Times New Roman" w:hAnsi="Times New Roman"/>
                <w:b/>
                <w:sz w:val="20"/>
                <w:lang w:eastAsia="en-US"/>
              </w:rPr>
              <w:t>BADANIA</w:t>
            </w:r>
            <w:r w:rsidR="00BE03E8" w:rsidRPr="00CC3D8A">
              <w:rPr>
                <w:rFonts w:ascii="Times New Roman" w:hAnsi="Times New Roman"/>
                <w:b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hAnsi="Times New Roman"/>
                <w:b/>
                <w:sz w:val="20"/>
                <w:lang w:eastAsia="en-US"/>
              </w:rPr>
              <w:t>DIAGNOSTYCZNE</w:t>
            </w:r>
            <w:r w:rsidR="00BE03E8" w:rsidRPr="00CC3D8A">
              <w:rPr>
                <w:rFonts w:ascii="Times New Roman" w:hAnsi="Times New Roman"/>
                <w:b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hAnsi="Times New Roman"/>
                <w:b/>
                <w:sz w:val="20"/>
                <w:lang w:eastAsia="en-US"/>
              </w:rPr>
              <w:t>WYKONYWANE</w:t>
            </w:r>
            <w:r w:rsidR="00BE03E8" w:rsidRPr="00CC3D8A">
              <w:rPr>
                <w:rFonts w:ascii="Times New Roman" w:hAnsi="Times New Roman"/>
                <w:b/>
                <w:sz w:val="20"/>
                <w:lang w:eastAsia="en-US"/>
              </w:rPr>
              <w:t xml:space="preserve"> </w:t>
            </w:r>
            <w:r w:rsidR="00790072" w:rsidRPr="00CC3D8A">
              <w:rPr>
                <w:rFonts w:ascii="Times New Roman" w:hAnsi="Times New Roman"/>
                <w:b/>
                <w:sz w:val="20"/>
                <w:lang w:eastAsia="en-US"/>
              </w:rPr>
              <w:br/>
            </w:r>
            <w:r w:rsidRPr="00CC3D8A">
              <w:rPr>
                <w:rFonts w:ascii="Times New Roman" w:hAnsi="Times New Roman"/>
                <w:b/>
                <w:sz w:val="20"/>
                <w:lang w:eastAsia="en-US"/>
              </w:rPr>
              <w:t>W</w:t>
            </w:r>
            <w:r w:rsidR="00BE03E8" w:rsidRPr="00CC3D8A">
              <w:rPr>
                <w:rFonts w:ascii="Times New Roman" w:hAnsi="Times New Roman"/>
                <w:b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hAnsi="Times New Roman"/>
                <w:b/>
                <w:sz w:val="20"/>
                <w:lang w:eastAsia="en-US"/>
              </w:rPr>
              <w:t>RAMACH</w:t>
            </w:r>
            <w:r w:rsidR="00BE03E8" w:rsidRPr="00CC3D8A">
              <w:rPr>
                <w:rFonts w:ascii="Times New Roman" w:hAnsi="Times New Roman"/>
                <w:b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hAnsi="Times New Roman"/>
                <w:b/>
                <w:sz w:val="20"/>
                <w:lang w:eastAsia="en-US"/>
              </w:rPr>
              <w:t>PROGRAMU</w:t>
            </w:r>
          </w:p>
        </w:tc>
      </w:tr>
      <w:tr w:rsidR="00287AA4" w:rsidRPr="00CC3D8A" w14:paraId="5014AAB3" w14:textId="77777777" w:rsidTr="00CE232B">
        <w:trPr>
          <w:trHeight w:val="20"/>
        </w:trPr>
        <w:tc>
          <w:tcPr>
            <w:tcW w:w="5666" w:type="dxa"/>
            <w:hideMark/>
          </w:tcPr>
          <w:p w14:paraId="0003B8FB" w14:textId="77777777" w:rsidR="00833C62" w:rsidRPr="00CC3D8A" w:rsidRDefault="00833C62" w:rsidP="00BE03E8">
            <w:pPr>
              <w:widowControl w:val="0"/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W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programie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lekowym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finansuje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się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197A51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leczenie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197A51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pacjentów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197A51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z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197A51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rakiem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197A51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urotelialnym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197A51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substancjami:</w:t>
            </w:r>
          </w:p>
          <w:p w14:paraId="29DC31E1" w14:textId="77777777" w:rsidR="00833C62" w:rsidRPr="00CC3D8A" w:rsidRDefault="00BE03E8" w:rsidP="0007510D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i/>
                <w:iCs/>
                <w:sz w:val="20"/>
                <w:lang w:eastAsia="zh-CN"/>
              </w:rPr>
              <w:t>a</w:t>
            </w:r>
            <w:r w:rsidR="00833C62" w:rsidRPr="00CC3D8A">
              <w:rPr>
                <w:rFonts w:ascii="Times New Roman" w:eastAsia="SimSun" w:hAnsi="Times New Roman"/>
                <w:bCs/>
                <w:i/>
                <w:iCs/>
                <w:sz w:val="20"/>
                <w:lang w:eastAsia="zh-CN"/>
              </w:rPr>
              <w:t>welumab</w:t>
            </w:r>
            <w:r w:rsidR="00522350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;</w:t>
            </w:r>
          </w:p>
          <w:p w14:paraId="7F723D28" w14:textId="77777777" w:rsidR="00833C62" w:rsidRDefault="00BE03E8" w:rsidP="0007510D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i/>
                <w:iCs/>
                <w:sz w:val="20"/>
                <w:lang w:eastAsia="zh-CN"/>
              </w:rPr>
              <w:t>n</w:t>
            </w:r>
            <w:r w:rsidR="00833C62" w:rsidRPr="00CC3D8A">
              <w:rPr>
                <w:rFonts w:ascii="Times New Roman" w:eastAsia="SimSun" w:hAnsi="Times New Roman"/>
                <w:bCs/>
                <w:i/>
                <w:iCs/>
                <w:sz w:val="20"/>
                <w:lang w:eastAsia="zh-CN"/>
              </w:rPr>
              <w:t>iwolumab</w:t>
            </w:r>
            <w:r w:rsidR="00522350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;</w:t>
            </w:r>
          </w:p>
          <w:p w14:paraId="44F395DD" w14:textId="1659F8C6" w:rsidR="001313D3" w:rsidRDefault="001313D3" w:rsidP="0007510D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bCs/>
                <w:i/>
                <w:iCs/>
                <w:sz w:val="20"/>
                <w:lang w:eastAsia="zh-CN"/>
              </w:rPr>
              <w:t>niwolumab w skojarzeniu z gemcytabiną i cisplatyną w leczeniu pierwszej linii</w:t>
            </w:r>
            <w:r w:rsidRPr="007230B3">
              <w:rPr>
                <w:rFonts w:ascii="Times New Roman" w:eastAsia="SimSun" w:hAnsi="Times New Roman"/>
                <w:bCs/>
                <w:sz w:val="20"/>
                <w:lang w:eastAsia="zh-CN"/>
              </w:rPr>
              <w:t>;</w:t>
            </w:r>
          </w:p>
          <w:p w14:paraId="5BA09D62" w14:textId="43F7A5BE" w:rsidR="0007510D" w:rsidRPr="001313D3" w:rsidRDefault="0007510D" w:rsidP="0007510D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bCs/>
                <w:i/>
                <w:iCs/>
                <w:sz w:val="20"/>
                <w:lang w:eastAsia="zh-CN"/>
              </w:rPr>
              <w:t>pembrolizumab</w:t>
            </w:r>
            <w:r w:rsidRPr="0007510D">
              <w:rPr>
                <w:rFonts w:ascii="Times New Roman" w:eastAsia="SimSun" w:hAnsi="Times New Roman"/>
                <w:bCs/>
                <w:sz w:val="20"/>
                <w:lang w:eastAsia="zh-CN"/>
              </w:rPr>
              <w:t>;</w:t>
            </w:r>
          </w:p>
          <w:p w14:paraId="5CA12CF1" w14:textId="77777777" w:rsidR="00197A51" w:rsidRPr="00CC3D8A" w:rsidRDefault="00BE03E8" w:rsidP="0007510D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i/>
                <w:iCs/>
                <w:sz w:val="20"/>
                <w:lang w:eastAsia="zh-CN"/>
              </w:rPr>
              <w:t>e</w:t>
            </w:r>
            <w:r w:rsidR="00197A51" w:rsidRPr="00CC3D8A">
              <w:rPr>
                <w:rFonts w:ascii="Times New Roman" w:eastAsia="SimSun" w:hAnsi="Times New Roman"/>
                <w:bCs/>
                <w:i/>
                <w:iCs/>
                <w:sz w:val="20"/>
                <w:lang w:eastAsia="zh-CN"/>
              </w:rPr>
              <w:t>nfortumab</w:t>
            </w:r>
            <w:r w:rsidRPr="00CC3D8A">
              <w:rPr>
                <w:rFonts w:ascii="Times New Roman" w:eastAsia="SimSun" w:hAnsi="Times New Roman"/>
                <w:bCs/>
                <w:i/>
                <w:iCs/>
                <w:sz w:val="20"/>
                <w:lang w:eastAsia="zh-CN"/>
              </w:rPr>
              <w:t xml:space="preserve"> </w:t>
            </w:r>
            <w:r w:rsidR="00197A51" w:rsidRPr="00CC3D8A">
              <w:rPr>
                <w:rFonts w:ascii="Times New Roman" w:eastAsia="SimSun" w:hAnsi="Times New Roman"/>
                <w:bCs/>
                <w:i/>
                <w:iCs/>
                <w:sz w:val="20"/>
                <w:lang w:eastAsia="zh-CN"/>
              </w:rPr>
              <w:t>wedotyny</w:t>
            </w:r>
            <w:r w:rsidR="00197A51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;</w:t>
            </w:r>
          </w:p>
          <w:p w14:paraId="5A1684FF" w14:textId="05D44E2D" w:rsidR="001313D3" w:rsidRDefault="00B15C9C" w:rsidP="0007510D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i/>
                <w:iCs/>
                <w:sz w:val="20"/>
                <w:lang w:eastAsia="zh-CN"/>
              </w:rPr>
              <w:t>erdafitynib</w:t>
            </w:r>
            <w:r w:rsidR="001313D3">
              <w:rPr>
                <w:rFonts w:ascii="Times New Roman" w:eastAsia="SimSun" w:hAnsi="Times New Roman"/>
                <w:bCs/>
                <w:sz w:val="20"/>
                <w:lang w:eastAsia="zh-CN"/>
              </w:rPr>
              <w:t>;</w:t>
            </w:r>
          </w:p>
          <w:p w14:paraId="2E45F018" w14:textId="77777777" w:rsidR="00833C62" w:rsidRPr="00CC3D8A" w:rsidRDefault="003624D6" w:rsidP="00BE03E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/>
                <w:i/>
                <w:iCs/>
                <w:sz w:val="20"/>
                <w:lang w:eastAsia="zh-CN"/>
              </w:rPr>
              <w:t>Awelumab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stosowany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jest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197A51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w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197A51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pierwszej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197A51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linii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jako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B64137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l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eczenie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podtrzymujące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pierwszego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rzutu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raka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urotelialnego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w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stadium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miejscowego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zaawansowania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poza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możliwościami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miejscowego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leczenia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o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charakterze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radykalnym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lub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w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stadium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uogólnienia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u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pacjentów,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u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których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nie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doszło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do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progresji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choroby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podczas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stosowania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chemioterapii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paliatywnej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opartej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na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pochodnych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833C62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platyny</w:t>
            </w:r>
            <w:r w:rsidR="00120F2F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.</w:t>
            </w:r>
          </w:p>
          <w:p w14:paraId="4C189AB1" w14:textId="77777777" w:rsidR="001E1721" w:rsidRDefault="003624D6" w:rsidP="00BE03E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/>
                <w:bCs/>
                <w:sz w:val="20"/>
              </w:rPr>
            </w:pPr>
            <w:r w:rsidRPr="00CC3D8A">
              <w:rPr>
                <w:rFonts w:ascii="Times New Roman" w:eastAsia="SimSun" w:hAnsi="Times New Roman"/>
                <w:b/>
                <w:i/>
                <w:iCs/>
                <w:sz w:val="20"/>
                <w:lang w:eastAsia="zh-CN"/>
              </w:rPr>
              <w:t>Niwolumab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stosowany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jest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1E1721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w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1E1721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leczeniu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uzupełniającym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raka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urotelialnego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naciekającego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błonę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mięśniową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u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dorosłych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z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ekspresją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PD-L1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na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komórkach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guza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≥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1%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852027" w:rsidRPr="00CC3D8A">
              <w:rPr>
                <w:rFonts w:ascii="Times New Roman" w:hAnsi="Times New Roman"/>
                <w:bCs/>
                <w:sz w:val="20"/>
              </w:rPr>
              <w:t>i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z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wysokim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ryzykiem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nawrotu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po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1E1721" w:rsidRPr="00CC3D8A">
              <w:rPr>
                <w:rFonts w:ascii="Times New Roman" w:hAnsi="Times New Roman"/>
                <w:bCs/>
                <w:sz w:val="20"/>
              </w:rPr>
              <w:t>radykalnej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3D1255" w:rsidRPr="00CC3D8A">
              <w:rPr>
                <w:rFonts w:ascii="Times New Roman" w:hAnsi="Times New Roman"/>
                <w:bCs/>
                <w:sz w:val="20"/>
              </w:rPr>
              <w:t>cystek</w:t>
            </w:r>
            <w:r w:rsidR="00CD54E6" w:rsidRPr="00CC3D8A">
              <w:rPr>
                <w:rFonts w:ascii="Times New Roman" w:hAnsi="Times New Roman"/>
                <w:bCs/>
                <w:sz w:val="20"/>
              </w:rPr>
              <w:t>t</w:t>
            </w:r>
            <w:r w:rsidR="003D1255" w:rsidRPr="00CC3D8A">
              <w:rPr>
                <w:rFonts w:ascii="Times New Roman" w:hAnsi="Times New Roman"/>
                <w:bCs/>
                <w:sz w:val="20"/>
              </w:rPr>
              <w:t>omii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3D1255" w:rsidRPr="00CC3D8A">
              <w:rPr>
                <w:rFonts w:ascii="Times New Roman" w:hAnsi="Times New Roman"/>
                <w:bCs/>
                <w:sz w:val="20"/>
              </w:rPr>
              <w:t>z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3D1255" w:rsidRPr="00CC3D8A">
              <w:rPr>
                <w:rFonts w:ascii="Times New Roman" w:hAnsi="Times New Roman"/>
                <w:bCs/>
                <w:sz w:val="20"/>
              </w:rPr>
              <w:t>cechą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3D1255" w:rsidRPr="00CC3D8A">
              <w:rPr>
                <w:rFonts w:ascii="Times New Roman" w:hAnsi="Times New Roman"/>
                <w:bCs/>
                <w:sz w:val="20"/>
              </w:rPr>
              <w:t>R0.</w:t>
            </w:r>
          </w:p>
          <w:p w14:paraId="0D3F316A" w14:textId="123828E3" w:rsidR="001313D3" w:rsidRDefault="001313D3" w:rsidP="00BE03E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07510D">
              <w:rPr>
                <w:rFonts w:ascii="Times New Roman" w:eastAsia="SimSun" w:hAnsi="Times New Roman"/>
                <w:b/>
                <w:i/>
                <w:iCs/>
                <w:sz w:val="20"/>
                <w:lang w:eastAsia="zh-CN"/>
              </w:rPr>
              <w:t>Niwolumab</w:t>
            </w:r>
            <w:r w:rsidRPr="0007510D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w skojarzeniu z cisplatyną i gemcytabiną</w:t>
            </w:r>
            <w:r w:rsidRPr="00821AF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616AEF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stosowany jest w leczeniu pierwszej linii raka urotelialnego w stadium </w:t>
            </w:r>
            <w:r w:rsidRPr="00616AEF">
              <w:rPr>
                <w:rFonts w:ascii="Times New Roman" w:eastAsia="SimSun" w:hAnsi="Times New Roman"/>
                <w:bCs/>
                <w:sz w:val="20"/>
                <w:lang w:eastAsia="zh-CN"/>
              </w:rPr>
              <w:lastRenderedPageBreak/>
              <w:t>miejscowego zaawansowania poza możliwościami miejscowego leczenia o charakterze radykalnym lub w stadium uogólnienia</w:t>
            </w:r>
            <w:r>
              <w:rPr>
                <w:rFonts w:ascii="Times New Roman" w:eastAsia="SimSun" w:hAnsi="Times New Roman"/>
                <w:bCs/>
                <w:sz w:val="20"/>
                <w:lang w:eastAsia="zh-CN"/>
              </w:rPr>
              <w:t>.</w:t>
            </w:r>
          </w:p>
          <w:p w14:paraId="0590C012" w14:textId="6BC5644A" w:rsidR="0007510D" w:rsidRPr="0007510D" w:rsidRDefault="0007510D" w:rsidP="00BE03E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0"/>
              </w:rPr>
            </w:pPr>
            <w:r w:rsidRPr="0007510D">
              <w:rPr>
                <w:rFonts w:ascii="Times New Roman" w:hAnsi="Times New Roman"/>
                <w:b/>
                <w:i/>
                <w:iCs/>
                <w:sz w:val="20"/>
              </w:rPr>
              <w:t>Pembrolizumab</w:t>
            </w:r>
            <w:r w:rsidRPr="0007510D">
              <w:rPr>
                <w:rFonts w:ascii="Times New Roman" w:hAnsi="Times New Roman"/>
                <w:b/>
                <w:bCs/>
                <w:i/>
                <w:iCs/>
                <w:sz w:val="20"/>
              </w:rPr>
              <w:t xml:space="preserve"> </w:t>
            </w:r>
            <w:r w:rsidRPr="0007510D">
              <w:rPr>
                <w:rFonts w:ascii="Times New Roman" w:hAnsi="Times New Roman"/>
                <w:sz w:val="20"/>
              </w:rPr>
              <w:t>stosowany jest w monoterapii w drugiej linii leczenia raka urotelialnego miejscowo zaawansowanego poza możliwościami miejscowego leczenia o charakterze radykalnym lub w stadium uogólnienia u osób dorosłych, u których doszło do progresji choroby podczas lub po uprzedniej chemioterapii opartej na pochodnych platyny.</w:t>
            </w:r>
          </w:p>
          <w:p w14:paraId="77FC05B0" w14:textId="2CF4122D" w:rsidR="00B15C9C" w:rsidRPr="00CC3D8A" w:rsidRDefault="00197A51" w:rsidP="00B15C9C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/>
                <w:bCs/>
                <w:sz w:val="20"/>
              </w:rPr>
            </w:pPr>
            <w:r w:rsidRPr="00CC3D8A">
              <w:rPr>
                <w:rFonts w:ascii="Times New Roman" w:hAnsi="Times New Roman"/>
                <w:b/>
                <w:i/>
                <w:iCs/>
                <w:sz w:val="20"/>
              </w:rPr>
              <w:t>Enfortumab</w:t>
            </w:r>
            <w:r w:rsidR="00BE03E8" w:rsidRPr="00CC3D8A">
              <w:rPr>
                <w:rFonts w:ascii="Times New Roman" w:hAnsi="Times New Roman"/>
                <w:b/>
                <w:i/>
                <w:iCs/>
                <w:sz w:val="20"/>
              </w:rPr>
              <w:t xml:space="preserve"> </w:t>
            </w:r>
            <w:r w:rsidR="00522350" w:rsidRPr="00CC3D8A">
              <w:rPr>
                <w:rFonts w:ascii="Times New Roman" w:hAnsi="Times New Roman"/>
                <w:b/>
                <w:i/>
                <w:iCs/>
                <w:sz w:val="20"/>
              </w:rPr>
              <w:t>wedotyny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stosowany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jest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307851" w:rsidRPr="00CC3D8A">
              <w:rPr>
                <w:rFonts w:ascii="Times New Roman" w:hAnsi="Times New Roman"/>
                <w:bCs/>
                <w:sz w:val="20"/>
              </w:rPr>
              <w:t xml:space="preserve">w monoterapii, </w:t>
            </w:r>
            <w:r w:rsidRPr="00CC3D8A">
              <w:rPr>
                <w:rFonts w:ascii="Times New Roman" w:hAnsi="Times New Roman"/>
                <w:bCs/>
                <w:sz w:val="20"/>
              </w:rPr>
              <w:t>w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drugiej</w:t>
            </w:r>
            <w:r w:rsidR="005E75F6" w:rsidRPr="00CC3D8A">
              <w:rPr>
                <w:rFonts w:ascii="Times New Roman" w:hAnsi="Times New Roman"/>
                <w:bCs/>
                <w:sz w:val="20"/>
              </w:rPr>
              <w:t xml:space="preserve"> lub </w:t>
            </w:r>
            <w:r w:rsidR="00D63907" w:rsidRPr="00CC3D8A">
              <w:rPr>
                <w:rFonts w:ascii="Times New Roman" w:hAnsi="Times New Roman"/>
                <w:bCs/>
                <w:sz w:val="20"/>
              </w:rPr>
              <w:t>trzeciej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linii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leczenia,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raka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urotelialnego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bookmarkStart w:id="0" w:name="_Hlk169794503"/>
            <w:r w:rsidR="00204976" w:rsidRPr="00CC3D8A">
              <w:rPr>
                <w:rFonts w:ascii="Times New Roman" w:hAnsi="Times New Roman"/>
                <w:bCs/>
                <w:sz w:val="20"/>
              </w:rPr>
              <w:t>w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stadium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miejscow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ego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zaawansow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ania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307851" w:rsidRPr="00CC3D8A">
              <w:rPr>
                <w:rFonts w:ascii="Times New Roman" w:hAnsi="Times New Roman"/>
                <w:bCs/>
                <w:sz w:val="20"/>
              </w:rPr>
              <w:t xml:space="preserve">-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poza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możliwościami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miejscowego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leczenia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o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charakterze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radykalnym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lub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w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stadium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uogólnienia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u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pacjentów</w:t>
            </w:r>
            <w:bookmarkEnd w:id="0"/>
            <w:r w:rsidR="00CD54E6" w:rsidRPr="00CC3D8A">
              <w:rPr>
                <w:rFonts w:ascii="Times New Roman" w:hAnsi="Times New Roman"/>
                <w:bCs/>
                <w:sz w:val="20"/>
              </w:rPr>
              <w:t>,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u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których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doszło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do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progresji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choroby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podczas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lub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po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uprzedniej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terapii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opartej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o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chemioterapię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pochodnymi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platyny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i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inhibitor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receptora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programowanej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śmierci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komórki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1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(PD-1)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lub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inhibitor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ligandu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programowanej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śmierci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komórki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1</w:t>
            </w:r>
            <w:r w:rsidR="00BE03E8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bCs/>
                <w:sz w:val="20"/>
              </w:rPr>
              <w:t>(PD-</w:t>
            </w:r>
            <w:r w:rsidR="00204976" w:rsidRPr="00CC3D8A">
              <w:rPr>
                <w:rFonts w:ascii="Times New Roman" w:hAnsi="Times New Roman"/>
                <w:bCs/>
                <w:sz w:val="20"/>
              </w:rPr>
              <w:t>L</w:t>
            </w:r>
            <w:r w:rsidRPr="00CC3D8A">
              <w:rPr>
                <w:rFonts w:ascii="Times New Roman" w:hAnsi="Times New Roman"/>
                <w:bCs/>
                <w:sz w:val="20"/>
              </w:rPr>
              <w:t>1)</w:t>
            </w:r>
            <w:r w:rsidR="00307851" w:rsidRPr="00CC3D8A">
              <w:rPr>
                <w:rFonts w:ascii="Times New Roman" w:hAnsi="Times New Roman"/>
                <w:bCs/>
                <w:sz w:val="20"/>
              </w:rPr>
              <w:t xml:space="preserve">. </w:t>
            </w:r>
          </w:p>
          <w:p w14:paraId="598DE98E" w14:textId="20589523" w:rsidR="005305B6" w:rsidRPr="00CC3D8A" w:rsidRDefault="00D66E5D" w:rsidP="00B15C9C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/>
                <w:bCs/>
                <w:sz w:val="20"/>
              </w:rPr>
            </w:pPr>
            <w:r w:rsidRPr="00CC3D8A">
              <w:rPr>
                <w:rFonts w:ascii="Times New Roman" w:hAnsi="Times New Roman"/>
                <w:b/>
                <w:i/>
                <w:iCs/>
                <w:sz w:val="20"/>
              </w:rPr>
              <w:t>Erda</w:t>
            </w:r>
            <w:r w:rsidR="007817C0" w:rsidRPr="00CC3D8A">
              <w:rPr>
                <w:rFonts w:ascii="Times New Roman" w:hAnsi="Times New Roman"/>
                <w:b/>
                <w:i/>
                <w:iCs/>
                <w:sz w:val="20"/>
              </w:rPr>
              <w:t>fitynib</w:t>
            </w:r>
            <w:r w:rsidR="007817C0" w:rsidRPr="00CC3D8A">
              <w:rPr>
                <w:rFonts w:ascii="Times New Roman" w:hAnsi="Times New Roman"/>
                <w:bCs/>
                <w:sz w:val="20"/>
              </w:rPr>
              <w:t xml:space="preserve"> stosowany jest w monoterapii</w:t>
            </w:r>
            <w:r w:rsidR="00CA05D6" w:rsidRPr="00CC3D8A">
              <w:rPr>
                <w:rFonts w:ascii="Times New Roman" w:hAnsi="Times New Roman"/>
                <w:bCs/>
                <w:sz w:val="20"/>
              </w:rPr>
              <w:t>, w drugiej lub trzeciej linii leczenia</w:t>
            </w:r>
            <w:r w:rsidR="009D150F">
              <w:rPr>
                <w:rFonts w:ascii="Times New Roman" w:hAnsi="Times New Roman"/>
                <w:bCs/>
                <w:sz w:val="20"/>
              </w:rPr>
              <w:t>,</w:t>
            </w:r>
            <w:r w:rsidR="000246EB" w:rsidRPr="00CC3D8A">
              <w:rPr>
                <w:rFonts w:ascii="Times New Roman" w:hAnsi="Times New Roman"/>
                <w:bCs/>
                <w:sz w:val="20"/>
              </w:rPr>
              <w:t xml:space="preserve"> raka urotelialnego</w:t>
            </w:r>
            <w:r w:rsidR="007817C0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5563D5" w:rsidRPr="00CC3D8A">
              <w:rPr>
                <w:rFonts w:ascii="Times New Roman" w:hAnsi="Times New Roman"/>
                <w:bCs/>
                <w:sz w:val="20"/>
              </w:rPr>
              <w:t>w stadium miejscowego zaawansowania - poza możliwościami miejscowego leczenia o charakterze radykalnym lub w stadium uogólnienia</w:t>
            </w:r>
            <w:r w:rsidR="00D75259" w:rsidRPr="00CC3D8A">
              <w:rPr>
                <w:rFonts w:ascii="Times New Roman" w:hAnsi="Times New Roman"/>
                <w:bCs/>
                <w:sz w:val="20"/>
              </w:rPr>
              <w:t>,</w:t>
            </w:r>
            <w:r w:rsidR="005563D5" w:rsidRPr="00CC3D8A">
              <w:rPr>
                <w:rFonts w:ascii="Times New Roman" w:hAnsi="Times New Roman"/>
                <w:bCs/>
                <w:sz w:val="20"/>
              </w:rPr>
              <w:t xml:space="preserve"> u pacjentów</w:t>
            </w:r>
            <w:r w:rsidR="009833AE" w:rsidRPr="00CC3D8A">
              <w:rPr>
                <w:rFonts w:ascii="Times New Roman" w:hAnsi="Times New Roman"/>
                <w:bCs/>
                <w:sz w:val="20"/>
              </w:rPr>
              <w:t xml:space="preserve"> z podatnymi zmianami genetycznymi</w:t>
            </w:r>
            <w:r w:rsidR="00DD18EB" w:rsidRPr="00CC3D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9833AE" w:rsidRPr="00CC3D8A">
              <w:rPr>
                <w:rFonts w:ascii="Times New Roman" w:hAnsi="Times New Roman"/>
                <w:bCs/>
                <w:sz w:val="20"/>
              </w:rPr>
              <w:t>FGFR3</w:t>
            </w:r>
            <w:r w:rsidR="005563D5" w:rsidRPr="00CC3D8A">
              <w:rPr>
                <w:rFonts w:ascii="Times New Roman" w:hAnsi="Times New Roman"/>
                <w:bCs/>
                <w:sz w:val="20"/>
              </w:rPr>
              <w:t>, u których doszło do progresji choroby podczas lub po uprzedniej terapii inhibitor</w:t>
            </w:r>
            <w:r w:rsidR="00F3408E" w:rsidRPr="00CC3D8A">
              <w:rPr>
                <w:rFonts w:ascii="Times New Roman" w:hAnsi="Times New Roman"/>
                <w:bCs/>
                <w:sz w:val="20"/>
              </w:rPr>
              <w:t>em</w:t>
            </w:r>
            <w:r w:rsidR="005563D5" w:rsidRPr="00CC3D8A">
              <w:rPr>
                <w:rFonts w:ascii="Times New Roman" w:hAnsi="Times New Roman"/>
                <w:bCs/>
                <w:sz w:val="20"/>
              </w:rPr>
              <w:t xml:space="preserve"> receptora programowanej śmierci komórki 1 (PD-1) lub inhibitor</w:t>
            </w:r>
            <w:r w:rsidR="00F3408E" w:rsidRPr="00CC3D8A">
              <w:rPr>
                <w:rFonts w:ascii="Times New Roman" w:hAnsi="Times New Roman"/>
                <w:bCs/>
                <w:sz w:val="20"/>
              </w:rPr>
              <w:t>em</w:t>
            </w:r>
            <w:r w:rsidR="005563D5" w:rsidRPr="00CC3D8A">
              <w:rPr>
                <w:rFonts w:ascii="Times New Roman" w:hAnsi="Times New Roman"/>
                <w:bCs/>
                <w:sz w:val="20"/>
              </w:rPr>
              <w:t xml:space="preserve"> ligandu programowanej śmierci komórki 1 (PD-L1)</w:t>
            </w:r>
            <w:r w:rsidR="004B2F00" w:rsidRPr="00CC3D8A">
              <w:rPr>
                <w:rFonts w:ascii="Times New Roman" w:hAnsi="Times New Roman"/>
                <w:bCs/>
                <w:sz w:val="20"/>
              </w:rPr>
              <w:t>.</w:t>
            </w:r>
          </w:p>
          <w:p w14:paraId="1CE953BB" w14:textId="44BE55EF" w:rsidR="00B15C9C" w:rsidRPr="00CC3D8A" w:rsidRDefault="00B15C9C" w:rsidP="00BE03E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</w:p>
          <w:p w14:paraId="67383B1A" w14:textId="4ABB0513" w:rsidR="00287AA4" w:rsidRPr="00C612BE" w:rsidRDefault="00287AA4" w:rsidP="00C612BE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/>
                <w:sz w:val="20"/>
                <w:lang w:eastAsia="zh-CN"/>
              </w:rPr>
            </w:pPr>
            <w:r w:rsidRPr="00C612BE">
              <w:rPr>
                <w:rFonts w:ascii="Times New Roman" w:eastAsia="SimSun" w:hAnsi="Times New Roman"/>
                <w:b/>
                <w:sz w:val="20"/>
                <w:lang w:eastAsia="zh-CN"/>
              </w:rPr>
              <w:t>Kryteria</w:t>
            </w:r>
            <w:r w:rsidR="00BE03E8" w:rsidRPr="00C612BE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Pr="00C612BE">
              <w:rPr>
                <w:rFonts w:ascii="Times New Roman" w:eastAsia="SimSun" w:hAnsi="Times New Roman"/>
                <w:b/>
                <w:sz w:val="20"/>
                <w:lang w:eastAsia="zh-CN"/>
              </w:rPr>
              <w:t>kwalifikacji</w:t>
            </w:r>
            <w:r w:rsidR="00BE03E8" w:rsidRPr="00C612BE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="001E1721" w:rsidRPr="00C612BE">
              <w:rPr>
                <w:rFonts w:ascii="Times New Roman" w:eastAsia="SimSun" w:hAnsi="Times New Roman"/>
                <w:b/>
                <w:sz w:val="20"/>
                <w:lang w:eastAsia="zh-CN"/>
              </w:rPr>
              <w:t>do</w:t>
            </w:r>
            <w:r w:rsidR="00BE03E8" w:rsidRPr="00C612BE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="003624D6" w:rsidRPr="00C612BE">
              <w:rPr>
                <w:rFonts w:ascii="Times New Roman" w:eastAsia="SimSun" w:hAnsi="Times New Roman"/>
                <w:b/>
                <w:sz w:val="20"/>
                <w:lang w:eastAsia="zh-CN"/>
              </w:rPr>
              <w:t>leczenia</w:t>
            </w:r>
            <w:r w:rsidR="00BE03E8" w:rsidRPr="00C612BE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="00197A51" w:rsidRPr="00C612BE">
              <w:rPr>
                <w:rFonts w:ascii="Times New Roman" w:eastAsia="SimSun" w:hAnsi="Times New Roman"/>
                <w:b/>
                <w:sz w:val="20"/>
                <w:lang w:eastAsia="zh-CN"/>
              </w:rPr>
              <w:t>pacjentów</w:t>
            </w:r>
            <w:r w:rsidR="00BE03E8" w:rsidRPr="00C612BE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="00197A51" w:rsidRPr="00C612BE">
              <w:rPr>
                <w:rFonts w:ascii="Times New Roman" w:eastAsia="SimSun" w:hAnsi="Times New Roman"/>
                <w:b/>
                <w:sz w:val="20"/>
                <w:lang w:eastAsia="zh-CN"/>
              </w:rPr>
              <w:t>z</w:t>
            </w:r>
            <w:r w:rsidR="00BE03E8" w:rsidRPr="00C612BE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="00197A51" w:rsidRPr="00C612BE">
              <w:rPr>
                <w:rFonts w:ascii="Times New Roman" w:eastAsia="SimSun" w:hAnsi="Times New Roman"/>
                <w:b/>
                <w:sz w:val="20"/>
                <w:lang w:eastAsia="zh-CN"/>
              </w:rPr>
              <w:t>rakiem</w:t>
            </w:r>
            <w:r w:rsidR="00BE03E8" w:rsidRPr="00C612BE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="00197A51" w:rsidRPr="00C612BE">
              <w:rPr>
                <w:rFonts w:ascii="Times New Roman" w:eastAsia="SimSun" w:hAnsi="Times New Roman"/>
                <w:b/>
                <w:sz w:val="20"/>
                <w:lang w:eastAsia="zh-CN"/>
              </w:rPr>
              <w:t>urotelialnym</w:t>
            </w:r>
          </w:p>
          <w:p w14:paraId="734038B2" w14:textId="77777777" w:rsidR="00197A51" w:rsidRPr="00CC3D8A" w:rsidRDefault="00197A51" w:rsidP="00BE03E8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CC3D8A">
              <w:rPr>
                <w:rFonts w:ascii="Times New Roman" w:hAnsi="Times New Roman"/>
                <w:sz w:val="20"/>
              </w:rPr>
              <w:t>Muszą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zostać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spełnione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łącznie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kryteria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ogólne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(1.1.)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oraz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kryteria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szczegółowe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(1.2.)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dla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poszczególnych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substancji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czynnych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(jeśli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dotyczy).</w:t>
            </w:r>
          </w:p>
          <w:p w14:paraId="01CC0638" w14:textId="03BF9400" w:rsidR="00197A51" w:rsidRPr="0007510D" w:rsidRDefault="00197A51" w:rsidP="0007510D">
            <w:pPr>
              <w:pStyle w:val="Akapitzlist"/>
              <w:numPr>
                <w:ilvl w:val="1"/>
                <w:numId w:val="1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07510D">
              <w:rPr>
                <w:rFonts w:ascii="Times New Roman" w:hAnsi="Times New Roman"/>
                <w:b/>
                <w:bCs/>
                <w:sz w:val="20"/>
              </w:rPr>
              <w:t>Ogólne</w:t>
            </w:r>
            <w:r w:rsidR="00BE03E8" w:rsidRPr="0007510D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07510D">
              <w:rPr>
                <w:rFonts w:ascii="Times New Roman" w:hAnsi="Times New Roman"/>
                <w:b/>
                <w:bCs/>
                <w:sz w:val="20"/>
              </w:rPr>
              <w:t>kryteria</w:t>
            </w:r>
            <w:r w:rsidR="00BE03E8" w:rsidRPr="0007510D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07510D">
              <w:rPr>
                <w:rFonts w:ascii="Times New Roman" w:hAnsi="Times New Roman"/>
                <w:b/>
                <w:bCs/>
                <w:sz w:val="20"/>
              </w:rPr>
              <w:t>kwalifikacji</w:t>
            </w:r>
          </w:p>
          <w:p w14:paraId="0B174812" w14:textId="2AD49C66" w:rsidR="00D90518" w:rsidRPr="00CC3D8A" w:rsidRDefault="008725F5" w:rsidP="0007510D">
            <w:pPr>
              <w:widowControl w:val="0"/>
              <w:numPr>
                <w:ilvl w:val="3"/>
                <w:numId w:val="16"/>
              </w:numPr>
              <w:spacing w:after="60" w:line="276" w:lineRule="auto"/>
              <w:jc w:val="both"/>
              <w:rPr>
                <w:rFonts w:ascii="Times New Roman" w:eastAsia="Calibri" w:hAnsi="Times New Roman"/>
                <w:sz w:val="20"/>
                <w:lang w:eastAsia="en-US" w:bidi="pl-PL"/>
              </w:rPr>
            </w:pPr>
            <w:r w:rsidRPr="00CC3D8A">
              <w:rPr>
                <w:rFonts w:ascii="Times New Roman" w:hAnsi="Times New Roman"/>
                <w:sz w:val="20"/>
              </w:rPr>
              <w:lastRenderedPageBreak/>
              <w:t>h</w:t>
            </w:r>
            <w:r w:rsidR="00E57242" w:rsidRPr="00CC3D8A">
              <w:rPr>
                <w:rFonts w:ascii="Times New Roman" w:hAnsi="Times New Roman"/>
                <w:sz w:val="20"/>
              </w:rPr>
              <w:t>istologicznie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57242" w:rsidRPr="00CC3D8A">
              <w:rPr>
                <w:rFonts w:ascii="Times New Roman" w:hAnsi="Times New Roman"/>
                <w:sz w:val="20"/>
              </w:rPr>
              <w:t>potwierdzone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57242" w:rsidRPr="00CC3D8A">
              <w:rPr>
                <w:rFonts w:ascii="Times New Roman" w:hAnsi="Times New Roman"/>
                <w:sz w:val="20"/>
              </w:rPr>
              <w:t>rozpoznanie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57242" w:rsidRPr="00CC3D8A">
              <w:rPr>
                <w:rFonts w:ascii="Times New Roman" w:hAnsi="Times New Roman"/>
                <w:sz w:val="20"/>
              </w:rPr>
              <w:t>urotelialnego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57242" w:rsidRPr="00CC3D8A">
              <w:rPr>
                <w:rFonts w:ascii="Times New Roman" w:hAnsi="Times New Roman"/>
                <w:sz w:val="20"/>
              </w:rPr>
              <w:t>raka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57242" w:rsidRPr="00CC3D8A">
              <w:rPr>
                <w:rFonts w:ascii="Times New Roman" w:hAnsi="Times New Roman"/>
                <w:sz w:val="20"/>
              </w:rPr>
              <w:t>pęcherza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57242" w:rsidRPr="00CC3D8A">
              <w:rPr>
                <w:rFonts w:ascii="Times New Roman" w:hAnsi="Times New Roman"/>
                <w:sz w:val="20"/>
              </w:rPr>
              <w:t>moczowego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57242" w:rsidRPr="00CC3D8A">
              <w:rPr>
                <w:rFonts w:ascii="Times New Roman" w:hAnsi="Times New Roman"/>
                <w:sz w:val="20"/>
              </w:rPr>
              <w:t>lub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57242" w:rsidRPr="00CC3D8A">
              <w:rPr>
                <w:rFonts w:ascii="Times New Roman" w:hAnsi="Times New Roman"/>
                <w:sz w:val="20"/>
              </w:rPr>
              <w:t>miedniczki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57242" w:rsidRPr="00CC3D8A">
              <w:rPr>
                <w:rFonts w:ascii="Times New Roman" w:hAnsi="Times New Roman"/>
                <w:sz w:val="20"/>
              </w:rPr>
              <w:t>nerkowej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57242" w:rsidRPr="00CC3D8A">
              <w:rPr>
                <w:rFonts w:ascii="Times New Roman" w:hAnsi="Times New Roman"/>
                <w:sz w:val="20"/>
              </w:rPr>
              <w:t>lub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57242" w:rsidRPr="00CC3D8A">
              <w:rPr>
                <w:rFonts w:ascii="Times New Roman" w:hAnsi="Times New Roman"/>
                <w:sz w:val="20"/>
              </w:rPr>
              <w:t>cewki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57242" w:rsidRPr="00CC3D8A">
              <w:rPr>
                <w:rFonts w:ascii="Times New Roman" w:hAnsi="Times New Roman"/>
                <w:sz w:val="20"/>
              </w:rPr>
              <w:t>moczowej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57242" w:rsidRPr="00CC3D8A">
              <w:rPr>
                <w:rFonts w:ascii="Times New Roman" w:hAnsi="Times New Roman"/>
                <w:sz w:val="20"/>
              </w:rPr>
              <w:t>lub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57242" w:rsidRPr="00CC3D8A">
              <w:rPr>
                <w:rFonts w:ascii="Times New Roman" w:hAnsi="Times New Roman"/>
                <w:sz w:val="20"/>
              </w:rPr>
              <w:t>moczowodu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57242" w:rsidRPr="00CC3D8A">
              <w:rPr>
                <w:rFonts w:ascii="Times New Roman" w:hAnsi="Times New Roman"/>
                <w:sz w:val="20"/>
              </w:rPr>
              <w:t>lub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57242" w:rsidRPr="00CC3D8A">
              <w:rPr>
                <w:rFonts w:ascii="Times New Roman" w:hAnsi="Times New Roman"/>
                <w:sz w:val="20"/>
              </w:rPr>
              <w:t>gruczołu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57242" w:rsidRPr="00CC3D8A">
              <w:rPr>
                <w:rFonts w:ascii="Times New Roman" w:hAnsi="Times New Roman"/>
                <w:sz w:val="20"/>
              </w:rPr>
              <w:t>krokowego;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</w:p>
          <w:p w14:paraId="17349716" w14:textId="77777777" w:rsidR="00287AA4" w:rsidRPr="00CC3D8A" w:rsidRDefault="00287AA4" w:rsidP="0007510D">
            <w:pPr>
              <w:widowControl w:val="0"/>
              <w:numPr>
                <w:ilvl w:val="3"/>
                <w:numId w:val="16"/>
              </w:numPr>
              <w:tabs>
                <w:tab w:val="left" w:pos="596"/>
              </w:tabs>
              <w:spacing w:after="60" w:line="276" w:lineRule="auto"/>
              <w:jc w:val="both"/>
              <w:rPr>
                <w:rFonts w:ascii="Times New Roman" w:eastAsia="Calibri" w:hAnsi="Times New Roman"/>
                <w:sz w:val="20"/>
                <w:lang w:eastAsia="en-US" w:bidi="pl-PL"/>
              </w:rPr>
            </w:pPr>
            <w:r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obecność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zmian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mierzalnych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według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kryteriów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klasyfikacji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RECIST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1.1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przed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otrzymaniem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chemioterapii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paliatywnej;</w:t>
            </w:r>
          </w:p>
          <w:p w14:paraId="5794E878" w14:textId="2C262C10" w:rsidR="00287AA4" w:rsidRPr="00CC3D8A" w:rsidRDefault="00287AA4" w:rsidP="0007510D">
            <w:pPr>
              <w:pStyle w:val="Akapitzlist"/>
              <w:widowControl w:val="0"/>
              <w:numPr>
                <w:ilvl w:val="3"/>
                <w:numId w:val="16"/>
              </w:numPr>
              <w:tabs>
                <w:tab w:val="left" w:pos="596"/>
              </w:tabs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/>
                <w:sz w:val="20"/>
                <w:lang w:eastAsia="en-US" w:bidi="pl-PL"/>
              </w:rPr>
            </w:pPr>
            <w:r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stan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sprawności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0-</w:t>
            </w:r>
            <w:r w:rsidR="004B2F00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2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="008250ED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według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="008250ED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kryteriów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="008250ED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ECOG</w:t>
            </w:r>
            <w:r w:rsidR="004B2F00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dla erdafitynibu) lub 0-1 </w:t>
            </w:r>
            <w:r w:rsidR="00CC3D8A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według</w:t>
            </w:r>
            <w:r w:rsidR="004B2F00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kryteriów ECOG dla pozostałych leków w programie;</w:t>
            </w:r>
          </w:p>
          <w:p w14:paraId="06A72B1C" w14:textId="77777777" w:rsidR="00287AA4" w:rsidRPr="00CC3D8A" w:rsidRDefault="00287AA4" w:rsidP="0007510D">
            <w:pPr>
              <w:widowControl w:val="0"/>
              <w:numPr>
                <w:ilvl w:val="3"/>
                <w:numId w:val="16"/>
              </w:numPr>
              <w:tabs>
                <w:tab w:val="left" w:pos="596"/>
              </w:tabs>
              <w:spacing w:after="60" w:line="276" w:lineRule="auto"/>
              <w:jc w:val="both"/>
              <w:rPr>
                <w:rFonts w:ascii="Times New Roman" w:eastAsia="Calibri" w:hAnsi="Times New Roman"/>
                <w:sz w:val="20"/>
                <w:lang w:eastAsia="en-US"/>
              </w:rPr>
            </w:pPr>
            <w:r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wiek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="00492E77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18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="00492E77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lat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="00492E77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i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="00492E77" w:rsidRPr="00CC3D8A">
              <w:rPr>
                <w:rFonts w:ascii="Times New Roman" w:eastAsia="Calibri" w:hAnsi="Times New Roman"/>
                <w:sz w:val="20"/>
                <w:lang w:eastAsia="en-US" w:bidi="pl-PL"/>
              </w:rPr>
              <w:t>powyżej;</w:t>
            </w:r>
          </w:p>
          <w:p w14:paraId="562D955B" w14:textId="77777777" w:rsidR="00287AA4" w:rsidRPr="00CC3D8A" w:rsidRDefault="00287AA4" w:rsidP="0007510D">
            <w:pPr>
              <w:widowControl w:val="0"/>
              <w:numPr>
                <w:ilvl w:val="3"/>
                <w:numId w:val="16"/>
              </w:numPr>
              <w:tabs>
                <w:tab w:val="left" w:pos="596"/>
              </w:tabs>
              <w:spacing w:after="60" w:line="276" w:lineRule="auto"/>
              <w:jc w:val="both"/>
              <w:rPr>
                <w:rFonts w:ascii="Times New Roman" w:eastAsia="Calibri" w:hAnsi="Times New Roman"/>
                <w:sz w:val="20"/>
                <w:lang w:eastAsia="en-US"/>
              </w:rPr>
            </w:pP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nieobecność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istotnych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klinicznie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objawów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neurologicznych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wynikających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z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przerzutów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w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ośrodkowym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układzie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nerwowym,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które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wymagają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potrzeby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zwiększania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dawki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leków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steroidowych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w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ciągu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miesiąca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przed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włączeniem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leczenia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(dopuszczalne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wcześniejsze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radykalne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leczenie,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o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ile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utrzymuje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się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stan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bezobjawowy);</w:t>
            </w:r>
          </w:p>
          <w:p w14:paraId="09B7FF83" w14:textId="3D1EEFB4" w:rsidR="003D1255" w:rsidRPr="00CC3D8A" w:rsidRDefault="00185941" w:rsidP="0007510D">
            <w:pPr>
              <w:widowControl w:val="0"/>
              <w:numPr>
                <w:ilvl w:val="3"/>
                <w:numId w:val="16"/>
              </w:numPr>
              <w:tabs>
                <w:tab w:val="left" w:pos="596"/>
              </w:tabs>
              <w:spacing w:after="60" w:line="276" w:lineRule="auto"/>
              <w:jc w:val="both"/>
              <w:rPr>
                <w:rFonts w:ascii="Times New Roman" w:hAnsi="Times New Roman"/>
                <w:sz w:val="20"/>
                <w:lang w:eastAsia="pl-PL"/>
              </w:rPr>
            </w:pPr>
            <w:r w:rsidRPr="00CC3D8A">
              <w:rPr>
                <w:rFonts w:ascii="Times New Roman" w:hAnsi="Times New Roman"/>
                <w:sz w:val="20"/>
              </w:rPr>
              <w:t>nieobecność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innych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nowotworów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niekontrolowanych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leczeniem;</w:t>
            </w:r>
          </w:p>
          <w:p w14:paraId="72D1F2D1" w14:textId="77777777" w:rsidR="008250ED" w:rsidRPr="00CC3D8A" w:rsidRDefault="008250ED" w:rsidP="0007510D">
            <w:pPr>
              <w:widowControl w:val="0"/>
              <w:numPr>
                <w:ilvl w:val="3"/>
                <w:numId w:val="16"/>
              </w:numPr>
              <w:tabs>
                <w:tab w:val="left" w:pos="596"/>
              </w:tabs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CC3D8A">
              <w:rPr>
                <w:rFonts w:ascii="Times New Roman" w:hAnsi="Times New Roman"/>
                <w:sz w:val="20"/>
              </w:rPr>
              <w:t>nieobecność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istotnych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schorzeń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współistniejących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stanowiących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przeciwskazanie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do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terapii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stwierdzonych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przez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lekarza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prowadzącego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w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oparciu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o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89042B" w:rsidRPr="00CC3D8A">
              <w:rPr>
                <w:rFonts w:ascii="Times New Roman" w:hAnsi="Times New Roman"/>
                <w:sz w:val="20"/>
              </w:rPr>
              <w:t>aktualną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89042B" w:rsidRPr="00CC3D8A">
              <w:rPr>
                <w:rFonts w:ascii="Times New Roman" w:hAnsi="Times New Roman"/>
                <w:sz w:val="20"/>
              </w:rPr>
              <w:t>na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89042B" w:rsidRPr="00CC3D8A">
              <w:rPr>
                <w:rFonts w:ascii="Times New Roman" w:hAnsi="Times New Roman"/>
                <w:sz w:val="20"/>
              </w:rPr>
              <w:t>dzień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89042B" w:rsidRPr="00CC3D8A">
              <w:rPr>
                <w:rFonts w:ascii="Times New Roman" w:hAnsi="Times New Roman"/>
                <w:sz w:val="20"/>
              </w:rPr>
              <w:t>wydania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89042B" w:rsidRPr="00CC3D8A">
              <w:rPr>
                <w:rFonts w:ascii="Times New Roman" w:hAnsi="Times New Roman"/>
                <w:sz w:val="20"/>
              </w:rPr>
              <w:t>decyzji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Charakterystyk</w:t>
            </w:r>
            <w:r w:rsidR="0089042B" w:rsidRPr="00CC3D8A">
              <w:rPr>
                <w:rFonts w:ascii="Times New Roman" w:hAnsi="Times New Roman"/>
                <w:sz w:val="20"/>
              </w:rPr>
              <w:t>ę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Produktu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Leczniczego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oraz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wytyczne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Polskiego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Towarzystwa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Onkologii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Klinicznej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w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leczeniu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raka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urotelialnego;</w:t>
            </w:r>
          </w:p>
          <w:p w14:paraId="7B5D3EE6" w14:textId="77777777" w:rsidR="00287AA4" w:rsidRPr="00CC3D8A" w:rsidRDefault="00287AA4" w:rsidP="0007510D">
            <w:pPr>
              <w:widowControl w:val="0"/>
              <w:numPr>
                <w:ilvl w:val="3"/>
                <w:numId w:val="16"/>
              </w:numPr>
              <w:tabs>
                <w:tab w:val="left" w:pos="596"/>
              </w:tabs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CC3D8A">
              <w:rPr>
                <w:rFonts w:ascii="Times New Roman" w:hAnsi="Times New Roman"/>
                <w:sz w:val="20"/>
              </w:rPr>
              <w:t>adekwatna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wydolność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narządowa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określona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na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podstawie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badań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laboratoryjnych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krwi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pozwalająca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na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zastosowanie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leku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zgodnie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z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643446" w:rsidRPr="00CC3D8A">
              <w:rPr>
                <w:rFonts w:ascii="Times New Roman" w:hAnsi="Times New Roman"/>
                <w:sz w:val="20"/>
              </w:rPr>
              <w:t>aktualną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643446" w:rsidRPr="00CC3D8A">
              <w:rPr>
                <w:rFonts w:ascii="Times New Roman" w:hAnsi="Times New Roman"/>
                <w:sz w:val="20"/>
              </w:rPr>
              <w:t>na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643446" w:rsidRPr="00CC3D8A">
              <w:rPr>
                <w:rFonts w:ascii="Times New Roman" w:hAnsi="Times New Roman"/>
                <w:sz w:val="20"/>
              </w:rPr>
              <w:t>dzień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643446" w:rsidRPr="00CC3D8A">
              <w:rPr>
                <w:rFonts w:ascii="Times New Roman" w:hAnsi="Times New Roman"/>
                <w:sz w:val="20"/>
              </w:rPr>
              <w:t>wydania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643446" w:rsidRPr="00CC3D8A">
              <w:rPr>
                <w:rFonts w:ascii="Times New Roman" w:hAnsi="Times New Roman"/>
                <w:sz w:val="20"/>
              </w:rPr>
              <w:t>decyzji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Charakterystyką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Produktu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Leczniczego;</w:t>
            </w:r>
          </w:p>
          <w:p w14:paraId="4342EAE0" w14:textId="77777777" w:rsidR="00287AA4" w:rsidRPr="00CC3D8A" w:rsidRDefault="00745DA0" w:rsidP="0007510D">
            <w:pPr>
              <w:widowControl w:val="0"/>
              <w:numPr>
                <w:ilvl w:val="3"/>
                <w:numId w:val="16"/>
              </w:numPr>
              <w:tabs>
                <w:tab w:val="left" w:pos="596"/>
              </w:tabs>
              <w:spacing w:after="60" w:line="276" w:lineRule="auto"/>
              <w:jc w:val="both"/>
              <w:rPr>
                <w:rFonts w:ascii="Times New Roman" w:eastAsia="Calibri" w:hAnsi="Times New Roman"/>
                <w:sz w:val="20"/>
                <w:lang w:eastAsia="en-US"/>
              </w:rPr>
            </w:pP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wykluczenie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="00D2615F" w:rsidRPr="00CC3D8A">
              <w:rPr>
                <w:rFonts w:ascii="Times New Roman" w:eastAsia="Calibri" w:hAnsi="Times New Roman"/>
                <w:sz w:val="20"/>
                <w:lang w:eastAsia="en-US"/>
              </w:rPr>
              <w:t>ciąży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i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okresu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karmienia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piersią;</w:t>
            </w:r>
          </w:p>
          <w:p w14:paraId="79396DCF" w14:textId="77777777" w:rsidR="00287AA4" w:rsidRPr="00CC3D8A" w:rsidRDefault="00287AA4" w:rsidP="0007510D">
            <w:pPr>
              <w:widowControl w:val="0"/>
              <w:numPr>
                <w:ilvl w:val="3"/>
                <w:numId w:val="16"/>
              </w:numPr>
              <w:tabs>
                <w:tab w:val="left" w:pos="596"/>
              </w:tabs>
              <w:spacing w:after="60" w:line="276" w:lineRule="auto"/>
              <w:jc w:val="both"/>
              <w:rPr>
                <w:rFonts w:ascii="Times New Roman" w:eastAsia="Calibri" w:hAnsi="Times New Roman"/>
                <w:sz w:val="20"/>
                <w:lang w:eastAsia="en-US"/>
              </w:rPr>
            </w:pP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brak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przeciwwskazań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do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stosowania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="003B59C7" w:rsidRPr="00CC3D8A">
              <w:rPr>
                <w:rFonts w:ascii="Times New Roman" w:eastAsia="Calibri" w:hAnsi="Times New Roman"/>
                <w:sz w:val="20"/>
                <w:lang w:eastAsia="en-US"/>
              </w:rPr>
              <w:t>poszczególnych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="003B59C7" w:rsidRPr="00CC3D8A">
              <w:rPr>
                <w:rFonts w:ascii="Times New Roman" w:eastAsia="Calibri" w:hAnsi="Times New Roman"/>
                <w:sz w:val="20"/>
                <w:lang w:eastAsia="en-US"/>
              </w:rPr>
              <w:t>substancji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określonych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w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aktualnej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Charakterystyce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Produktu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Leczniczego</w:t>
            </w:r>
            <w:r w:rsidR="00FA366B" w:rsidRPr="00CC3D8A">
              <w:rPr>
                <w:rFonts w:ascii="Times New Roman" w:eastAsia="Calibri" w:hAnsi="Times New Roman"/>
                <w:sz w:val="20"/>
                <w:lang w:eastAsia="en-US"/>
              </w:rPr>
              <w:t>;</w:t>
            </w:r>
          </w:p>
          <w:p w14:paraId="2B36A79F" w14:textId="77777777" w:rsidR="00643446" w:rsidRPr="00CC3D8A" w:rsidRDefault="00643446" w:rsidP="0007510D">
            <w:pPr>
              <w:widowControl w:val="0"/>
              <w:numPr>
                <w:ilvl w:val="3"/>
                <w:numId w:val="16"/>
              </w:numPr>
              <w:tabs>
                <w:tab w:val="left" w:pos="596"/>
              </w:tabs>
              <w:spacing w:after="60" w:line="276" w:lineRule="auto"/>
              <w:jc w:val="both"/>
              <w:rPr>
                <w:rFonts w:ascii="Times New Roman" w:eastAsia="Calibri" w:hAnsi="Times New Roman"/>
                <w:b/>
                <w:bCs/>
                <w:sz w:val="20"/>
                <w:lang w:eastAsia="en-US"/>
              </w:rPr>
            </w:pP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lastRenderedPageBreak/>
              <w:t>brak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nadwrażliwości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na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przeciwciała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monoklonalne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w</w:t>
            </w:r>
            <w:r w:rsidR="00BE03E8" w:rsidRPr="00CC3D8A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Calibri" w:hAnsi="Times New Roman"/>
                <w:sz w:val="20"/>
                <w:lang w:eastAsia="en-US"/>
              </w:rPr>
              <w:t>wywiadzie.</w:t>
            </w:r>
          </w:p>
          <w:p w14:paraId="6AC93755" w14:textId="77777777" w:rsidR="00BE03E8" w:rsidRPr="00C612BE" w:rsidRDefault="00BE03E8" w:rsidP="00C612BE">
            <w:pPr>
              <w:widowControl w:val="0"/>
              <w:tabs>
                <w:tab w:val="left" w:pos="596"/>
              </w:tabs>
              <w:spacing w:after="60" w:line="276" w:lineRule="auto"/>
              <w:jc w:val="both"/>
              <w:rPr>
                <w:rFonts w:ascii="Times New Roman" w:eastAsia="Calibri" w:hAnsi="Times New Roman"/>
                <w:b/>
                <w:bCs/>
                <w:sz w:val="20"/>
                <w:lang w:eastAsia="en-US"/>
              </w:rPr>
            </w:pPr>
          </w:p>
          <w:p w14:paraId="445C970A" w14:textId="77777777" w:rsidR="00197A51" w:rsidRPr="00C612BE" w:rsidRDefault="00197A51" w:rsidP="00C612BE">
            <w:pPr>
              <w:pStyle w:val="Akapitzlist"/>
              <w:widowControl w:val="0"/>
              <w:numPr>
                <w:ilvl w:val="1"/>
                <w:numId w:val="16"/>
              </w:numPr>
              <w:tabs>
                <w:tab w:val="left" w:pos="596"/>
              </w:tabs>
              <w:spacing w:after="60" w:line="276" w:lineRule="auto"/>
              <w:contextualSpacing w:val="0"/>
              <w:jc w:val="both"/>
              <w:rPr>
                <w:rFonts w:ascii="Times New Roman" w:eastAsia="Calibri" w:hAnsi="Times New Roman"/>
                <w:b/>
                <w:bCs/>
                <w:sz w:val="20"/>
                <w:lang w:eastAsia="en-US"/>
              </w:rPr>
            </w:pPr>
            <w:r w:rsidRPr="00C612BE">
              <w:rPr>
                <w:rFonts w:ascii="Times New Roman" w:eastAsia="Calibri" w:hAnsi="Times New Roman"/>
                <w:b/>
                <w:bCs/>
                <w:sz w:val="20"/>
                <w:lang w:eastAsia="en-US"/>
              </w:rPr>
              <w:t>Szczegółowe</w:t>
            </w:r>
            <w:r w:rsidR="00BE03E8" w:rsidRPr="00C612BE">
              <w:rPr>
                <w:rFonts w:ascii="Times New Roman" w:eastAsia="Calibri" w:hAnsi="Times New Roman"/>
                <w:b/>
                <w:bCs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b/>
                <w:bCs/>
                <w:sz w:val="20"/>
                <w:lang w:eastAsia="en-US"/>
              </w:rPr>
              <w:t>kryteria</w:t>
            </w:r>
            <w:r w:rsidR="00BE03E8" w:rsidRPr="00C612BE">
              <w:rPr>
                <w:rFonts w:ascii="Times New Roman" w:eastAsia="Calibri" w:hAnsi="Times New Roman"/>
                <w:b/>
                <w:bCs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b/>
                <w:bCs/>
                <w:sz w:val="20"/>
                <w:lang w:eastAsia="en-US"/>
              </w:rPr>
              <w:t>kwalifikacji</w:t>
            </w:r>
            <w:r w:rsidR="00BE03E8" w:rsidRPr="00C612BE">
              <w:rPr>
                <w:rFonts w:ascii="Times New Roman" w:eastAsia="Calibri" w:hAnsi="Times New Roman"/>
                <w:b/>
                <w:bCs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b/>
                <w:bCs/>
                <w:sz w:val="20"/>
                <w:lang w:eastAsia="en-US"/>
              </w:rPr>
              <w:t>do</w:t>
            </w:r>
            <w:r w:rsidR="00BE03E8" w:rsidRPr="00C612BE">
              <w:rPr>
                <w:rFonts w:ascii="Times New Roman" w:eastAsia="Calibri" w:hAnsi="Times New Roman"/>
                <w:b/>
                <w:bCs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b/>
                <w:bCs/>
                <w:sz w:val="20"/>
                <w:lang w:eastAsia="en-US"/>
              </w:rPr>
              <w:t>terapii</w:t>
            </w:r>
          </w:p>
          <w:p w14:paraId="2F1B287C" w14:textId="77777777" w:rsidR="00197A51" w:rsidRPr="00C612BE" w:rsidRDefault="00197A51" w:rsidP="00C612BE">
            <w:pPr>
              <w:pStyle w:val="Akapitzlist"/>
              <w:widowControl w:val="0"/>
              <w:numPr>
                <w:ilvl w:val="2"/>
                <w:numId w:val="16"/>
              </w:numPr>
              <w:tabs>
                <w:tab w:val="left" w:pos="596"/>
              </w:tabs>
              <w:spacing w:after="60" w:line="276" w:lineRule="auto"/>
              <w:contextualSpacing w:val="0"/>
              <w:jc w:val="both"/>
              <w:rPr>
                <w:rFonts w:ascii="Times New Roman" w:eastAsia="Calibri" w:hAnsi="Times New Roman"/>
                <w:b/>
                <w:bCs/>
                <w:sz w:val="20"/>
                <w:lang w:eastAsia="en-US"/>
              </w:rPr>
            </w:pPr>
            <w:r w:rsidRPr="00C612BE">
              <w:rPr>
                <w:rFonts w:ascii="Times New Roman" w:eastAsia="Calibri" w:hAnsi="Times New Roman"/>
                <w:b/>
                <w:bCs/>
                <w:sz w:val="20"/>
                <w:lang w:eastAsia="en-US"/>
              </w:rPr>
              <w:t>Awelumabem</w:t>
            </w:r>
          </w:p>
          <w:p w14:paraId="3FECEC52" w14:textId="77777777" w:rsidR="00197A51" w:rsidRPr="00C612BE" w:rsidRDefault="00197A51" w:rsidP="00C612BE">
            <w:pPr>
              <w:widowControl w:val="0"/>
              <w:numPr>
                <w:ilvl w:val="3"/>
                <w:numId w:val="16"/>
              </w:numPr>
              <w:tabs>
                <w:tab w:val="left" w:pos="596"/>
              </w:tabs>
              <w:spacing w:after="60" w:line="276" w:lineRule="auto"/>
              <w:jc w:val="both"/>
              <w:rPr>
                <w:rFonts w:ascii="Times New Roman" w:eastAsia="Calibri" w:hAnsi="Times New Roman"/>
                <w:sz w:val="20"/>
                <w:lang w:eastAsia="en-US"/>
              </w:rPr>
            </w:pP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rak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w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stadium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miejscowego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zaawansowania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poza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możliwościami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miejscowego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leczenia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o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charakterze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radykalnym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lub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w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stadium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uogólnienia;</w:t>
            </w:r>
          </w:p>
          <w:p w14:paraId="7F32E65E" w14:textId="77777777" w:rsidR="00197A51" w:rsidRPr="00C612BE" w:rsidRDefault="00197A51" w:rsidP="00C612BE">
            <w:pPr>
              <w:widowControl w:val="0"/>
              <w:numPr>
                <w:ilvl w:val="3"/>
                <w:numId w:val="16"/>
              </w:numPr>
              <w:tabs>
                <w:tab w:val="left" w:pos="596"/>
              </w:tabs>
              <w:spacing w:after="60" w:line="276" w:lineRule="auto"/>
              <w:jc w:val="both"/>
              <w:rPr>
                <w:rFonts w:ascii="Times New Roman" w:eastAsia="Calibri" w:hAnsi="Times New Roman"/>
                <w:sz w:val="20"/>
                <w:lang w:eastAsia="en-US"/>
              </w:rPr>
            </w:pP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nieobecność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progresji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choroby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podczas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stosowania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chemioterapii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paliatywnej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opartej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na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pochodnych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platyny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(po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zastosowaniu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4-6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cykli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i/>
                <w:iCs/>
                <w:sz w:val="20"/>
                <w:lang w:eastAsia="en-US"/>
              </w:rPr>
              <w:t>cisplatyny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z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i/>
                <w:iCs/>
                <w:sz w:val="20"/>
                <w:lang w:eastAsia="en-US"/>
              </w:rPr>
              <w:t>gemcytabiną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lub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i/>
                <w:iCs/>
                <w:sz w:val="20"/>
                <w:lang w:eastAsia="en-US"/>
              </w:rPr>
              <w:t>karboplatyny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z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</w:t>
            </w:r>
            <w:r w:rsidRPr="00C612BE">
              <w:rPr>
                <w:rFonts w:ascii="Times New Roman" w:eastAsia="Calibri" w:hAnsi="Times New Roman"/>
                <w:i/>
                <w:iCs/>
                <w:sz w:val="20"/>
                <w:lang w:eastAsia="en-US"/>
              </w:rPr>
              <w:t>gemcytabiną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);</w:t>
            </w:r>
          </w:p>
          <w:p w14:paraId="5EBCA985" w14:textId="77777777" w:rsidR="00197A51" w:rsidRPr="00C612BE" w:rsidRDefault="00197A51" w:rsidP="00C612BE">
            <w:pPr>
              <w:widowControl w:val="0"/>
              <w:numPr>
                <w:ilvl w:val="3"/>
                <w:numId w:val="16"/>
              </w:numPr>
              <w:tabs>
                <w:tab w:val="left" w:pos="596"/>
              </w:tabs>
              <w:spacing w:after="60" w:line="276" w:lineRule="auto"/>
              <w:jc w:val="both"/>
              <w:rPr>
                <w:rFonts w:ascii="Times New Roman" w:eastAsia="Calibri" w:hAnsi="Times New Roman"/>
                <w:sz w:val="20"/>
                <w:lang w:eastAsia="en-US"/>
              </w:rPr>
            </w:pP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zachowanie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okresu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bez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leczenia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wynoszącego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od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4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do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10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tygodni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od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ostatniego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podania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chemioterapii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paliatywnej;</w:t>
            </w:r>
          </w:p>
          <w:p w14:paraId="06C03973" w14:textId="77777777" w:rsidR="00033C4F" w:rsidRPr="00C612BE" w:rsidRDefault="00033C4F" w:rsidP="00C612BE">
            <w:pPr>
              <w:widowControl w:val="0"/>
              <w:numPr>
                <w:ilvl w:val="3"/>
                <w:numId w:val="16"/>
              </w:numPr>
              <w:tabs>
                <w:tab w:val="left" w:pos="596"/>
              </w:tabs>
              <w:spacing w:after="60" w:line="276" w:lineRule="auto"/>
              <w:jc w:val="both"/>
              <w:rPr>
                <w:rFonts w:ascii="Times New Roman" w:eastAsia="Calibri" w:hAnsi="Times New Roman"/>
                <w:sz w:val="20"/>
                <w:lang w:eastAsia="en-US"/>
              </w:rPr>
            </w:pP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nieobecność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ostrych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stanów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zapalnych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wątroby;</w:t>
            </w:r>
          </w:p>
          <w:p w14:paraId="176893FF" w14:textId="32FE3011" w:rsidR="00197A51" w:rsidRPr="00C612BE" w:rsidRDefault="003B59C7" w:rsidP="00C612BE">
            <w:pPr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/>
                <w:sz w:val="20"/>
                <w:lang w:eastAsia="pl-PL"/>
              </w:rPr>
            </w:pPr>
            <w:r w:rsidRPr="00C612BE">
              <w:rPr>
                <w:rFonts w:ascii="Times New Roman" w:hAnsi="Times New Roman"/>
                <w:sz w:val="20"/>
                <w:lang w:eastAsia="pl-PL"/>
              </w:rPr>
              <w:t>nieobecność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przewlekłych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stanów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zapalnych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wątroby,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które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w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opinii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lekarza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mogą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zagrażać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bezpieczeństwu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terapii</w:t>
            </w:r>
            <w:r w:rsidR="00307851" w:rsidRPr="00C612BE">
              <w:rPr>
                <w:rFonts w:ascii="Times New Roman" w:hAnsi="Times New Roman"/>
                <w:sz w:val="20"/>
                <w:lang w:eastAsia="pl-PL"/>
              </w:rPr>
              <w:t>;</w:t>
            </w:r>
          </w:p>
          <w:p w14:paraId="22025F5A" w14:textId="77777777" w:rsidR="005E75F6" w:rsidRPr="00C612BE" w:rsidRDefault="005E75F6" w:rsidP="00C612BE">
            <w:pPr>
              <w:widowControl w:val="0"/>
              <w:numPr>
                <w:ilvl w:val="3"/>
                <w:numId w:val="16"/>
              </w:numPr>
              <w:tabs>
                <w:tab w:val="left" w:pos="596"/>
              </w:tabs>
              <w:spacing w:after="60" w:line="276" w:lineRule="auto"/>
              <w:jc w:val="both"/>
              <w:rPr>
                <w:rFonts w:ascii="Times New Roman" w:eastAsia="Calibri" w:hAnsi="Times New Roman"/>
                <w:sz w:val="20"/>
                <w:lang w:eastAsia="en-US"/>
              </w:rPr>
            </w:pP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nieobecność</w:t>
            </w:r>
            <w:r w:rsidRPr="00C612BE">
              <w:rPr>
                <w:rFonts w:ascii="Times New Roman" w:eastAsiaTheme="minorHAnsi" w:hAnsi="Times New Roman"/>
                <w:sz w:val="20"/>
                <w:lang w:eastAsia="en-US"/>
              </w:rPr>
              <w:t xml:space="preserve"> aktywnych chorób autoimmunologicznych z wyłączeniem cukrzycy typu 1, niedoczynności tarczycy, łuszczycy, bielactwa i zespołu Sjögrena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; </w:t>
            </w:r>
          </w:p>
          <w:p w14:paraId="5010BEA2" w14:textId="5C86C767" w:rsidR="00A932DF" w:rsidRPr="00C612BE" w:rsidRDefault="00A932DF" w:rsidP="00C612BE">
            <w:pPr>
              <w:pStyle w:val="Akapitzlist"/>
              <w:numPr>
                <w:ilvl w:val="3"/>
                <w:numId w:val="16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/>
                <w:sz w:val="20"/>
                <w:lang w:eastAsia="en-US"/>
              </w:rPr>
            </w:pP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niestosowanie systemowych leków kortykosteroidowych (w dawce przekraczającej 10 mg </w:t>
            </w:r>
            <w:r w:rsidRPr="00C612BE">
              <w:rPr>
                <w:rFonts w:ascii="Times New Roman" w:eastAsia="Calibri" w:hAnsi="Times New Roman"/>
                <w:i/>
                <w:iCs/>
                <w:sz w:val="20"/>
                <w:lang w:eastAsia="en-US"/>
              </w:rPr>
              <w:t>prednizonu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na dobę lub równoważnej innego leku kortykosteroidowego) lub leków immunosupresyjnych w ciągu 14 dni przed rozpoczęciem leczenia (kortykosteroidy wziewne są dozwolone</w:t>
            </w:r>
            <w:r w:rsidR="00307851" w:rsidRPr="00C612BE">
              <w:rPr>
                <w:rFonts w:ascii="Times New Roman" w:eastAsia="Calibri" w:hAnsi="Times New Roman"/>
                <w:sz w:val="20"/>
                <w:lang w:eastAsia="en-US"/>
              </w:rPr>
              <w:t>).</w:t>
            </w:r>
          </w:p>
          <w:p w14:paraId="7921FFB0" w14:textId="77777777" w:rsidR="00BE03E8" w:rsidRPr="00C612BE" w:rsidRDefault="00BE03E8" w:rsidP="00C612BE">
            <w:p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hAnsi="Times New Roman"/>
                <w:sz w:val="20"/>
                <w:lang w:eastAsia="pl-PL"/>
              </w:rPr>
            </w:pPr>
          </w:p>
          <w:p w14:paraId="285B0A7C" w14:textId="77777777" w:rsidR="003B59C7" w:rsidRPr="00C612BE" w:rsidRDefault="003B59C7" w:rsidP="00C612BE">
            <w:pPr>
              <w:pStyle w:val="Akapitzlist"/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lang w:eastAsia="pl-PL"/>
              </w:rPr>
            </w:pPr>
            <w:r w:rsidRPr="00C612BE">
              <w:rPr>
                <w:rFonts w:ascii="Times New Roman" w:hAnsi="Times New Roman"/>
                <w:b/>
                <w:bCs/>
                <w:sz w:val="20"/>
                <w:lang w:eastAsia="pl-PL"/>
              </w:rPr>
              <w:t>Niwolumabem</w:t>
            </w:r>
          </w:p>
          <w:p w14:paraId="47AE0127" w14:textId="77777777" w:rsidR="003B59C7" w:rsidRPr="00C612BE" w:rsidRDefault="003B59C7" w:rsidP="00C612BE">
            <w:pPr>
              <w:widowControl w:val="0"/>
              <w:numPr>
                <w:ilvl w:val="3"/>
                <w:numId w:val="16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C612BE">
              <w:rPr>
                <w:rFonts w:ascii="Times New Roman" w:hAnsi="Times New Roman"/>
                <w:sz w:val="20"/>
              </w:rPr>
              <w:t>histologicznie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potwierdzone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rozpoznanie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raka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urotelialnego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(lub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o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mieszanej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histopatologii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z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dominacją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komponenty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urotelialnej)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naciekającego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błonę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mięśniową,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bez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obecności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lastRenderedPageBreak/>
              <w:t>przerzutów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odległych;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</w:p>
          <w:p w14:paraId="796F014B" w14:textId="2E31B626" w:rsidR="003B59C7" w:rsidRPr="00C612BE" w:rsidRDefault="003B59C7" w:rsidP="00C612BE">
            <w:pPr>
              <w:widowControl w:val="0"/>
              <w:numPr>
                <w:ilvl w:val="3"/>
                <w:numId w:val="16"/>
              </w:numPr>
              <w:spacing w:after="60" w:line="276" w:lineRule="auto"/>
              <w:jc w:val="both"/>
              <w:rPr>
                <w:rFonts w:ascii="Times New Roman" w:eastAsia="Calibri" w:hAnsi="Times New Roman"/>
                <w:sz w:val="20"/>
                <w:lang w:eastAsia="en-US" w:bidi="pl-PL"/>
              </w:rPr>
            </w:pP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przeprowadzenie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radykalnej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cystekomii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z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cechą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R0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w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okresie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do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120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dni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przed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włączeniem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do</w:t>
            </w:r>
            <w:r w:rsidR="00BE03E8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leczenia</w:t>
            </w:r>
            <w:r w:rsidR="00B64F4E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(</w:t>
            </w:r>
            <w:r w:rsidR="00B64F4E" w:rsidRPr="00C612BE">
              <w:rPr>
                <w:rFonts w:ascii="Times New Roman" w:hAnsi="Times New Roman"/>
                <w:sz w:val="20"/>
                <w:lang w:bidi="pl-PL"/>
              </w:rPr>
              <w:t>dotyczy jedynie raka urotelialnego pęcherza moczowego i moczowodu)</w:t>
            </w: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;</w:t>
            </w:r>
          </w:p>
          <w:p w14:paraId="32918911" w14:textId="77777777" w:rsidR="003B59C7" w:rsidRPr="00C612BE" w:rsidRDefault="003B59C7" w:rsidP="00C612BE">
            <w:pPr>
              <w:widowControl w:val="0"/>
              <w:numPr>
                <w:ilvl w:val="3"/>
                <w:numId w:val="16"/>
              </w:numPr>
              <w:spacing w:after="60" w:line="276" w:lineRule="auto"/>
              <w:jc w:val="both"/>
              <w:rPr>
                <w:rFonts w:ascii="Times New Roman" w:eastAsia="Calibri" w:hAnsi="Times New Roman"/>
                <w:sz w:val="20"/>
                <w:lang w:eastAsia="en-US" w:bidi="pl-PL"/>
              </w:rPr>
            </w:pPr>
            <w:r w:rsidRPr="00C612BE">
              <w:rPr>
                <w:rFonts w:ascii="Times New Roman" w:hAnsi="Times New Roman"/>
                <w:sz w:val="20"/>
              </w:rPr>
              <w:t>niestosowanie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adjuwantowej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terapii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systemowej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lub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radioterapii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po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radykalnej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chirurgicznej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resekcji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raka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urotelialnego;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</w:p>
          <w:p w14:paraId="14441D88" w14:textId="77777777" w:rsidR="005E75F6" w:rsidRPr="00C612BE" w:rsidRDefault="005E75F6" w:rsidP="00C612BE">
            <w:pPr>
              <w:widowControl w:val="0"/>
              <w:numPr>
                <w:ilvl w:val="3"/>
                <w:numId w:val="16"/>
              </w:numPr>
              <w:tabs>
                <w:tab w:val="left" w:pos="596"/>
              </w:tabs>
              <w:spacing w:after="60" w:line="276" w:lineRule="auto"/>
              <w:jc w:val="both"/>
              <w:rPr>
                <w:rFonts w:ascii="Times New Roman" w:eastAsia="Calibri" w:hAnsi="Times New Roman"/>
                <w:sz w:val="20"/>
                <w:lang w:eastAsia="en-US"/>
              </w:rPr>
            </w:pP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nieobecność</w:t>
            </w:r>
            <w:r w:rsidRPr="00C612BE">
              <w:rPr>
                <w:rFonts w:ascii="Times New Roman" w:eastAsiaTheme="minorHAnsi" w:hAnsi="Times New Roman"/>
                <w:sz w:val="20"/>
                <w:lang w:eastAsia="en-US"/>
              </w:rPr>
              <w:t xml:space="preserve"> aktywnych chorób autoimmunologicznych z wyłączeniem cukrzycy typu 1, niedoczynności tarczycy, łuszczycy, bielactwa i zespołu Sjögrena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; </w:t>
            </w:r>
          </w:p>
          <w:p w14:paraId="142DA168" w14:textId="77777777" w:rsidR="00A932DF" w:rsidRPr="00C612BE" w:rsidRDefault="00A932DF" w:rsidP="00C612BE">
            <w:pPr>
              <w:pStyle w:val="Akapitzlist"/>
              <w:numPr>
                <w:ilvl w:val="3"/>
                <w:numId w:val="16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/>
                <w:sz w:val="20"/>
                <w:lang w:eastAsia="en-US"/>
              </w:rPr>
            </w:pP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niestosowanie systemowych leków kortykosteroidowych (w dawce przekraczającej 10 mg </w:t>
            </w:r>
            <w:r w:rsidRPr="00C612BE">
              <w:rPr>
                <w:rFonts w:ascii="Times New Roman" w:eastAsia="Calibri" w:hAnsi="Times New Roman"/>
                <w:i/>
                <w:iCs/>
                <w:sz w:val="20"/>
                <w:lang w:eastAsia="en-US"/>
              </w:rPr>
              <w:t>prednizonu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na dobę lub równoważnej innego leku kortykosteroidowego) lub leków immunosupresyjnych w ciągu 14 dni przed rozpoczęciem leczenia (kortykosteroidy wziewne są dozwolone);</w:t>
            </w:r>
          </w:p>
          <w:p w14:paraId="4FC0CE2E" w14:textId="77777777" w:rsidR="003B59C7" w:rsidRPr="00C612BE" w:rsidRDefault="003B59C7" w:rsidP="00C612BE">
            <w:pPr>
              <w:widowControl w:val="0"/>
              <w:numPr>
                <w:ilvl w:val="3"/>
                <w:numId w:val="16"/>
              </w:numPr>
              <w:spacing w:after="60" w:line="276" w:lineRule="auto"/>
              <w:jc w:val="both"/>
              <w:rPr>
                <w:rFonts w:ascii="Times New Roman" w:eastAsia="Calibri" w:hAnsi="Times New Roman"/>
                <w:sz w:val="20"/>
                <w:lang w:eastAsia="en-US" w:bidi="pl-PL"/>
              </w:rPr>
            </w:pPr>
            <w:r w:rsidRPr="00C612BE">
              <w:rPr>
                <w:rFonts w:ascii="Times New Roman" w:hAnsi="Times New Roman"/>
                <w:sz w:val="20"/>
              </w:rPr>
              <w:t>dopuszczalne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jest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wcześniejsze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leczenie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neoadjuwantowe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z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wykorzystaniem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chemioterapii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opartej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na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i/>
                <w:iCs/>
                <w:sz w:val="20"/>
              </w:rPr>
              <w:t>cisplatynie</w:t>
            </w:r>
            <w:r w:rsidRPr="00C612BE">
              <w:rPr>
                <w:rFonts w:ascii="Times New Roman" w:hAnsi="Times New Roman"/>
                <w:sz w:val="20"/>
              </w:rPr>
              <w:t>;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</w:p>
          <w:p w14:paraId="32B29A8C" w14:textId="6C0359A0" w:rsidR="003B59C7" w:rsidRPr="00C612BE" w:rsidRDefault="003B59C7" w:rsidP="00C612BE">
            <w:pPr>
              <w:widowControl w:val="0"/>
              <w:numPr>
                <w:ilvl w:val="3"/>
                <w:numId w:val="16"/>
              </w:numPr>
              <w:spacing w:after="60" w:line="276" w:lineRule="auto"/>
              <w:jc w:val="both"/>
              <w:rPr>
                <w:rFonts w:ascii="Times New Roman" w:eastAsia="Calibri" w:hAnsi="Times New Roman"/>
                <w:sz w:val="20"/>
                <w:lang w:eastAsia="en-US" w:bidi="pl-PL"/>
              </w:rPr>
            </w:pPr>
            <w:r w:rsidRPr="00C612BE">
              <w:rPr>
                <w:rFonts w:ascii="Times New Roman" w:hAnsi="Times New Roman"/>
                <w:sz w:val="20"/>
              </w:rPr>
              <w:t>potwierdzenie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badaniem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histopatologicznym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wysokiego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6D6AEE" w:rsidRPr="00C612BE">
              <w:rPr>
                <w:rFonts w:ascii="Times New Roman" w:hAnsi="Times New Roman"/>
                <w:sz w:val="20"/>
              </w:rPr>
              <w:t xml:space="preserve">ryzyka </w:t>
            </w:r>
            <w:r w:rsidRPr="00C612BE">
              <w:rPr>
                <w:rFonts w:ascii="Times New Roman" w:hAnsi="Times New Roman"/>
                <w:sz w:val="20"/>
              </w:rPr>
              <w:t>nawrotu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nowotworu;</w:t>
            </w:r>
          </w:p>
          <w:p w14:paraId="08DFAC8D" w14:textId="77777777" w:rsidR="003B59C7" w:rsidRPr="00C612BE" w:rsidRDefault="003B59C7" w:rsidP="00C612BE">
            <w:pPr>
              <w:pStyle w:val="Akapitzlist"/>
              <w:widowControl w:val="0"/>
              <w:numPr>
                <w:ilvl w:val="4"/>
                <w:numId w:val="16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/>
                <w:sz w:val="20"/>
                <w:lang w:eastAsia="en-US" w:bidi="pl-PL"/>
              </w:rPr>
            </w:pPr>
            <w:r w:rsidRPr="00C612BE">
              <w:rPr>
                <w:rFonts w:ascii="Times New Roman" w:hAnsi="Times New Roman"/>
                <w:sz w:val="20"/>
              </w:rPr>
              <w:t>stopień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zaawansowania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pT3-pT4a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lub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pN+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w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przypadku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pacjentów,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u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których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nie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zastosowano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neoadjuwantowej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chemioterapii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opartej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na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platynie</w:t>
            </w:r>
            <w:r w:rsidR="00BE03E8" w:rsidRPr="00C612BE">
              <w:rPr>
                <w:rFonts w:ascii="Times New Roman" w:hAnsi="Times New Roman"/>
                <w:sz w:val="20"/>
              </w:rPr>
              <w:t>,</w:t>
            </w:r>
          </w:p>
          <w:p w14:paraId="07EB5FD6" w14:textId="1B889672" w:rsidR="003B59C7" w:rsidRPr="00C612BE" w:rsidRDefault="003B59C7" w:rsidP="00C612BE">
            <w:pPr>
              <w:pStyle w:val="Akapitzlist"/>
              <w:widowControl w:val="0"/>
              <w:numPr>
                <w:ilvl w:val="4"/>
                <w:numId w:val="16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/>
                <w:sz w:val="20"/>
                <w:lang w:eastAsia="en-US" w:bidi="pl-PL"/>
              </w:rPr>
            </w:pPr>
            <w:r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st</w:t>
            </w:r>
            <w:r w:rsidRPr="00C612BE">
              <w:rPr>
                <w:rFonts w:ascii="Times New Roman" w:hAnsi="Times New Roman"/>
                <w:sz w:val="20"/>
              </w:rPr>
              <w:t>opień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zaawansowania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ypT2-ypT4a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lub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ypN+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w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przypadku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pacjentów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po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zastosowaniu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neoadjuwantowej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chemioterapii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opartej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na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platynie;</w:t>
            </w:r>
          </w:p>
          <w:p w14:paraId="6BC85A93" w14:textId="77777777" w:rsidR="003B59C7" w:rsidRPr="00C612BE" w:rsidRDefault="003B59C7" w:rsidP="00C612BE">
            <w:pPr>
              <w:pStyle w:val="Akapitzlist"/>
              <w:widowControl w:val="0"/>
              <w:numPr>
                <w:ilvl w:val="3"/>
                <w:numId w:val="16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/>
                <w:sz w:val="20"/>
                <w:lang w:eastAsia="en-US" w:bidi="pl-PL"/>
              </w:rPr>
            </w:pPr>
            <w:r w:rsidRPr="00C612BE">
              <w:rPr>
                <w:rFonts w:ascii="Times New Roman" w:hAnsi="Times New Roman"/>
                <w:sz w:val="20"/>
              </w:rPr>
              <w:t>potwierdzenie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poziomu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ekspresji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PD-L1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na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komórkach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nowotworowych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≥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1%</w:t>
            </w:r>
            <w:r w:rsidR="00BE03E8" w:rsidRPr="00C612BE">
              <w:rPr>
                <w:rFonts w:ascii="Times New Roman" w:hAnsi="Times New Roman"/>
                <w:sz w:val="20"/>
              </w:rPr>
              <w:t>.</w:t>
            </w:r>
          </w:p>
          <w:p w14:paraId="63092AD0" w14:textId="77777777" w:rsidR="001313D3" w:rsidRPr="00C612BE" w:rsidRDefault="001313D3" w:rsidP="00C612BE">
            <w:pPr>
              <w:pStyle w:val="Akapitzlist"/>
              <w:widowControl w:val="0"/>
              <w:spacing w:after="60" w:line="276" w:lineRule="auto"/>
              <w:ind w:left="227"/>
              <w:contextualSpacing w:val="0"/>
              <w:jc w:val="both"/>
              <w:rPr>
                <w:rFonts w:ascii="Times New Roman" w:eastAsia="Calibri" w:hAnsi="Times New Roman"/>
                <w:sz w:val="20"/>
                <w:lang w:eastAsia="en-US" w:bidi="pl-PL"/>
              </w:rPr>
            </w:pPr>
          </w:p>
          <w:p w14:paraId="4225AD51" w14:textId="74F26642" w:rsidR="001313D3" w:rsidRPr="00C612BE" w:rsidRDefault="001313D3" w:rsidP="00C612BE">
            <w:pPr>
              <w:pStyle w:val="Akapitzlist"/>
              <w:widowControl w:val="0"/>
              <w:numPr>
                <w:ilvl w:val="2"/>
                <w:numId w:val="1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C612BE">
              <w:rPr>
                <w:rFonts w:ascii="Times New Roman" w:hAnsi="Times New Roman"/>
                <w:b/>
                <w:bCs/>
                <w:sz w:val="20"/>
              </w:rPr>
              <w:t>Niwolumabem w skojarzeniu z cisplatyną i gemcytabiną w leczeniu pierwszej linii</w:t>
            </w:r>
          </w:p>
          <w:p w14:paraId="3A76D60A" w14:textId="77777777" w:rsidR="001313D3" w:rsidRPr="00C612BE" w:rsidRDefault="001313D3" w:rsidP="00C612BE">
            <w:pPr>
              <w:widowControl w:val="0"/>
              <w:numPr>
                <w:ilvl w:val="3"/>
                <w:numId w:val="16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C612BE">
              <w:rPr>
                <w:rFonts w:ascii="Times New Roman" w:hAnsi="Times New Roman"/>
                <w:sz w:val="20"/>
              </w:rPr>
              <w:lastRenderedPageBreak/>
              <w:t>rak w stadium miejscowego zaawansowania poza możliwościami miejscowego leczenia o charakterze radykalnym lub w stadium uogólnienia;</w:t>
            </w:r>
          </w:p>
          <w:p w14:paraId="5F3BBE97" w14:textId="5062AF78" w:rsidR="001313D3" w:rsidRPr="00C612BE" w:rsidRDefault="001313D3" w:rsidP="00B8513B">
            <w:pPr>
              <w:pStyle w:val="Akapitzlist"/>
              <w:widowControl w:val="0"/>
              <w:numPr>
                <w:ilvl w:val="3"/>
                <w:numId w:val="1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</w:rPr>
            </w:pPr>
            <w:r w:rsidRPr="00C612BE">
              <w:rPr>
                <w:rFonts w:ascii="Times New Roman" w:hAnsi="Times New Roman"/>
                <w:sz w:val="20"/>
              </w:rPr>
              <w:t>brak wcześniejszej ogólnoustrojowej terapii przeciwnowotworowej z powodu przerzutowego lub</w:t>
            </w:r>
            <w:r w:rsidR="00C612BE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nieoperacyjnego raka urotelialnego</w:t>
            </w:r>
            <w:r w:rsidR="00C612BE">
              <w:rPr>
                <w:rFonts w:ascii="Times New Roman" w:hAnsi="Times New Roman"/>
                <w:sz w:val="20"/>
              </w:rPr>
              <w:t>;</w:t>
            </w:r>
          </w:p>
          <w:p w14:paraId="120B9A79" w14:textId="050341BE" w:rsidR="001313D3" w:rsidRPr="00C612BE" w:rsidRDefault="001313D3" w:rsidP="00C612BE">
            <w:pPr>
              <w:widowControl w:val="0"/>
              <w:numPr>
                <w:ilvl w:val="3"/>
                <w:numId w:val="16"/>
              </w:numPr>
              <w:tabs>
                <w:tab w:val="left" w:pos="596"/>
              </w:tabs>
              <w:spacing w:after="60" w:line="276" w:lineRule="auto"/>
              <w:jc w:val="both"/>
              <w:rPr>
                <w:rFonts w:ascii="Times New Roman" w:eastAsia="Calibri" w:hAnsi="Times New Roman"/>
                <w:sz w:val="20"/>
                <w:lang w:eastAsia="en-US"/>
              </w:rPr>
            </w:pP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nieobecność</w:t>
            </w:r>
            <w:r w:rsidRPr="00C612BE">
              <w:rPr>
                <w:rFonts w:ascii="Times New Roman" w:eastAsiaTheme="minorHAnsi" w:hAnsi="Times New Roman"/>
                <w:sz w:val="20"/>
                <w:lang w:eastAsia="en-US"/>
              </w:rPr>
              <w:t xml:space="preserve"> aktywnych chorób autoimmunologicznych z wyłączeniem cukrzycy typu 1, niedoczynności tarczycy, łuszczycy, bielactwa i zespołu Sjögrena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>;</w:t>
            </w:r>
          </w:p>
          <w:p w14:paraId="00479E56" w14:textId="7DE46924" w:rsidR="00BE03E8" w:rsidRPr="00C612BE" w:rsidRDefault="001313D3" w:rsidP="00C612BE">
            <w:pPr>
              <w:pStyle w:val="Akapitzlist"/>
              <w:numPr>
                <w:ilvl w:val="3"/>
                <w:numId w:val="16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/>
                <w:sz w:val="20"/>
                <w:lang w:eastAsia="en-US"/>
              </w:rPr>
            </w:pP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niestosowanie systemowych leków kortykosteroidowych (w dawce przekraczającej 10 mg </w:t>
            </w:r>
            <w:r w:rsidRPr="00C612BE">
              <w:rPr>
                <w:rFonts w:ascii="Times New Roman" w:eastAsia="Calibri" w:hAnsi="Times New Roman"/>
                <w:i/>
                <w:iCs/>
                <w:sz w:val="20"/>
                <w:lang w:eastAsia="en-US"/>
              </w:rPr>
              <w:t>prednizonu</w:t>
            </w:r>
            <w:r w:rsidRPr="00C612BE">
              <w:rPr>
                <w:rFonts w:ascii="Times New Roman" w:eastAsia="Calibri" w:hAnsi="Times New Roman"/>
                <w:sz w:val="20"/>
                <w:lang w:eastAsia="en-US"/>
              </w:rPr>
              <w:t xml:space="preserve"> na dobę lub równoważnej innego leku kortykosteroidowego) lub leków immunosupresyjnych w ciągu 14 dni przed rozpoczęciem leczenia (kortykosteroidy wziewne są dozwolone);</w:t>
            </w:r>
          </w:p>
          <w:p w14:paraId="47AB426F" w14:textId="77777777" w:rsidR="0007510D" w:rsidRPr="00C612BE" w:rsidRDefault="0007510D" w:rsidP="00C612BE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eastAsia="Calibri" w:hAnsi="Times New Roman"/>
                <w:sz w:val="20"/>
                <w:lang w:eastAsia="en-US"/>
              </w:rPr>
            </w:pPr>
          </w:p>
          <w:p w14:paraId="3CF3BC71" w14:textId="77777777" w:rsidR="0007510D" w:rsidRPr="00C612BE" w:rsidRDefault="0007510D" w:rsidP="00C612BE">
            <w:pPr>
              <w:pStyle w:val="Akapitzlist"/>
              <w:widowControl w:val="0"/>
              <w:numPr>
                <w:ilvl w:val="2"/>
                <w:numId w:val="1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C612BE">
              <w:rPr>
                <w:rFonts w:ascii="Times New Roman" w:hAnsi="Times New Roman"/>
                <w:b/>
                <w:bCs/>
                <w:sz w:val="20"/>
              </w:rPr>
              <w:t>Pembrolizumabem</w:t>
            </w:r>
          </w:p>
          <w:p w14:paraId="6D91030E" w14:textId="77777777" w:rsidR="0007510D" w:rsidRPr="00C612BE" w:rsidRDefault="0007510D" w:rsidP="00C612BE">
            <w:pPr>
              <w:widowControl w:val="0"/>
              <w:numPr>
                <w:ilvl w:val="3"/>
                <w:numId w:val="16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C612BE">
              <w:rPr>
                <w:rFonts w:ascii="Times New Roman" w:hAnsi="Times New Roman"/>
                <w:sz w:val="20"/>
              </w:rPr>
              <w:t>rak w stadium miejscowego zaawansowania poza możliwościami miejscowego leczenia o charakterze radykalnym lub w stadium uogólnienia;</w:t>
            </w:r>
          </w:p>
          <w:p w14:paraId="6F2F1F47" w14:textId="77777777" w:rsidR="0007510D" w:rsidRPr="00C612BE" w:rsidRDefault="0007510D" w:rsidP="00C612BE">
            <w:pPr>
              <w:widowControl w:val="0"/>
              <w:numPr>
                <w:ilvl w:val="3"/>
                <w:numId w:val="16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C612BE">
              <w:rPr>
                <w:rFonts w:ascii="Times New Roman" w:hAnsi="Times New Roman"/>
                <w:sz w:val="20"/>
              </w:rPr>
              <w:t>niepowodzenie wcześniejszego leczenia raka urotelialnego w oparciu o chemioterapię zawierającą pochodne platyny (progresja po 1. linii leczenia paliatywnego) lub wznowa w ciągu 12 miesięcy od zakończenia wcześniejszego leczenia przed- lub pooperacyjnego pochodnymi platyny;</w:t>
            </w:r>
          </w:p>
          <w:p w14:paraId="77BFC2B4" w14:textId="3E983105" w:rsidR="0007510D" w:rsidRPr="00C612BE" w:rsidRDefault="0007510D" w:rsidP="00C612BE">
            <w:pPr>
              <w:pStyle w:val="Akapitzlist"/>
              <w:numPr>
                <w:ilvl w:val="3"/>
                <w:numId w:val="16"/>
              </w:numPr>
              <w:spacing w:after="60" w:line="276" w:lineRule="auto"/>
              <w:contextualSpacing w:val="0"/>
              <w:rPr>
                <w:rFonts w:ascii="Times New Roman" w:hAnsi="Times New Roman"/>
                <w:sz w:val="20"/>
              </w:rPr>
            </w:pPr>
            <w:r w:rsidRPr="00C612BE">
              <w:rPr>
                <w:rFonts w:ascii="Times New Roman" w:hAnsi="Times New Roman"/>
                <w:sz w:val="20"/>
              </w:rPr>
              <w:t>ustąpienie wszystkich klinicznie istotnych działań niepożądanych wcześniejszego leczenia.</w:t>
            </w:r>
          </w:p>
          <w:p w14:paraId="7A105B63" w14:textId="77777777" w:rsidR="001313D3" w:rsidRPr="00C612BE" w:rsidRDefault="001313D3" w:rsidP="00C612BE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eastAsia="Calibri" w:hAnsi="Times New Roman"/>
                <w:sz w:val="20"/>
                <w:lang w:eastAsia="en-US"/>
              </w:rPr>
            </w:pPr>
          </w:p>
          <w:p w14:paraId="5691F021" w14:textId="77777777" w:rsidR="007F545E" w:rsidRPr="00C612BE" w:rsidRDefault="003B59C7" w:rsidP="00C612BE">
            <w:pPr>
              <w:pStyle w:val="Akapitzlist"/>
              <w:widowControl w:val="0"/>
              <w:numPr>
                <w:ilvl w:val="2"/>
                <w:numId w:val="1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C612BE">
              <w:rPr>
                <w:rFonts w:ascii="Times New Roman" w:hAnsi="Times New Roman"/>
                <w:b/>
                <w:bCs/>
                <w:sz w:val="20"/>
              </w:rPr>
              <w:t>Enfortumabem</w:t>
            </w:r>
            <w:r w:rsidR="00BE03E8" w:rsidRPr="00C612BE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b/>
                <w:bCs/>
                <w:sz w:val="20"/>
              </w:rPr>
              <w:t>wedotyny</w:t>
            </w:r>
          </w:p>
          <w:p w14:paraId="37B6063F" w14:textId="77777777" w:rsidR="007F545E" w:rsidRPr="00C612BE" w:rsidRDefault="00167933" w:rsidP="00C612BE">
            <w:pPr>
              <w:widowControl w:val="0"/>
              <w:numPr>
                <w:ilvl w:val="3"/>
                <w:numId w:val="16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C612BE">
              <w:rPr>
                <w:rFonts w:ascii="Times New Roman" w:hAnsi="Times New Roman"/>
                <w:sz w:val="20"/>
              </w:rPr>
              <w:t>r</w:t>
            </w:r>
            <w:r w:rsidR="007F545E" w:rsidRPr="00C612BE">
              <w:rPr>
                <w:rFonts w:ascii="Times New Roman" w:hAnsi="Times New Roman"/>
                <w:sz w:val="20"/>
              </w:rPr>
              <w:t>ak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7F545E" w:rsidRPr="00C612BE">
              <w:rPr>
                <w:rFonts w:ascii="Times New Roman" w:hAnsi="Times New Roman"/>
                <w:sz w:val="20"/>
              </w:rPr>
              <w:t>w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7F545E" w:rsidRPr="00C612BE">
              <w:rPr>
                <w:rFonts w:ascii="Times New Roman" w:hAnsi="Times New Roman"/>
                <w:sz w:val="20"/>
              </w:rPr>
              <w:t>stadium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7F545E" w:rsidRPr="00C612BE">
              <w:rPr>
                <w:rFonts w:ascii="Times New Roman" w:hAnsi="Times New Roman"/>
                <w:sz w:val="20"/>
              </w:rPr>
              <w:t>miejscowego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7F545E" w:rsidRPr="00C612BE">
              <w:rPr>
                <w:rFonts w:ascii="Times New Roman" w:hAnsi="Times New Roman"/>
                <w:sz w:val="20"/>
              </w:rPr>
              <w:t>zaawansowania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204976" w:rsidRPr="00C612BE">
              <w:rPr>
                <w:rFonts w:ascii="Times New Roman" w:hAnsi="Times New Roman"/>
                <w:sz w:val="20"/>
              </w:rPr>
              <w:t>poza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204976" w:rsidRPr="00C612BE">
              <w:rPr>
                <w:rFonts w:ascii="Times New Roman" w:hAnsi="Times New Roman"/>
                <w:sz w:val="20"/>
              </w:rPr>
              <w:t>możliwościami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204976" w:rsidRPr="00C612BE">
              <w:rPr>
                <w:rFonts w:ascii="Times New Roman" w:hAnsi="Times New Roman"/>
                <w:sz w:val="20"/>
              </w:rPr>
              <w:t>miejscowego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204976" w:rsidRPr="00C612BE">
              <w:rPr>
                <w:rFonts w:ascii="Times New Roman" w:hAnsi="Times New Roman"/>
                <w:sz w:val="20"/>
              </w:rPr>
              <w:t>leczenia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204976" w:rsidRPr="00C612BE">
              <w:rPr>
                <w:rFonts w:ascii="Times New Roman" w:hAnsi="Times New Roman"/>
                <w:sz w:val="20"/>
              </w:rPr>
              <w:t>o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204976" w:rsidRPr="00C612BE">
              <w:rPr>
                <w:rFonts w:ascii="Times New Roman" w:hAnsi="Times New Roman"/>
                <w:sz w:val="20"/>
              </w:rPr>
              <w:t>charakterze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204976" w:rsidRPr="00C612BE">
              <w:rPr>
                <w:rFonts w:ascii="Times New Roman" w:hAnsi="Times New Roman"/>
                <w:sz w:val="20"/>
              </w:rPr>
              <w:lastRenderedPageBreak/>
              <w:t>radykalnym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204976" w:rsidRPr="00C612BE">
              <w:rPr>
                <w:rFonts w:ascii="Times New Roman" w:hAnsi="Times New Roman"/>
                <w:sz w:val="20"/>
              </w:rPr>
              <w:t>lub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204976" w:rsidRPr="00C612BE">
              <w:rPr>
                <w:rFonts w:ascii="Times New Roman" w:hAnsi="Times New Roman"/>
                <w:sz w:val="20"/>
              </w:rPr>
              <w:t>w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204976" w:rsidRPr="00C612BE">
              <w:rPr>
                <w:rFonts w:ascii="Times New Roman" w:hAnsi="Times New Roman"/>
                <w:sz w:val="20"/>
              </w:rPr>
              <w:t>stadium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204976" w:rsidRPr="00C612BE">
              <w:rPr>
                <w:rFonts w:ascii="Times New Roman" w:hAnsi="Times New Roman"/>
                <w:sz w:val="20"/>
              </w:rPr>
              <w:t>uogólnienia;</w:t>
            </w:r>
          </w:p>
          <w:p w14:paraId="1873BDEF" w14:textId="399CA258" w:rsidR="00BE03E8" w:rsidRPr="00C612BE" w:rsidRDefault="00167933" w:rsidP="00C612BE">
            <w:pPr>
              <w:widowControl w:val="0"/>
              <w:numPr>
                <w:ilvl w:val="3"/>
                <w:numId w:val="16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C612BE">
              <w:rPr>
                <w:rFonts w:ascii="Times New Roman" w:hAnsi="Times New Roman"/>
                <w:sz w:val="20"/>
              </w:rPr>
              <w:t>progresja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radiologiczna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choroby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u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pacjentów,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którzy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otrzymali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chemioterapię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opartą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o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pochodną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platyny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oraz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leczenie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inhibitorem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receptora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programowanej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7F545E" w:rsidRPr="00C612BE">
              <w:rPr>
                <w:rFonts w:ascii="Times New Roman" w:hAnsi="Times New Roman"/>
                <w:sz w:val="20"/>
              </w:rPr>
              <w:t>śmierci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7F545E" w:rsidRPr="00C612BE">
              <w:rPr>
                <w:rFonts w:ascii="Times New Roman" w:hAnsi="Times New Roman"/>
                <w:sz w:val="20"/>
              </w:rPr>
              <w:t>komórki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7F545E" w:rsidRPr="00C612BE">
              <w:rPr>
                <w:rFonts w:ascii="Times New Roman" w:hAnsi="Times New Roman"/>
                <w:sz w:val="20"/>
              </w:rPr>
              <w:t>1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7F545E" w:rsidRPr="00C612BE">
              <w:rPr>
                <w:rFonts w:ascii="Times New Roman" w:hAnsi="Times New Roman"/>
                <w:sz w:val="20"/>
              </w:rPr>
              <w:t>(PD-1)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7F545E" w:rsidRPr="00C612BE">
              <w:rPr>
                <w:rFonts w:ascii="Times New Roman" w:hAnsi="Times New Roman"/>
                <w:sz w:val="20"/>
              </w:rPr>
              <w:t>lub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</w:rPr>
              <w:t>inhibitorem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7F545E" w:rsidRPr="00C612BE">
              <w:rPr>
                <w:rFonts w:ascii="Times New Roman" w:hAnsi="Times New Roman"/>
                <w:sz w:val="20"/>
              </w:rPr>
              <w:t>ligandu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7F545E" w:rsidRPr="00C612BE">
              <w:rPr>
                <w:rFonts w:ascii="Times New Roman" w:hAnsi="Times New Roman"/>
                <w:sz w:val="20"/>
              </w:rPr>
              <w:t>programowanej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7F545E" w:rsidRPr="00C612BE">
              <w:rPr>
                <w:rFonts w:ascii="Times New Roman" w:hAnsi="Times New Roman"/>
                <w:sz w:val="20"/>
              </w:rPr>
              <w:t>śmierci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7F545E" w:rsidRPr="00C612BE">
              <w:rPr>
                <w:rFonts w:ascii="Times New Roman" w:hAnsi="Times New Roman"/>
                <w:sz w:val="20"/>
              </w:rPr>
              <w:t>komórki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7F545E" w:rsidRPr="00C612BE">
              <w:rPr>
                <w:rFonts w:ascii="Times New Roman" w:hAnsi="Times New Roman"/>
                <w:sz w:val="20"/>
              </w:rPr>
              <w:t>1</w:t>
            </w:r>
            <w:r w:rsidR="00BE03E8" w:rsidRPr="00C612BE">
              <w:rPr>
                <w:rFonts w:ascii="Times New Roman" w:hAnsi="Times New Roman"/>
                <w:sz w:val="20"/>
              </w:rPr>
              <w:t xml:space="preserve"> </w:t>
            </w:r>
            <w:r w:rsidR="007F545E" w:rsidRPr="00C612BE">
              <w:rPr>
                <w:rFonts w:ascii="Times New Roman" w:hAnsi="Times New Roman"/>
                <w:sz w:val="20"/>
              </w:rPr>
              <w:t>(PD-</w:t>
            </w:r>
            <w:r w:rsidRPr="00C612BE">
              <w:rPr>
                <w:rFonts w:ascii="Times New Roman" w:hAnsi="Times New Roman"/>
                <w:sz w:val="20"/>
              </w:rPr>
              <w:t>L</w:t>
            </w:r>
            <w:r w:rsidR="007F545E" w:rsidRPr="00C612BE">
              <w:rPr>
                <w:rFonts w:ascii="Times New Roman" w:hAnsi="Times New Roman"/>
                <w:sz w:val="20"/>
              </w:rPr>
              <w:t>1</w:t>
            </w:r>
            <w:r w:rsidR="00307851" w:rsidRPr="00C612BE">
              <w:rPr>
                <w:rFonts w:ascii="Times New Roman" w:hAnsi="Times New Roman"/>
                <w:sz w:val="20"/>
              </w:rPr>
              <w:t>).</w:t>
            </w:r>
          </w:p>
          <w:p w14:paraId="75AB550D" w14:textId="77777777" w:rsidR="00417640" w:rsidRPr="00C612BE" w:rsidRDefault="00417640" w:rsidP="00C612BE">
            <w:pPr>
              <w:widowControl w:val="0"/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</w:p>
          <w:p w14:paraId="01B89051" w14:textId="7227A329" w:rsidR="00AC2F60" w:rsidRPr="00C612BE" w:rsidRDefault="00AC2F60" w:rsidP="00C612BE">
            <w:pPr>
              <w:pStyle w:val="Akapitzlist"/>
              <w:widowControl w:val="0"/>
              <w:numPr>
                <w:ilvl w:val="2"/>
                <w:numId w:val="1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C612BE">
              <w:rPr>
                <w:rFonts w:ascii="Times New Roman" w:hAnsi="Times New Roman"/>
                <w:b/>
                <w:bCs/>
                <w:sz w:val="20"/>
              </w:rPr>
              <w:t>Erdafitynibem</w:t>
            </w:r>
          </w:p>
          <w:p w14:paraId="20852F4C" w14:textId="77777777" w:rsidR="00AC2F60" w:rsidRPr="00C612BE" w:rsidRDefault="00AC2F60" w:rsidP="00C612BE">
            <w:pPr>
              <w:widowControl w:val="0"/>
              <w:numPr>
                <w:ilvl w:val="3"/>
                <w:numId w:val="16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C612BE">
              <w:rPr>
                <w:rFonts w:ascii="Times New Roman" w:hAnsi="Times New Roman"/>
                <w:sz w:val="20"/>
              </w:rPr>
              <w:t>rak w stadium miejscowego zaawansowania poza możliwościami miejscowego leczenia o charakterze radykalnym lub w stadium uogólnienia;</w:t>
            </w:r>
          </w:p>
          <w:p w14:paraId="30742F1C" w14:textId="77777777" w:rsidR="00AC2F60" w:rsidRPr="00C612BE" w:rsidRDefault="00AC2F60" w:rsidP="00C612BE">
            <w:pPr>
              <w:widowControl w:val="0"/>
              <w:numPr>
                <w:ilvl w:val="3"/>
                <w:numId w:val="16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C612BE">
              <w:rPr>
                <w:rFonts w:ascii="Times New Roman" w:hAnsi="Times New Roman"/>
                <w:sz w:val="20"/>
              </w:rPr>
              <w:t>obecność podatnych zmian genetycznych</w:t>
            </w:r>
            <w:r w:rsidRPr="00C612BE">
              <w:rPr>
                <w:rFonts w:ascii="Times New Roman" w:hAnsi="Times New Roman"/>
                <w:i/>
                <w:iCs/>
                <w:sz w:val="20"/>
              </w:rPr>
              <w:t xml:space="preserve"> FGFR3</w:t>
            </w:r>
            <w:r w:rsidRPr="00C612BE">
              <w:rPr>
                <w:rFonts w:ascii="Times New Roman" w:hAnsi="Times New Roman"/>
                <w:sz w:val="20"/>
              </w:rPr>
              <w:t>;</w:t>
            </w:r>
          </w:p>
          <w:p w14:paraId="74400E00" w14:textId="3FAEB395" w:rsidR="00AC2F60" w:rsidRPr="00C612BE" w:rsidRDefault="0064222B" w:rsidP="00C612BE">
            <w:pPr>
              <w:widowControl w:val="0"/>
              <w:numPr>
                <w:ilvl w:val="3"/>
                <w:numId w:val="16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C612BE">
              <w:rPr>
                <w:rFonts w:ascii="Times New Roman" w:hAnsi="Times New Roman"/>
                <w:sz w:val="20"/>
              </w:rPr>
              <w:t>progresja radiologiczna choroby podczas lub po terapii z inhibitorem receptora programowanej śmierci komórki 1 (PD-1) lub inhibitorem ligandu programowanej śmierci komórki 1 (PD-L1</w:t>
            </w:r>
            <w:r w:rsidR="003451C0" w:rsidRPr="00C612BE">
              <w:rPr>
                <w:rFonts w:ascii="Times New Roman" w:hAnsi="Times New Roman"/>
                <w:sz w:val="20"/>
              </w:rPr>
              <w:t>)</w:t>
            </w:r>
            <w:r w:rsidR="00C612BE">
              <w:rPr>
                <w:rFonts w:ascii="Times New Roman" w:hAnsi="Times New Roman"/>
                <w:sz w:val="20"/>
              </w:rPr>
              <w:t>.</w:t>
            </w:r>
          </w:p>
          <w:p w14:paraId="6FA8A46F" w14:textId="77777777" w:rsidR="002C54DD" w:rsidRPr="00C612BE" w:rsidRDefault="002C54DD" w:rsidP="00C612BE">
            <w:pPr>
              <w:widowControl w:val="0"/>
              <w:spacing w:after="60" w:line="276" w:lineRule="auto"/>
              <w:jc w:val="both"/>
              <w:rPr>
                <w:rFonts w:ascii="Times New Roman" w:eastAsia="Calibri" w:hAnsi="Times New Roman"/>
                <w:sz w:val="20"/>
                <w:lang w:eastAsia="en-US" w:bidi="pl-PL"/>
              </w:rPr>
            </w:pPr>
          </w:p>
          <w:p w14:paraId="2B4A4A00" w14:textId="77777777" w:rsidR="00E617B5" w:rsidRPr="00C612BE" w:rsidRDefault="003624D6" w:rsidP="00C612BE">
            <w:pPr>
              <w:pStyle w:val="Default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de-DE" w:eastAsia="de-DE"/>
              </w:rPr>
            </w:pP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celu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kontynuacji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terapii,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programu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lekowego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mogą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zostać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włączeni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pacjenci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leczeni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ramach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innego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sposobu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finansowania,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poza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badaniami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klinicznymi,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momentu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objęcia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refundacją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leku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programie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lekowym,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pod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warunkiem,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iż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momencie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rozpoczęcia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leczenia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spełniali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kryteria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kwalifikacji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uwzględnione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punkcie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oraz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nie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spełniali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kryteriów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uwzględnionych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punkcie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3.</w:t>
            </w:r>
            <w:r w:rsidR="00BE03E8" w:rsidRPr="00C612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14:paraId="5C05A31C" w14:textId="77777777" w:rsidR="00287AA4" w:rsidRPr="00C612BE" w:rsidRDefault="00287AA4" w:rsidP="00C612BE">
            <w:pPr>
              <w:widowControl w:val="0"/>
              <w:tabs>
                <w:tab w:val="left" w:pos="808"/>
              </w:tabs>
              <w:spacing w:after="60" w:line="276" w:lineRule="auto"/>
              <w:jc w:val="both"/>
              <w:rPr>
                <w:rFonts w:ascii="Times New Roman" w:eastAsia="Calibri" w:hAnsi="Times New Roman"/>
                <w:sz w:val="20"/>
                <w:lang w:eastAsia="en-US" w:bidi="pl-PL"/>
              </w:rPr>
            </w:pPr>
          </w:p>
          <w:p w14:paraId="5F4F6374" w14:textId="77777777" w:rsidR="00E617B5" w:rsidRPr="0096384D" w:rsidRDefault="00CF4DC0" w:rsidP="0096384D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/>
                <w:sz w:val="20"/>
                <w:lang w:eastAsia="zh-CN"/>
              </w:rPr>
            </w:pPr>
            <w:r w:rsidRPr="0096384D">
              <w:rPr>
                <w:rFonts w:ascii="Times New Roman" w:eastAsia="SimSun" w:hAnsi="Times New Roman"/>
                <w:b/>
                <w:sz w:val="20"/>
                <w:lang w:eastAsia="zh-CN"/>
              </w:rPr>
              <w:t>Określenie</w:t>
            </w:r>
            <w:r w:rsidR="00BE03E8" w:rsidRPr="0096384D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Pr="0096384D">
              <w:rPr>
                <w:rFonts w:ascii="Times New Roman" w:eastAsia="SimSun" w:hAnsi="Times New Roman"/>
                <w:b/>
                <w:sz w:val="20"/>
                <w:lang w:eastAsia="zh-CN"/>
              </w:rPr>
              <w:t>czasu</w:t>
            </w:r>
            <w:r w:rsidR="00BE03E8" w:rsidRPr="0096384D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Pr="0096384D">
              <w:rPr>
                <w:rFonts w:ascii="Times New Roman" w:eastAsia="SimSun" w:hAnsi="Times New Roman"/>
                <w:b/>
                <w:sz w:val="20"/>
                <w:lang w:eastAsia="zh-CN"/>
              </w:rPr>
              <w:t>leczenia</w:t>
            </w:r>
            <w:r w:rsidR="00BE03E8" w:rsidRPr="0096384D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Pr="0096384D">
              <w:rPr>
                <w:rFonts w:ascii="Times New Roman" w:eastAsia="SimSun" w:hAnsi="Times New Roman"/>
                <w:b/>
                <w:sz w:val="20"/>
                <w:lang w:eastAsia="zh-CN"/>
              </w:rPr>
              <w:t>w</w:t>
            </w:r>
            <w:r w:rsidR="00BE03E8" w:rsidRPr="0096384D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Pr="0096384D">
              <w:rPr>
                <w:rFonts w:ascii="Times New Roman" w:eastAsia="SimSun" w:hAnsi="Times New Roman"/>
                <w:b/>
                <w:sz w:val="20"/>
                <w:lang w:eastAsia="zh-CN"/>
              </w:rPr>
              <w:t>programie</w:t>
            </w:r>
          </w:p>
          <w:p w14:paraId="16BF33C1" w14:textId="77777777" w:rsidR="001313D3" w:rsidRPr="00C612BE" w:rsidRDefault="001313D3" w:rsidP="00C612BE">
            <w:pPr>
              <w:widowControl w:val="0"/>
              <w:spacing w:after="60" w:line="276" w:lineRule="auto"/>
              <w:jc w:val="both"/>
              <w:rPr>
                <w:rFonts w:ascii="Times New Roman" w:eastAsia="Calibri" w:hAnsi="Times New Roman"/>
                <w:color w:val="000000"/>
                <w:sz w:val="20"/>
                <w:lang w:eastAsia="en-US" w:bidi="pl-PL"/>
              </w:rPr>
            </w:pPr>
            <w:r w:rsidRPr="00C612BE">
              <w:rPr>
                <w:rFonts w:ascii="Times New Roman" w:eastAsia="Calibri" w:hAnsi="Times New Roman"/>
                <w:color w:val="000000"/>
                <w:sz w:val="20"/>
                <w:lang w:eastAsia="en-US" w:bidi="pl-PL"/>
              </w:rPr>
              <w:t>Leczenie trwa do czasu podjęcia przez lekarza prowadzącego decyzji o wyłączeniu świadczeniobiorcy z programu zgodnie z kryteriami wyłączenia. W zależności od indywidualnej tolerancji i bezpieczeństwa stosowania leczenie może być odroczone lub przerwane.</w:t>
            </w:r>
          </w:p>
          <w:p w14:paraId="4031210B" w14:textId="77777777" w:rsidR="001313D3" w:rsidRPr="00C612BE" w:rsidRDefault="001313D3" w:rsidP="00C612BE">
            <w:pPr>
              <w:widowControl w:val="0"/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C612BE">
              <w:rPr>
                <w:rFonts w:ascii="Times New Roman" w:eastAsia="Calibri" w:hAnsi="Times New Roman"/>
                <w:color w:val="000000"/>
                <w:sz w:val="20"/>
                <w:lang w:eastAsia="en-US" w:bidi="pl-PL"/>
              </w:rPr>
              <w:lastRenderedPageBreak/>
              <w:t xml:space="preserve">W przypadku terapii uzupełniającej </w:t>
            </w:r>
            <w:r w:rsidRPr="00C612BE">
              <w:rPr>
                <w:rFonts w:ascii="Times New Roman" w:eastAsia="Calibri" w:hAnsi="Times New Roman"/>
                <w:i/>
                <w:iCs/>
                <w:color w:val="000000"/>
                <w:sz w:val="20"/>
                <w:lang w:eastAsia="en-US" w:bidi="pl-PL"/>
              </w:rPr>
              <w:t>niwolumabem</w:t>
            </w:r>
            <w:r w:rsidRPr="00C612BE">
              <w:rPr>
                <w:rFonts w:ascii="Times New Roman" w:eastAsia="Calibri" w:hAnsi="Times New Roman"/>
                <w:color w:val="000000"/>
                <w:sz w:val="20"/>
                <w:lang w:eastAsia="en-US" w:bidi="pl-PL"/>
              </w:rPr>
              <w:t xml:space="preserve"> leczenie trwa maksymalnie 12 miesięcy, możliwe jest okresowe przerwanie </w:t>
            </w:r>
            <w:r w:rsidRPr="00C612BE">
              <w:rPr>
                <w:rFonts w:ascii="Times New Roman" w:hAnsi="Times New Roman"/>
                <w:sz w:val="20"/>
              </w:rPr>
              <w:t xml:space="preserve">leczenia w przypadkach wystąpienia działań niepożądanych lub z innych powodów. Maksymalny okres opóźnienia podania kolejnego kursu leczenia może wynosić 8 tygodni. </w:t>
            </w:r>
          </w:p>
          <w:p w14:paraId="4DA7A7F2" w14:textId="77777777" w:rsidR="0007510D" w:rsidRPr="00C612BE" w:rsidRDefault="001313D3" w:rsidP="00C612BE">
            <w:pPr>
              <w:widowControl w:val="0"/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C612BE">
              <w:rPr>
                <w:rFonts w:ascii="Times New Roman" w:eastAsia="Calibri" w:hAnsi="Times New Roman"/>
                <w:color w:val="000000"/>
                <w:sz w:val="20"/>
                <w:lang w:eastAsia="en-US" w:bidi="pl-PL"/>
              </w:rPr>
              <w:t xml:space="preserve">W przypadku terapii </w:t>
            </w:r>
            <w:r w:rsidRPr="00C612BE">
              <w:rPr>
                <w:rFonts w:ascii="Times New Roman" w:eastAsia="Calibri" w:hAnsi="Times New Roman"/>
                <w:i/>
                <w:iCs/>
                <w:color w:val="000000"/>
                <w:sz w:val="20"/>
                <w:lang w:eastAsia="en-US" w:bidi="pl-PL"/>
              </w:rPr>
              <w:t xml:space="preserve">niwolumabem w skojarzeniu z cisplatyną i gemcytabiną </w:t>
            </w:r>
            <w:r w:rsidRPr="00C612BE">
              <w:rPr>
                <w:rFonts w:ascii="Times New Roman" w:eastAsia="Calibri" w:hAnsi="Times New Roman"/>
                <w:color w:val="000000"/>
                <w:sz w:val="20"/>
                <w:lang w:eastAsia="en-US" w:bidi="pl-PL"/>
              </w:rPr>
              <w:t xml:space="preserve">w pierwszej linii leczenie trwa maksymalnie 24 miesiące, możliwe jest okresowe przerwanie </w:t>
            </w:r>
            <w:r w:rsidRPr="00C612BE">
              <w:rPr>
                <w:rFonts w:ascii="Times New Roman" w:hAnsi="Times New Roman"/>
                <w:sz w:val="20"/>
              </w:rPr>
              <w:t xml:space="preserve">leczenia w przypadkach wystąpienia działań niepożądanych lub z innych powodów. </w:t>
            </w:r>
          </w:p>
          <w:p w14:paraId="21897FC4" w14:textId="77777777" w:rsidR="0007510D" w:rsidRPr="00C612BE" w:rsidRDefault="0007510D" w:rsidP="00C612BE">
            <w:pPr>
              <w:widowControl w:val="0"/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</w:p>
          <w:p w14:paraId="37CD8A19" w14:textId="40C852BC" w:rsidR="001313D3" w:rsidRPr="00C612BE" w:rsidRDefault="001313D3" w:rsidP="00C612BE">
            <w:pPr>
              <w:widowControl w:val="0"/>
              <w:spacing w:after="60" w:line="276" w:lineRule="auto"/>
              <w:jc w:val="both"/>
              <w:rPr>
                <w:rFonts w:ascii="Times New Roman" w:eastAsia="Calibri" w:hAnsi="Times New Roman"/>
                <w:b/>
                <w:sz w:val="20"/>
                <w:lang w:eastAsia="en-US"/>
              </w:rPr>
            </w:pPr>
            <w:r w:rsidRPr="00C612BE">
              <w:rPr>
                <w:rFonts w:ascii="Times New Roman" w:hAnsi="Times New Roman"/>
                <w:sz w:val="20"/>
              </w:rPr>
              <w:t>Maksymalny okres opóźnienia podania kolejnego kursu leczenia</w:t>
            </w:r>
            <w:r w:rsidR="008741B5">
              <w:rPr>
                <w:rFonts w:ascii="Times New Roman" w:hAnsi="Times New Roman"/>
                <w:sz w:val="20"/>
              </w:rPr>
              <w:t xml:space="preserve">, dotyczy </w:t>
            </w:r>
            <w:r w:rsidR="00CB6F14" w:rsidRPr="00CC3D8A">
              <w:rPr>
                <w:rFonts w:ascii="Times New Roman" w:hAnsi="Times New Roman"/>
                <w:bCs/>
                <w:sz w:val="20"/>
              </w:rPr>
              <w:t>terapii inhibitorem receptora programowanej śmierci komórki 1 (PD-1) lub inhibitorem ligandu programowanej śmierci komórki 1 (PD-L1)</w:t>
            </w:r>
            <w:r w:rsidR="00CB6F14">
              <w:rPr>
                <w:rFonts w:ascii="Times New Roman" w:hAnsi="Times New Roman"/>
                <w:bCs/>
                <w:sz w:val="20"/>
              </w:rPr>
              <w:t>,</w:t>
            </w:r>
            <w:r w:rsidR="00CB6F14" w:rsidRPr="00CC3D8A">
              <w:rPr>
                <w:rFonts w:ascii="Times New Roman" w:hAnsi="Times New Roman"/>
                <w:bCs/>
                <w:sz w:val="20"/>
              </w:rPr>
              <w:t>.</w:t>
            </w:r>
            <w:r w:rsidRPr="00C612BE">
              <w:rPr>
                <w:rFonts w:ascii="Times New Roman" w:hAnsi="Times New Roman"/>
                <w:sz w:val="20"/>
              </w:rPr>
              <w:t>może wynosić 12 tygodni pod warunkiem całkowitego ustąpienia niepożądanych działań związanych z immunoterapią i zakończenia stosowania kortykosteroidów.</w:t>
            </w:r>
          </w:p>
          <w:p w14:paraId="12A08A76" w14:textId="77777777" w:rsidR="00E617B5" w:rsidRPr="00C612BE" w:rsidRDefault="00E617B5" w:rsidP="00C612BE">
            <w:pPr>
              <w:widowControl w:val="0"/>
              <w:spacing w:after="60" w:line="276" w:lineRule="auto"/>
              <w:jc w:val="both"/>
              <w:rPr>
                <w:rFonts w:ascii="Times New Roman" w:eastAsia="Calibri" w:hAnsi="Times New Roman"/>
                <w:b/>
                <w:sz w:val="20"/>
                <w:lang w:eastAsia="en-US"/>
              </w:rPr>
            </w:pPr>
          </w:p>
          <w:p w14:paraId="33EC7FEC" w14:textId="77777777" w:rsidR="00E617B5" w:rsidRPr="0096384D" w:rsidRDefault="00CF4DC0" w:rsidP="0096384D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/>
                <w:sz w:val="20"/>
                <w:lang w:eastAsia="zh-CN"/>
              </w:rPr>
            </w:pPr>
            <w:r w:rsidRPr="0096384D">
              <w:rPr>
                <w:rFonts w:ascii="Times New Roman" w:eastAsia="SimSun" w:hAnsi="Times New Roman"/>
                <w:b/>
                <w:sz w:val="20"/>
                <w:lang w:eastAsia="zh-CN"/>
              </w:rPr>
              <w:t>Kryteria</w:t>
            </w:r>
            <w:r w:rsidR="00BE03E8" w:rsidRPr="0096384D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Pr="0096384D">
              <w:rPr>
                <w:rFonts w:ascii="Times New Roman" w:eastAsia="SimSun" w:hAnsi="Times New Roman"/>
                <w:b/>
                <w:sz w:val="20"/>
                <w:lang w:eastAsia="zh-CN"/>
              </w:rPr>
              <w:t>wyłączenia</w:t>
            </w:r>
            <w:r w:rsidR="00BE03E8" w:rsidRPr="0096384D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="00401B7E" w:rsidRPr="0096384D">
              <w:rPr>
                <w:rFonts w:ascii="Times New Roman" w:eastAsia="SimSun" w:hAnsi="Times New Roman"/>
                <w:b/>
                <w:sz w:val="20"/>
                <w:lang w:eastAsia="zh-CN"/>
              </w:rPr>
              <w:t>z programu</w:t>
            </w:r>
          </w:p>
          <w:p w14:paraId="13019392" w14:textId="197A8C90" w:rsidR="00826CDD" w:rsidRPr="00C612BE" w:rsidRDefault="00C50270" w:rsidP="0096384D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lang w:eastAsia="pl-PL"/>
              </w:rPr>
            </w:pPr>
            <w:r w:rsidRPr="00C612BE">
              <w:rPr>
                <w:rFonts w:ascii="Times New Roman" w:hAnsi="Times New Roman"/>
                <w:sz w:val="20"/>
                <w:lang w:eastAsia="pl-PL"/>
              </w:rPr>
              <w:t xml:space="preserve">progresja choroby oceniona zgodnie z aktualnie obowiązującymi kryteriami RECIST, </w:t>
            </w:r>
            <w:r w:rsidR="00D600EE" w:rsidRPr="00C612BE">
              <w:rPr>
                <w:rFonts w:ascii="Times New Roman" w:hAnsi="Times New Roman"/>
                <w:sz w:val="20"/>
                <w:lang w:eastAsia="pl-PL"/>
              </w:rPr>
              <w:t xml:space="preserve">z możliwością potwierdzenia w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kolejnej ocen</w:t>
            </w:r>
            <w:r w:rsidR="00D600EE" w:rsidRPr="00C612BE">
              <w:rPr>
                <w:rFonts w:ascii="Times New Roman" w:hAnsi="Times New Roman"/>
                <w:sz w:val="20"/>
                <w:lang w:eastAsia="pl-PL"/>
              </w:rPr>
              <w:t>ie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 xml:space="preserve"> badaniem obrazowym wykonanym nie wcześniej niż po upływie 4 tygodni</w:t>
            </w:r>
            <w:r w:rsidR="00B722E2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="00826CDD" w:rsidRPr="00C612BE">
              <w:rPr>
                <w:rFonts w:ascii="Times New Roman" w:hAnsi="Times New Roman"/>
                <w:sz w:val="20"/>
                <w:lang w:eastAsia="pl-PL"/>
              </w:rPr>
              <w:t xml:space="preserve">– dotyczy terapii </w:t>
            </w:r>
            <w:r w:rsidR="00826CDD" w:rsidRPr="00C612BE">
              <w:rPr>
                <w:rFonts w:ascii="Times New Roman" w:hAnsi="Times New Roman"/>
                <w:i/>
                <w:iCs/>
                <w:sz w:val="20"/>
                <w:lang w:eastAsia="pl-PL"/>
              </w:rPr>
              <w:t>awelumabem</w:t>
            </w:r>
            <w:r w:rsidR="00540837" w:rsidRPr="00C612BE">
              <w:rPr>
                <w:rFonts w:ascii="Times New Roman" w:hAnsi="Times New Roman"/>
                <w:i/>
                <w:iCs/>
                <w:sz w:val="20"/>
                <w:lang w:eastAsia="pl-PL"/>
              </w:rPr>
              <w:t>,</w:t>
            </w:r>
            <w:r w:rsidR="0007510D" w:rsidRPr="00C612BE">
              <w:rPr>
                <w:rFonts w:ascii="Times New Roman" w:hAnsi="Times New Roman"/>
                <w:i/>
                <w:iCs/>
                <w:sz w:val="20"/>
                <w:lang w:eastAsia="pl-PL"/>
              </w:rPr>
              <w:t xml:space="preserve"> pembrolizumabem,</w:t>
            </w:r>
            <w:r w:rsidR="00826CDD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="00826CDD" w:rsidRPr="00C612BE">
              <w:rPr>
                <w:rFonts w:ascii="Times New Roman" w:hAnsi="Times New Roman"/>
                <w:i/>
                <w:iCs/>
                <w:sz w:val="20"/>
                <w:lang w:eastAsia="pl-PL"/>
              </w:rPr>
              <w:t>enfortumabem wedotyny</w:t>
            </w:r>
            <w:r w:rsidR="00540837" w:rsidRPr="00C612BE">
              <w:rPr>
                <w:rFonts w:ascii="Times New Roman" w:hAnsi="Times New Roman"/>
                <w:sz w:val="20"/>
                <w:lang w:eastAsia="pl-PL"/>
              </w:rPr>
              <w:t xml:space="preserve">, </w:t>
            </w:r>
            <w:r w:rsidR="002F02A1" w:rsidRPr="00C612BE">
              <w:rPr>
                <w:rFonts w:ascii="Times New Roman" w:hAnsi="Times New Roman"/>
                <w:i/>
                <w:iCs/>
                <w:sz w:val="20"/>
                <w:lang w:eastAsia="pl-PL"/>
              </w:rPr>
              <w:t>erda</w:t>
            </w:r>
            <w:r w:rsidR="00D85D71" w:rsidRPr="00C612BE">
              <w:rPr>
                <w:rFonts w:ascii="Times New Roman" w:hAnsi="Times New Roman"/>
                <w:i/>
                <w:iCs/>
                <w:sz w:val="20"/>
                <w:lang w:eastAsia="pl-PL"/>
              </w:rPr>
              <w:t>f</w:t>
            </w:r>
            <w:r w:rsidR="002F02A1" w:rsidRPr="00C612BE">
              <w:rPr>
                <w:rFonts w:ascii="Times New Roman" w:hAnsi="Times New Roman"/>
                <w:i/>
                <w:iCs/>
                <w:sz w:val="20"/>
                <w:lang w:eastAsia="pl-PL"/>
              </w:rPr>
              <w:t>itynibem</w:t>
            </w:r>
            <w:r w:rsidR="00540837" w:rsidRPr="00C612BE">
              <w:rPr>
                <w:rFonts w:ascii="Times New Roman" w:hAnsi="Times New Roman"/>
                <w:i/>
                <w:iCs/>
                <w:sz w:val="20"/>
                <w:lang w:eastAsia="pl-PL"/>
              </w:rPr>
              <w:t xml:space="preserve"> lub niwolumabem w skojarzeniu z cisplatyną i gemcytabiną;</w:t>
            </w:r>
            <w:r w:rsidR="00826CDD" w:rsidRPr="00C612BE">
              <w:rPr>
                <w:rFonts w:ascii="Times New Roman" w:hAnsi="Times New Roman"/>
                <w:i/>
                <w:iCs/>
                <w:sz w:val="20"/>
                <w:lang w:eastAsia="pl-PL"/>
              </w:rPr>
              <w:t xml:space="preserve"> </w:t>
            </w:r>
          </w:p>
          <w:p w14:paraId="12F45D46" w14:textId="6BFE6B9A" w:rsidR="00C50270" w:rsidRPr="00C612BE" w:rsidRDefault="00826CDD" w:rsidP="0096384D">
            <w:pPr>
              <w:pStyle w:val="Akapitzlist"/>
              <w:widowControl w:val="0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lang w:eastAsia="pl-PL"/>
              </w:rPr>
            </w:pPr>
            <w:r w:rsidRPr="00C612BE">
              <w:rPr>
                <w:rFonts w:ascii="Times New Roman" w:hAnsi="Times New Roman"/>
                <w:sz w:val="20"/>
                <w:lang w:eastAsia="pl-PL"/>
              </w:rPr>
              <w:t>nawrót</w:t>
            </w:r>
            <w:r w:rsidR="00B722E2" w:rsidRPr="00C612BE">
              <w:rPr>
                <w:rFonts w:ascii="Times New Roman" w:hAnsi="Times New Roman"/>
                <w:sz w:val="20"/>
                <w:lang w:eastAsia="pl-PL"/>
              </w:rPr>
              <w:t xml:space="preserve"> choroby- dotyczy terapii </w:t>
            </w:r>
            <w:r w:rsidR="00B722E2" w:rsidRPr="00C612BE">
              <w:rPr>
                <w:rFonts w:ascii="Times New Roman" w:hAnsi="Times New Roman"/>
                <w:i/>
                <w:iCs/>
                <w:sz w:val="20"/>
                <w:lang w:eastAsia="pl-PL"/>
              </w:rPr>
              <w:t>niwolumabem</w:t>
            </w:r>
            <w:r w:rsidR="00540837" w:rsidRPr="00C612BE">
              <w:rPr>
                <w:rFonts w:ascii="Times New Roman" w:hAnsi="Times New Roman"/>
                <w:i/>
                <w:iCs/>
                <w:sz w:val="20"/>
                <w:lang w:eastAsia="pl-PL"/>
              </w:rPr>
              <w:t xml:space="preserve"> w leczeniu uzupełniającym</w:t>
            </w:r>
            <w:r w:rsidR="00C50270" w:rsidRPr="00C612BE">
              <w:rPr>
                <w:rFonts w:ascii="Times New Roman" w:hAnsi="Times New Roman"/>
                <w:sz w:val="20"/>
                <w:lang w:eastAsia="pl-PL"/>
              </w:rPr>
              <w:t>;</w:t>
            </w:r>
          </w:p>
          <w:p w14:paraId="43AB066B" w14:textId="4656A874" w:rsidR="00C50270" w:rsidRPr="00C612BE" w:rsidRDefault="00C50270" w:rsidP="0096384D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lang w:eastAsia="pl-PL"/>
              </w:rPr>
            </w:pPr>
            <w:r w:rsidRPr="00C612BE">
              <w:rPr>
                <w:rFonts w:ascii="Times New Roman" w:hAnsi="Times New Roman"/>
                <w:sz w:val="20"/>
                <w:lang w:eastAsia="pl-PL"/>
              </w:rPr>
              <w:t>wystąpienie nieakceptowalnej lub zagrażającej życiu toksyczności, pomimo zastosowania adekwatnego postępowania;</w:t>
            </w:r>
          </w:p>
          <w:p w14:paraId="1322155C" w14:textId="1D4BC8F2" w:rsidR="00C50270" w:rsidRPr="00C612BE" w:rsidRDefault="00C50270" w:rsidP="0096384D">
            <w:pPr>
              <w:pStyle w:val="Akapitzlist"/>
              <w:widowControl w:val="0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lang w:eastAsia="pl-PL"/>
              </w:rPr>
            </w:pPr>
            <w:r w:rsidRPr="00C612BE">
              <w:rPr>
                <w:rFonts w:ascii="Times New Roman" w:hAnsi="Times New Roman"/>
                <w:sz w:val="20"/>
                <w:lang w:eastAsia="pl-PL"/>
              </w:rPr>
              <w:t xml:space="preserve">obniżenie sprawności do stopnia </w:t>
            </w:r>
            <w:r w:rsidR="00540837" w:rsidRPr="00C612BE">
              <w:rPr>
                <w:rFonts w:ascii="Times New Roman" w:hAnsi="Times New Roman"/>
                <w:sz w:val="20"/>
                <w:lang w:eastAsia="pl-PL"/>
              </w:rPr>
              <w:t>3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-4 według skali ECOG</w:t>
            </w:r>
            <w:r w:rsidR="00FE4ECE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="00FE4ECE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(dla </w:t>
            </w:r>
            <w:r w:rsidR="00540837" w:rsidRPr="00C612BE">
              <w:rPr>
                <w:rFonts w:ascii="Times New Roman" w:eastAsia="SimSun" w:hAnsi="Times New Roman"/>
                <w:bCs/>
                <w:i/>
                <w:iCs/>
                <w:sz w:val="20"/>
                <w:lang w:eastAsia="zh-CN"/>
              </w:rPr>
              <w:lastRenderedPageBreak/>
              <w:t>erdafitynibu</w:t>
            </w:r>
            <w:r w:rsidR="00FE4ECE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) </w:t>
            </w:r>
            <w:r w:rsidR="00540837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lub</w:t>
            </w:r>
            <w:r w:rsidR="001B0F14" w:rsidRPr="00C612BE">
              <w:rPr>
                <w:rFonts w:ascii="Times New Roman" w:eastAsiaTheme="minorHAnsi" w:hAnsi="Times New Roman"/>
                <w:sz w:val="20"/>
                <w:lang w:eastAsia="en-US"/>
              </w:rPr>
              <w:t xml:space="preserve"> do stopnia</w:t>
            </w:r>
            <w:r w:rsidR="001B0F14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 </w:t>
            </w:r>
            <w:r w:rsidR="00540837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2</w:t>
            </w:r>
            <w:r w:rsidR="001B0F14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 xml:space="preserve">-4 według skali ECOG (dla </w:t>
            </w:r>
            <w:r w:rsidR="00540837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pozostałych leków w programie</w:t>
            </w:r>
            <w:r w:rsidR="001B0F14" w:rsidRPr="00C612BE">
              <w:rPr>
                <w:rFonts w:ascii="Times New Roman" w:eastAsia="Calibri" w:hAnsi="Times New Roman"/>
                <w:sz w:val="20"/>
                <w:lang w:eastAsia="en-US" w:bidi="pl-PL"/>
              </w:rPr>
              <w:t>)</w:t>
            </w:r>
            <w:r w:rsidR="001B0F14" w:rsidRPr="00C612BE">
              <w:rPr>
                <w:rFonts w:ascii="Times New Roman" w:hAnsi="Times New Roman"/>
                <w:sz w:val="20"/>
                <w:lang w:eastAsia="pl-PL"/>
              </w:rPr>
              <w:t>;</w:t>
            </w:r>
          </w:p>
          <w:p w14:paraId="1D9A1FC6" w14:textId="7CA27699" w:rsidR="008250ED" w:rsidRPr="00C612BE" w:rsidRDefault="008250ED" w:rsidP="0096384D">
            <w:pPr>
              <w:pStyle w:val="Akapitzlist"/>
              <w:widowControl w:val="0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lang w:eastAsia="pl-PL"/>
              </w:rPr>
            </w:pPr>
            <w:r w:rsidRPr="00C612BE">
              <w:rPr>
                <w:rFonts w:ascii="Times New Roman" w:hAnsi="Times New Roman"/>
                <w:sz w:val="20"/>
                <w:lang w:eastAsia="pl-PL"/>
              </w:rPr>
              <w:t>wystąpienie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="00C50270" w:rsidRPr="00C612BE">
              <w:rPr>
                <w:rFonts w:ascii="Times New Roman" w:hAnsi="Times New Roman"/>
                <w:sz w:val="20"/>
                <w:lang w:eastAsia="pl-PL"/>
              </w:rPr>
              <w:t xml:space="preserve">objawów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nadwrażliwości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na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lek,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białko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mysie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lub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="00C50270" w:rsidRPr="00C612BE">
              <w:rPr>
                <w:rFonts w:ascii="Times New Roman" w:hAnsi="Times New Roman"/>
                <w:sz w:val="20"/>
                <w:lang w:eastAsia="pl-PL"/>
              </w:rPr>
              <w:t xml:space="preserve">na którąkolwiek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substancję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pomocniczą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uniemożliwiające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kontynuację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leczenia;</w:t>
            </w:r>
          </w:p>
          <w:p w14:paraId="3CC1AEFE" w14:textId="31FD1DBA" w:rsidR="00401B7E" w:rsidRPr="00C612BE" w:rsidRDefault="00401B7E" w:rsidP="0096384D">
            <w:pPr>
              <w:pStyle w:val="Akapitzlist"/>
              <w:widowControl w:val="0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lang w:eastAsia="pl-PL"/>
              </w:rPr>
            </w:pPr>
            <w:r w:rsidRPr="00C612BE">
              <w:rPr>
                <w:rFonts w:ascii="Times New Roman" w:hAnsi="Times New Roman"/>
                <w:sz w:val="20"/>
                <w:lang w:eastAsia="pl-PL"/>
              </w:rPr>
              <w:t>wystąpienie chorób lub stanów, które w opinii lekarza prowadzącego uniemożliwiają dalsze prowadzenie leczenia</w:t>
            </w:r>
            <w:r w:rsidR="00B722E2" w:rsidRPr="00C612BE">
              <w:rPr>
                <w:rFonts w:ascii="Times New Roman" w:hAnsi="Times New Roman"/>
                <w:sz w:val="20"/>
                <w:lang w:eastAsia="pl-PL"/>
              </w:rPr>
              <w:t>;</w:t>
            </w:r>
          </w:p>
          <w:p w14:paraId="6D632BB9" w14:textId="7CB6755F" w:rsidR="007F545E" w:rsidRPr="00C612BE" w:rsidRDefault="008250ED" w:rsidP="0096384D">
            <w:pPr>
              <w:pStyle w:val="Akapitzlist"/>
              <w:widowControl w:val="0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lang w:eastAsia="pl-PL"/>
              </w:rPr>
            </w:pPr>
            <w:r w:rsidRPr="00C612BE">
              <w:rPr>
                <w:rFonts w:ascii="Times New Roman" w:hAnsi="Times New Roman"/>
                <w:sz w:val="20"/>
                <w:lang w:eastAsia="pl-PL"/>
              </w:rPr>
              <w:t>pogorszenie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jakości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życia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o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istotnym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znaczeniu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według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oceny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lekarza;</w:t>
            </w:r>
          </w:p>
          <w:p w14:paraId="1091562A" w14:textId="22960934" w:rsidR="007F545E" w:rsidRPr="00C612BE" w:rsidRDefault="007F545E" w:rsidP="0096384D">
            <w:pPr>
              <w:pStyle w:val="Akapitzlist"/>
              <w:widowControl w:val="0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lang w:eastAsia="pl-PL"/>
              </w:rPr>
            </w:pPr>
            <w:r w:rsidRPr="00C612BE">
              <w:rPr>
                <w:rFonts w:ascii="Times New Roman" w:hAnsi="Times New Roman"/>
                <w:sz w:val="20"/>
                <w:lang w:eastAsia="pl-PL"/>
              </w:rPr>
              <w:t>okres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ciąży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lub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karmienia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piersią;</w:t>
            </w:r>
          </w:p>
          <w:p w14:paraId="3D51F377" w14:textId="2BA3C25A" w:rsidR="00287AA4" w:rsidRPr="00C612BE" w:rsidRDefault="007F545E" w:rsidP="0096384D">
            <w:pPr>
              <w:pStyle w:val="Akapitzlist"/>
              <w:widowControl w:val="0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lang w:eastAsia="pl-PL"/>
              </w:rPr>
            </w:pPr>
            <w:r w:rsidRPr="00C612BE">
              <w:rPr>
                <w:rFonts w:ascii="Times New Roman" w:hAnsi="Times New Roman"/>
                <w:sz w:val="20"/>
                <w:lang w:eastAsia="pl-PL"/>
              </w:rPr>
              <w:t>brak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współpracy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lub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nieprzestrzeganie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zaleceń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lekarskich,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w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tym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zwłaszcza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dotyczących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okresowych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badań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kontrolnych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oceniających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skuteczność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i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bezpieczeństwo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leczenia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ze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strony</w:t>
            </w:r>
            <w:r w:rsidR="00BE03E8" w:rsidRPr="00C612BE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świadczeniobiorcy</w:t>
            </w:r>
            <w:r w:rsidR="00C50270" w:rsidRPr="00C612BE">
              <w:rPr>
                <w:rFonts w:ascii="Times New Roman" w:hAnsi="Times New Roman"/>
                <w:sz w:val="20"/>
                <w:lang w:eastAsia="pl-PL"/>
              </w:rPr>
              <w:t xml:space="preserve"> lub jego prawnych opiekunów</w:t>
            </w:r>
            <w:r w:rsidRPr="00C612BE">
              <w:rPr>
                <w:rFonts w:ascii="Times New Roman" w:hAnsi="Times New Roman"/>
                <w:sz w:val="20"/>
                <w:lang w:eastAsia="pl-PL"/>
              </w:rPr>
              <w:t>.</w:t>
            </w:r>
          </w:p>
          <w:p w14:paraId="0BF60176" w14:textId="77777777" w:rsidR="00287AA4" w:rsidRPr="00CC3D8A" w:rsidRDefault="00287AA4" w:rsidP="00BE03E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ind w:left="397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4112" w:type="dxa"/>
            <w:hideMark/>
          </w:tcPr>
          <w:p w14:paraId="77A2CE8D" w14:textId="77777777" w:rsidR="008725F5" w:rsidRPr="00CC3D8A" w:rsidRDefault="008725F5" w:rsidP="0007510D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lang w:eastAsia="pl-PL"/>
              </w:rPr>
            </w:pPr>
            <w:r w:rsidRPr="00CC3D8A">
              <w:rPr>
                <w:rFonts w:ascii="Times New Roman" w:hAnsi="Times New Roman"/>
                <w:b/>
                <w:bCs/>
                <w:sz w:val="20"/>
                <w:lang w:eastAsia="pl-PL"/>
              </w:rPr>
              <w:lastRenderedPageBreak/>
              <w:t>Dawkowanie</w:t>
            </w:r>
          </w:p>
          <w:p w14:paraId="3BDAEA63" w14:textId="01CFEEDA" w:rsidR="008725F5" w:rsidRPr="00CC3D8A" w:rsidRDefault="00CF4DC0" w:rsidP="0007510D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lang w:eastAsia="pl-PL"/>
              </w:rPr>
            </w:pPr>
            <w:r w:rsidRPr="00CC3D8A">
              <w:rPr>
                <w:rFonts w:ascii="Times New Roman" w:hAnsi="Times New Roman"/>
                <w:sz w:val="20"/>
                <w:lang w:eastAsia="pl-PL"/>
              </w:rPr>
              <w:t>Dawka</w:t>
            </w:r>
            <w:r w:rsidR="00BE03E8" w:rsidRPr="00CC3D8A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="008725F5" w:rsidRPr="00CC3D8A">
              <w:rPr>
                <w:rFonts w:ascii="Times New Roman" w:hAnsi="Times New Roman"/>
                <w:i/>
                <w:iCs/>
                <w:sz w:val="20"/>
                <w:lang w:eastAsia="pl-PL"/>
              </w:rPr>
              <w:t>awelumabu</w:t>
            </w:r>
            <w:r w:rsidRPr="00CC3D8A">
              <w:rPr>
                <w:rFonts w:ascii="Times New Roman" w:hAnsi="Times New Roman"/>
                <w:sz w:val="20"/>
                <w:lang w:eastAsia="pl-PL"/>
              </w:rPr>
              <w:t>:</w:t>
            </w:r>
            <w:r w:rsidR="00BE03E8" w:rsidRPr="00CC3D8A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="008725F5" w:rsidRPr="00CC3D8A">
              <w:rPr>
                <w:rFonts w:ascii="Times New Roman" w:hAnsi="Times New Roman"/>
                <w:sz w:val="20"/>
                <w:lang w:eastAsia="pl-PL"/>
              </w:rPr>
              <w:t>800</w:t>
            </w:r>
            <w:r w:rsidR="00BE03E8" w:rsidRPr="00CC3D8A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="008725F5" w:rsidRPr="00CC3D8A">
              <w:rPr>
                <w:rFonts w:ascii="Times New Roman" w:hAnsi="Times New Roman"/>
                <w:sz w:val="20"/>
                <w:lang w:eastAsia="pl-PL"/>
              </w:rPr>
              <w:t>mg</w:t>
            </w:r>
            <w:r w:rsidR="00BE03E8" w:rsidRPr="00CC3D8A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  <w:lang w:eastAsia="pl-PL"/>
              </w:rPr>
              <w:t>co</w:t>
            </w:r>
            <w:r w:rsidR="00BE03E8" w:rsidRPr="00CC3D8A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="008725F5" w:rsidRPr="00CC3D8A">
              <w:rPr>
                <w:rFonts w:ascii="Times New Roman" w:hAnsi="Times New Roman"/>
                <w:sz w:val="20"/>
                <w:lang w:eastAsia="pl-PL"/>
              </w:rPr>
              <w:t>2</w:t>
            </w:r>
            <w:r w:rsidR="00BE03E8" w:rsidRPr="00CC3D8A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  <w:r w:rsidR="008725F5" w:rsidRPr="00CC3D8A">
              <w:rPr>
                <w:rFonts w:ascii="Times New Roman" w:hAnsi="Times New Roman"/>
                <w:sz w:val="20"/>
                <w:lang w:eastAsia="pl-PL"/>
              </w:rPr>
              <w:t>tygodnie</w:t>
            </w:r>
            <w:r w:rsidR="00FF5140" w:rsidRPr="00CC3D8A">
              <w:rPr>
                <w:rFonts w:ascii="Times New Roman" w:hAnsi="Times New Roman"/>
                <w:sz w:val="20"/>
                <w:lang w:eastAsia="pl-PL"/>
              </w:rPr>
              <w:t>;</w:t>
            </w:r>
            <w:r w:rsidR="00BE03E8" w:rsidRPr="00CC3D8A">
              <w:rPr>
                <w:rFonts w:ascii="Times New Roman" w:hAnsi="Times New Roman"/>
                <w:sz w:val="20"/>
                <w:lang w:eastAsia="pl-PL"/>
              </w:rPr>
              <w:t xml:space="preserve"> </w:t>
            </w:r>
          </w:p>
          <w:p w14:paraId="2DBA918C" w14:textId="77777777" w:rsidR="00540837" w:rsidRDefault="00540837" w:rsidP="0007510D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</w:rPr>
            </w:pPr>
            <w:r w:rsidRPr="0008150A">
              <w:rPr>
                <w:rFonts w:ascii="Times New Roman" w:hAnsi="Times New Roman"/>
                <w:sz w:val="20"/>
                <w:lang w:eastAsia="pl-PL"/>
              </w:rPr>
              <w:t xml:space="preserve">Dawka </w:t>
            </w:r>
            <w:r w:rsidRPr="0008150A">
              <w:rPr>
                <w:rFonts w:ascii="Times New Roman" w:hAnsi="Times New Roman"/>
                <w:i/>
                <w:iCs/>
                <w:sz w:val="20"/>
                <w:lang w:eastAsia="pl-PL"/>
              </w:rPr>
              <w:t>niwolumabu</w:t>
            </w:r>
            <w:r>
              <w:rPr>
                <w:rFonts w:ascii="Times New Roman" w:hAnsi="Times New Roman"/>
                <w:i/>
                <w:iCs/>
                <w:sz w:val="20"/>
                <w:lang w:eastAsia="pl-PL"/>
              </w:rPr>
              <w:t xml:space="preserve"> </w:t>
            </w:r>
            <w:r w:rsidRPr="00795B04">
              <w:rPr>
                <w:rFonts w:ascii="Times New Roman" w:hAnsi="Times New Roman"/>
                <w:sz w:val="20"/>
                <w:lang w:eastAsia="pl-PL"/>
              </w:rPr>
              <w:t>w leczeniu uzupełaniającym</w:t>
            </w:r>
            <w:r w:rsidRPr="0008150A">
              <w:rPr>
                <w:rFonts w:ascii="Times New Roman" w:hAnsi="Times New Roman"/>
                <w:sz w:val="20"/>
                <w:lang w:eastAsia="pl-PL"/>
              </w:rPr>
              <w:t xml:space="preserve">: </w:t>
            </w:r>
            <w:r w:rsidRPr="0008150A">
              <w:rPr>
                <w:rFonts w:ascii="Times New Roman" w:hAnsi="Times New Roman"/>
                <w:sz w:val="20"/>
              </w:rPr>
              <w:t>240 mg co 2 tygodnie lub 480 mg co 4 tygodnie;</w:t>
            </w:r>
          </w:p>
          <w:p w14:paraId="696E64D9" w14:textId="77777777" w:rsidR="00540837" w:rsidRDefault="00540837" w:rsidP="0007510D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Dawka </w:t>
            </w:r>
            <w:r w:rsidRPr="00795B04">
              <w:rPr>
                <w:rFonts w:ascii="Times New Roman" w:hAnsi="Times New Roman"/>
                <w:i/>
                <w:iCs/>
                <w:sz w:val="20"/>
              </w:rPr>
              <w:t>niwolumabu</w:t>
            </w:r>
            <w:r>
              <w:rPr>
                <w:rFonts w:ascii="Times New Roman" w:hAnsi="Times New Roman"/>
                <w:sz w:val="20"/>
              </w:rPr>
              <w:t xml:space="preserve"> z skojarzeniu z </w:t>
            </w:r>
            <w:r w:rsidRPr="00795B04">
              <w:rPr>
                <w:rFonts w:ascii="Times New Roman" w:hAnsi="Times New Roman"/>
                <w:i/>
                <w:iCs/>
                <w:sz w:val="20"/>
              </w:rPr>
              <w:t>cisplatyną i gemcytabiną</w:t>
            </w:r>
            <w:r>
              <w:rPr>
                <w:rFonts w:ascii="Times New Roman" w:hAnsi="Times New Roman"/>
                <w:sz w:val="20"/>
              </w:rPr>
              <w:t xml:space="preserve">: 360 mg co 3 tygodnie, przez 6 cykli a następnie </w:t>
            </w:r>
            <w:r w:rsidRPr="00616AEF">
              <w:rPr>
                <w:rFonts w:ascii="Times New Roman" w:hAnsi="Times New Roman"/>
                <w:sz w:val="20"/>
              </w:rPr>
              <w:t>240 mg co 2 tygodnie lub 480 mg co 4 tygodnie</w:t>
            </w:r>
            <w:r>
              <w:rPr>
                <w:rFonts w:ascii="Times New Roman" w:hAnsi="Times New Roman"/>
                <w:sz w:val="20"/>
              </w:rPr>
              <w:t>;</w:t>
            </w:r>
          </w:p>
          <w:p w14:paraId="67C99086" w14:textId="30B363B4" w:rsidR="0007510D" w:rsidRPr="0007510D" w:rsidRDefault="0007510D" w:rsidP="0007510D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Dawka </w:t>
            </w:r>
            <w:r>
              <w:rPr>
                <w:rFonts w:ascii="Times New Roman" w:hAnsi="Times New Roman"/>
                <w:i/>
                <w:iCs/>
                <w:sz w:val="20"/>
              </w:rPr>
              <w:t>pembrolizumabu</w:t>
            </w:r>
            <w:r>
              <w:rPr>
                <w:rFonts w:ascii="Times New Roman" w:hAnsi="Times New Roman"/>
                <w:sz w:val="20"/>
              </w:rPr>
              <w:t>: 200 mg co 3 tygodnie lub 400 mg co 6 tygodni;</w:t>
            </w:r>
          </w:p>
          <w:p w14:paraId="44E6315A" w14:textId="4B97C1E5" w:rsidR="00522350" w:rsidRPr="00CC3D8A" w:rsidRDefault="00522350" w:rsidP="0007510D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</w:rPr>
            </w:pPr>
            <w:r w:rsidRPr="00CC3D8A">
              <w:rPr>
                <w:rFonts w:ascii="Times New Roman" w:hAnsi="Times New Roman"/>
                <w:sz w:val="20"/>
              </w:rPr>
              <w:t>Dawka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i/>
                <w:iCs/>
                <w:sz w:val="20"/>
              </w:rPr>
              <w:t>enfortumabu</w:t>
            </w:r>
            <w:r w:rsidR="00BE03E8" w:rsidRPr="00CC3D8A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i/>
                <w:iCs/>
                <w:sz w:val="20"/>
              </w:rPr>
              <w:t>wedotyny</w:t>
            </w:r>
            <w:r w:rsidRPr="00CC3D8A">
              <w:rPr>
                <w:rFonts w:ascii="Times New Roman" w:hAnsi="Times New Roman"/>
                <w:sz w:val="20"/>
              </w:rPr>
              <w:t>: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1,25</w:t>
            </w:r>
            <w:r w:rsidR="00CD54E6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mg/kg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mc.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(maksymalnie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do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125</w:t>
            </w:r>
            <w:r w:rsidR="00CD54E6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mg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u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pacjentów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o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masie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ciała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≥100</w:t>
            </w:r>
            <w:r w:rsidR="00CD54E6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kg).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Lek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należy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podawać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we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wlewie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dożylnym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w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1.,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8.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15.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dniu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28-dniowego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cyklu.</w:t>
            </w:r>
            <w:r w:rsidR="003C4DA5" w:rsidRPr="00CC3D8A">
              <w:rPr>
                <w:rFonts w:ascii="Times New Roman" w:hAnsi="Times New Roman"/>
                <w:sz w:val="20"/>
              </w:rPr>
              <w:t>;</w:t>
            </w:r>
          </w:p>
          <w:p w14:paraId="2CE0B59C" w14:textId="16F7A9DD" w:rsidR="00330F52" w:rsidRPr="00CC3D8A" w:rsidRDefault="00330F52" w:rsidP="0007510D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</w:rPr>
            </w:pPr>
            <w:r w:rsidRPr="00CC3D8A">
              <w:rPr>
                <w:rFonts w:ascii="Times New Roman" w:hAnsi="Times New Roman"/>
                <w:sz w:val="20"/>
              </w:rPr>
              <w:t xml:space="preserve">Dawka </w:t>
            </w:r>
            <w:r w:rsidRPr="00CC3D8A">
              <w:rPr>
                <w:rFonts w:ascii="Times New Roman" w:hAnsi="Times New Roman"/>
                <w:i/>
                <w:iCs/>
                <w:sz w:val="20"/>
              </w:rPr>
              <w:t>erdafitynibu</w:t>
            </w:r>
            <w:r w:rsidRPr="00CC3D8A">
              <w:rPr>
                <w:rFonts w:ascii="Times New Roman" w:hAnsi="Times New Roman"/>
                <w:sz w:val="20"/>
              </w:rPr>
              <w:t xml:space="preserve">: </w:t>
            </w:r>
            <w:r w:rsidR="008A48D8" w:rsidRPr="00CC3D8A">
              <w:rPr>
                <w:rFonts w:ascii="Times New Roman" w:hAnsi="Times New Roman"/>
                <w:sz w:val="20"/>
              </w:rPr>
              <w:t>zalecana dawka początkowa to 8 mg na dobę, którą należy modyfikować na podstawie wyników badań, zgodnie z zapisami ChPL.</w:t>
            </w:r>
          </w:p>
          <w:p w14:paraId="4E001F56" w14:textId="77777777" w:rsidR="00522350" w:rsidRPr="00CC3D8A" w:rsidRDefault="00522350" w:rsidP="00BE03E8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CC3D8A">
              <w:rPr>
                <w:rFonts w:ascii="Times New Roman" w:hAnsi="Times New Roman"/>
                <w:sz w:val="20"/>
              </w:rPr>
              <w:t>Sposób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podawania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oraz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ewentualne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czasowe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wstrzymania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leczenia,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prowadzone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zgodnie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z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167933" w:rsidRPr="00CC3D8A">
              <w:rPr>
                <w:rFonts w:ascii="Times New Roman" w:hAnsi="Times New Roman"/>
                <w:sz w:val="20"/>
              </w:rPr>
              <w:lastRenderedPageBreak/>
              <w:t>aktualnymi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Charakterystykami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Produktu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Leczniczego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(ChPL).</w:t>
            </w:r>
          </w:p>
          <w:p w14:paraId="75BF17AE" w14:textId="77777777" w:rsidR="00522350" w:rsidRPr="00CC3D8A" w:rsidRDefault="00522350" w:rsidP="00BE03E8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CC3D8A">
              <w:rPr>
                <w:rFonts w:ascii="Times New Roman" w:hAnsi="Times New Roman"/>
                <w:sz w:val="20"/>
              </w:rPr>
              <w:t>Dopuszczalne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jest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zmniejszenie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wymienionych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poniżej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dawek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zgodnie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z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aktual</w:t>
            </w:r>
            <w:r w:rsidR="003A2798" w:rsidRPr="00CC3D8A">
              <w:rPr>
                <w:rFonts w:ascii="Times New Roman" w:hAnsi="Times New Roman"/>
                <w:sz w:val="20"/>
              </w:rPr>
              <w:t>nymi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ChPL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poszczególnych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leków.</w:t>
            </w:r>
          </w:p>
          <w:p w14:paraId="773133C0" w14:textId="77777777" w:rsidR="00287AA4" w:rsidRPr="00CC3D8A" w:rsidRDefault="00287AA4" w:rsidP="00BE03E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5610" w:type="dxa"/>
            <w:hideMark/>
          </w:tcPr>
          <w:p w14:paraId="359B3DF8" w14:textId="77777777" w:rsidR="00287AA4" w:rsidRPr="00CC3D8A" w:rsidRDefault="00287AA4" w:rsidP="0096384D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ascii="Times New Roman" w:eastAsia="SimSun" w:hAnsi="Times New Roman"/>
                <w:b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lastRenderedPageBreak/>
              <w:t>Badania</w:t>
            </w:r>
            <w:r w:rsidR="00BE03E8"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t>przy</w:t>
            </w:r>
            <w:r w:rsidR="00BE03E8"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t>kwalifikacji</w:t>
            </w:r>
          </w:p>
          <w:p w14:paraId="1FA51841" w14:textId="77777777" w:rsidR="00287AA4" w:rsidRPr="00CC3D8A" w:rsidRDefault="00726482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badanie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histopatologiczne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w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celu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potwierdzenia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raka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287AA4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urotelialnego;</w:t>
            </w:r>
          </w:p>
          <w:p w14:paraId="1BA04231" w14:textId="3AC7C961" w:rsidR="00727FD7" w:rsidRPr="00CC3D8A" w:rsidRDefault="00D5471A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hAnsi="Times New Roman"/>
                <w:sz w:val="20"/>
              </w:rPr>
              <w:t>o</w:t>
            </w:r>
            <w:r w:rsidR="00727FD7" w:rsidRPr="00CC3D8A">
              <w:rPr>
                <w:rFonts w:ascii="Times New Roman" w:hAnsi="Times New Roman"/>
                <w:sz w:val="20"/>
              </w:rPr>
              <w:t>cena,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727FD7" w:rsidRPr="00CC3D8A">
              <w:rPr>
                <w:rFonts w:ascii="Times New Roman" w:hAnsi="Times New Roman"/>
                <w:sz w:val="20"/>
              </w:rPr>
              <w:t>za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727FD7" w:rsidRPr="00CC3D8A">
              <w:rPr>
                <w:rFonts w:ascii="Times New Roman" w:hAnsi="Times New Roman"/>
                <w:sz w:val="20"/>
              </w:rPr>
              <w:t>pomocą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727FD7" w:rsidRPr="00CC3D8A">
              <w:rPr>
                <w:rFonts w:ascii="Times New Roman" w:hAnsi="Times New Roman"/>
                <w:sz w:val="20"/>
              </w:rPr>
              <w:t>zwalidowanego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727FD7" w:rsidRPr="00CC3D8A">
              <w:rPr>
                <w:rFonts w:ascii="Times New Roman" w:hAnsi="Times New Roman"/>
                <w:sz w:val="20"/>
              </w:rPr>
              <w:t>testu,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727FD7" w:rsidRPr="00CC3D8A">
              <w:rPr>
                <w:rFonts w:ascii="Times New Roman" w:hAnsi="Times New Roman"/>
                <w:sz w:val="20"/>
              </w:rPr>
              <w:t>poziomu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727FD7" w:rsidRPr="00CC3D8A">
              <w:rPr>
                <w:rFonts w:ascii="Times New Roman" w:hAnsi="Times New Roman"/>
                <w:sz w:val="20"/>
              </w:rPr>
              <w:t>ekspresji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727FD7" w:rsidRPr="00CC3D8A">
              <w:rPr>
                <w:rFonts w:ascii="Times New Roman" w:hAnsi="Times New Roman"/>
                <w:sz w:val="20"/>
              </w:rPr>
              <w:t>PD-L1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727FD7" w:rsidRPr="00CC3D8A">
              <w:rPr>
                <w:rFonts w:ascii="Times New Roman" w:hAnsi="Times New Roman"/>
                <w:sz w:val="20"/>
              </w:rPr>
              <w:t>w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727FD7" w:rsidRPr="00CC3D8A">
              <w:rPr>
                <w:rFonts w:ascii="Times New Roman" w:hAnsi="Times New Roman"/>
                <w:sz w:val="20"/>
              </w:rPr>
              <w:t>tkance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727FD7" w:rsidRPr="00CC3D8A">
              <w:rPr>
                <w:rFonts w:ascii="Times New Roman" w:hAnsi="Times New Roman"/>
                <w:sz w:val="20"/>
              </w:rPr>
              <w:t>nowotworowej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727FD7" w:rsidRPr="00CC3D8A">
              <w:rPr>
                <w:rFonts w:ascii="Times New Roman" w:hAnsi="Times New Roman"/>
                <w:sz w:val="20"/>
              </w:rPr>
              <w:t>–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727FD7" w:rsidRPr="00CC3D8A">
              <w:rPr>
                <w:rFonts w:ascii="Times New Roman" w:hAnsi="Times New Roman"/>
                <w:sz w:val="20"/>
              </w:rPr>
              <w:t>dotyczy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861E6" w:rsidRPr="00CC3D8A">
              <w:rPr>
                <w:rFonts w:ascii="Times New Roman" w:hAnsi="Times New Roman"/>
                <w:sz w:val="20"/>
              </w:rPr>
              <w:t>terapii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861E6" w:rsidRPr="00CC3D8A">
              <w:rPr>
                <w:rFonts w:ascii="Times New Roman" w:hAnsi="Times New Roman"/>
                <w:i/>
                <w:iCs/>
                <w:sz w:val="20"/>
              </w:rPr>
              <w:t>niwolumabem</w:t>
            </w:r>
            <w:r w:rsidR="00540837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r w:rsidR="00540837" w:rsidRPr="00540837">
              <w:rPr>
                <w:rFonts w:ascii="Times New Roman" w:hAnsi="Times New Roman"/>
                <w:sz w:val="20"/>
              </w:rPr>
              <w:t>w leczeniu uzupełniającym</w:t>
            </w:r>
            <w:r w:rsidR="00727FD7" w:rsidRPr="00540837">
              <w:rPr>
                <w:rFonts w:ascii="Times New Roman" w:hAnsi="Times New Roman"/>
                <w:sz w:val="20"/>
              </w:rPr>
              <w:t>;</w:t>
            </w:r>
          </w:p>
          <w:p w14:paraId="3AF16BAA" w14:textId="7E2C723B" w:rsidR="0081631D" w:rsidRPr="00CC3D8A" w:rsidRDefault="0040117F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hAnsi="Times New Roman"/>
                <w:sz w:val="20"/>
              </w:rPr>
              <w:t>ocena, za pomocą zwalidowanego testu obecności podatnych zmian genetycznych</w:t>
            </w:r>
            <w:r w:rsidR="00023ECA" w:rsidRPr="00CC3D8A">
              <w:rPr>
                <w:rFonts w:ascii="Times New Roman" w:hAnsi="Times New Roman"/>
                <w:sz w:val="20"/>
              </w:rPr>
              <w:t xml:space="preserve"> </w:t>
            </w:r>
            <w:r w:rsidR="009177CA" w:rsidRPr="00CC3D8A">
              <w:rPr>
                <w:rFonts w:ascii="Times New Roman" w:hAnsi="Times New Roman"/>
                <w:i/>
                <w:iCs/>
                <w:sz w:val="20"/>
              </w:rPr>
              <w:t>FGFR3</w:t>
            </w:r>
            <w:r w:rsidR="009701E8" w:rsidRPr="00CC3D8A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r w:rsidR="00501B2E" w:rsidRPr="00CC3D8A">
              <w:rPr>
                <w:rFonts w:ascii="Times New Roman" w:hAnsi="Times New Roman"/>
                <w:sz w:val="20"/>
              </w:rPr>
              <w:t xml:space="preserve">– dotyczy terapii </w:t>
            </w:r>
            <w:r w:rsidR="00D85D71" w:rsidRPr="00CC3D8A">
              <w:rPr>
                <w:rFonts w:ascii="Times New Roman" w:hAnsi="Times New Roman"/>
                <w:i/>
                <w:iCs/>
                <w:sz w:val="20"/>
              </w:rPr>
              <w:t>erdafitynibem</w:t>
            </w:r>
            <w:r w:rsidR="009701E8" w:rsidRPr="00CC3D8A">
              <w:rPr>
                <w:rFonts w:ascii="Times New Roman" w:hAnsi="Times New Roman"/>
                <w:sz w:val="20"/>
              </w:rPr>
              <w:t>;</w:t>
            </w:r>
          </w:p>
          <w:p w14:paraId="6E181DB3" w14:textId="77777777" w:rsidR="00726482" w:rsidRPr="00CC3D8A" w:rsidRDefault="00726482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morfologia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krwi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z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rozmazem;</w:t>
            </w:r>
          </w:p>
          <w:p w14:paraId="2E385C4E" w14:textId="77777777" w:rsidR="00726482" w:rsidRPr="00CC3D8A" w:rsidRDefault="00726482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oznaczenie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stężenia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hemoglobiny;</w:t>
            </w:r>
          </w:p>
          <w:p w14:paraId="4339F4FA" w14:textId="77777777" w:rsidR="00726482" w:rsidRPr="00CC3D8A" w:rsidRDefault="006E16D3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oznaczenie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stężenia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kreatyniny;</w:t>
            </w:r>
          </w:p>
          <w:p w14:paraId="2177F017" w14:textId="77777777" w:rsidR="006E16D3" w:rsidRPr="00CC3D8A" w:rsidRDefault="006E16D3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oznaczenie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stężenia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bilirubiny;</w:t>
            </w:r>
          </w:p>
          <w:p w14:paraId="114270F5" w14:textId="77777777" w:rsidR="006E16D3" w:rsidRPr="00CC3D8A" w:rsidRDefault="006E16D3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oznaczenie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3D1255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aktywności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aminotransferazy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alaninowej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727FD7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i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asparaginianowej;</w:t>
            </w:r>
          </w:p>
          <w:p w14:paraId="3CF42F3C" w14:textId="61394070" w:rsidR="006E16D3" w:rsidRPr="00CC3D8A" w:rsidRDefault="006E16D3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oznaczenie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aktywności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hormonu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tyreotropowego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(TSH)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727FD7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i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D5471A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tetrajodotyroniny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D5471A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(</w:t>
            </w:r>
            <w:r w:rsidR="00727FD7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fT4</w:t>
            </w:r>
            <w:r w:rsidR="00D5471A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)</w:t>
            </w:r>
            <w:r w:rsidR="0050381F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– dotyczy terapii </w:t>
            </w:r>
            <w:r w:rsidR="0050381F" w:rsidRPr="00540837">
              <w:rPr>
                <w:rFonts w:ascii="Times New Roman" w:eastAsia="SimSun" w:hAnsi="Times New Roman"/>
                <w:bCs/>
                <w:i/>
                <w:iCs/>
                <w:sz w:val="20"/>
                <w:lang w:eastAsia="zh-CN"/>
              </w:rPr>
              <w:t>awelumabem</w:t>
            </w:r>
            <w:r w:rsidR="00540837" w:rsidRPr="00540837">
              <w:rPr>
                <w:rFonts w:ascii="Times New Roman" w:eastAsia="SimSun" w:hAnsi="Times New Roman"/>
                <w:bCs/>
                <w:i/>
                <w:iCs/>
                <w:sz w:val="20"/>
                <w:lang w:eastAsia="zh-CN"/>
              </w:rPr>
              <w:t>,</w:t>
            </w:r>
            <w:r w:rsidR="0050381F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50381F" w:rsidRPr="00540837">
              <w:rPr>
                <w:rFonts w:ascii="Times New Roman" w:eastAsia="SimSun" w:hAnsi="Times New Roman"/>
                <w:bCs/>
                <w:i/>
                <w:iCs/>
                <w:sz w:val="20"/>
                <w:lang w:eastAsia="zh-CN"/>
              </w:rPr>
              <w:t>niwolumabem</w:t>
            </w:r>
            <w:r w:rsidR="00540837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07510D">
              <w:rPr>
                <w:rFonts w:ascii="Times New Roman" w:eastAsia="SimSun" w:hAnsi="Times New Roman"/>
                <w:bCs/>
                <w:sz w:val="20"/>
                <w:lang w:eastAsia="zh-CN"/>
              </w:rPr>
              <w:t>oraz pembrolizumabem;</w:t>
            </w:r>
          </w:p>
          <w:p w14:paraId="7EC4EE87" w14:textId="77777777" w:rsidR="006E16D3" w:rsidRPr="00CC3D8A" w:rsidRDefault="006E16D3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oznaczenie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skorygowanego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stężenia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wapnia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w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surowicy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727FD7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–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727FD7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dotyczy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727FD7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terapii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727FD7" w:rsidRPr="00CC3D8A">
              <w:rPr>
                <w:rFonts w:ascii="Times New Roman" w:eastAsia="SimSun" w:hAnsi="Times New Roman"/>
                <w:bCs/>
                <w:i/>
                <w:iCs/>
                <w:sz w:val="20"/>
                <w:lang w:eastAsia="zh-CN"/>
              </w:rPr>
              <w:t>awelumabem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;</w:t>
            </w:r>
          </w:p>
          <w:p w14:paraId="5071C7A2" w14:textId="77777777" w:rsidR="00913F11" w:rsidRPr="00CC3D8A" w:rsidRDefault="00DC5D0A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oznaczenie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stężenia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glukozy</w:t>
            </w:r>
            <w:r w:rsidR="000D532E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;</w:t>
            </w:r>
          </w:p>
          <w:p w14:paraId="041DD9E4" w14:textId="546C0E69" w:rsidR="008D2F1B" w:rsidRPr="00CC3D8A" w:rsidRDefault="000D532E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oznaczenie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antygenu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HBs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(HbsAg);</w:t>
            </w:r>
          </w:p>
          <w:p w14:paraId="2CEDA0E1" w14:textId="77777777" w:rsidR="00DD18EB" w:rsidRPr="0007510D" w:rsidRDefault="005C6A40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lastRenderedPageBreak/>
              <w:t>oznaczenie stężenia fosforanów</w:t>
            </w:r>
            <w:r w:rsidR="009B3BB4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w surowicy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– dotyczy terapii </w:t>
            </w:r>
            <w:r w:rsidRPr="00CC3D8A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erdafitynibem</w:t>
            </w:r>
            <w:r w:rsidR="00DD18EB" w:rsidRPr="00CC3D8A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;</w:t>
            </w:r>
          </w:p>
          <w:p w14:paraId="34D68A35" w14:textId="11280525" w:rsidR="0007510D" w:rsidRPr="0007510D" w:rsidRDefault="0007510D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oznaczenie stężenia elektrolitów (w tym stężenie sodu, potasu, wapnia) – dotyczy terapii </w:t>
            </w:r>
            <w:r>
              <w:rPr>
                <w:rFonts w:ascii="Times New Roman" w:eastAsia="SimSun" w:hAnsi="Times New Roman"/>
                <w:bCs/>
                <w:i/>
                <w:iCs/>
                <w:sz w:val="20"/>
                <w:lang w:eastAsia="zh-CN"/>
              </w:rPr>
              <w:t>pembrolizumabem</w:t>
            </w:r>
            <w:r>
              <w:rPr>
                <w:rFonts w:ascii="Times New Roman" w:eastAsia="SimSun" w:hAnsi="Times New Roman"/>
                <w:bCs/>
                <w:sz w:val="20"/>
                <w:lang w:eastAsia="zh-CN"/>
              </w:rPr>
              <w:t>;</w:t>
            </w:r>
          </w:p>
          <w:p w14:paraId="7C9805BD" w14:textId="11094D78" w:rsidR="00DC5D0A" w:rsidRPr="00CC3D8A" w:rsidRDefault="00DC5D0A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inne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badania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laboratoryjne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w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razie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wskazań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klinicznych;</w:t>
            </w:r>
          </w:p>
          <w:p w14:paraId="6F211972" w14:textId="77777777" w:rsidR="00DC5D0A" w:rsidRPr="00CC3D8A" w:rsidRDefault="00DC5D0A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test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ciążowy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u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kobiet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w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wieku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rozrodczym;</w:t>
            </w:r>
          </w:p>
          <w:p w14:paraId="63DA18EE" w14:textId="025CAC36" w:rsidR="00DC5D0A" w:rsidRPr="00CC3D8A" w:rsidRDefault="00DC5D0A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TK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A33144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lub MRI </w:t>
            </w:r>
            <w:r w:rsidR="000D532E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klatki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0D532E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piersiowej</w:t>
            </w:r>
            <w:r w:rsidR="00A33144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, </w:t>
            </w:r>
            <w:r w:rsidR="000D532E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jamy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0D532E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brzusznej</w:t>
            </w:r>
            <w:r w:rsidR="00A33144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i miednicy</w:t>
            </w:r>
            <w:r w:rsidR="000D532E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;</w:t>
            </w:r>
          </w:p>
          <w:p w14:paraId="0691EA9B" w14:textId="77777777" w:rsidR="000D532E" w:rsidRPr="00CC3D8A" w:rsidRDefault="000D532E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RTG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klatki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piersiowej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–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wyłącznie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w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przypadkach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możliwości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przeprowadzenia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pomiaru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zmian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chorobowych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oraz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oceny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odpowiedzi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na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leczenie;</w:t>
            </w:r>
          </w:p>
          <w:p w14:paraId="26E1FABA" w14:textId="79E9F82E" w:rsidR="00287AA4" w:rsidRPr="00CC3D8A" w:rsidRDefault="00287AA4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TK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lub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MR</w:t>
            </w:r>
            <w:r w:rsidR="00113A01">
              <w:rPr>
                <w:rFonts w:ascii="Times New Roman" w:eastAsia="SimSun" w:hAnsi="Times New Roman"/>
                <w:bCs/>
                <w:sz w:val="20"/>
                <w:lang w:eastAsia="zh-CN"/>
              </w:rPr>
              <w:t>I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mózgu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–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w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przypadku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osób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z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podejrzeniem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przerzutów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do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ośrodkowego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układu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nerwowego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(tj.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w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przypadku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objawów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ze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strony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ośrodkowego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układu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nerwowego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oraz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u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osób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po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wcześniejszej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resekcji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lub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napromienianiu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przerzutów);</w:t>
            </w:r>
          </w:p>
          <w:p w14:paraId="3205BD8B" w14:textId="77777777" w:rsidR="00307851" w:rsidRPr="00CC3D8A" w:rsidRDefault="00307851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inne badania obrazowe w razie wskazań klinicznych;</w:t>
            </w:r>
          </w:p>
          <w:p w14:paraId="465C70CF" w14:textId="5FEA13C8" w:rsidR="00DC5D0A" w:rsidRPr="00CC3D8A" w:rsidRDefault="00DC5D0A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elektrokardiogram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(EKG);</w:t>
            </w:r>
          </w:p>
          <w:p w14:paraId="3626B8FB" w14:textId="4742B302" w:rsidR="009B6CDB" w:rsidRPr="00CC3D8A" w:rsidRDefault="00DC5D0A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pomiar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ciśnienia</w:t>
            </w:r>
            <w:r w:rsidR="00BE03E8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tętniczego</w:t>
            </w:r>
            <w:r w:rsidR="0096384D">
              <w:rPr>
                <w:rFonts w:ascii="Times New Roman" w:eastAsia="SimSun" w:hAnsi="Times New Roman"/>
                <w:bCs/>
                <w:sz w:val="20"/>
                <w:lang w:eastAsia="zh-CN"/>
              </w:rPr>
              <w:t>;</w:t>
            </w:r>
          </w:p>
          <w:p w14:paraId="63609ABA" w14:textId="0176F2A7" w:rsidR="00DC5D0A" w:rsidRPr="00CC3D8A" w:rsidRDefault="00297EA6" w:rsidP="0096384D">
            <w:pPr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pełne </w:t>
            </w:r>
            <w:r w:rsidR="001D3BFE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badanie okulistyczne</w:t>
            </w:r>
            <w:r w:rsidR="00AA2B29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 xml:space="preserve"> </w:t>
            </w:r>
            <w:r w:rsidR="00AA2B29" w:rsidRPr="00CC3D8A">
              <w:rPr>
                <w:rFonts w:ascii="Times New Roman" w:hAnsi="Times New Roman"/>
                <w:sz w:val="20"/>
              </w:rPr>
              <w:t>zgodnie z aktualną Charakterystyką Produktu Leczniczego (ChPL)</w:t>
            </w:r>
            <w:r w:rsidR="00DB4282" w:rsidRPr="00CC3D8A">
              <w:rPr>
                <w:rFonts w:ascii="Times New Roman" w:hAnsi="Times New Roman"/>
                <w:sz w:val="20"/>
              </w:rPr>
              <w:t xml:space="preserve"> </w:t>
            </w:r>
            <w:r w:rsidR="009B6CDB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– dotyczy terapii </w:t>
            </w:r>
            <w:r w:rsidR="009B6CDB" w:rsidRPr="00CC3D8A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erdafitynibem</w:t>
            </w:r>
            <w:r w:rsidR="00307851" w:rsidRPr="00CC3D8A">
              <w:rPr>
                <w:rFonts w:ascii="Times New Roman" w:eastAsia="SimSun" w:hAnsi="Times New Roman"/>
                <w:bCs/>
                <w:sz w:val="20"/>
                <w:lang w:eastAsia="zh-CN"/>
              </w:rPr>
              <w:t>.</w:t>
            </w:r>
          </w:p>
          <w:p w14:paraId="439DC4AB" w14:textId="77777777" w:rsidR="006E16D3" w:rsidRPr="00CC3D8A" w:rsidRDefault="006E16D3" w:rsidP="00BE03E8">
            <w:pPr>
              <w:widowControl w:val="0"/>
              <w:spacing w:after="60" w:line="276" w:lineRule="auto"/>
              <w:jc w:val="both"/>
              <w:rPr>
                <w:rFonts w:ascii="Times New Roman" w:eastAsia="SimSun" w:hAnsi="Times New Roman"/>
                <w:sz w:val="20"/>
                <w:lang w:eastAsia="en-US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en-US"/>
              </w:rPr>
              <w:t>Wstępne</w:t>
            </w:r>
            <w:r w:rsidR="00BE03E8" w:rsidRPr="00CC3D8A">
              <w:rPr>
                <w:rFonts w:ascii="Times New Roman" w:eastAsia="SimSun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en-US"/>
              </w:rPr>
              <w:t>badania</w:t>
            </w:r>
            <w:r w:rsidR="00BE03E8" w:rsidRPr="00CC3D8A">
              <w:rPr>
                <w:rFonts w:ascii="Times New Roman" w:eastAsia="SimSun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en-US"/>
              </w:rPr>
              <w:t>obrazowe</w:t>
            </w:r>
            <w:r w:rsidR="00BE03E8" w:rsidRPr="00CC3D8A">
              <w:rPr>
                <w:rFonts w:ascii="Times New Roman" w:eastAsia="SimSun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en-US"/>
              </w:rPr>
              <w:t>muszą</w:t>
            </w:r>
            <w:r w:rsidR="00BE03E8" w:rsidRPr="00CC3D8A">
              <w:rPr>
                <w:rFonts w:ascii="Times New Roman" w:eastAsia="SimSun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en-US"/>
              </w:rPr>
              <w:t>umożliwić</w:t>
            </w:r>
            <w:r w:rsidR="00BE03E8" w:rsidRPr="00CC3D8A">
              <w:rPr>
                <w:rFonts w:ascii="Times New Roman" w:eastAsia="SimSun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en-US"/>
              </w:rPr>
              <w:t>późniejszą</w:t>
            </w:r>
            <w:r w:rsidR="00BE03E8" w:rsidRPr="00CC3D8A">
              <w:rPr>
                <w:rFonts w:ascii="Times New Roman" w:eastAsia="SimSun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en-US"/>
              </w:rPr>
              <w:t>obiektywną</w:t>
            </w:r>
            <w:r w:rsidR="00BE03E8" w:rsidRPr="00CC3D8A">
              <w:rPr>
                <w:rFonts w:ascii="Times New Roman" w:eastAsia="SimSun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en-US"/>
              </w:rPr>
              <w:t>ocenę</w:t>
            </w:r>
            <w:r w:rsidR="00BE03E8" w:rsidRPr="00CC3D8A">
              <w:rPr>
                <w:rFonts w:ascii="Times New Roman" w:eastAsia="SimSun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en-US"/>
              </w:rPr>
              <w:t>odpowiedzi</w:t>
            </w:r>
            <w:r w:rsidR="00BE03E8" w:rsidRPr="00CC3D8A">
              <w:rPr>
                <w:rFonts w:ascii="Times New Roman" w:eastAsia="SimSun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en-US"/>
              </w:rPr>
              <w:t>na</w:t>
            </w:r>
            <w:r w:rsidR="00BE03E8" w:rsidRPr="00CC3D8A">
              <w:rPr>
                <w:rFonts w:ascii="Times New Roman" w:eastAsia="SimSun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en-US"/>
              </w:rPr>
              <w:t>leczenie</w:t>
            </w:r>
            <w:r w:rsidR="00BE03E8" w:rsidRPr="00CC3D8A">
              <w:rPr>
                <w:rFonts w:ascii="Times New Roman" w:eastAsia="SimSun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en-US"/>
              </w:rPr>
              <w:t>wg</w:t>
            </w:r>
            <w:r w:rsidR="00BE03E8" w:rsidRPr="00CC3D8A">
              <w:rPr>
                <w:rFonts w:ascii="Times New Roman" w:eastAsia="SimSun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en-US"/>
              </w:rPr>
              <w:t>aktualnych</w:t>
            </w:r>
            <w:r w:rsidR="00BE03E8" w:rsidRPr="00CC3D8A">
              <w:rPr>
                <w:rFonts w:ascii="Times New Roman" w:eastAsia="SimSun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en-US"/>
              </w:rPr>
              <w:t>kryteriów</w:t>
            </w:r>
            <w:r w:rsidR="00BE03E8" w:rsidRPr="00CC3D8A">
              <w:rPr>
                <w:rFonts w:ascii="Times New Roman" w:eastAsia="SimSun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en-US"/>
              </w:rPr>
              <w:t>RECIST</w:t>
            </w:r>
            <w:r w:rsidR="00BE03E8" w:rsidRPr="00CC3D8A">
              <w:rPr>
                <w:rFonts w:ascii="Times New Roman" w:eastAsia="SimSun" w:hAnsi="Times New Roman"/>
                <w:sz w:val="20"/>
                <w:lang w:eastAsia="en-US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en-US"/>
              </w:rPr>
              <w:t>1.1.</w:t>
            </w:r>
          </w:p>
          <w:p w14:paraId="168EB66E" w14:textId="77777777" w:rsidR="006E4AF4" w:rsidRPr="00CC3D8A" w:rsidRDefault="006E4AF4" w:rsidP="00BE03E8">
            <w:pPr>
              <w:widowControl w:val="0"/>
              <w:spacing w:after="60" w:line="276" w:lineRule="auto"/>
              <w:jc w:val="both"/>
              <w:rPr>
                <w:rFonts w:ascii="Times New Roman" w:eastAsia="SimSun" w:hAnsi="Times New Roman"/>
                <w:sz w:val="20"/>
                <w:lang w:eastAsia="en-US"/>
              </w:rPr>
            </w:pPr>
          </w:p>
          <w:p w14:paraId="7BF9596C" w14:textId="77777777" w:rsidR="00287AA4" w:rsidRPr="00CC3D8A" w:rsidRDefault="00287AA4" w:rsidP="0096384D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t>Monitorowanie</w:t>
            </w:r>
            <w:r w:rsidR="00BE03E8"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t>leczenia</w:t>
            </w:r>
          </w:p>
          <w:p w14:paraId="27E87EAB" w14:textId="77777777" w:rsidR="00ED2546" w:rsidRPr="00CC3D8A" w:rsidRDefault="00ED2546" w:rsidP="0096384D">
            <w:pPr>
              <w:pStyle w:val="Akapitzlist"/>
              <w:numPr>
                <w:ilvl w:val="3"/>
                <w:numId w:val="2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lang w:eastAsia="en-US"/>
              </w:rPr>
            </w:pPr>
            <w:r w:rsidRPr="00CC3D8A">
              <w:rPr>
                <w:rFonts w:ascii="Times New Roman" w:hAnsi="Times New Roman"/>
                <w:sz w:val="20"/>
              </w:rPr>
              <w:t>morfologia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krwi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z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rozmazem;</w:t>
            </w:r>
          </w:p>
          <w:p w14:paraId="1D503878" w14:textId="77777777" w:rsidR="00ED2546" w:rsidRPr="00CC3D8A" w:rsidRDefault="00ED2546" w:rsidP="0096384D">
            <w:pPr>
              <w:pStyle w:val="Akapitzlist"/>
              <w:numPr>
                <w:ilvl w:val="3"/>
                <w:numId w:val="2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</w:rPr>
            </w:pPr>
            <w:r w:rsidRPr="00CC3D8A">
              <w:rPr>
                <w:rFonts w:ascii="Times New Roman" w:hAnsi="Times New Roman"/>
                <w:sz w:val="20"/>
              </w:rPr>
              <w:t>oznaczenie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stężenia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hemoglobiny;</w:t>
            </w:r>
          </w:p>
          <w:p w14:paraId="29931EF9" w14:textId="77777777" w:rsidR="00ED2546" w:rsidRPr="00CC3D8A" w:rsidRDefault="00ED2546" w:rsidP="0096384D">
            <w:pPr>
              <w:pStyle w:val="Akapitzlist"/>
              <w:numPr>
                <w:ilvl w:val="3"/>
                <w:numId w:val="2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</w:rPr>
            </w:pPr>
            <w:r w:rsidRPr="00CC3D8A">
              <w:rPr>
                <w:rFonts w:ascii="Times New Roman" w:hAnsi="Times New Roman"/>
                <w:sz w:val="20"/>
              </w:rPr>
              <w:t>oznaczenia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stężenia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kreatyniny;</w:t>
            </w:r>
          </w:p>
          <w:p w14:paraId="0C1805F6" w14:textId="77777777" w:rsidR="00ED2546" w:rsidRPr="00CC3D8A" w:rsidRDefault="00ED2546" w:rsidP="0096384D">
            <w:pPr>
              <w:pStyle w:val="Akapitzlist"/>
              <w:numPr>
                <w:ilvl w:val="3"/>
                <w:numId w:val="2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</w:rPr>
            </w:pPr>
            <w:r w:rsidRPr="00CC3D8A">
              <w:rPr>
                <w:rFonts w:ascii="Times New Roman" w:hAnsi="Times New Roman"/>
                <w:sz w:val="20"/>
              </w:rPr>
              <w:lastRenderedPageBreak/>
              <w:t>oznaczenie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stężenia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bilirubiny;</w:t>
            </w:r>
          </w:p>
          <w:p w14:paraId="10A95722" w14:textId="77777777" w:rsidR="00727FD7" w:rsidRPr="00CC3D8A" w:rsidRDefault="00727FD7" w:rsidP="0096384D">
            <w:pPr>
              <w:pStyle w:val="Akapitzlist"/>
              <w:numPr>
                <w:ilvl w:val="3"/>
                <w:numId w:val="2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</w:rPr>
            </w:pPr>
            <w:r w:rsidRPr="00CC3D8A">
              <w:rPr>
                <w:rFonts w:ascii="Times New Roman" w:hAnsi="Times New Roman"/>
                <w:sz w:val="20"/>
              </w:rPr>
              <w:t>oznaczenie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stężenia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glukozy;</w:t>
            </w:r>
          </w:p>
          <w:p w14:paraId="4B805FA2" w14:textId="77777777" w:rsidR="00ED2546" w:rsidRDefault="00ED2546" w:rsidP="0096384D">
            <w:pPr>
              <w:pStyle w:val="Akapitzlist"/>
              <w:numPr>
                <w:ilvl w:val="3"/>
                <w:numId w:val="2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</w:rPr>
            </w:pPr>
            <w:r w:rsidRPr="00CC3D8A">
              <w:rPr>
                <w:rFonts w:ascii="Times New Roman" w:hAnsi="Times New Roman"/>
                <w:sz w:val="20"/>
              </w:rPr>
              <w:t>oznaczenie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aktywności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aminotransferazy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alaninowej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727FD7" w:rsidRPr="00CC3D8A">
              <w:rPr>
                <w:rFonts w:ascii="Times New Roman" w:hAnsi="Times New Roman"/>
                <w:sz w:val="20"/>
              </w:rPr>
              <w:t>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CF4DC0" w:rsidRPr="00CC3D8A">
              <w:rPr>
                <w:rFonts w:ascii="Times New Roman" w:hAnsi="Times New Roman"/>
                <w:sz w:val="20"/>
              </w:rPr>
              <w:t>asparaginianowej;</w:t>
            </w:r>
          </w:p>
          <w:p w14:paraId="76E3E5B6" w14:textId="7DA3A9B3" w:rsidR="00113A01" w:rsidRDefault="00113A01" w:rsidP="0096384D">
            <w:pPr>
              <w:pStyle w:val="Akapitzlist"/>
              <w:numPr>
                <w:ilvl w:val="3"/>
                <w:numId w:val="2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oznaczenie stężenia elektrolitów (w tym stężenie sodu, potasu, wapnia) – dotyczy terapii pembrolizumabem;</w:t>
            </w:r>
          </w:p>
          <w:p w14:paraId="62BCC6CA" w14:textId="12F9683A" w:rsidR="00113A01" w:rsidRPr="00113A01" w:rsidRDefault="00113A01" w:rsidP="0096384D">
            <w:pPr>
              <w:pStyle w:val="Akapitzlist"/>
              <w:numPr>
                <w:ilvl w:val="3"/>
                <w:numId w:val="2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badanie ogólne moczu – dotyczy terapii pembrolizumabem;</w:t>
            </w:r>
          </w:p>
          <w:p w14:paraId="16E1B11B" w14:textId="77777777" w:rsidR="00ED2546" w:rsidRPr="00CC3D8A" w:rsidRDefault="002A222E" w:rsidP="0096384D">
            <w:pPr>
              <w:pStyle w:val="Akapitzlist"/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inne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badania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w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zależności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od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wskazań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klinicznych</w:t>
            </w:r>
            <w:r w:rsidR="008725F5" w:rsidRPr="00CC3D8A">
              <w:rPr>
                <w:rFonts w:ascii="Times New Roman" w:eastAsia="SimSun" w:hAnsi="Times New Roman"/>
                <w:sz w:val="20"/>
                <w:lang w:eastAsia="zh-CN"/>
              </w:rPr>
              <w:t>.</w:t>
            </w:r>
          </w:p>
          <w:p w14:paraId="6B5417D2" w14:textId="77777777" w:rsidR="00BE03E8" w:rsidRPr="00CC3D8A" w:rsidRDefault="00BE03E8" w:rsidP="0096384D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</w:p>
          <w:p w14:paraId="1422CA47" w14:textId="77777777" w:rsidR="002A222E" w:rsidRPr="00CC3D8A" w:rsidRDefault="002A222E" w:rsidP="0096384D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Badania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wykonuje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się:</w:t>
            </w:r>
          </w:p>
          <w:p w14:paraId="15B6CA5B" w14:textId="77777777" w:rsidR="002A222E" w:rsidRPr="00CC3D8A" w:rsidRDefault="002A222E" w:rsidP="0096384D">
            <w:pPr>
              <w:pStyle w:val="Akapitzlist"/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co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2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tygodnie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w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przypadku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morfologii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krwi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rozmazem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790072" w:rsidRPr="00CC3D8A">
              <w:rPr>
                <w:rFonts w:ascii="Times New Roman" w:eastAsia="SimSun" w:hAnsi="Times New Roman"/>
                <w:sz w:val="20"/>
                <w:lang w:eastAsia="zh-CN"/>
              </w:rPr>
              <w:t>(po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okresie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3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790072" w:rsidRPr="00CC3D8A">
              <w:rPr>
                <w:rFonts w:ascii="Times New Roman" w:eastAsia="SimSun" w:hAnsi="Times New Roman"/>
                <w:sz w:val="20"/>
                <w:lang w:eastAsia="zh-CN"/>
              </w:rPr>
              <w:t>miesięcy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leczenia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co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8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tygodni);</w:t>
            </w:r>
          </w:p>
          <w:p w14:paraId="2919A55C" w14:textId="77777777" w:rsidR="00CD2C4F" w:rsidRDefault="002A222E" w:rsidP="0096384D">
            <w:pPr>
              <w:pStyle w:val="Akapitzlist"/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co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8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tygodni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w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przypadku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pozostałych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badań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E861E6" w:rsidRPr="00CC3D8A">
              <w:rPr>
                <w:rFonts w:ascii="Times New Roman" w:eastAsia="SimSun" w:hAnsi="Times New Roman"/>
                <w:sz w:val="20"/>
                <w:lang w:eastAsia="zh-CN"/>
              </w:rPr>
              <w:t>(lub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E861E6" w:rsidRPr="00CC3D8A">
              <w:rPr>
                <w:rFonts w:ascii="Times New Roman" w:eastAsia="SimSun" w:hAnsi="Times New Roman"/>
                <w:sz w:val="20"/>
                <w:lang w:eastAsia="zh-CN"/>
              </w:rPr>
              <w:t>częściej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E861E6" w:rsidRPr="00CC3D8A">
              <w:rPr>
                <w:rFonts w:ascii="Times New Roman" w:eastAsia="SimSun" w:hAnsi="Times New Roman"/>
                <w:sz w:val="20"/>
                <w:lang w:eastAsia="zh-CN"/>
              </w:rPr>
              <w:t>w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E861E6" w:rsidRPr="00CC3D8A">
              <w:rPr>
                <w:rFonts w:ascii="Times New Roman" w:eastAsia="SimSun" w:hAnsi="Times New Roman"/>
                <w:sz w:val="20"/>
                <w:lang w:eastAsia="zh-CN"/>
              </w:rPr>
              <w:t>zależności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E861E6" w:rsidRPr="00CC3D8A">
              <w:rPr>
                <w:rFonts w:ascii="Times New Roman" w:eastAsia="SimSun" w:hAnsi="Times New Roman"/>
                <w:sz w:val="20"/>
                <w:lang w:eastAsia="zh-CN"/>
              </w:rPr>
              <w:t>od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E861E6" w:rsidRPr="00CC3D8A">
              <w:rPr>
                <w:rFonts w:ascii="Times New Roman" w:eastAsia="SimSun" w:hAnsi="Times New Roman"/>
                <w:sz w:val="20"/>
                <w:lang w:eastAsia="zh-CN"/>
              </w:rPr>
              <w:t>wskazań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E861E6" w:rsidRPr="00CC3D8A">
              <w:rPr>
                <w:rFonts w:ascii="Times New Roman" w:eastAsia="SimSun" w:hAnsi="Times New Roman"/>
                <w:sz w:val="20"/>
                <w:lang w:eastAsia="zh-CN"/>
              </w:rPr>
              <w:t>klinicznych)</w:t>
            </w:r>
            <w:r w:rsidR="00CD2C4F" w:rsidRPr="00CC3D8A">
              <w:rPr>
                <w:rFonts w:ascii="Times New Roman" w:eastAsia="SimSun" w:hAnsi="Times New Roman"/>
                <w:sz w:val="20"/>
                <w:lang w:eastAsia="zh-CN"/>
              </w:rPr>
              <w:t>;</w:t>
            </w:r>
          </w:p>
          <w:p w14:paraId="3B926F56" w14:textId="16019A5B" w:rsidR="006F696A" w:rsidRPr="006F696A" w:rsidRDefault="006F696A" w:rsidP="0096384D">
            <w:pPr>
              <w:pStyle w:val="Akapitzlist"/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w przypadku stosowania niwolumabu - badania wykonuje się przed każdym podaniem niwolumabu, nie rzadziej niż co 4 tygodnie</w:t>
            </w:r>
            <w:r w:rsidR="0096384D">
              <w:rPr>
                <w:rFonts w:ascii="Times New Roman" w:eastAsia="SimSun" w:hAnsi="Times New Roman"/>
                <w:sz w:val="20"/>
                <w:lang w:eastAsia="zh-CN"/>
              </w:rPr>
              <w:t>;</w:t>
            </w:r>
          </w:p>
          <w:p w14:paraId="24C0964E" w14:textId="2E8C0775" w:rsidR="00CD2C4F" w:rsidRPr="00CC3D8A" w:rsidRDefault="00033EB2" w:rsidP="0096384D">
            <w:pPr>
              <w:pStyle w:val="Akapitzlist"/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między dniem 14 a 21 </w:t>
            </w:r>
            <w:r w:rsidR="00B64D2E" w:rsidRPr="00CC3D8A">
              <w:rPr>
                <w:rFonts w:ascii="Times New Roman" w:eastAsia="SimSun" w:hAnsi="Times New Roman"/>
                <w:sz w:val="20"/>
                <w:lang w:eastAsia="zh-CN"/>
              </w:rPr>
              <w:t>w przypadku</w:t>
            </w:r>
            <w:r w:rsidR="003148B0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stężenia fosforanów</w:t>
            </w:r>
            <w:r w:rsidR="00141176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, a następnie co miesiąc – dotyczy terapii </w:t>
            </w:r>
            <w:r w:rsidR="00141176" w:rsidRPr="00CC3D8A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erdafitynibe</w:t>
            </w:r>
            <w:r w:rsidR="0096384D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m;</w:t>
            </w:r>
          </w:p>
          <w:p w14:paraId="207DC041" w14:textId="263276CA" w:rsidR="006E4AF4" w:rsidRPr="00CC3D8A" w:rsidRDefault="00513B4C" w:rsidP="0096384D">
            <w:pPr>
              <w:pStyle w:val="Akapitzlist"/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co miesiąc w przypadku badania okulistycznego </w:t>
            </w:r>
            <w:r w:rsidR="00B56A44" w:rsidRPr="00CC3D8A">
              <w:rPr>
                <w:rFonts w:ascii="Times New Roman" w:eastAsia="SimSun" w:hAnsi="Times New Roman"/>
                <w:sz w:val="20"/>
                <w:lang w:eastAsia="zh-CN"/>
              </w:rPr>
              <w:t>(</w:t>
            </w:r>
            <w:r w:rsidR="00FC4362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po okresie pierwszych 4 miesięcy leczenia co 3 miesiące </w:t>
            </w:r>
            <w:r w:rsidR="009C2CEA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lub częściej w </w:t>
            </w:r>
            <w:r w:rsidR="008050B3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razie wskazań klinicznych) </w:t>
            </w:r>
            <w:r w:rsidR="00AD12C1" w:rsidRPr="00CC3D8A">
              <w:rPr>
                <w:rFonts w:ascii="Times New Roman" w:eastAsia="SimSun" w:hAnsi="Times New Roman"/>
                <w:sz w:val="20"/>
                <w:lang w:eastAsia="zh-CN"/>
              </w:rPr>
              <w:t>–</w:t>
            </w:r>
            <w:r w:rsidR="008050B3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AD12C1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dotyczy terapii </w:t>
            </w:r>
            <w:r w:rsidR="00AD12C1" w:rsidRPr="00CC3D8A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e</w:t>
            </w:r>
            <w:r w:rsidR="003576FF" w:rsidRPr="00CC3D8A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rdafitynibem</w:t>
            </w:r>
            <w:r w:rsidR="003576FF" w:rsidRPr="00CC3D8A">
              <w:rPr>
                <w:rFonts w:ascii="Times New Roman" w:eastAsia="SimSun" w:hAnsi="Times New Roman"/>
                <w:sz w:val="20"/>
                <w:lang w:eastAsia="zh-CN"/>
              </w:rPr>
              <w:t>.</w:t>
            </w:r>
          </w:p>
          <w:p w14:paraId="13454420" w14:textId="77777777" w:rsidR="00287AA4" w:rsidRPr="00CC3D8A" w:rsidRDefault="00287AA4" w:rsidP="0096384D">
            <w:pPr>
              <w:widowControl w:val="0"/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rFonts w:ascii="Times New Roman" w:eastAsia="SimSun" w:hAnsi="Times New Roman"/>
                <w:b/>
                <w:sz w:val="20"/>
                <w:lang w:eastAsia="zh-CN"/>
              </w:rPr>
            </w:pPr>
          </w:p>
          <w:p w14:paraId="6353302D" w14:textId="77777777" w:rsidR="00287AA4" w:rsidRPr="00CC3D8A" w:rsidRDefault="00287AA4" w:rsidP="0096384D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/>
                <w:sz w:val="20"/>
                <w:lang w:eastAsia="zh-CN"/>
              </w:rPr>
            </w:pPr>
            <w:bookmarkStart w:id="1" w:name="_Hlk116560226"/>
            <w:r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t>Monitorowanie</w:t>
            </w:r>
            <w:r w:rsidR="00BE03E8"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t>skuteczności</w:t>
            </w:r>
            <w:r w:rsidR="00BE03E8"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="0006027E"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t>i</w:t>
            </w:r>
            <w:r w:rsidR="00BE03E8"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="0006027E"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t>bezpieczeństwa</w:t>
            </w:r>
            <w:r w:rsidR="00BE03E8"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t>leczenia</w:t>
            </w:r>
          </w:p>
          <w:bookmarkEnd w:id="1"/>
          <w:p w14:paraId="096C232A" w14:textId="77777777" w:rsidR="005D2609" w:rsidRPr="00CC3D8A" w:rsidRDefault="005D2609" w:rsidP="0096384D">
            <w:pPr>
              <w:pStyle w:val="Akapitzlist"/>
              <w:numPr>
                <w:ilvl w:val="3"/>
                <w:numId w:val="2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lang w:eastAsia="en-US"/>
              </w:rPr>
            </w:pPr>
            <w:r w:rsidRPr="00CC3D8A">
              <w:rPr>
                <w:rFonts w:ascii="Times New Roman" w:hAnsi="Times New Roman"/>
                <w:sz w:val="20"/>
              </w:rPr>
              <w:t>TK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lub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MR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odpowiedniego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obszaru;</w:t>
            </w:r>
          </w:p>
          <w:p w14:paraId="148DBC8E" w14:textId="77777777" w:rsidR="005D2609" w:rsidRPr="00CC3D8A" w:rsidRDefault="005D2609" w:rsidP="0096384D">
            <w:pPr>
              <w:pStyle w:val="Akapitzlist"/>
              <w:numPr>
                <w:ilvl w:val="3"/>
                <w:numId w:val="2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</w:rPr>
            </w:pPr>
            <w:r w:rsidRPr="00CC3D8A">
              <w:rPr>
                <w:rFonts w:ascii="Times New Roman" w:hAnsi="Times New Roman"/>
                <w:sz w:val="20"/>
              </w:rPr>
              <w:t>RTG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klatki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piersiowej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E861E6" w:rsidRPr="00CC3D8A">
              <w:rPr>
                <w:rFonts w:ascii="Times New Roman" w:hAnsi="Times New Roman"/>
                <w:sz w:val="20"/>
              </w:rPr>
              <w:t>–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jeżeli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nie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jest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wykonywane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badanie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TK;</w:t>
            </w:r>
          </w:p>
          <w:p w14:paraId="1C875334" w14:textId="77777777" w:rsidR="005D2609" w:rsidRPr="00CC3D8A" w:rsidRDefault="005D2609" w:rsidP="0096384D">
            <w:pPr>
              <w:pStyle w:val="Akapitzlist"/>
              <w:numPr>
                <w:ilvl w:val="3"/>
                <w:numId w:val="2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</w:rPr>
            </w:pPr>
            <w:r w:rsidRPr="00CC3D8A">
              <w:rPr>
                <w:rFonts w:ascii="Times New Roman" w:hAnsi="Times New Roman"/>
                <w:sz w:val="20"/>
              </w:rPr>
              <w:t>inne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badania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obrazowe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w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razie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wskazań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klinicznych.</w:t>
            </w:r>
          </w:p>
          <w:p w14:paraId="0E8FAD89" w14:textId="77777777" w:rsidR="00BE03E8" w:rsidRPr="00CC3D8A" w:rsidRDefault="00BE03E8" w:rsidP="0096384D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</w:p>
          <w:p w14:paraId="39012AB9" w14:textId="77777777" w:rsidR="00E861E6" w:rsidRPr="00CC3D8A" w:rsidRDefault="005D2609" w:rsidP="0096384D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lastRenderedPageBreak/>
              <w:t>Badania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wykonuje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się:</w:t>
            </w:r>
          </w:p>
          <w:p w14:paraId="7CD0DFC2" w14:textId="37F4A202" w:rsidR="005D2609" w:rsidRPr="00CC3D8A" w:rsidRDefault="005D2609" w:rsidP="0096384D">
            <w:pPr>
              <w:pStyle w:val="Akapitzlist"/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co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12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tygodni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lub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częściej,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jeśli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wymaga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tego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stan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kliniczny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pacjenta</w:t>
            </w:r>
            <w:r w:rsidR="00307851" w:rsidRPr="00CC3D8A">
              <w:rPr>
                <w:rFonts w:ascii="Times New Roman" w:eastAsia="SimSun" w:hAnsi="Times New Roman"/>
                <w:sz w:val="20"/>
                <w:lang w:eastAsia="zh-CN"/>
              </w:rPr>
              <w:t>;</w:t>
            </w:r>
          </w:p>
          <w:p w14:paraId="74250C89" w14:textId="77777777" w:rsidR="006E4AF4" w:rsidRPr="00CC3D8A" w:rsidRDefault="005D2609" w:rsidP="0096384D">
            <w:pPr>
              <w:pStyle w:val="Akapitzlist"/>
              <w:widowControl w:val="0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w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chwili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wyłączenia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programu,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ile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nie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nastąpiło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powodu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udokumentowanej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progresji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choroby.</w:t>
            </w:r>
          </w:p>
          <w:p w14:paraId="4C5ED5BC" w14:textId="77777777" w:rsidR="005D2609" w:rsidRPr="00CC3D8A" w:rsidRDefault="005D2609" w:rsidP="0096384D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Wykonane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badania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obrazowe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muszą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umożliwić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obiektywną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ocenę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odpowiedzi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na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leczenie.</w:t>
            </w:r>
          </w:p>
          <w:p w14:paraId="6D3A71C6" w14:textId="77777777" w:rsidR="00287AA4" w:rsidRPr="00CC3D8A" w:rsidRDefault="005D2609" w:rsidP="0096384D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Ocena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odpowiedzi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na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leczenie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powinna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być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przeprowadzana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zgodnie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kryteriami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RECIST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1.1.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</w:p>
          <w:p w14:paraId="762BA905" w14:textId="77777777" w:rsidR="00BE03E8" w:rsidRPr="00CC3D8A" w:rsidRDefault="00BE03E8" w:rsidP="0096384D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</w:p>
          <w:p w14:paraId="04001AD5" w14:textId="7AF5CB88" w:rsidR="001C0FB6" w:rsidRPr="00113A01" w:rsidRDefault="001C0FB6" w:rsidP="0096384D">
            <w:pPr>
              <w:pStyle w:val="Akapitzlist"/>
              <w:widowControl w:val="0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113A01">
              <w:rPr>
                <w:rFonts w:ascii="Times New Roman" w:eastAsia="SimSun" w:hAnsi="Times New Roman"/>
                <w:sz w:val="20"/>
                <w:lang w:eastAsia="zh-CN"/>
              </w:rPr>
              <w:t>Wskaźniki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113A01">
              <w:rPr>
                <w:rFonts w:ascii="Times New Roman" w:eastAsia="SimSun" w:hAnsi="Times New Roman"/>
                <w:sz w:val="20"/>
                <w:lang w:eastAsia="zh-CN"/>
              </w:rPr>
              <w:t>efektywności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06027E" w:rsidRPr="00113A01">
              <w:rPr>
                <w:rFonts w:ascii="Times New Roman" w:eastAsia="SimSun" w:hAnsi="Times New Roman"/>
                <w:sz w:val="20"/>
                <w:lang w:eastAsia="zh-CN"/>
              </w:rPr>
              <w:t>terapii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113A01">
              <w:rPr>
                <w:rFonts w:ascii="Times New Roman" w:eastAsia="SimSun" w:hAnsi="Times New Roman"/>
                <w:sz w:val="20"/>
                <w:lang w:eastAsia="zh-CN"/>
              </w:rPr>
              <w:t>mierzone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113A01">
              <w:rPr>
                <w:rFonts w:ascii="Times New Roman" w:eastAsia="SimSun" w:hAnsi="Times New Roman"/>
                <w:sz w:val="20"/>
                <w:lang w:eastAsia="zh-CN"/>
              </w:rPr>
              <w:t>dla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06027E" w:rsidRPr="00113A01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awelumabu</w:t>
            </w:r>
            <w:r w:rsidR="00817E36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, 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113A01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niwolumabu</w:t>
            </w:r>
            <w:r w:rsidR="00113A01" w:rsidRPr="00113A01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, pembrolizumabu</w:t>
            </w:r>
            <w:r w:rsidR="001A6A53" w:rsidRPr="00113A01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 xml:space="preserve"> </w:t>
            </w:r>
            <w:r w:rsidR="005F5B4B" w:rsidRPr="00113A01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oraz erdafiynibu</w:t>
            </w:r>
            <w:r w:rsidR="0006027E" w:rsidRPr="00113A01">
              <w:rPr>
                <w:rFonts w:ascii="Times New Roman" w:eastAsia="SimSun" w:hAnsi="Times New Roman"/>
                <w:sz w:val="20"/>
                <w:lang w:eastAsia="zh-CN"/>
              </w:rPr>
              <w:t>:</w:t>
            </w:r>
          </w:p>
          <w:p w14:paraId="13121428" w14:textId="4D0D74A4" w:rsidR="00803D33" w:rsidRPr="00CC3D8A" w:rsidRDefault="00803D33" w:rsidP="0096384D">
            <w:pPr>
              <w:pStyle w:val="Akapitzlist"/>
              <w:widowControl w:val="0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śmiertelność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–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przeżycie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całkowite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(OS)</w:t>
            </w:r>
            <w:r w:rsidR="00826CDD" w:rsidRPr="00CC3D8A">
              <w:rPr>
                <w:rFonts w:ascii="Times New Roman" w:eastAsia="SimSun" w:hAnsi="Times New Roman"/>
                <w:sz w:val="20"/>
                <w:lang w:eastAsia="zh-CN"/>
              </w:rPr>
              <w:t>,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tj.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czas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od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daty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podania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pierwszej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dawki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leku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do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daty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zgonu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jakiejkolwiek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przyczyny;</w:t>
            </w:r>
          </w:p>
          <w:p w14:paraId="379BED8A" w14:textId="1E23CC7B" w:rsidR="00803D33" w:rsidRPr="00CC3D8A" w:rsidRDefault="00803D33" w:rsidP="0096384D">
            <w:pPr>
              <w:pStyle w:val="Akapitzlist"/>
              <w:widowControl w:val="0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przeżycie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bez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progresji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choroby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(PFS)</w:t>
            </w:r>
            <w:r w:rsidR="00826CDD" w:rsidRPr="00CC3D8A">
              <w:rPr>
                <w:rFonts w:ascii="Times New Roman" w:eastAsia="SimSun" w:hAnsi="Times New Roman"/>
                <w:sz w:val="20"/>
                <w:lang w:eastAsia="zh-CN"/>
              </w:rPr>
              <w:t>,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tj.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czas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od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daty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podania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pierwszej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dawki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leku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do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daty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pierwszej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udokumentowanej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progresji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choroby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lub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zgonu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jakiejkolwiek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przyczyny</w:t>
            </w:r>
            <w:r w:rsidR="00826CDD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- dotyczy terapii </w:t>
            </w:r>
            <w:r w:rsidR="00826CDD" w:rsidRPr="00CC3D8A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awelumabem</w:t>
            </w:r>
            <w:r w:rsidR="00817E36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, niwolumabem w skojarzeniu z cisplatyną i gemcytabiną</w:t>
            </w:r>
            <w:r w:rsidR="00113A01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, pembrolizumabem</w:t>
            </w:r>
            <w:r w:rsidR="005F5B4B" w:rsidRPr="00CC3D8A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 xml:space="preserve"> oraz erdafitynibem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;</w:t>
            </w:r>
          </w:p>
          <w:p w14:paraId="1ED66F69" w14:textId="2154E8BE" w:rsidR="00D600EE" w:rsidRPr="00CC3D8A" w:rsidRDefault="00D600EE" w:rsidP="0096384D">
            <w:pPr>
              <w:pStyle w:val="Akapitzlist"/>
              <w:widowControl w:val="0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przeżycie wolne od choroby (DFS)</w:t>
            </w:r>
            <w:r w:rsidR="00826CDD" w:rsidRPr="00CC3D8A">
              <w:rPr>
                <w:rFonts w:ascii="Times New Roman" w:eastAsia="SimSun" w:hAnsi="Times New Roman"/>
                <w:sz w:val="20"/>
                <w:lang w:eastAsia="zh-CN"/>
              </w:rPr>
              <w:t>,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tj. czas od daty podania pierwszej dawki leku do daty pierwszego nawrotu lub zgonu – dotyczy terapii </w:t>
            </w:r>
            <w:r w:rsidRPr="00CC3D8A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niwolumabem</w:t>
            </w:r>
            <w:r w:rsidR="00817E36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 xml:space="preserve"> w leczeniu uzupełaniającym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;</w:t>
            </w:r>
          </w:p>
          <w:p w14:paraId="0C5170CD" w14:textId="77777777" w:rsidR="0006027E" w:rsidRPr="00CC3D8A" w:rsidRDefault="0006027E" w:rsidP="0096384D">
            <w:pPr>
              <w:pStyle w:val="Akapitzlist"/>
              <w:widowControl w:val="0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CC3D8A">
              <w:rPr>
                <w:rFonts w:ascii="Times New Roman" w:hAnsi="Times New Roman"/>
                <w:sz w:val="20"/>
              </w:rPr>
              <w:t>zdarzenia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niepożądane.</w:t>
            </w:r>
          </w:p>
          <w:p w14:paraId="2B6132BA" w14:textId="77777777" w:rsidR="00BE03E8" w:rsidRPr="00CC3D8A" w:rsidRDefault="00BE03E8" w:rsidP="0096384D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</w:p>
          <w:p w14:paraId="4AE3E3A2" w14:textId="158E74A4" w:rsidR="0006027E" w:rsidRPr="00113A01" w:rsidRDefault="0006027E" w:rsidP="0096384D">
            <w:pPr>
              <w:pStyle w:val="Akapitzlist"/>
              <w:widowControl w:val="0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</w:rPr>
            </w:pPr>
            <w:r w:rsidRPr="00113A01">
              <w:rPr>
                <w:rFonts w:ascii="Times New Roman" w:eastAsia="SimSun" w:hAnsi="Times New Roman"/>
                <w:sz w:val="20"/>
                <w:lang w:eastAsia="zh-CN"/>
              </w:rPr>
              <w:t>Wskaźniki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113A01">
              <w:rPr>
                <w:rFonts w:ascii="Times New Roman" w:eastAsia="SimSun" w:hAnsi="Times New Roman"/>
                <w:sz w:val="20"/>
                <w:lang w:eastAsia="zh-CN"/>
              </w:rPr>
              <w:t>efektywności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113A01">
              <w:rPr>
                <w:rFonts w:ascii="Times New Roman" w:eastAsia="SimSun" w:hAnsi="Times New Roman"/>
                <w:sz w:val="20"/>
                <w:lang w:eastAsia="zh-CN"/>
              </w:rPr>
              <w:t>terapii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D600EE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mierzone dla </w:t>
            </w:r>
            <w:r w:rsidRPr="00113A01">
              <w:rPr>
                <w:rFonts w:ascii="Times New Roman" w:hAnsi="Times New Roman"/>
                <w:i/>
                <w:iCs/>
                <w:sz w:val="20"/>
              </w:rPr>
              <w:t>enfortumabu</w:t>
            </w:r>
            <w:r w:rsidR="00BE03E8" w:rsidRPr="00113A01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r w:rsidRPr="00113A01">
              <w:rPr>
                <w:rFonts w:ascii="Times New Roman" w:hAnsi="Times New Roman"/>
                <w:i/>
                <w:iCs/>
                <w:sz w:val="20"/>
              </w:rPr>
              <w:t>wedotyny</w:t>
            </w:r>
            <w:r w:rsidRPr="00113A01">
              <w:rPr>
                <w:rFonts w:ascii="Times New Roman" w:hAnsi="Times New Roman"/>
                <w:sz w:val="20"/>
              </w:rPr>
              <w:t>:</w:t>
            </w:r>
          </w:p>
          <w:p w14:paraId="23A0A46E" w14:textId="5ECC4A9B" w:rsidR="0006027E" w:rsidRPr="00CC3D8A" w:rsidRDefault="0006027E" w:rsidP="0096384D">
            <w:pPr>
              <w:pStyle w:val="Akapitzlist"/>
              <w:widowControl w:val="0"/>
              <w:numPr>
                <w:ilvl w:val="3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śmiertelność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–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przeżycie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całkowite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(OS)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tj.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czas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od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daty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podania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pierwszej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dawki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leku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do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daty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zgonu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jakiejkolwiek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lastRenderedPageBreak/>
              <w:t>przyczyny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–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przeżycie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całkowite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oczekiwaną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medianą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12,9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miesiąca;</w:t>
            </w:r>
          </w:p>
          <w:p w14:paraId="64D0DCFC" w14:textId="77777777" w:rsidR="0006027E" w:rsidRPr="00CC3D8A" w:rsidRDefault="0006027E" w:rsidP="0096384D">
            <w:pPr>
              <w:pStyle w:val="Akapitzlist"/>
              <w:widowControl w:val="0"/>
              <w:numPr>
                <w:ilvl w:val="3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przeżycie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bez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progresji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choroby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(PFS)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tj.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czas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od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daty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podania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pierwszej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dawki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leku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do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daty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pierwszej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udokumentowanej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progresji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choroby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lub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zgonu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jakiejkolwiek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przyczyny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–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przeżycie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wolne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od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progresji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oczekiwaną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medianą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5,5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miesiąca;</w:t>
            </w:r>
          </w:p>
          <w:p w14:paraId="3BBAA543" w14:textId="2C39311A" w:rsidR="0006027E" w:rsidRPr="00CC3D8A" w:rsidRDefault="0006027E" w:rsidP="0096384D">
            <w:pPr>
              <w:pStyle w:val="Akapitzlist"/>
              <w:widowControl w:val="0"/>
              <w:numPr>
                <w:ilvl w:val="3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wskaźnik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odpowiedzi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obi</w:t>
            </w:r>
            <w:r w:rsidR="004D1922" w:rsidRPr="00CC3D8A">
              <w:rPr>
                <w:rFonts w:ascii="Times New Roman" w:eastAsia="SimSun" w:hAnsi="Times New Roman"/>
                <w:sz w:val="20"/>
                <w:lang w:eastAsia="zh-CN"/>
              </w:rPr>
              <w:t>e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ktywnych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(ORR)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tj.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odsetek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pacjentów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odpowiedzią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na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leczenie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w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postaci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pełnej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odpowiedzi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(CR)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lub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częściowej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odpowiedzi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(PR)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–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wskaźnik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odpowiedzi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obiektywnych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na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oczekiwanym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poziomie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40,6%;</w:t>
            </w:r>
          </w:p>
          <w:p w14:paraId="0262BC88" w14:textId="77777777" w:rsidR="0006027E" w:rsidRPr="00CC3D8A" w:rsidRDefault="0006027E" w:rsidP="0096384D">
            <w:pPr>
              <w:pStyle w:val="Akapitzlist"/>
              <w:widowControl w:val="0"/>
              <w:numPr>
                <w:ilvl w:val="3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mediana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DoR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-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czas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od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pierwszej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obiektywnej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odpowiedzi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(CR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lub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PR)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do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udokumentowanej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progresji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choroby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(PD)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lub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zgonu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jakiejkolwiek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przyczyny,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w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zależności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od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tego,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co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nastąpi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wcześniej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–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oczekiwany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wynik: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7,9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miesiąca;</w:t>
            </w:r>
          </w:p>
          <w:p w14:paraId="20E761EF" w14:textId="77777777" w:rsidR="005A65B0" w:rsidRPr="00113A01" w:rsidRDefault="005A65B0" w:rsidP="0096384D">
            <w:pPr>
              <w:pStyle w:val="Akapitzlist"/>
              <w:widowControl w:val="0"/>
              <w:numPr>
                <w:ilvl w:val="3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wskaźnik kontroli choroby (DCR) zdefiniowany jako uzyskanie przez pacjenta kontroli choroby ocenianej po 8 tygodniach od rozpoczęcia leczenia i rozumianej jako: </w:t>
            </w:r>
          </w:p>
          <w:p w14:paraId="67A4CDF7" w14:textId="78EDCA9B" w:rsidR="005A65B0" w:rsidRPr="00113A01" w:rsidRDefault="00113A01" w:rsidP="0096384D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 xml:space="preserve">- </w:t>
            </w:r>
            <w:r w:rsidR="005A65B0" w:rsidRPr="00113A01">
              <w:rPr>
                <w:rFonts w:ascii="Times New Roman" w:eastAsia="SimSun" w:hAnsi="Times New Roman"/>
                <w:sz w:val="20"/>
                <w:lang w:eastAsia="zh-CN"/>
              </w:rPr>
              <w:t>odpowiedź całkowita (C</w:t>
            </w:r>
            <w:r w:rsidR="007062D4" w:rsidRPr="00113A01">
              <w:rPr>
                <w:rFonts w:ascii="Times New Roman" w:eastAsia="SimSun" w:hAnsi="Times New Roman"/>
                <w:sz w:val="20"/>
                <w:lang w:eastAsia="zh-CN"/>
              </w:rPr>
              <w:t>R</w:t>
            </w:r>
            <w:r w:rsidR="005A65B0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) lub odpowiedź częściowa </w:t>
            </w:r>
            <w:r w:rsidR="007062D4" w:rsidRPr="00113A01">
              <w:rPr>
                <w:rFonts w:ascii="Times New Roman" w:eastAsia="SimSun" w:hAnsi="Times New Roman"/>
                <w:sz w:val="20"/>
                <w:lang w:eastAsia="zh-CN"/>
              </w:rPr>
              <w:t>(PR) mierzonych według aktualnych kryteriów RECIST lub</w:t>
            </w:r>
          </w:p>
          <w:p w14:paraId="387E59CB" w14:textId="0EAF9FDB" w:rsidR="007062D4" w:rsidRPr="00113A01" w:rsidRDefault="00113A01" w:rsidP="0096384D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 xml:space="preserve">- </w:t>
            </w:r>
            <w:r w:rsidR="007062D4" w:rsidRPr="00113A01">
              <w:rPr>
                <w:rFonts w:ascii="Times New Roman" w:eastAsia="SimSun" w:hAnsi="Times New Roman"/>
                <w:sz w:val="20"/>
                <w:lang w:eastAsia="zh-CN"/>
              </w:rPr>
              <w:t>stabilizacja choroby (SD)</w:t>
            </w:r>
          </w:p>
          <w:p w14:paraId="62478B26" w14:textId="74EAF4C1" w:rsidR="00055922" w:rsidRPr="00CC3D8A" w:rsidRDefault="00055922" w:rsidP="0096384D">
            <w:pPr>
              <w:widowControl w:val="0"/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rFonts w:ascii="Times New Roman" w:hAnsi="Times New Roman"/>
                <w:sz w:val="20"/>
              </w:rPr>
            </w:pPr>
            <w:r w:rsidRPr="00CC3D8A">
              <w:rPr>
                <w:rFonts w:ascii="Times New Roman" w:hAnsi="Times New Roman"/>
                <w:sz w:val="20"/>
              </w:rPr>
              <w:t>-oczekiwany wynik: 7</w:t>
            </w:r>
            <w:r w:rsidR="00C463E9" w:rsidRPr="00CC3D8A">
              <w:rPr>
                <w:rFonts w:ascii="Times New Roman" w:hAnsi="Times New Roman"/>
                <w:sz w:val="20"/>
              </w:rPr>
              <w:t>1</w:t>
            </w:r>
            <w:r w:rsidRPr="00CC3D8A">
              <w:rPr>
                <w:rFonts w:ascii="Times New Roman" w:hAnsi="Times New Roman"/>
                <w:sz w:val="20"/>
              </w:rPr>
              <w:t>,9%</w:t>
            </w:r>
            <w:r w:rsidR="00933AC8" w:rsidRPr="00CC3D8A">
              <w:rPr>
                <w:rFonts w:ascii="Times New Roman" w:hAnsi="Times New Roman"/>
                <w:sz w:val="20"/>
              </w:rPr>
              <w:t xml:space="preserve">. </w:t>
            </w:r>
          </w:p>
          <w:p w14:paraId="6DB218CD" w14:textId="515D374C" w:rsidR="0006027E" w:rsidRPr="00CC3D8A" w:rsidRDefault="0006027E" w:rsidP="0096384D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rFonts w:ascii="Times New Roman" w:hAnsi="Times New Roman"/>
                <w:sz w:val="20"/>
              </w:rPr>
            </w:pP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Pierwszą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ocenę</w:t>
            </w:r>
            <w:r w:rsidR="00BE03E8" w:rsidRPr="00CC3D8A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sz w:val="20"/>
                <w:lang w:eastAsia="zh-CN"/>
              </w:rPr>
              <w:t>o</w:t>
            </w:r>
            <w:r w:rsidRPr="00CC3D8A">
              <w:rPr>
                <w:rFonts w:ascii="Times New Roman" w:hAnsi="Times New Roman"/>
                <w:sz w:val="20"/>
              </w:rPr>
              <w:t>dpowiedzi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na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leczenie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i/>
                <w:iCs/>
                <w:sz w:val="20"/>
              </w:rPr>
              <w:t>enfortumabem</w:t>
            </w:r>
            <w:r w:rsidR="00BE03E8" w:rsidRPr="00CC3D8A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i/>
                <w:iCs/>
                <w:sz w:val="20"/>
              </w:rPr>
              <w:t>wedotyny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wykonuje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się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="00055922" w:rsidRPr="00CC3D8A">
              <w:rPr>
                <w:rFonts w:ascii="Times New Roman" w:hAnsi="Times New Roman"/>
                <w:sz w:val="20"/>
              </w:rPr>
              <w:t>w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8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tygodni</w:t>
            </w:r>
            <w:r w:rsidR="00055922" w:rsidRPr="00CC3D8A">
              <w:rPr>
                <w:rFonts w:ascii="Times New Roman" w:hAnsi="Times New Roman"/>
                <w:sz w:val="20"/>
              </w:rPr>
              <w:t>u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leczenia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(po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dwóch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pierwszych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28-dniowych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cyklach</w:t>
            </w:r>
            <w:r w:rsidR="00BE03E8" w:rsidRPr="00CC3D8A">
              <w:rPr>
                <w:rFonts w:ascii="Times New Roman" w:hAnsi="Times New Roman"/>
                <w:sz w:val="20"/>
              </w:rPr>
              <w:t xml:space="preserve"> </w:t>
            </w:r>
            <w:r w:rsidRPr="00CC3D8A">
              <w:rPr>
                <w:rFonts w:ascii="Times New Roman" w:hAnsi="Times New Roman"/>
                <w:sz w:val="20"/>
              </w:rPr>
              <w:t>leczenia).</w:t>
            </w:r>
          </w:p>
          <w:p w14:paraId="3EF3B74A" w14:textId="69A3FBEC" w:rsidR="00F17DB7" w:rsidRPr="00CC3D8A" w:rsidRDefault="00F17DB7" w:rsidP="005D1914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</w:p>
          <w:p w14:paraId="7C91E6D5" w14:textId="77777777" w:rsidR="00287AA4" w:rsidRPr="00CC3D8A" w:rsidRDefault="00287AA4" w:rsidP="0096384D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/>
                <w:b/>
                <w:sz w:val="20"/>
                <w:lang w:eastAsia="zh-CN"/>
              </w:rPr>
            </w:pPr>
            <w:r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t>Monitorowanie</w:t>
            </w:r>
            <w:r w:rsidR="00BE03E8"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t xml:space="preserve"> </w:t>
            </w:r>
            <w:r w:rsidRPr="00CC3D8A">
              <w:rPr>
                <w:rFonts w:ascii="Times New Roman" w:eastAsia="SimSun" w:hAnsi="Times New Roman"/>
                <w:b/>
                <w:sz w:val="20"/>
                <w:lang w:eastAsia="zh-CN"/>
              </w:rPr>
              <w:t>programu</w:t>
            </w:r>
          </w:p>
          <w:p w14:paraId="04516F05" w14:textId="77777777" w:rsidR="00522350" w:rsidRPr="00113A01" w:rsidRDefault="00287A01" w:rsidP="00113A01">
            <w:pPr>
              <w:pStyle w:val="Akapitzlist"/>
              <w:widowControl w:val="0"/>
              <w:numPr>
                <w:ilvl w:val="3"/>
                <w:numId w:val="2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113A01">
              <w:rPr>
                <w:rFonts w:ascii="Times New Roman" w:eastAsia="SimSun" w:hAnsi="Times New Roman"/>
                <w:sz w:val="20"/>
                <w:lang w:eastAsia="zh-CN"/>
              </w:rPr>
              <w:t>g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romadzenie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w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dokumentacji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medycznej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danych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dotyczących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monitorowania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leczenia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i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każdorazowe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ich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przedstawianie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na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żądanie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kontrolerów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Narodowego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Funduszu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Zdrowia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(NFZ);</w:t>
            </w:r>
          </w:p>
          <w:p w14:paraId="431CCD30" w14:textId="77777777" w:rsidR="00D5471A" w:rsidRPr="00113A01" w:rsidRDefault="00287A01" w:rsidP="00113A01">
            <w:pPr>
              <w:pStyle w:val="Akapitzlist"/>
              <w:widowControl w:val="0"/>
              <w:numPr>
                <w:ilvl w:val="3"/>
                <w:numId w:val="2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113A01">
              <w:rPr>
                <w:rFonts w:ascii="Times New Roman" w:eastAsia="SimSun" w:hAnsi="Times New Roman"/>
                <w:sz w:val="20"/>
                <w:lang w:eastAsia="zh-CN"/>
              </w:rPr>
              <w:lastRenderedPageBreak/>
              <w:t>u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zupełnienie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danych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zawartych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w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elektronicznym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systemie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monitorowania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programów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lekowych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dostępnym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za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pomocą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aplikacji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internetowej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udostępnionej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przez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Oddział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Wojewódzki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NFZ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z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częstotliwością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zgodną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z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opisem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programu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oraz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na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zakończenie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leczenia,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w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tym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przekazywanie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danych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dotyczących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wskaźników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skuteczności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terapii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zawartych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w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punkcie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Pr="00113A01">
              <w:rPr>
                <w:rFonts w:ascii="Times New Roman" w:eastAsia="SimSun" w:hAnsi="Times New Roman"/>
                <w:sz w:val="20"/>
                <w:lang w:eastAsia="zh-CN"/>
              </w:rPr>
              <w:t>3</w:t>
            </w:r>
            <w:r w:rsidR="00DC7B2C" w:rsidRPr="00113A01">
              <w:rPr>
                <w:rFonts w:ascii="Times New Roman" w:eastAsia="SimSun" w:hAnsi="Times New Roman"/>
                <w:sz w:val="20"/>
                <w:lang w:eastAsia="zh-CN"/>
              </w:rPr>
              <w:t>;</w:t>
            </w:r>
          </w:p>
          <w:p w14:paraId="42F87105" w14:textId="77777777" w:rsidR="006E4AF4" w:rsidRPr="00CC3D8A" w:rsidRDefault="00E861E6" w:rsidP="00113A01">
            <w:pPr>
              <w:pStyle w:val="Akapitzlist"/>
              <w:widowControl w:val="0"/>
              <w:numPr>
                <w:ilvl w:val="3"/>
                <w:numId w:val="2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113A01">
              <w:rPr>
                <w:rFonts w:ascii="Times New Roman" w:eastAsia="SimSun" w:hAnsi="Times New Roman"/>
                <w:sz w:val="20"/>
                <w:lang w:eastAsia="zh-CN"/>
              </w:rPr>
              <w:t>p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rzekazywanie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informacji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sprawozdawczo-rozliczeniowych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do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NFZ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(informacje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przekazuje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się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do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NFZ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w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formie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papierowej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lub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w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formie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elektronicznej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zgodnie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z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wymaganiami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opublikowanymi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przez</w:t>
            </w:r>
            <w:r w:rsidR="00BE03E8" w:rsidRPr="00113A01">
              <w:rPr>
                <w:rFonts w:ascii="Times New Roman" w:eastAsia="SimSun" w:hAnsi="Times New Roman"/>
                <w:sz w:val="20"/>
                <w:lang w:eastAsia="zh-CN"/>
              </w:rPr>
              <w:t xml:space="preserve"> </w:t>
            </w:r>
            <w:r w:rsidR="00522350" w:rsidRPr="00113A01">
              <w:rPr>
                <w:rFonts w:ascii="Times New Roman" w:eastAsia="SimSun" w:hAnsi="Times New Roman"/>
                <w:sz w:val="20"/>
                <w:lang w:eastAsia="zh-CN"/>
              </w:rPr>
              <w:t>NFZ).</w:t>
            </w:r>
          </w:p>
        </w:tc>
      </w:tr>
    </w:tbl>
    <w:p w14:paraId="43E585B8" w14:textId="77777777" w:rsidR="00E617B5" w:rsidRPr="00CC3D8A" w:rsidRDefault="00E617B5" w:rsidP="00185941">
      <w:pPr>
        <w:spacing w:line="276" w:lineRule="auto"/>
        <w:rPr>
          <w:rFonts w:ascii="Times New Roman" w:hAnsi="Times New Roman"/>
          <w:sz w:val="20"/>
        </w:rPr>
      </w:pPr>
    </w:p>
    <w:sectPr w:rsidR="00E617B5" w:rsidRPr="00CC3D8A" w:rsidSect="00925BA4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2E7F1" w14:textId="77777777" w:rsidR="00D37ADF" w:rsidRDefault="00D37ADF" w:rsidP="005A64B7">
      <w:pPr>
        <w:spacing w:line="240" w:lineRule="auto"/>
      </w:pPr>
      <w:r>
        <w:separator/>
      </w:r>
    </w:p>
  </w:endnote>
  <w:endnote w:type="continuationSeparator" w:id="0">
    <w:p w14:paraId="362BE1DE" w14:textId="77777777" w:rsidR="00D37ADF" w:rsidRDefault="00D37ADF" w:rsidP="005A64B7">
      <w:pPr>
        <w:spacing w:line="240" w:lineRule="auto"/>
      </w:pPr>
      <w:r>
        <w:continuationSeparator/>
      </w:r>
    </w:p>
  </w:endnote>
  <w:endnote w:type="continuationNotice" w:id="1">
    <w:p w14:paraId="1FF946A5" w14:textId="77777777" w:rsidR="00D37ADF" w:rsidRDefault="00D37AD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40A16" w14:textId="77777777" w:rsidR="00D37ADF" w:rsidRDefault="00D37ADF" w:rsidP="005A64B7">
      <w:pPr>
        <w:spacing w:line="240" w:lineRule="auto"/>
      </w:pPr>
      <w:r>
        <w:separator/>
      </w:r>
    </w:p>
  </w:footnote>
  <w:footnote w:type="continuationSeparator" w:id="0">
    <w:p w14:paraId="20D7F551" w14:textId="77777777" w:rsidR="00D37ADF" w:rsidRDefault="00D37ADF" w:rsidP="005A64B7">
      <w:pPr>
        <w:spacing w:line="240" w:lineRule="auto"/>
      </w:pPr>
      <w:r>
        <w:continuationSeparator/>
      </w:r>
    </w:p>
  </w:footnote>
  <w:footnote w:type="continuationNotice" w:id="1">
    <w:p w14:paraId="2AC7E3CB" w14:textId="77777777" w:rsidR="00D37ADF" w:rsidRDefault="00D37AD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17047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" w15:restartNumberingAfterBreak="0">
    <w:nsid w:val="163641BA"/>
    <w:multiLevelType w:val="multilevel"/>
    <w:tmpl w:val="7F1CF6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42310B4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" w15:restartNumberingAfterBreak="0">
    <w:nsid w:val="26D97A6C"/>
    <w:multiLevelType w:val="multilevel"/>
    <w:tmpl w:val="A8F40C1A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2E954480"/>
    <w:multiLevelType w:val="multilevel"/>
    <w:tmpl w:val="41F276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32B470F"/>
    <w:multiLevelType w:val="hybridMultilevel"/>
    <w:tmpl w:val="C6A8AA80"/>
    <w:lvl w:ilvl="0" w:tplc="FFFFFFFF">
      <w:start w:val="1"/>
      <w:numFmt w:val="decimal"/>
      <w:suff w:val="space"/>
      <w:lvlText w:val="%1)"/>
      <w:lvlJc w:val="left"/>
      <w:pPr>
        <w:ind w:left="436" w:hanging="360"/>
      </w:pPr>
    </w:lvl>
    <w:lvl w:ilvl="1" w:tplc="FFFFFFFF">
      <w:start w:val="1"/>
      <w:numFmt w:val="lowerLetter"/>
      <w:lvlText w:val="%2)"/>
      <w:lvlJc w:val="left"/>
      <w:pPr>
        <w:ind w:left="1156" w:hanging="360"/>
      </w:pPr>
    </w:lvl>
    <w:lvl w:ilvl="2" w:tplc="FFFFFFFF">
      <w:start w:val="1"/>
      <w:numFmt w:val="lowerRoman"/>
      <w:lvlText w:val="%3."/>
      <w:lvlJc w:val="right"/>
      <w:pPr>
        <w:ind w:left="1876" w:hanging="180"/>
      </w:pPr>
    </w:lvl>
    <w:lvl w:ilvl="3" w:tplc="FFFFFFFF">
      <w:start w:val="1"/>
      <w:numFmt w:val="decimal"/>
      <w:lvlText w:val="%4."/>
      <w:lvlJc w:val="left"/>
      <w:pPr>
        <w:ind w:left="2596" w:hanging="360"/>
      </w:pPr>
    </w:lvl>
    <w:lvl w:ilvl="4" w:tplc="FFFFFFFF">
      <w:start w:val="1"/>
      <w:numFmt w:val="lowerLetter"/>
      <w:lvlText w:val="%5."/>
      <w:lvlJc w:val="left"/>
      <w:pPr>
        <w:ind w:left="3316" w:hanging="360"/>
      </w:pPr>
    </w:lvl>
    <w:lvl w:ilvl="5" w:tplc="FFFFFFFF">
      <w:start w:val="1"/>
      <w:numFmt w:val="lowerRoman"/>
      <w:lvlText w:val="%6."/>
      <w:lvlJc w:val="right"/>
      <w:pPr>
        <w:ind w:left="4036" w:hanging="180"/>
      </w:pPr>
    </w:lvl>
    <w:lvl w:ilvl="6" w:tplc="FFFFFFFF">
      <w:start w:val="1"/>
      <w:numFmt w:val="decimal"/>
      <w:lvlText w:val="%7."/>
      <w:lvlJc w:val="left"/>
      <w:pPr>
        <w:ind w:left="4756" w:hanging="360"/>
      </w:pPr>
    </w:lvl>
    <w:lvl w:ilvl="7" w:tplc="FFFFFFFF">
      <w:start w:val="1"/>
      <w:numFmt w:val="lowerLetter"/>
      <w:lvlText w:val="%8."/>
      <w:lvlJc w:val="left"/>
      <w:pPr>
        <w:ind w:left="5476" w:hanging="360"/>
      </w:pPr>
    </w:lvl>
    <w:lvl w:ilvl="8" w:tplc="FFFFFFFF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35F077F8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7" w15:restartNumberingAfterBreak="0">
    <w:nsid w:val="363D7E14"/>
    <w:multiLevelType w:val="multilevel"/>
    <w:tmpl w:val="B09849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6663080"/>
    <w:multiLevelType w:val="hybridMultilevel"/>
    <w:tmpl w:val="350442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33C4A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0" w15:restartNumberingAfterBreak="0">
    <w:nsid w:val="3D441F91"/>
    <w:multiLevelType w:val="multilevel"/>
    <w:tmpl w:val="6B3EC2EC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43A970B3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2" w15:restartNumberingAfterBreak="0">
    <w:nsid w:val="44CF0D71"/>
    <w:multiLevelType w:val="multilevel"/>
    <w:tmpl w:val="AF2239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AC47FF2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4" w15:restartNumberingAfterBreak="0">
    <w:nsid w:val="4B1A5BD2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5" w15:restartNumberingAfterBreak="0">
    <w:nsid w:val="4B3C0C8D"/>
    <w:multiLevelType w:val="hybridMultilevel"/>
    <w:tmpl w:val="69289D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6192B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7" w15:restartNumberingAfterBreak="0">
    <w:nsid w:val="54533033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8" w15:restartNumberingAfterBreak="0">
    <w:nsid w:val="599B5B5F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9" w15:restartNumberingAfterBreak="0">
    <w:nsid w:val="5DBC302A"/>
    <w:multiLevelType w:val="hybridMultilevel"/>
    <w:tmpl w:val="58040030"/>
    <w:lvl w:ilvl="0" w:tplc="07C0B9E4">
      <w:start w:val="1"/>
      <w:numFmt w:val="bullet"/>
      <w:lvlText w:val=""/>
      <w:lvlJc w:val="left"/>
      <w:pPr>
        <w:ind w:left="11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5DD906AD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1" w15:restartNumberingAfterBreak="0">
    <w:nsid w:val="75B916D9"/>
    <w:multiLevelType w:val="multilevel"/>
    <w:tmpl w:val="DED66F08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4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775D06F4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num w:numId="1" w16cid:durableId="950749824">
    <w:abstractNumId w:val="13"/>
  </w:num>
  <w:num w:numId="2" w16cid:durableId="1914314389">
    <w:abstractNumId w:val="22"/>
  </w:num>
  <w:num w:numId="3" w16cid:durableId="1122962809">
    <w:abstractNumId w:val="9"/>
  </w:num>
  <w:num w:numId="4" w16cid:durableId="1375155525">
    <w:abstractNumId w:val="17"/>
  </w:num>
  <w:num w:numId="5" w16cid:durableId="190607802">
    <w:abstractNumId w:val="11"/>
  </w:num>
  <w:num w:numId="6" w16cid:durableId="359011227">
    <w:abstractNumId w:val="3"/>
  </w:num>
  <w:num w:numId="7" w16cid:durableId="1697347876">
    <w:abstractNumId w:val="10"/>
  </w:num>
  <w:num w:numId="8" w16cid:durableId="9510170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83412714">
    <w:abstractNumId w:val="21"/>
  </w:num>
  <w:num w:numId="10" w16cid:durableId="700741582">
    <w:abstractNumId w:val="19"/>
  </w:num>
  <w:num w:numId="11" w16cid:durableId="962998473">
    <w:abstractNumId w:val="15"/>
  </w:num>
  <w:num w:numId="12" w16cid:durableId="15665553">
    <w:abstractNumId w:val="8"/>
  </w:num>
  <w:num w:numId="13" w16cid:durableId="16050732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38603343">
    <w:abstractNumId w:val="1"/>
  </w:num>
  <w:num w:numId="15" w16cid:durableId="569777320">
    <w:abstractNumId w:val="12"/>
  </w:num>
  <w:num w:numId="16" w16cid:durableId="615334954">
    <w:abstractNumId w:val="18"/>
  </w:num>
  <w:num w:numId="17" w16cid:durableId="2052418346">
    <w:abstractNumId w:val="2"/>
  </w:num>
  <w:num w:numId="18" w16cid:durableId="20506882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27454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54675223">
    <w:abstractNumId w:val="20"/>
  </w:num>
  <w:num w:numId="21" w16cid:durableId="1898665381">
    <w:abstractNumId w:val="4"/>
  </w:num>
  <w:num w:numId="22" w16cid:durableId="1359358753">
    <w:abstractNumId w:val="7"/>
  </w:num>
  <w:num w:numId="23" w16cid:durableId="1280911271">
    <w:abstractNumId w:val="16"/>
  </w:num>
  <w:num w:numId="24" w16cid:durableId="1190799074">
    <w:abstractNumId w:val="6"/>
  </w:num>
  <w:num w:numId="25" w16cid:durableId="746151082">
    <w:abstractNumId w:val="0"/>
  </w:num>
  <w:num w:numId="26" w16cid:durableId="136231622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ReportControlsVisible" w:val="Empty"/>
    <w:docVar w:name="_AMO_UniqueIdentifier" w:val="521429ad-92f0-428a-8297-69242312ee7f"/>
  </w:docVars>
  <w:rsids>
    <w:rsidRoot w:val="00287AA4"/>
    <w:rsid w:val="00000119"/>
    <w:rsid w:val="00000EAD"/>
    <w:rsid w:val="0000362C"/>
    <w:rsid w:val="0000576F"/>
    <w:rsid w:val="00020861"/>
    <w:rsid w:val="00023ECA"/>
    <w:rsid w:val="000246EB"/>
    <w:rsid w:val="00024899"/>
    <w:rsid w:val="00024DD1"/>
    <w:rsid w:val="00033313"/>
    <w:rsid w:val="00033C4F"/>
    <w:rsid w:val="00033EB2"/>
    <w:rsid w:val="00053E14"/>
    <w:rsid w:val="000554FA"/>
    <w:rsid w:val="00055922"/>
    <w:rsid w:val="0006027E"/>
    <w:rsid w:val="000634AE"/>
    <w:rsid w:val="0006746E"/>
    <w:rsid w:val="0007510D"/>
    <w:rsid w:val="00083711"/>
    <w:rsid w:val="00085C13"/>
    <w:rsid w:val="000A0593"/>
    <w:rsid w:val="000A3118"/>
    <w:rsid w:val="000A737B"/>
    <w:rsid w:val="000A74D4"/>
    <w:rsid w:val="000B750B"/>
    <w:rsid w:val="000C3B89"/>
    <w:rsid w:val="000C3FA4"/>
    <w:rsid w:val="000D08C1"/>
    <w:rsid w:val="000D5085"/>
    <w:rsid w:val="000D532E"/>
    <w:rsid w:val="000D63A2"/>
    <w:rsid w:val="000E0B39"/>
    <w:rsid w:val="000E5B26"/>
    <w:rsid w:val="000F360A"/>
    <w:rsid w:val="00102876"/>
    <w:rsid w:val="00113A01"/>
    <w:rsid w:val="001167E3"/>
    <w:rsid w:val="00120F2F"/>
    <w:rsid w:val="0012660E"/>
    <w:rsid w:val="0012677D"/>
    <w:rsid w:val="00126F22"/>
    <w:rsid w:val="0012734A"/>
    <w:rsid w:val="00127F8F"/>
    <w:rsid w:val="001313D3"/>
    <w:rsid w:val="00131B36"/>
    <w:rsid w:val="001340A6"/>
    <w:rsid w:val="00137A2B"/>
    <w:rsid w:val="00137F14"/>
    <w:rsid w:val="00141176"/>
    <w:rsid w:val="0014645D"/>
    <w:rsid w:val="0015411A"/>
    <w:rsid w:val="001649E3"/>
    <w:rsid w:val="00166D9B"/>
    <w:rsid w:val="00167933"/>
    <w:rsid w:val="00176ED4"/>
    <w:rsid w:val="00177CA9"/>
    <w:rsid w:val="001805FF"/>
    <w:rsid w:val="00185941"/>
    <w:rsid w:val="00190A52"/>
    <w:rsid w:val="001962E6"/>
    <w:rsid w:val="0019706B"/>
    <w:rsid w:val="00197A51"/>
    <w:rsid w:val="001A514D"/>
    <w:rsid w:val="001A6A53"/>
    <w:rsid w:val="001A6A6F"/>
    <w:rsid w:val="001B0F14"/>
    <w:rsid w:val="001B0F7B"/>
    <w:rsid w:val="001B2A65"/>
    <w:rsid w:val="001C0FB6"/>
    <w:rsid w:val="001C289C"/>
    <w:rsid w:val="001C7C3F"/>
    <w:rsid w:val="001D0D7D"/>
    <w:rsid w:val="001D1831"/>
    <w:rsid w:val="001D3195"/>
    <w:rsid w:val="001D3BFE"/>
    <w:rsid w:val="001D623A"/>
    <w:rsid w:val="001E0283"/>
    <w:rsid w:val="001E1721"/>
    <w:rsid w:val="001E48B7"/>
    <w:rsid w:val="001E520B"/>
    <w:rsid w:val="001E5E79"/>
    <w:rsid w:val="001E6CA5"/>
    <w:rsid w:val="00204976"/>
    <w:rsid w:val="00210C96"/>
    <w:rsid w:val="0021238B"/>
    <w:rsid w:val="00227528"/>
    <w:rsid w:val="0023046B"/>
    <w:rsid w:val="00251BAC"/>
    <w:rsid w:val="00257907"/>
    <w:rsid w:val="00267711"/>
    <w:rsid w:val="00273F88"/>
    <w:rsid w:val="00287A01"/>
    <w:rsid w:val="00287AA4"/>
    <w:rsid w:val="00293A23"/>
    <w:rsid w:val="00297EA6"/>
    <w:rsid w:val="002A1081"/>
    <w:rsid w:val="002A222E"/>
    <w:rsid w:val="002A3E22"/>
    <w:rsid w:val="002B3B29"/>
    <w:rsid w:val="002B5D48"/>
    <w:rsid w:val="002C2110"/>
    <w:rsid w:val="002C3B2E"/>
    <w:rsid w:val="002C54DD"/>
    <w:rsid w:val="002C6A5E"/>
    <w:rsid w:val="002D09F3"/>
    <w:rsid w:val="002D15D7"/>
    <w:rsid w:val="002D2347"/>
    <w:rsid w:val="002E41DD"/>
    <w:rsid w:val="002E5356"/>
    <w:rsid w:val="002F02A1"/>
    <w:rsid w:val="00307851"/>
    <w:rsid w:val="00313383"/>
    <w:rsid w:val="003148B0"/>
    <w:rsid w:val="0032368D"/>
    <w:rsid w:val="0032609C"/>
    <w:rsid w:val="00330F52"/>
    <w:rsid w:val="003310D7"/>
    <w:rsid w:val="003341A0"/>
    <w:rsid w:val="00334E18"/>
    <w:rsid w:val="00334F76"/>
    <w:rsid w:val="003451C0"/>
    <w:rsid w:val="00352E9E"/>
    <w:rsid w:val="00354339"/>
    <w:rsid w:val="00356A6D"/>
    <w:rsid w:val="003576FF"/>
    <w:rsid w:val="003624D6"/>
    <w:rsid w:val="0037352A"/>
    <w:rsid w:val="003750BA"/>
    <w:rsid w:val="00375B83"/>
    <w:rsid w:val="00390D06"/>
    <w:rsid w:val="003933B1"/>
    <w:rsid w:val="003A2798"/>
    <w:rsid w:val="003B2240"/>
    <w:rsid w:val="003B3763"/>
    <w:rsid w:val="003B59C7"/>
    <w:rsid w:val="003C2113"/>
    <w:rsid w:val="003C449E"/>
    <w:rsid w:val="003C4DA5"/>
    <w:rsid w:val="003C6350"/>
    <w:rsid w:val="003D1255"/>
    <w:rsid w:val="003D2737"/>
    <w:rsid w:val="003D5482"/>
    <w:rsid w:val="003E1B44"/>
    <w:rsid w:val="003F4929"/>
    <w:rsid w:val="0040117F"/>
    <w:rsid w:val="0040176B"/>
    <w:rsid w:val="00401B7E"/>
    <w:rsid w:val="00406D81"/>
    <w:rsid w:val="00410313"/>
    <w:rsid w:val="00411E8F"/>
    <w:rsid w:val="004131AC"/>
    <w:rsid w:val="004170E1"/>
    <w:rsid w:val="00417640"/>
    <w:rsid w:val="00426528"/>
    <w:rsid w:val="00432791"/>
    <w:rsid w:val="004356F2"/>
    <w:rsid w:val="00456B41"/>
    <w:rsid w:val="00463206"/>
    <w:rsid w:val="004719D8"/>
    <w:rsid w:val="004732BF"/>
    <w:rsid w:val="004778AD"/>
    <w:rsid w:val="00477943"/>
    <w:rsid w:val="00485045"/>
    <w:rsid w:val="00492E77"/>
    <w:rsid w:val="00494649"/>
    <w:rsid w:val="004A0862"/>
    <w:rsid w:val="004A2FB0"/>
    <w:rsid w:val="004A3101"/>
    <w:rsid w:val="004A380B"/>
    <w:rsid w:val="004A67F1"/>
    <w:rsid w:val="004B2F00"/>
    <w:rsid w:val="004B5D44"/>
    <w:rsid w:val="004B7BE9"/>
    <w:rsid w:val="004C2764"/>
    <w:rsid w:val="004D1922"/>
    <w:rsid w:val="004D1A1A"/>
    <w:rsid w:val="004D3D62"/>
    <w:rsid w:val="004E7E5F"/>
    <w:rsid w:val="004F2F3F"/>
    <w:rsid w:val="00501B2E"/>
    <w:rsid w:val="00502EE9"/>
    <w:rsid w:val="0050381F"/>
    <w:rsid w:val="0050388D"/>
    <w:rsid w:val="005074FD"/>
    <w:rsid w:val="005112E5"/>
    <w:rsid w:val="00513B4C"/>
    <w:rsid w:val="0052099A"/>
    <w:rsid w:val="00522350"/>
    <w:rsid w:val="005305B6"/>
    <w:rsid w:val="00534067"/>
    <w:rsid w:val="0053760D"/>
    <w:rsid w:val="00540837"/>
    <w:rsid w:val="0054465C"/>
    <w:rsid w:val="00551DFD"/>
    <w:rsid w:val="00553BEF"/>
    <w:rsid w:val="005563D5"/>
    <w:rsid w:val="00570E8A"/>
    <w:rsid w:val="00590161"/>
    <w:rsid w:val="00593C57"/>
    <w:rsid w:val="00593E09"/>
    <w:rsid w:val="005A0118"/>
    <w:rsid w:val="005A64B7"/>
    <w:rsid w:val="005A65B0"/>
    <w:rsid w:val="005B24D1"/>
    <w:rsid w:val="005B6187"/>
    <w:rsid w:val="005B7C40"/>
    <w:rsid w:val="005C48C3"/>
    <w:rsid w:val="005C6202"/>
    <w:rsid w:val="005C6456"/>
    <w:rsid w:val="005C6A40"/>
    <w:rsid w:val="005D1914"/>
    <w:rsid w:val="005D2609"/>
    <w:rsid w:val="005D39EF"/>
    <w:rsid w:val="005D4747"/>
    <w:rsid w:val="005D4B05"/>
    <w:rsid w:val="005D64FC"/>
    <w:rsid w:val="005D7437"/>
    <w:rsid w:val="005E5263"/>
    <w:rsid w:val="005E75F6"/>
    <w:rsid w:val="005F0F76"/>
    <w:rsid w:val="005F5B4B"/>
    <w:rsid w:val="005F7246"/>
    <w:rsid w:val="005F7587"/>
    <w:rsid w:val="00605F36"/>
    <w:rsid w:val="006076E8"/>
    <w:rsid w:val="006104A5"/>
    <w:rsid w:val="00614469"/>
    <w:rsid w:val="00616AEF"/>
    <w:rsid w:val="00624E31"/>
    <w:rsid w:val="0063025C"/>
    <w:rsid w:val="0063206B"/>
    <w:rsid w:val="0064222B"/>
    <w:rsid w:val="0064322F"/>
    <w:rsid w:val="00643446"/>
    <w:rsid w:val="00645A06"/>
    <w:rsid w:val="0065097A"/>
    <w:rsid w:val="00653D4A"/>
    <w:rsid w:val="0066295D"/>
    <w:rsid w:val="006638ED"/>
    <w:rsid w:val="006654A3"/>
    <w:rsid w:val="00670A5D"/>
    <w:rsid w:val="00675A70"/>
    <w:rsid w:val="00692C9C"/>
    <w:rsid w:val="0069715D"/>
    <w:rsid w:val="006B1BBB"/>
    <w:rsid w:val="006B5654"/>
    <w:rsid w:val="006B688A"/>
    <w:rsid w:val="006C4F43"/>
    <w:rsid w:val="006C68DA"/>
    <w:rsid w:val="006D35EE"/>
    <w:rsid w:val="006D6AEE"/>
    <w:rsid w:val="006E16D3"/>
    <w:rsid w:val="006E4AF4"/>
    <w:rsid w:val="006E5AA4"/>
    <w:rsid w:val="006E6812"/>
    <w:rsid w:val="006F61F1"/>
    <w:rsid w:val="006F696A"/>
    <w:rsid w:val="006F727C"/>
    <w:rsid w:val="006F7D71"/>
    <w:rsid w:val="0070011B"/>
    <w:rsid w:val="007062D4"/>
    <w:rsid w:val="00706DEA"/>
    <w:rsid w:val="00706DF2"/>
    <w:rsid w:val="00713E0A"/>
    <w:rsid w:val="00726482"/>
    <w:rsid w:val="00727FD7"/>
    <w:rsid w:val="00734B46"/>
    <w:rsid w:val="00745508"/>
    <w:rsid w:val="00745DA0"/>
    <w:rsid w:val="00756075"/>
    <w:rsid w:val="00757B5C"/>
    <w:rsid w:val="00761D90"/>
    <w:rsid w:val="007817C0"/>
    <w:rsid w:val="007843EE"/>
    <w:rsid w:val="00790072"/>
    <w:rsid w:val="0079235A"/>
    <w:rsid w:val="007928D4"/>
    <w:rsid w:val="00797271"/>
    <w:rsid w:val="007A19B0"/>
    <w:rsid w:val="007A1D6D"/>
    <w:rsid w:val="007C1CA4"/>
    <w:rsid w:val="007C2324"/>
    <w:rsid w:val="007C68FA"/>
    <w:rsid w:val="007D085C"/>
    <w:rsid w:val="007D3DC7"/>
    <w:rsid w:val="007E0DDF"/>
    <w:rsid w:val="007E413D"/>
    <w:rsid w:val="007E4B96"/>
    <w:rsid w:val="007E7044"/>
    <w:rsid w:val="007E79C2"/>
    <w:rsid w:val="007F1F8A"/>
    <w:rsid w:val="007F212B"/>
    <w:rsid w:val="007F545E"/>
    <w:rsid w:val="007F6C5B"/>
    <w:rsid w:val="00803D33"/>
    <w:rsid w:val="008050B3"/>
    <w:rsid w:val="008050E4"/>
    <w:rsid w:val="008123EB"/>
    <w:rsid w:val="00815B14"/>
    <w:rsid w:val="0081631D"/>
    <w:rsid w:val="00817E36"/>
    <w:rsid w:val="008250ED"/>
    <w:rsid w:val="00826CDD"/>
    <w:rsid w:val="00833C62"/>
    <w:rsid w:val="00840618"/>
    <w:rsid w:val="00852027"/>
    <w:rsid w:val="00860BE6"/>
    <w:rsid w:val="00862A47"/>
    <w:rsid w:val="00862D50"/>
    <w:rsid w:val="00867D39"/>
    <w:rsid w:val="00870709"/>
    <w:rsid w:val="008725F5"/>
    <w:rsid w:val="00872A50"/>
    <w:rsid w:val="008741B5"/>
    <w:rsid w:val="008756AC"/>
    <w:rsid w:val="00882B8C"/>
    <w:rsid w:val="0089042B"/>
    <w:rsid w:val="00894FD6"/>
    <w:rsid w:val="00896073"/>
    <w:rsid w:val="008A48D8"/>
    <w:rsid w:val="008A77A5"/>
    <w:rsid w:val="008B323B"/>
    <w:rsid w:val="008B7349"/>
    <w:rsid w:val="008C64FF"/>
    <w:rsid w:val="008D2F1B"/>
    <w:rsid w:val="008D4837"/>
    <w:rsid w:val="008E1ADC"/>
    <w:rsid w:val="008E38C6"/>
    <w:rsid w:val="008F2C7F"/>
    <w:rsid w:val="008F5093"/>
    <w:rsid w:val="008F5319"/>
    <w:rsid w:val="00901EDF"/>
    <w:rsid w:val="00913F11"/>
    <w:rsid w:val="009177CA"/>
    <w:rsid w:val="00920797"/>
    <w:rsid w:val="00925BA4"/>
    <w:rsid w:val="00932A36"/>
    <w:rsid w:val="00933AC8"/>
    <w:rsid w:val="00951AA3"/>
    <w:rsid w:val="009605B4"/>
    <w:rsid w:val="00962FF4"/>
    <w:rsid w:val="0096384D"/>
    <w:rsid w:val="00965A60"/>
    <w:rsid w:val="00965F6E"/>
    <w:rsid w:val="00967CF7"/>
    <w:rsid w:val="009701E8"/>
    <w:rsid w:val="0097673B"/>
    <w:rsid w:val="00976E6F"/>
    <w:rsid w:val="00981099"/>
    <w:rsid w:val="009833AE"/>
    <w:rsid w:val="00984C47"/>
    <w:rsid w:val="00992DDB"/>
    <w:rsid w:val="009A19CF"/>
    <w:rsid w:val="009A5D66"/>
    <w:rsid w:val="009B3BB4"/>
    <w:rsid w:val="009B5D87"/>
    <w:rsid w:val="009B6CDB"/>
    <w:rsid w:val="009C2CEA"/>
    <w:rsid w:val="009C54F8"/>
    <w:rsid w:val="009D1493"/>
    <w:rsid w:val="009D150F"/>
    <w:rsid w:val="009D516F"/>
    <w:rsid w:val="009D7ED5"/>
    <w:rsid w:val="009E0C1A"/>
    <w:rsid w:val="009E18BD"/>
    <w:rsid w:val="009E4F13"/>
    <w:rsid w:val="009E7706"/>
    <w:rsid w:val="009F7A28"/>
    <w:rsid w:val="00A01B6A"/>
    <w:rsid w:val="00A10013"/>
    <w:rsid w:val="00A25D9F"/>
    <w:rsid w:val="00A3294D"/>
    <w:rsid w:val="00A33144"/>
    <w:rsid w:val="00A42FCE"/>
    <w:rsid w:val="00A47A85"/>
    <w:rsid w:val="00A538FB"/>
    <w:rsid w:val="00A5687C"/>
    <w:rsid w:val="00A57DA3"/>
    <w:rsid w:val="00A6006A"/>
    <w:rsid w:val="00A612F2"/>
    <w:rsid w:val="00A65AE4"/>
    <w:rsid w:val="00A70BAF"/>
    <w:rsid w:val="00A74052"/>
    <w:rsid w:val="00A75087"/>
    <w:rsid w:val="00A7608C"/>
    <w:rsid w:val="00A800BD"/>
    <w:rsid w:val="00A85D52"/>
    <w:rsid w:val="00A9088F"/>
    <w:rsid w:val="00A932DF"/>
    <w:rsid w:val="00A94A64"/>
    <w:rsid w:val="00A94F08"/>
    <w:rsid w:val="00A95827"/>
    <w:rsid w:val="00AA2B29"/>
    <w:rsid w:val="00AA2BF4"/>
    <w:rsid w:val="00AC0C26"/>
    <w:rsid w:val="00AC2F60"/>
    <w:rsid w:val="00AD12C1"/>
    <w:rsid w:val="00AE2C27"/>
    <w:rsid w:val="00AE70A1"/>
    <w:rsid w:val="00AE78FD"/>
    <w:rsid w:val="00AF2255"/>
    <w:rsid w:val="00B0449B"/>
    <w:rsid w:val="00B05870"/>
    <w:rsid w:val="00B074E7"/>
    <w:rsid w:val="00B13ACA"/>
    <w:rsid w:val="00B14D27"/>
    <w:rsid w:val="00B15C9C"/>
    <w:rsid w:val="00B22E9B"/>
    <w:rsid w:val="00B302BF"/>
    <w:rsid w:val="00B30DC7"/>
    <w:rsid w:val="00B44AF5"/>
    <w:rsid w:val="00B52369"/>
    <w:rsid w:val="00B56A44"/>
    <w:rsid w:val="00B62509"/>
    <w:rsid w:val="00B64137"/>
    <w:rsid w:val="00B64A85"/>
    <w:rsid w:val="00B64D2E"/>
    <w:rsid w:val="00B64F4E"/>
    <w:rsid w:val="00B722E2"/>
    <w:rsid w:val="00B7388B"/>
    <w:rsid w:val="00B841BC"/>
    <w:rsid w:val="00B85EEE"/>
    <w:rsid w:val="00B86D65"/>
    <w:rsid w:val="00B9332C"/>
    <w:rsid w:val="00B9500B"/>
    <w:rsid w:val="00B9545D"/>
    <w:rsid w:val="00B9747A"/>
    <w:rsid w:val="00BA6683"/>
    <w:rsid w:val="00BB5CC4"/>
    <w:rsid w:val="00BC6C07"/>
    <w:rsid w:val="00BD59EF"/>
    <w:rsid w:val="00BD7856"/>
    <w:rsid w:val="00BE03E8"/>
    <w:rsid w:val="00BF29F9"/>
    <w:rsid w:val="00C01770"/>
    <w:rsid w:val="00C02B45"/>
    <w:rsid w:val="00C053A0"/>
    <w:rsid w:val="00C17373"/>
    <w:rsid w:val="00C205B8"/>
    <w:rsid w:val="00C22E74"/>
    <w:rsid w:val="00C243A9"/>
    <w:rsid w:val="00C34D3B"/>
    <w:rsid w:val="00C374A7"/>
    <w:rsid w:val="00C37DD2"/>
    <w:rsid w:val="00C4253B"/>
    <w:rsid w:val="00C463E9"/>
    <w:rsid w:val="00C50270"/>
    <w:rsid w:val="00C54515"/>
    <w:rsid w:val="00C612BE"/>
    <w:rsid w:val="00C62125"/>
    <w:rsid w:val="00C62CD9"/>
    <w:rsid w:val="00C65AAA"/>
    <w:rsid w:val="00C662FE"/>
    <w:rsid w:val="00C6677C"/>
    <w:rsid w:val="00C76E6C"/>
    <w:rsid w:val="00C9266F"/>
    <w:rsid w:val="00CA05D6"/>
    <w:rsid w:val="00CA1C3D"/>
    <w:rsid w:val="00CA35AE"/>
    <w:rsid w:val="00CA6086"/>
    <w:rsid w:val="00CA6A8F"/>
    <w:rsid w:val="00CB12C5"/>
    <w:rsid w:val="00CB560F"/>
    <w:rsid w:val="00CB6F14"/>
    <w:rsid w:val="00CC3D8A"/>
    <w:rsid w:val="00CD2C4F"/>
    <w:rsid w:val="00CD54E6"/>
    <w:rsid w:val="00CD72D3"/>
    <w:rsid w:val="00CE094E"/>
    <w:rsid w:val="00CE0F26"/>
    <w:rsid w:val="00CE232B"/>
    <w:rsid w:val="00CF24D1"/>
    <w:rsid w:val="00CF3E48"/>
    <w:rsid w:val="00CF4DC0"/>
    <w:rsid w:val="00D0151F"/>
    <w:rsid w:val="00D05D1F"/>
    <w:rsid w:val="00D1295A"/>
    <w:rsid w:val="00D14595"/>
    <w:rsid w:val="00D2615F"/>
    <w:rsid w:val="00D3066F"/>
    <w:rsid w:val="00D37ADF"/>
    <w:rsid w:val="00D47A79"/>
    <w:rsid w:val="00D54201"/>
    <w:rsid w:val="00D5471A"/>
    <w:rsid w:val="00D600EE"/>
    <w:rsid w:val="00D63907"/>
    <w:rsid w:val="00D66E5D"/>
    <w:rsid w:val="00D75259"/>
    <w:rsid w:val="00D76E60"/>
    <w:rsid w:val="00D85D71"/>
    <w:rsid w:val="00D86181"/>
    <w:rsid w:val="00D90518"/>
    <w:rsid w:val="00D91B57"/>
    <w:rsid w:val="00D9204E"/>
    <w:rsid w:val="00D9342A"/>
    <w:rsid w:val="00D93D85"/>
    <w:rsid w:val="00DA2BBE"/>
    <w:rsid w:val="00DB4282"/>
    <w:rsid w:val="00DC17B2"/>
    <w:rsid w:val="00DC33C0"/>
    <w:rsid w:val="00DC5D0A"/>
    <w:rsid w:val="00DC7B2C"/>
    <w:rsid w:val="00DD18EB"/>
    <w:rsid w:val="00DD2641"/>
    <w:rsid w:val="00DE0298"/>
    <w:rsid w:val="00DE2121"/>
    <w:rsid w:val="00DE4996"/>
    <w:rsid w:val="00DE51B0"/>
    <w:rsid w:val="00DE6484"/>
    <w:rsid w:val="00DE7605"/>
    <w:rsid w:val="00E04103"/>
    <w:rsid w:val="00E10BC0"/>
    <w:rsid w:val="00E13DD1"/>
    <w:rsid w:val="00E15916"/>
    <w:rsid w:val="00E15E65"/>
    <w:rsid w:val="00E24D47"/>
    <w:rsid w:val="00E24E13"/>
    <w:rsid w:val="00E2544B"/>
    <w:rsid w:val="00E258C4"/>
    <w:rsid w:val="00E35585"/>
    <w:rsid w:val="00E414B5"/>
    <w:rsid w:val="00E41506"/>
    <w:rsid w:val="00E5062F"/>
    <w:rsid w:val="00E57242"/>
    <w:rsid w:val="00E617B5"/>
    <w:rsid w:val="00E759C8"/>
    <w:rsid w:val="00E77F45"/>
    <w:rsid w:val="00E82EB6"/>
    <w:rsid w:val="00E861E6"/>
    <w:rsid w:val="00E971C4"/>
    <w:rsid w:val="00E97A40"/>
    <w:rsid w:val="00EA08A9"/>
    <w:rsid w:val="00EB0905"/>
    <w:rsid w:val="00EC5EEB"/>
    <w:rsid w:val="00ED09F7"/>
    <w:rsid w:val="00ED2546"/>
    <w:rsid w:val="00EE137D"/>
    <w:rsid w:val="00EF04F6"/>
    <w:rsid w:val="00EF41B6"/>
    <w:rsid w:val="00F018AA"/>
    <w:rsid w:val="00F02F6C"/>
    <w:rsid w:val="00F0655F"/>
    <w:rsid w:val="00F17DB7"/>
    <w:rsid w:val="00F24653"/>
    <w:rsid w:val="00F25EB3"/>
    <w:rsid w:val="00F3408E"/>
    <w:rsid w:val="00F360B8"/>
    <w:rsid w:val="00F42E3C"/>
    <w:rsid w:val="00F5063D"/>
    <w:rsid w:val="00F52CFE"/>
    <w:rsid w:val="00F52D06"/>
    <w:rsid w:val="00F559EF"/>
    <w:rsid w:val="00F571A8"/>
    <w:rsid w:val="00F661FD"/>
    <w:rsid w:val="00F75B4F"/>
    <w:rsid w:val="00F80EDA"/>
    <w:rsid w:val="00F936AE"/>
    <w:rsid w:val="00FA366B"/>
    <w:rsid w:val="00FA52CD"/>
    <w:rsid w:val="00FB325B"/>
    <w:rsid w:val="00FB53FB"/>
    <w:rsid w:val="00FB7D64"/>
    <w:rsid w:val="00FC360A"/>
    <w:rsid w:val="00FC4362"/>
    <w:rsid w:val="00FD7EFC"/>
    <w:rsid w:val="00FE07DE"/>
    <w:rsid w:val="00FE3D27"/>
    <w:rsid w:val="00FE4ECE"/>
    <w:rsid w:val="00FF39A9"/>
    <w:rsid w:val="00FF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A2118"/>
  <w15:docId w15:val="{E9D89763-229C-4352-B4EA-311D2843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9204E"/>
    <w:pPr>
      <w:spacing w:after="0" w:line="260" w:lineRule="atLeast"/>
    </w:pPr>
    <w:rPr>
      <w:rFonts w:ascii="Arial" w:eastAsia="Times New Roman" w:hAnsi="Arial" w:cs="Times New Roman"/>
      <w:szCs w:val="20"/>
      <w:lang w:eastAsia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unhideWhenUsed/>
    <w:qFormat/>
    <w:rsid w:val="00287AA4"/>
    <w:rPr>
      <w:sz w:val="16"/>
      <w:szCs w:val="16"/>
    </w:rPr>
  </w:style>
  <w:style w:type="paragraph" w:styleId="Tekstkomentarza">
    <w:name w:val="annotation text"/>
    <w:aliases w:val="- H19"/>
    <w:basedOn w:val="Normalny"/>
    <w:link w:val="TekstkomentarzaZnak"/>
    <w:unhideWhenUsed/>
    <w:qFormat/>
    <w:rsid w:val="00287AA4"/>
    <w:pPr>
      <w:spacing w:after="200" w:line="240" w:lineRule="auto"/>
    </w:pPr>
    <w:rPr>
      <w:rFonts w:ascii="Calibri" w:eastAsiaTheme="minorEastAsia" w:hAnsi="Calibri" w:cstheme="minorBidi"/>
      <w:sz w:val="20"/>
      <w:lang w:val="en-GB" w:eastAsia="en-GB"/>
    </w:rPr>
  </w:style>
  <w:style w:type="character" w:customStyle="1" w:styleId="TekstkomentarzaZnak">
    <w:name w:val="Tekst komentarza Znak"/>
    <w:aliases w:val="- H19 Znak"/>
    <w:basedOn w:val="Domylnaczcionkaakapitu"/>
    <w:link w:val="Tekstkomentarza"/>
    <w:qFormat/>
    <w:rsid w:val="00287AA4"/>
    <w:rPr>
      <w:rFonts w:ascii="Calibri" w:eastAsiaTheme="minorEastAsia" w:hAnsi="Calibri"/>
      <w:sz w:val="20"/>
      <w:szCs w:val="20"/>
      <w:lang w:val="en-GB" w:eastAsia="en-GB"/>
    </w:rPr>
  </w:style>
  <w:style w:type="paragraph" w:styleId="Poprawka">
    <w:name w:val="Revision"/>
    <w:hidden/>
    <w:uiPriority w:val="99"/>
    <w:semiHidden/>
    <w:rsid w:val="00D90518"/>
    <w:pPr>
      <w:spacing w:after="0" w:line="240" w:lineRule="auto"/>
    </w:pPr>
    <w:rPr>
      <w:rFonts w:ascii="Arial" w:eastAsia="Times New Roman" w:hAnsi="Arial" w:cs="Times New Roman"/>
      <w:szCs w:val="20"/>
      <w:lang w:val="de-DE" w:eastAsia="de-DE"/>
    </w:rPr>
  </w:style>
  <w:style w:type="paragraph" w:styleId="Akapitzlist">
    <w:name w:val="List Paragraph"/>
    <w:aliases w:val="Styl moj,Dot pt,F5 List Paragraph,List Paragraph1,No Spacing1,List Paragraph Char Char Char,Indicator Text,Colorful List - Accent 11,Numbered Para 1,Bullet 1,Bullet Points,List Paragraph2,MAIN CONTENT,Normal numbered,列出段落,Akapit z listą11"/>
    <w:basedOn w:val="Normalny"/>
    <w:link w:val="AkapitzlistZnak"/>
    <w:uiPriority w:val="99"/>
    <w:qFormat/>
    <w:rsid w:val="00A6006A"/>
    <w:pPr>
      <w:ind w:left="720"/>
      <w:contextualSpacing/>
    </w:p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43446"/>
    <w:pPr>
      <w:spacing w:after="0"/>
    </w:pPr>
    <w:rPr>
      <w:rFonts w:ascii="Arial" w:eastAsia="Times New Roman" w:hAnsi="Arial" w:cs="Times New Roman"/>
      <w:b/>
      <w:bCs/>
      <w:lang w:val="de-DE" w:eastAsia="de-DE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43446"/>
    <w:rPr>
      <w:rFonts w:ascii="Arial" w:eastAsia="Times New Roman" w:hAnsi="Arial" w:cs="Times New Roman"/>
      <w:b/>
      <w:bCs/>
      <w:sz w:val="20"/>
      <w:szCs w:val="20"/>
      <w:lang w:val="de-DE" w:eastAsia="de-D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B7B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7BE9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Default">
    <w:name w:val="Default"/>
    <w:rsid w:val="001E172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AkapitzlistZnak">
    <w:name w:val="Akapit z listą Znak"/>
    <w:aliases w:val="Styl moj Znak,Dot pt Znak,F5 List Paragraph Znak,List Paragraph1 Znak,No Spacing1 Znak,List Paragraph Char Char Char Znak,Indicator Text Znak,Colorful List - Accent 11 Znak,Numbered Para 1 Znak,Bullet 1 Znak,Bullet Points Znak"/>
    <w:link w:val="Akapitzlist"/>
    <w:uiPriority w:val="99"/>
    <w:locked/>
    <w:rsid w:val="003D1255"/>
    <w:rPr>
      <w:rFonts w:ascii="Arial" w:eastAsia="Times New Roman" w:hAnsi="Arial" w:cs="Times New Roman"/>
      <w:szCs w:val="20"/>
      <w:lang w:eastAsia="de-DE"/>
    </w:rPr>
  </w:style>
  <w:style w:type="paragraph" w:styleId="Nagwek">
    <w:name w:val="header"/>
    <w:basedOn w:val="Normalny"/>
    <w:link w:val="NagwekZnak"/>
    <w:uiPriority w:val="99"/>
    <w:unhideWhenUsed/>
    <w:rsid w:val="005E75F6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75F6"/>
    <w:rPr>
      <w:rFonts w:ascii="Arial" w:eastAsia="Times New Roman" w:hAnsi="Arial" w:cs="Times New Roman"/>
      <w:szCs w:val="20"/>
      <w:lang w:eastAsia="de-DE"/>
    </w:rPr>
  </w:style>
  <w:style w:type="paragraph" w:styleId="Stopka">
    <w:name w:val="footer"/>
    <w:basedOn w:val="Normalny"/>
    <w:link w:val="StopkaZnak"/>
    <w:uiPriority w:val="99"/>
    <w:unhideWhenUsed/>
    <w:rsid w:val="005E75F6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75F6"/>
    <w:rPr>
      <w:rFonts w:ascii="Arial" w:eastAsia="Times New Roman" w:hAnsi="Arial" w:cs="Times New Roman"/>
      <w:szCs w:val="20"/>
      <w:lang w:eastAsia="de-DE"/>
    </w:rPr>
  </w:style>
  <w:style w:type="character" w:customStyle="1" w:styleId="ui-provider">
    <w:name w:val="ui-provider"/>
    <w:basedOn w:val="Domylnaczcionkaakapitu"/>
    <w:rsid w:val="007F6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6E720BAA7FB4DBC3F21920AE90A17" ma:contentTypeVersion="15" ma:contentTypeDescription="Create a new document." ma:contentTypeScope="" ma:versionID="5bd706d8965ab090110eb17e422a2c87">
  <xsd:schema xmlns:xsd="http://www.w3.org/2001/XMLSchema" xmlns:xs="http://www.w3.org/2001/XMLSchema" xmlns:p="http://schemas.microsoft.com/office/2006/metadata/properties" xmlns:ns2="fc451fea-5706-4775-a978-eb9f19064177" xmlns:ns3="fd6494bf-779e-443e-8a4b-17116cd07029" targetNamespace="http://schemas.microsoft.com/office/2006/metadata/properties" ma:root="true" ma:fieldsID="2295b96304b7127c57d5b74f1665eceb" ns2:_="" ns3:_="">
    <xsd:import namespace="fc451fea-5706-4775-a978-eb9f19064177"/>
    <xsd:import namespace="fd6494bf-779e-443e-8a4b-17116cd070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51fea-5706-4775-a978-eb9f19064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e82b97c-6a8a-4995-9eb5-298aced380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494bf-779e-443e-8a4b-17116cd0702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dab6c52-0c55-44f5-b154-9329ab1335da}" ma:internalName="TaxCatchAll" ma:showField="CatchAllData" ma:web="fd6494bf-779e-443e-8a4b-17116cd070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6494bf-779e-443e-8a4b-17116cd07029" xsi:nil="true"/>
    <lcf76f155ced4ddcb4097134ff3c332f xmlns="fc451fea-5706-4775-a978-eb9f1906417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518300-E587-4B29-9D25-8E896F425B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DB47B8-35C0-4A68-BF8D-ED7AF5687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51fea-5706-4775-a978-eb9f19064177"/>
    <ds:schemaRef ds:uri="fd6494bf-779e-443e-8a4b-17116cd07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6EBD7B-91CC-4312-AA9A-9D671FF34B95}">
  <ds:schemaRefs>
    <ds:schemaRef ds:uri="http://schemas.microsoft.com/office/2006/metadata/properties"/>
    <ds:schemaRef ds:uri="http://schemas.microsoft.com/office/infopath/2007/PartnerControls"/>
    <ds:schemaRef ds:uri="fd6494bf-779e-443e-8a4b-17116cd07029"/>
    <ds:schemaRef ds:uri="fc451fea-5706-4775-a978-eb9f19064177"/>
  </ds:schemaRefs>
</ds:datastoreItem>
</file>

<file path=customXml/itemProps4.xml><?xml version="1.0" encoding="utf-8"?>
<ds:datastoreItem xmlns:ds="http://schemas.openxmlformats.org/officeDocument/2006/customXml" ds:itemID="{DBD51435-BA05-4200-9440-42C2A311734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ca48ea3-8c75-4d36-b64f-70604b11fd22}" enabled="1" method="Standard" siteId="{3ac94b33-9135-4821-9502-eafda6592a35}" removed="0"/>
  <clbl:label id="{71e34cb8-3a56-4fd5-a259-4acadab6e4ac}" enabled="0" method="" siteId="{71e34cb8-3a56-4fd5-a259-4acadab6e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2719</Words>
  <Characters>16319</Characters>
  <Application>Microsoft Office Word</Application>
  <DocSecurity>0</DocSecurity>
  <Lines>135</Lines>
  <Paragraphs>37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Bonek Przemysław</dc:creator>
  <cp:keywords/>
  <dc:description/>
  <cp:lastModifiedBy>Lal Ewelina</cp:lastModifiedBy>
  <cp:revision>4</cp:revision>
  <dcterms:created xsi:type="dcterms:W3CDTF">2025-06-12T10:26:00Z</dcterms:created>
  <dcterms:modified xsi:type="dcterms:W3CDTF">2025-06-12T11:00:00Z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0x01010048C6E720BAA7FB4DBC3F21920AE90A17</vt:lpwstr>
  </property>
  <property fmtid="{D5CDD505-2E9C-101B-9397-08002B2CF9AE}" pid="3" name="MediaServiceImageTags">
    <vt:lpwstr/>
  </property>
</Properties>
</file>