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083BE" w14:textId="25743755" w:rsidR="001C5A60" w:rsidRDefault="001C5A60" w:rsidP="003B422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422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Załącznik B.</w:t>
      </w:r>
      <w:r w:rsidR="003B422A" w:rsidRPr="003B422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147</w:t>
      </w:r>
      <w:r w:rsidRPr="003B422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E5D73F7" w14:textId="77777777" w:rsidR="003B422A" w:rsidRPr="003B422A" w:rsidRDefault="003B422A" w:rsidP="003B422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1ECF56C7" w14:textId="2C156811" w:rsidR="00EA11B8" w:rsidRPr="003B422A" w:rsidRDefault="00FC5A94" w:rsidP="003B422A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pl-PL"/>
          <w14:ligatures w14:val="none"/>
        </w:rPr>
      </w:pPr>
      <w:r w:rsidRPr="003B422A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pl-PL"/>
          <w14:ligatures w14:val="none"/>
        </w:rPr>
        <w:t>LECZENIE CHORYCH NA DEPRESJĘ LEKOOPORNĄ (ICD-10: F33.1, F33.2)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4"/>
        <w:gridCol w:w="4463"/>
        <w:gridCol w:w="5263"/>
      </w:tblGrid>
      <w:tr w:rsidR="00FC5A94" w:rsidRPr="00FC5A94" w14:paraId="159C2A3E" w14:textId="77777777" w:rsidTr="003B422A">
        <w:trPr>
          <w:trHeight w:val="622"/>
        </w:trPr>
        <w:tc>
          <w:tcPr>
            <w:tcW w:w="5000" w:type="pct"/>
            <w:gridSpan w:val="3"/>
            <w:shd w:val="clear" w:color="auto" w:fill="auto"/>
            <w:vAlign w:val="center"/>
            <w:hideMark/>
          </w:tcPr>
          <w:p w14:paraId="7E080B08" w14:textId="0FC9C2F5" w:rsidR="00A51CE0" w:rsidRPr="003B422A" w:rsidRDefault="00FC5A94" w:rsidP="003B422A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C5A94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ZAKRES ŚWIADCZENIA GWARANTOWANEGO</w:t>
            </w:r>
          </w:p>
        </w:tc>
      </w:tr>
      <w:tr w:rsidR="00FC5A94" w:rsidRPr="00FC5A94" w14:paraId="5D22C637" w14:textId="77777777" w:rsidTr="003A21A8">
        <w:trPr>
          <w:trHeight w:val="57"/>
        </w:trPr>
        <w:tc>
          <w:tcPr>
            <w:tcW w:w="1840" w:type="pct"/>
            <w:shd w:val="clear" w:color="auto" w:fill="auto"/>
            <w:vAlign w:val="center"/>
            <w:hideMark/>
          </w:tcPr>
          <w:p w14:paraId="230D5B93" w14:textId="77777777" w:rsidR="00FC5A94" w:rsidRPr="00FC5A94" w:rsidRDefault="00FC5A94" w:rsidP="00A51CE0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FC5A94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ŚWIADCZENIOBIORCY</w:t>
            </w:r>
          </w:p>
        </w:tc>
        <w:tc>
          <w:tcPr>
            <w:tcW w:w="1450" w:type="pct"/>
            <w:shd w:val="clear" w:color="auto" w:fill="auto"/>
            <w:vAlign w:val="center"/>
            <w:hideMark/>
          </w:tcPr>
          <w:p w14:paraId="527EE214" w14:textId="77777777" w:rsidR="00FC5A94" w:rsidRPr="00FC5A94" w:rsidRDefault="00FC5A94" w:rsidP="00A51CE0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FC5A94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SCHEMAT DAWKOWANIA LEKÓW W PROGRAMIE</w:t>
            </w:r>
          </w:p>
        </w:tc>
        <w:tc>
          <w:tcPr>
            <w:tcW w:w="1710" w:type="pct"/>
            <w:shd w:val="clear" w:color="auto" w:fill="auto"/>
            <w:vAlign w:val="center"/>
            <w:hideMark/>
          </w:tcPr>
          <w:p w14:paraId="68B404A3" w14:textId="77777777" w:rsidR="00FC5A94" w:rsidRPr="00FC5A94" w:rsidRDefault="00FC5A94" w:rsidP="00A51CE0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FC5A94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BADANIA DIAGNOSTYCZNE WYKONYWANE W RAMACH PROGRAMU</w:t>
            </w:r>
          </w:p>
        </w:tc>
      </w:tr>
      <w:tr w:rsidR="00FC5A94" w:rsidRPr="00FC5A94" w14:paraId="27362F9A" w14:textId="77777777" w:rsidTr="003A21A8">
        <w:tc>
          <w:tcPr>
            <w:tcW w:w="1840" w:type="pct"/>
          </w:tcPr>
          <w:p w14:paraId="1A1B267E" w14:textId="77777777" w:rsidR="00FC5A94" w:rsidRPr="003B422A" w:rsidRDefault="00FC5A94" w:rsidP="00E314A7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60" w:line="276" w:lineRule="auto"/>
              <w:ind w:left="227" w:hanging="227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Kryteria włączenia do programu</w:t>
            </w:r>
          </w:p>
          <w:p w14:paraId="1EA06294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Do leczenia </w:t>
            </w:r>
            <w:proofErr w:type="spellStart"/>
            <w:r w:rsidRPr="003B422A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esketaminą</w:t>
            </w:r>
            <w:proofErr w:type="spellEnd"/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 ramach programu kwalifikują się świadczeniobiorcy spełniający łącznie następujące kryteria:</w:t>
            </w:r>
          </w:p>
          <w:p w14:paraId="09F28117" w14:textId="12737605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wiek od ukończenia 18 roku życia do75 </w:t>
            </w:r>
            <w:r w:rsidR="00E65774"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roku życia</w:t>
            </w: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374F011C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potwierdzone rozpoznanie depresji zakwalifikowanej wg obowiązującej klasyfikacji ICD-10 do kodów: F33.1 i F33.2;</w:t>
            </w:r>
          </w:p>
          <w:p w14:paraId="6CEA5A06" w14:textId="6C19F2C8" w:rsidR="00FC5A94" w:rsidRPr="00300305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0030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aktualny epizod depresji o nasileniu umiarkowanym </w:t>
            </w:r>
            <w:r w:rsidR="00D13410" w:rsidRPr="0030030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(20-34) </w:t>
            </w:r>
            <w:r w:rsidRPr="0030030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lub ciężkim </w:t>
            </w:r>
            <w:r w:rsidR="00D13410" w:rsidRPr="0030030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(35-60) </w:t>
            </w:r>
            <w:r w:rsidRPr="0030030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wg skali MADRS;</w:t>
            </w:r>
          </w:p>
          <w:p w14:paraId="758C83A0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przeciwwskazania lub oporność lub brak zgody pacjenta na terapię elektrowstrząsami; </w:t>
            </w:r>
          </w:p>
          <w:p w14:paraId="2AA27D40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potwierdzenie depresji lekoopornej zdefiniowanej jako zaburzenia depresyjne u osób dorosłych, u których nie wystąpiła odpowiedź na co najmniej </w:t>
            </w:r>
            <w:r w:rsidRPr="00EB100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dwa różne leki przeciwdepresyjne</w:t>
            </w: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(stosowane w odpowiedniej dawce przez odpowiedni czas, zgodnie z wytycznymi Polskiego Towarzystwa Psychiatrycznego i Konsultanta Krajowego ds. Psychiatrii Dorosłych)</w:t>
            </w:r>
            <w:bookmarkStart w:id="0" w:name="_Hlk70504867"/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bookmarkEnd w:id="0"/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 obecnym epizodzie depresji o stopniu nasilenia od umiarkowanego do ciężkiego;</w:t>
            </w:r>
          </w:p>
          <w:p w14:paraId="36ABB7EC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 więcej niż 5 różnych leków przeciwdepresyjnych w bieżącym epizodzie depresji;</w:t>
            </w:r>
          </w:p>
          <w:p w14:paraId="74BBB0FF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 najmniej drugi epizod depresji;</w:t>
            </w:r>
          </w:p>
          <w:p w14:paraId="5F8225CA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obecny epizod trwający co najmniej 6 miesięcy wg daty pierwszej wizyty lekarskiej związanej z leczeniem tego epizodu;</w:t>
            </w:r>
          </w:p>
          <w:p w14:paraId="1EF099AA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wykluczenie rozpoznanie zaburzeń osobowości typu </w:t>
            </w:r>
            <w:proofErr w:type="spellStart"/>
            <w:r w:rsidRPr="003B422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borderline</w:t>
            </w:r>
            <w:proofErr w:type="spellEnd"/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lub choroby afektywnej dwubiegunowej;</w:t>
            </w:r>
          </w:p>
          <w:p w14:paraId="0F43DC16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 historii uzależnień w wywiadzie (uzależnienie od alkoholu, leków nasennych, uspokajających, przeciwbólowych lub narkotyków);</w:t>
            </w:r>
          </w:p>
          <w:p w14:paraId="395EFCDA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wykluczenie ciąży i okresu karmienia piersią;</w:t>
            </w:r>
          </w:p>
          <w:p w14:paraId="0C170E44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niewystępowanie stanów klinicznych, które w opinii lekarza prowadzącego uniemożliwiają włączenie terapii;</w:t>
            </w:r>
          </w:p>
          <w:p w14:paraId="6B8AFCB9" w14:textId="77777777" w:rsidR="00FC5A94" w:rsidRPr="003B422A" w:rsidRDefault="00FC5A94" w:rsidP="00E314A7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adekwatna wydolność narządowa określona na podstawie wyników badań laboratoryjnych krwi zgodnie z zapisami aktualnej ChPL. </w:t>
            </w:r>
          </w:p>
          <w:p w14:paraId="4E0E43FC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4530147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Ponadto do programu lekowego kwalifikowani są również pacjenci, którzy byli leczeni </w:t>
            </w:r>
            <w:proofErr w:type="spellStart"/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esketaminą</w:t>
            </w:r>
            <w:proofErr w:type="spellEnd"/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 ramach innego sposobu finansowania terapii (z wyjątkiem trwających badań klinicznych), pod warunkiem, że w chwili rozpoczęcia leczenia spełniali kryteria kwalifikacji do programu lekowego oraz nie spełniali kryteriów wyłączenia.</w:t>
            </w:r>
          </w:p>
          <w:p w14:paraId="4F64B564" w14:textId="77777777" w:rsidR="00FC5A94" w:rsidRPr="00FC5A94" w:rsidRDefault="00FC5A94" w:rsidP="00E314A7">
            <w:pPr>
              <w:spacing w:after="60" w:line="276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  <w:p w14:paraId="658FAACC" w14:textId="77777777" w:rsidR="00FC5A94" w:rsidRPr="003B422A" w:rsidRDefault="00FC5A94" w:rsidP="00E314A7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bookmarkStart w:id="1" w:name="_Hlk136962025"/>
            <w:r w:rsidRPr="003B42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Określenie czasu leczenia w programie</w:t>
            </w:r>
          </w:p>
          <w:p w14:paraId="7D979256" w14:textId="0F181471" w:rsidR="00EB33CC" w:rsidRPr="003B422A" w:rsidRDefault="00FE664F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Czas leczenia w programie określa lekarz na podstawie kryteriów włączenia i kryteriów wyłączenia z programu</w:t>
            </w:r>
            <w:r w:rsidR="004A23BD"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- przy czym maksymalny czas leczenia w programie wynosi 8 miesięcy (łącznie faza indukcji i faza podtrzymania).</w:t>
            </w:r>
          </w:p>
          <w:p w14:paraId="080667C4" w14:textId="77777777" w:rsidR="003F5E39" w:rsidRPr="003B422A" w:rsidRDefault="003F5E39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Pod koniec fazy indukcji (po 4 tygodniach leczenia) należy ocenić dowody korzyści terapeutycznej, aby określić potrzebę kontynuacji leczenia.</w:t>
            </w:r>
          </w:p>
          <w:p w14:paraId="68E72BD7" w14:textId="77777777" w:rsidR="004A23BD" w:rsidRDefault="004A23BD" w:rsidP="00E314A7">
            <w:pPr>
              <w:tabs>
                <w:tab w:val="left" w:pos="355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bookmarkEnd w:id="1"/>
          <w:p w14:paraId="1BDD707C" w14:textId="77777777" w:rsidR="00FC5A94" w:rsidRPr="003B422A" w:rsidRDefault="00FC5A94" w:rsidP="00E314A7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ind w:left="227" w:hanging="227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Kryteria wyłączenia z programu</w:t>
            </w:r>
          </w:p>
          <w:p w14:paraId="3373B387" w14:textId="77777777" w:rsidR="00F40221" w:rsidRPr="003B422A" w:rsidRDefault="00FC5A94" w:rsidP="00E314A7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brak potwierdzonej </w:t>
            </w:r>
            <w:r w:rsidRPr="003B4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skuteczności leczenia</w:t>
            </w: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pod koniec fazy indukcji (redukcja wyniku w skali MADRS o mniej niż 50% w porównaniu do wyniku z badania kwalifikującego do programu);</w:t>
            </w:r>
          </w:p>
          <w:p w14:paraId="11A826BF" w14:textId="67C609D2" w:rsidR="00F40221" w:rsidRPr="003B422A" w:rsidRDefault="00F40221" w:rsidP="00E314A7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utrata skuteczności terapii</w:t>
            </w: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w trakcie leczenia podtrzymującego (wynik w skali MADRS &gt; 22 w trakcie dwóch kolejnych badań);</w:t>
            </w:r>
          </w:p>
          <w:p w14:paraId="2A379DB4" w14:textId="77777777" w:rsidR="00FC5A94" w:rsidRPr="003B422A" w:rsidRDefault="00FC5A94" w:rsidP="00E314A7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nadwrażliwość na substancję czynną lub substancje pomocnicze; </w:t>
            </w:r>
          </w:p>
          <w:p w14:paraId="32A9C899" w14:textId="77777777" w:rsidR="00FC5A94" w:rsidRPr="003B422A" w:rsidRDefault="00FC5A94" w:rsidP="00E314A7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wystąpienie działań niepożądanych związanych ze stosowaniem leku uniemożliwiających jego dalsze stosowanie;</w:t>
            </w:r>
          </w:p>
          <w:p w14:paraId="368176FD" w14:textId="71F53EAC" w:rsidR="00FC5A94" w:rsidRPr="003B422A" w:rsidRDefault="00FC5A94" w:rsidP="00E314A7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hospitalizacja z powodu nasilenia się depresji lub innego klinicznie istotnego zdarzenia określonego na podstawie oceny klinicznej jako wskazującego na nawrót choroby depresyjnej takiej jak - próby samobójcze</w:t>
            </w:r>
            <w:r w:rsidR="004A23BD"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 hospitalizacja w celu zapobiegania samobójstwom;</w:t>
            </w:r>
          </w:p>
          <w:p w14:paraId="1FBEA6D9" w14:textId="77777777" w:rsidR="00FC5A94" w:rsidRPr="003B422A" w:rsidRDefault="00FC5A94" w:rsidP="00E314A7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zmiana towarzyszącego leczenia przeciwdepresyjnego (z przyczyn innych niż nietolerancja doustnego leku przeciwdepresyjnego).</w:t>
            </w:r>
          </w:p>
          <w:p w14:paraId="70138BA0" w14:textId="77777777" w:rsidR="00FC5A94" w:rsidRPr="00FC5A94" w:rsidRDefault="00FC5A94" w:rsidP="00FC5A94">
            <w:pPr>
              <w:spacing w:before="60" w:after="60" w:line="276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50" w:type="pct"/>
            <w:hideMark/>
          </w:tcPr>
          <w:p w14:paraId="38E06D31" w14:textId="77777777" w:rsidR="00FC5A94" w:rsidRDefault="00FC5A94" w:rsidP="00E314A7">
            <w:pPr>
              <w:pStyle w:val="Akapitzlis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Dawkowanie</w:t>
            </w:r>
          </w:p>
          <w:p w14:paraId="5EC7D434" w14:textId="31287121" w:rsidR="00EA11B8" w:rsidRPr="00EA11B8" w:rsidRDefault="00EA11B8" w:rsidP="00EA11B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0030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W trakcie leczenia </w:t>
            </w:r>
            <w:proofErr w:type="spellStart"/>
            <w:r w:rsidRPr="0030030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esketaminą</w:t>
            </w:r>
            <w:proofErr w:type="spellEnd"/>
            <w:r w:rsidRPr="0030030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w ramach programu lekowego</w:t>
            </w:r>
            <w:r w:rsidR="00947B46" w:rsidRPr="0030030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30030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leczeniem towarzyszącym jest terapia doustnym lekiem przeciwdepresyjnym z grupy SSRI lub SNRI. Dawkowanie oraz sposób modyfikacji dawkowania należy prowadzić zgodnie z zapisa</w:t>
            </w:r>
            <w:r w:rsidR="00947B46" w:rsidRPr="0030030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m</w:t>
            </w:r>
            <w:r w:rsidRPr="0030030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i Charakterystyki Produktu Leczniczego (ChPL).</w:t>
            </w:r>
          </w:p>
          <w:p w14:paraId="18C6B16A" w14:textId="77777777" w:rsidR="00FC5A94" w:rsidRPr="003B422A" w:rsidRDefault="00FC5A94" w:rsidP="00E314A7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93" w:hanging="493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Pacjenci poniżej 65 r.ż. </w:t>
            </w:r>
          </w:p>
          <w:p w14:paraId="1990E349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Faza indukcji:</w:t>
            </w:r>
          </w:p>
          <w:p w14:paraId="666C2EB3" w14:textId="77777777" w:rsidR="00FC5A94" w:rsidRPr="003B422A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tygodnie 1-4:</w:t>
            </w: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pierwsze podanie 56 mg, kolejne podania 56 mg lub 84 mg dwa razy w tygodniu. </w:t>
            </w:r>
          </w:p>
          <w:p w14:paraId="5F48784B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Pod koniec fazy indukcji należy ocenić dowody korzyści terapeutycznej, aby określić potrzebę kontynuacji leczenia. </w:t>
            </w:r>
          </w:p>
          <w:p w14:paraId="7A3BCB54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Faza podtrzymująca:</w:t>
            </w:r>
          </w:p>
          <w:p w14:paraId="62F45FE8" w14:textId="77777777" w:rsidR="00FC5A94" w:rsidRPr="003B422A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tygodnie 5-8:</w:t>
            </w: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56 mg lub 84 mg raz w tygodniu,</w:t>
            </w:r>
          </w:p>
          <w:p w14:paraId="54103400" w14:textId="77777777" w:rsidR="00FC5A94" w:rsidRPr="003B422A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od 9 tygodnia:</w:t>
            </w: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56 mg lub 84 mg co 2 tygodnie lub raz w tygodniu. </w:t>
            </w:r>
          </w:p>
          <w:p w14:paraId="0CA7D359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Konieczność dalszego leczenia należy okresowo oceniać.</w:t>
            </w:r>
          </w:p>
          <w:p w14:paraId="1D63ADAA" w14:textId="77777777" w:rsidR="00FC5A94" w:rsidRPr="00FC5A94" w:rsidRDefault="00FC5A94" w:rsidP="00E314A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40A0C4E" w14:textId="0AC36B52" w:rsidR="00FC5A94" w:rsidRPr="003B422A" w:rsidRDefault="00FC5A94" w:rsidP="00E314A7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493" w:hanging="493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B4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Pacjenci od 65 roku życia </w:t>
            </w:r>
          </w:p>
          <w:p w14:paraId="6086D2FE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Faza indukcji:</w:t>
            </w:r>
          </w:p>
          <w:p w14:paraId="2F593F21" w14:textId="77777777" w:rsidR="00FC5A94" w:rsidRPr="003B422A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tygodnie 1-4:</w:t>
            </w: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pierwsze podanie 28 mg, kolejne podania 28 mg, 56 mg lub 84 mg dwa razy w tygodniu. </w:t>
            </w:r>
          </w:p>
          <w:p w14:paraId="0DD79B33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Wszystkie zmiany dawki powinny przyrastać stopniowo o 28 mg. </w:t>
            </w:r>
          </w:p>
          <w:p w14:paraId="2369AE93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Pod koniec fazy indukcji należy ocenić dowody korzyści terapeutycznej, aby określić potrzebę kontynuacji leczenia. </w:t>
            </w:r>
          </w:p>
          <w:p w14:paraId="449B309E" w14:textId="77777777" w:rsidR="00FC5A94" w:rsidRPr="003B422A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422A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Faza podtrzymująca:</w:t>
            </w:r>
          </w:p>
          <w:p w14:paraId="10A4EB1A" w14:textId="77777777" w:rsidR="00FC5A94" w:rsidRPr="00474948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74948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tygodnie 5-8:</w:t>
            </w:r>
            <w:r w:rsidRPr="00474948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28 mg, 56 mg lub 84 mg raz w tygodniu,</w:t>
            </w:r>
          </w:p>
          <w:p w14:paraId="21DC05C9" w14:textId="77777777" w:rsidR="00FC5A94" w:rsidRPr="00474948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74948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od 9 tygodnia:</w:t>
            </w:r>
            <w:r w:rsidRPr="00474948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28 mg, 56 mg lub 84 mg co 2 tygodnie lub raz w tygodniu.</w:t>
            </w:r>
          </w:p>
          <w:p w14:paraId="10D6B27C" w14:textId="77777777" w:rsidR="00FC5A94" w:rsidRPr="00474948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74948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Wszystkie zmiany dawki powinny przyrastać stopniowo o 28 mg. </w:t>
            </w:r>
          </w:p>
          <w:p w14:paraId="1789F6F2" w14:textId="77777777" w:rsidR="00FC5A94" w:rsidRPr="00474948" w:rsidRDefault="00FC5A94" w:rsidP="00E314A7">
            <w:pPr>
              <w:spacing w:after="60" w:line="276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74948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Konieczność dalszego leczenia należy okresowo oceniać. </w:t>
            </w:r>
          </w:p>
          <w:p w14:paraId="22D368B9" w14:textId="77777777" w:rsidR="00FC5A94" w:rsidRPr="00FC5A94" w:rsidRDefault="00FC5A94" w:rsidP="00E314A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Calibri" w:eastAsia="Calibri" w:hAnsi="Calibri" w:cs="Times New Roman"/>
                <w:bCs/>
                <w:kern w:val="0"/>
                <w14:ligatures w14:val="none"/>
              </w:rPr>
            </w:pPr>
          </w:p>
          <w:p w14:paraId="23654DA3" w14:textId="4784A1DA" w:rsidR="00FC5A94" w:rsidRPr="00474948" w:rsidRDefault="00474948" w:rsidP="00E314A7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68" w:firstLine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 fazie </w:t>
            </w:r>
            <w:r w:rsidR="00FC5A94" w:rsidRPr="0047494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podtrzymującej zaleca się utrzymanie dawki, którą pacjent otrzymuje na końcu fazy indukcji. Podczas fazy podtrzymującej, w celu utrzymania remisji/odpowiedzi należy indywidualnie dostosować dawkowanie produktu leczniczego do najniższej częstości podawania.</w:t>
            </w:r>
          </w:p>
          <w:p w14:paraId="0060242F" w14:textId="77777777" w:rsidR="00FC5A94" w:rsidRPr="00FC5A94" w:rsidRDefault="00FC5A94" w:rsidP="00FC5A94">
            <w:pPr>
              <w:autoSpaceDE w:val="0"/>
              <w:autoSpaceDN w:val="0"/>
              <w:adjustRightInd w:val="0"/>
              <w:spacing w:before="60" w:after="60" w:line="276" w:lineRule="auto"/>
              <w:jc w:val="both"/>
              <w:rPr>
                <w:rFonts w:ascii="Calibri" w:eastAsia="Calibri" w:hAnsi="Calibri" w:cs="Times New Roman"/>
                <w:bCs/>
                <w:kern w:val="0"/>
                <w:highlight w:val="yellow"/>
                <w14:ligatures w14:val="none"/>
              </w:rPr>
            </w:pPr>
          </w:p>
        </w:tc>
        <w:tc>
          <w:tcPr>
            <w:tcW w:w="1710" w:type="pct"/>
          </w:tcPr>
          <w:p w14:paraId="0358DADF" w14:textId="5C260FF7" w:rsidR="00FC5A94" w:rsidRPr="00C7161C" w:rsidRDefault="00FC5A94" w:rsidP="00E314A7">
            <w:pPr>
              <w:pStyle w:val="Akapitzlist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Badania przy kwalifikacji do programu</w:t>
            </w:r>
          </w:p>
          <w:p w14:paraId="02D14E8B" w14:textId="77777777" w:rsidR="00FC5A94" w:rsidRPr="00C7161C" w:rsidRDefault="00FC5A94" w:rsidP="00E314A7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ocena nasilenia depresji wg skali MADRS;</w:t>
            </w:r>
          </w:p>
          <w:p w14:paraId="16811AA3" w14:textId="77777777" w:rsidR="00F46BD9" w:rsidRPr="00C7161C" w:rsidRDefault="00F46BD9" w:rsidP="00E314A7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badanie psychiatryczne mające na celu udokumentowanie wykluczenia:</w:t>
            </w:r>
          </w:p>
          <w:p w14:paraId="71E7AA4B" w14:textId="77777777" w:rsidR="00F46BD9" w:rsidRPr="00C7161C" w:rsidRDefault="00F46BD9" w:rsidP="00E314A7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0" w:hanging="226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7161C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zaburzeń osobowości,</w:t>
            </w:r>
          </w:p>
          <w:p w14:paraId="5F7CF03D" w14:textId="77777777" w:rsidR="00F46BD9" w:rsidRPr="00C7161C" w:rsidRDefault="00F46BD9" w:rsidP="00E314A7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0" w:hanging="226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7161C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choroby afektywnej dwubiegunowej,</w:t>
            </w:r>
          </w:p>
          <w:p w14:paraId="57192AB4" w14:textId="77777777" w:rsidR="00F46BD9" w:rsidRPr="00C7161C" w:rsidRDefault="00F46BD9" w:rsidP="00E314A7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ind w:left="680" w:hanging="226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7161C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uzależniania od alkoholu, leków nasennych, uspokajających, przeciwbólowych lub narkotyków;</w:t>
            </w:r>
          </w:p>
          <w:p w14:paraId="32BEEED1" w14:textId="404C6AF6" w:rsidR="00FC5A94" w:rsidRPr="00300305" w:rsidRDefault="00EA11B8" w:rsidP="00E314A7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30030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badania laboratoryjne służące ocenie wydolności narządowej</w:t>
            </w:r>
            <w:r w:rsidR="00FC5A94" w:rsidRPr="0030030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61DCA40E" w14:textId="77777777" w:rsidR="00FC5A94" w:rsidRPr="00C7161C" w:rsidRDefault="00FC5A94" w:rsidP="00E314A7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badanie poziomu TSH;</w:t>
            </w:r>
          </w:p>
          <w:p w14:paraId="688E9EE6" w14:textId="77777777" w:rsidR="00FC5A94" w:rsidRPr="00C7161C" w:rsidRDefault="00FC5A94" w:rsidP="00E314A7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pomiar ciśnienia krwi;</w:t>
            </w:r>
          </w:p>
          <w:p w14:paraId="364E8C7A" w14:textId="77777777" w:rsidR="00FC5A94" w:rsidRPr="00C7161C" w:rsidRDefault="00FC5A94" w:rsidP="00E314A7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test ciążowy w celu wykluczenia ciąży – w przypadku kobiet w wieku rozrodczym.</w:t>
            </w:r>
          </w:p>
          <w:p w14:paraId="7E6FF6D0" w14:textId="77777777" w:rsidR="00FC5A94" w:rsidRPr="00FC5A94" w:rsidRDefault="00FC5A94" w:rsidP="00FC5A94">
            <w:pPr>
              <w:autoSpaceDE w:val="0"/>
              <w:autoSpaceDN w:val="0"/>
              <w:adjustRightInd w:val="0"/>
              <w:spacing w:before="60" w:after="60"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01F4A81" w14:textId="626F1FA0" w:rsidR="00C7161C" w:rsidRPr="00C7161C" w:rsidRDefault="00FC5A94" w:rsidP="00E314A7">
            <w:pPr>
              <w:pStyle w:val="Akapitzlist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Monitorowanie leczenia</w:t>
            </w:r>
          </w:p>
          <w:p w14:paraId="0109D6C9" w14:textId="622F23E3" w:rsidR="00FC5A94" w:rsidRPr="00E314A7" w:rsidRDefault="00FC5A94" w:rsidP="00E314A7">
            <w:pPr>
              <w:pStyle w:val="Akapitzlist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E314A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Monitorowanie bezpieczeństwa leczenia</w:t>
            </w:r>
          </w:p>
          <w:p w14:paraId="71818687" w14:textId="77777777" w:rsidR="00FC5A94" w:rsidRPr="00C7161C" w:rsidRDefault="00FC5A94" w:rsidP="00E314A7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pomiar ciśnienia krwi (przed podaniem leczenia oraz około 40 minut po podaniu dawki, a następnie, zgodnie z potrzebą kliniczną);</w:t>
            </w:r>
          </w:p>
          <w:p w14:paraId="1B68CBBF" w14:textId="617E60DB" w:rsidR="00FC5A94" w:rsidRPr="00C7161C" w:rsidRDefault="00FC5A94" w:rsidP="00E314A7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 xml:space="preserve">ocena pod kątem rozwoju </w:t>
            </w:r>
            <w:proofErr w:type="spellStart"/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zachowań</w:t>
            </w:r>
            <w:proofErr w:type="spellEnd"/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lub stanów nadużywania lub niewłaściwego stosowania leku. </w:t>
            </w:r>
          </w:p>
          <w:p w14:paraId="1E5D2712" w14:textId="78A924C2" w:rsidR="00FC5A94" w:rsidRPr="00C7161C" w:rsidRDefault="00FC5A94" w:rsidP="00E314A7">
            <w:pPr>
              <w:pStyle w:val="Akapitzlist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Monitorowanie skuteczności leczenia</w:t>
            </w:r>
          </w:p>
          <w:p w14:paraId="76B0985B" w14:textId="77777777" w:rsidR="00FC5A94" w:rsidRPr="00C7161C" w:rsidRDefault="00FC5A94" w:rsidP="00E314A7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161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ocena nasilenia objawów według skali MADRS:</w:t>
            </w:r>
          </w:p>
          <w:p w14:paraId="6FD1CB73" w14:textId="77777777" w:rsidR="00FC5A94" w:rsidRPr="00C7161C" w:rsidRDefault="00FC5A94" w:rsidP="00E314A7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680" w:hanging="226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7161C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w fazie indukcji:</w:t>
            </w:r>
          </w:p>
          <w:p w14:paraId="5E76E64C" w14:textId="77777777" w:rsidR="00FC5A94" w:rsidRPr="00C7161C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ind w:hanging="146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7161C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jeden raz w tygodniu,</w:t>
            </w:r>
          </w:p>
          <w:p w14:paraId="126DE4A1" w14:textId="77777777" w:rsidR="00FC5A94" w:rsidRPr="00C7161C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ind w:hanging="146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7161C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po koniec fazy indukcji w celu oceny </w:t>
            </w:r>
            <w:r w:rsidRPr="00C7161C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skuteczności terapii</w:t>
            </w:r>
            <w:r w:rsidRPr="00C7161C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warunkującej kontynuację leczenia - zgodnie z pkt 1 kryteriów wyłączenia,</w:t>
            </w:r>
          </w:p>
          <w:p w14:paraId="1CE8A100" w14:textId="77777777" w:rsidR="00FC5A94" w:rsidRPr="00C7161C" w:rsidRDefault="00FC5A94" w:rsidP="00E314A7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680" w:hanging="226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7161C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w fazie podtrzymującej:</w:t>
            </w:r>
          </w:p>
          <w:p w14:paraId="23752C6F" w14:textId="4BFD5690" w:rsidR="00FC5A94" w:rsidRPr="00D1632F" w:rsidRDefault="00FC5A94" w:rsidP="00E314A7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ind w:hanging="146"/>
              <w:contextualSpacing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przy każdym podaniu leku w celu oceny ewentualnej </w:t>
            </w:r>
            <w:r w:rsidRPr="00D1632F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utraty skuteczności terapii</w:t>
            </w:r>
            <w:r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(nawrót choroby) – zgodnie z pkt </w:t>
            </w:r>
            <w:r w:rsidR="00F40221"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  <w:r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kryteriów wyłączenia lub </w:t>
            </w:r>
            <w:r w:rsidR="00EB33CC" w:rsidRPr="00D1632F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uzyskania remisji</w:t>
            </w:r>
            <w:r w:rsidR="00EB33CC"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="003F5E39"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(zdefiniowana jako wynik w skali MADRS &lt; 10) </w:t>
            </w:r>
            <w:r w:rsidR="00EB33CC"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lub </w:t>
            </w:r>
            <w:r w:rsidR="00BC3A34" w:rsidRPr="00D1632F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trwałej </w:t>
            </w:r>
            <w:r w:rsidRPr="00D1632F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remisji</w:t>
            </w:r>
            <w:r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="003F5E39" w:rsidRPr="00D1632F"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(zdefiniowana jako wynik w skali MADRS &lt; 10 uzyskany w każdym kolejnym badaniu). </w:t>
            </w:r>
          </w:p>
          <w:p w14:paraId="613650F9" w14:textId="77777777" w:rsidR="00FC5A94" w:rsidRPr="00FC5A94" w:rsidRDefault="00FC5A94" w:rsidP="00E314A7">
            <w:p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BCD5890" w14:textId="5880EBE5" w:rsidR="00FC5A94" w:rsidRPr="00D1632F" w:rsidRDefault="00FC5A94" w:rsidP="00E314A7">
            <w:pPr>
              <w:pStyle w:val="Akapitzlist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D1632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Monitorowanie programu</w:t>
            </w:r>
          </w:p>
          <w:p w14:paraId="0FCB9309" w14:textId="77777777" w:rsidR="00FC5A94" w:rsidRPr="00D1632F" w:rsidRDefault="00FC5A94" w:rsidP="00E314A7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1632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0FD48A87" w14:textId="77777777" w:rsidR="00FC5A94" w:rsidRPr="00D1632F" w:rsidRDefault="00FC5A94" w:rsidP="00E314A7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1632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uzupełnianie danych zawartych w elektronicznym rejestrze dostępnym za pomocą aplikacji internetowej udostępnionej przez OW NFZ, w tym wskaźników skuteczności leczenia (wynik w skali MADRS, redukcja wyniku w skali MADRS pod koniec fazy indukcji, utrata skuteczności terapii, remisja) z częstotliwością zgodną z opisem programu oraz na zakończenie leczenia;</w:t>
            </w:r>
          </w:p>
          <w:p w14:paraId="67D310BE" w14:textId="77777777" w:rsidR="00FC5A94" w:rsidRPr="00FC5A94" w:rsidRDefault="00FC5A94" w:rsidP="00E314A7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1632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przekazywanie informacji sprawozdawczo-rozliczeniowych do NFZ: informacje przekazuje się do NFZ w formie papierowej lub w formie elektronicznej, zgodnie z wymaganiami opublikowanymi przez Narodowy Fundusz Zdrowia.</w:t>
            </w:r>
          </w:p>
        </w:tc>
      </w:tr>
    </w:tbl>
    <w:p w14:paraId="5DD842B8" w14:textId="77777777" w:rsidR="00FC5A94" w:rsidRPr="00FC5A94" w:rsidRDefault="00FC5A94">
      <w:pPr>
        <w:rPr>
          <w:rFonts w:ascii="Times New Roman" w:hAnsi="Times New Roman" w:cs="Times New Roman"/>
          <w:sz w:val="28"/>
          <w:szCs w:val="28"/>
        </w:rPr>
      </w:pPr>
    </w:p>
    <w:sectPr w:rsidR="00FC5A94" w:rsidRPr="00FC5A94" w:rsidSect="003B422A">
      <w:pgSz w:w="16840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2E8"/>
    <w:multiLevelType w:val="hybridMultilevel"/>
    <w:tmpl w:val="ED522B50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697"/>
    <w:multiLevelType w:val="hybridMultilevel"/>
    <w:tmpl w:val="8E98C420"/>
    <w:lvl w:ilvl="0" w:tplc="04150011">
      <w:start w:val="1"/>
      <w:numFmt w:val="decimal"/>
      <w:lvlText w:val="%1)"/>
      <w:lvlJc w:val="left"/>
      <w:pPr>
        <w:ind w:left="-720" w:hanging="360"/>
      </w:pPr>
    </w:lvl>
    <w:lvl w:ilvl="1" w:tplc="04150019">
      <w:start w:val="1"/>
      <w:numFmt w:val="lowerLetter"/>
      <w:lvlText w:val="%2."/>
      <w:lvlJc w:val="left"/>
      <w:pPr>
        <w:ind w:left="0" w:hanging="360"/>
      </w:pPr>
    </w:lvl>
    <w:lvl w:ilvl="2" w:tplc="0415001B">
      <w:start w:val="1"/>
      <w:numFmt w:val="lowerRoman"/>
      <w:lvlText w:val="%3."/>
      <w:lvlJc w:val="right"/>
      <w:pPr>
        <w:ind w:left="720" w:hanging="180"/>
      </w:pPr>
    </w:lvl>
    <w:lvl w:ilvl="3" w:tplc="0415000F">
      <w:start w:val="1"/>
      <w:numFmt w:val="decimal"/>
      <w:lvlText w:val="%4."/>
      <w:lvlJc w:val="left"/>
      <w:pPr>
        <w:ind w:left="1440" w:hanging="360"/>
      </w:pPr>
    </w:lvl>
    <w:lvl w:ilvl="4" w:tplc="04150019">
      <w:start w:val="1"/>
      <w:numFmt w:val="lowerLetter"/>
      <w:lvlText w:val="%5."/>
      <w:lvlJc w:val="left"/>
      <w:pPr>
        <w:ind w:left="2160" w:hanging="360"/>
      </w:pPr>
    </w:lvl>
    <w:lvl w:ilvl="5" w:tplc="0415001B">
      <w:start w:val="1"/>
      <w:numFmt w:val="lowerRoman"/>
      <w:lvlText w:val="%6."/>
      <w:lvlJc w:val="right"/>
      <w:pPr>
        <w:ind w:left="2880" w:hanging="180"/>
      </w:pPr>
    </w:lvl>
    <w:lvl w:ilvl="6" w:tplc="0415000F">
      <w:start w:val="1"/>
      <w:numFmt w:val="decimal"/>
      <w:lvlText w:val="%7."/>
      <w:lvlJc w:val="left"/>
      <w:pPr>
        <w:ind w:left="3600" w:hanging="360"/>
      </w:pPr>
    </w:lvl>
    <w:lvl w:ilvl="7" w:tplc="04150019">
      <w:start w:val="1"/>
      <w:numFmt w:val="lowerLetter"/>
      <w:lvlText w:val="%8."/>
      <w:lvlJc w:val="left"/>
      <w:pPr>
        <w:ind w:left="4320" w:hanging="360"/>
      </w:pPr>
    </w:lvl>
    <w:lvl w:ilvl="8" w:tplc="0415001B">
      <w:start w:val="1"/>
      <w:numFmt w:val="lowerRoman"/>
      <w:lvlText w:val="%9."/>
      <w:lvlJc w:val="right"/>
      <w:pPr>
        <w:ind w:left="5040" w:hanging="180"/>
      </w:pPr>
    </w:lvl>
  </w:abstractNum>
  <w:abstractNum w:abstractNumId="2" w15:restartNumberingAfterBreak="0">
    <w:nsid w:val="0703217F"/>
    <w:multiLevelType w:val="hybridMultilevel"/>
    <w:tmpl w:val="0EA41238"/>
    <w:lvl w:ilvl="0" w:tplc="F36AC814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B56"/>
    <w:multiLevelType w:val="hybridMultilevel"/>
    <w:tmpl w:val="8E98C42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A7CBA"/>
    <w:multiLevelType w:val="hybridMultilevel"/>
    <w:tmpl w:val="5F34E23E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330F"/>
    <w:multiLevelType w:val="hybridMultilevel"/>
    <w:tmpl w:val="01905248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16F0F"/>
    <w:multiLevelType w:val="hybridMultilevel"/>
    <w:tmpl w:val="BFB0438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4306EA"/>
    <w:multiLevelType w:val="hybridMultilevel"/>
    <w:tmpl w:val="6C0094B2"/>
    <w:lvl w:ilvl="0" w:tplc="785CD9B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32A08"/>
    <w:multiLevelType w:val="hybridMultilevel"/>
    <w:tmpl w:val="53AA169E"/>
    <w:lvl w:ilvl="0" w:tplc="324C15FC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F6A12"/>
    <w:multiLevelType w:val="hybridMultilevel"/>
    <w:tmpl w:val="BCBE5978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8797E"/>
    <w:multiLevelType w:val="hybridMultilevel"/>
    <w:tmpl w:val="E3000EA4"/>
    <w:lvl w:ilvl="0" w:tplc="93AA5C82">
      <w:start w:val="1"/>
      <w:numFmt w:val="lowerLetter"/>
      <w:suff w:val="space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9278E6"/>
    <w:multiLevelType w:val="hybridMultilevel"/>
    <w:tmpl w:val="B11289AA"/>
    <w:lvl w:ilvl="0" w:tplc="AF84DC22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F46A7"/>
    <w:multiLevelType w:val="hybridMultilevel"/>
    <w:tmpl w:val="9648DFE4"/>
    <w:lvl w:ilvl="0" w:tplc="07C0B9E4">
      <w:start w:val="1"/>
      <w:numFmt w:val="bullet"/>
      <w:lvlText w:val=""/>
      <w:lvlJc w:val="left"/>
      <w:pPr>
        <w:ind w:left="10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4265659E"/>
    <w:multiLevelType w:val="hybridMultilevel"/>
    <w:tmpl w:val="EFB209C2"/>
    <w:lvl w:ilvl="0" w:tplc="604827CE">
      <w:start w:val="1"/>
      <w:numFmt w:val="lowerLett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4" w15:restartNumberingAfterBreak="0">
    <w:nsid w:val="44A10628"/>
    <w:multiLevelType w:val="hybridMultilevel"/>
    <w:tmpl w:val="9E72E2D8"/>
    <w:lvl w:ilvl="0" w:tplc="8BACCF5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65BBD"/>
    <w:multiLevelType w:val="hybridMultilevel"/>
    <w:tmpl w:val="BCBE5978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D84FDC"/>
    <w:multiLevelType w:val="hybridMultilevel"/>
    <w:tmpl w:val="B4521DD6"/>
    <w:lvl w:ilvl="0" w:tplc="079E961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420DEC"/>
    <w:multiLevelType w:val="multilevel"/>
    <w:tmpl w:val="7924B4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22C07F0"/>
    <w:multiLevelType w:val="hybridMultilevel"/>
    <w:tmpl w:val="228803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E45D4"/>
    <w:multiLevelType w:val="hybridMultilevel"/>
    <w:tmpl w:val="562688F8"/>
    <w:lvl w:ilvl="0" w:tplc="07C0B9E4">
      <w:start w:val="1"/>
      <w:numFmt w:val="bullet"/>
      <w:lvlText w:val=""/>
      <w:lvlJc w:val="left"/>
      <w:pPr>
        <w:ind w:left="10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75CE3374"/>
    <w:multiLevelType w:val="multilevel"/>
    <w:tmpl w:val="A552E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89A739C"/>
    <w:multiLevelType w:val="hybridMultilevel"/>
    <w:tmpl w:val="D1A8B456"/>
    <w:lvl w:ilvl="0" w:tplc="C3CAB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36790"/>
    <w:multiLevelType w:val="hybridMultilevel"/>
    <w:tmpl w:val="BCBE5978"/>
    <w:lvl w:ilvl="0" w:tplc="DA7A201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2B1DD5"/>
    <w:multiLevelType w:val="hybridMultilevel"/>
    <w:tmpl w:val="00C4A486"/>
    <w:lvl w:ilvl="0" w:tplc="631A49CE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A973DE"/>
    <w:multiLevelType w:val="hybridMultilevel"/>
    <w:tmpl w:val="1E482C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0697538">
    <w:abstractNumId w:val="14"/>
  </w:num>
  <w:num w:numId="2" w16cid:durableId="52895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83244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3345030">
    <w:abstractNumId w:val="13"/>
  </w:num>
  <w:num w:numId="5" w16cid:durableId="578447311">
    <w:abstractNumId w:val="23"/>
  </w:num>
  <w:num w:numId="6" w16cid:durableId="945889901">
    <w:abstractNumId w:val="22"/>
  </w:num>
  <w:num w:numId="7" w16cid:durableId="2039499299">
    <w:abstractNumId w:val="16"/>
  </w:num>
  <w:num w:numId="8" w16cid:durableId="1781101286">
    <w:abstractNumId w:val="20"/>
  </w:num>
  <w:num w:numId="9" w16cid:durableId="1078211301">
    <w:abstractNumId w:val="5"/>
  </w:num>
  <w:num w:numId="10" w16cid:durableId="783236124">
    <w:abstractNumId w:val="8"/>
  </w:num>
  <w:num w:numId="11" w16cid:durableId="879316388">
    <w:abstractNumId w:val="10"/>
  </w:num>
  <w:num w:numId="12" w16cid:durableId="1617567017">
    <w:abstractNumId w:val="19"/>
  </w:num>
  <w:num w:numId="13" w16cid:durableId="1437747865">
    <w:abstractNumId w:val="12"/>
  </w:num>
  <w:num w:numId="14" w16cid:durableId="648440596">
    <w:abstractNumId w:val="4"/>
  </w:num>
  <w:num w:numId="15" w16cid:durableId="1032418092">
    <w:abstractNumId w:val="0"/>
  </w:num>
  <w:num w:numId="16" w16cid:durableId="1548447042">
    <w:abstractNumId w:val="1"/>
  </w:num>
  <w:num w:numId="17" w16cid:durableId="1944724020">
    <w:abstractNumId w:val="18"/>
  </w:num>
  <w:num w:numId="18" w16cid:durableId="622272020">
    <w:abstractNumId w:val="6"/>
  </w:num>
  <w:num w:numId="19" w16cid:durableId="581336635">
    <w:abstractNumId w:val="21"/>
  </w:num>
  <w:num w:numId="20" w16cid:durableId="1822311921">
    <w:abstractNumId w:val="24"/>
  </w:num>
  <w:num w:numId="21" w16cid:durableId="1311321731">
    <w:abstractNumId w:val="2"/>
  </w:num>
  <w:num w:numId="22" w16cid:durableId="1850831764">
    <w:abstractNumId w:val="11"/>
  </w:num>
  <w:num w:numId="23" w16cid:durableId="2072805232">
    <w:abstractNumId w:val="7"/>
  </w:num>
  <w:num w:numId="24" w16cid:durableId="160119189">
    <w:abstractNumId w:val="9"/>
  </w:num>
  <w:num w:numId="25" w16cid:durableId="673386809">
    <w:abstractNumId w:val="15"/>
  </w:num>
  <w:num w:numId="26" w16cid:durableId="11282814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94"/>
    <w:rsid w:val="00131A9C"/>
    <w:rsid w:val="001C5A60"/>
    <w:rsid w:val="002602AE"/>
    <w:rsid w:val="00300305"/>
    <w:rsid w:val="00333929"/>
    <w:rsid w:val="00334896"/>
    <w:rsid w:val="003B422A"/>
    <w:rsid w:val="003F5E39"/>
    <w:rsid w:val="00425554"/>
    <w:rsid w:val="00474948"/>
    <w:rsid w:val="004A23BD"/>
    <w:rsid w:val="004A2DD1"/>
    <w:rsid w:val="004D291F"/>
    <w:rsid w:val="005D78E0"/>
    <w:rsid w:val="00636E60"/>
    <w:rsid w:val="006472DB"/>
    <w:rsid w:val="00707CFB"/>
    <w:rsid w:val="007510F2"/>
    <w:rsid w:val="00777E7F"/>
    <w:rsid w:val="007D79C1"/>
    <w:rsid w:val="007F4A5E"/>
    <w:rsid w:val="00803664"/>
    <w:rsid w:val="00826C22"/>
    <w:rsid w:val="00836E2D"/>
    <w:rsid w:val="008D131E"/>
    <w:rsid w:val="00947B46"/>
    <w:rsid w:val="009A574B"/>
    <w:rsid w:val="00A51CE0"/>
    <w:rsid w:val="00AA5E03"/>
    <w:rsid w:val="00B53758"/>
    <w:rsid w:val="00BC3A34"/>
    <w:rsid w:val="00BF588B"/>
    <w:rsid w:val="00C7161C"/>
    <w:rsid w:val="00CA2D0B"/>
    <w:rsid w:val="00CF463B"/>
    <w:rsid w:val="00D13410"/>
    <w:rsid w:val="00D1632F"/>
    <w:rsid w:val="00DC28EE"/>
    <w:rsid w:val="00E225D7"/>
    <w:rsid w:val="00E314A7"/>
    <w:rsid w:val="00E62B31"/>
    <w:rsid w:val="00E65774"/>
    <w:rsid w:val="00EA11B8"/>
    <w:rsid w:val="00EB1004"/>
    <w:rsid w:val="00EB33CC"/>
    <w:rsid w:val="00EC6ACD"/>
    <w:rsid w:val="00F30E39"/>
    <w:rsid w:val="00F40221"/>
    <w:rsid w:val="00F46BD9"/>
    <w:rsid w:val="00FC5A94"/>
    <w:rsid w:val="00F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D0F4"/>
  <w15:chartTrackingRefBased/>
  <w15:docId w15:val="{E9735A8A-0ED0-46E8-BAEB-833DF739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34"/>
    <w:qFormat/>
    <w:rsid w:val="00FE664F"/>
    <w:pPr>
      <w:ind w:left="720"/>
      <w:contextualSpacing/>
    </w:p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34"/>
    <w:locked/>
    <w:rsid w:val="003B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1024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Klimkowska Katarzyna</dc:creator>
  <cp:keywords/>
  <dc:description/>
  <cp:lastModifiedBy>Wilk Justyna</cp:lastModifiedBy>
  <cp:revision>4</cp:revision>
  <dcterms:created xsi:type="dcterms:W3CDTF">2025-05-14T06:34:00Z</dcterms:created>
  <dcterms:modified xsi:type="dcterms:W3CDTF">2025-06-12T12:55:00Z</dcterms:modified>
</cp:coreProperties>
</file>