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B483" w14:textId="6BFC8BC9" w:rsidR="00A2533A" w:rsidRPr="007560B4" w:rsidRDefault="00AD1A15" w:rsidP="007560B4">
      <w:pPr>
        <w:spacing w:after="0" w:line="240" w:lineRule="auto"/>
        <w:rPr>
          <w:rFonts w:ascii="Times New Roman" w:eastAsia="PMingLiU" w:hAnsi="Times New Roman"/>
          <w:lang w:val="pl-PL" w:eastAsia="zh-TW"/>
        </w:rPr>
      </w:pPr>
      <w:r w:rsidRPr="007560B4">
        <w:rPr>
          <w:rFonts w:ascii="Times New Roman" w:eastAsia="PMingLiU" w:hAnsi="Times New Roman"/>
          <w:lang w:val="pl-PL" w:eastAsia="zh-TW"/>
        </w:rPr>
        <w:t>Załącznik B</w:t>
      </w:r>
      <w:r w:rsidR="00C95ADF" w:rsidRPr="007560B4">
        <w:rPr>
          <w:rFonts w:ascii="Times New Roman" w:eastAsia="PMingLiU" w:hAnsi="Times New Roman"/>
          <w:lang w:val="pl-PL" w:eastAsia="zh-TW"/>
        </w:rPr>
        <w:t>.150.</w:t>
      </w:r>
    </w:p>
    <w:p w14:paraId="57A0C906" w14:textId="77777777" w:rsidR="00A2533A" w:rsidRPr="007560B4" w:rsidRDefault="00A2533A" w:rsidP="007560B4">
      <w:pPr>
        <w:spacing w:after="0" w:line="240" w:lineRule="auto"/>
        <w:rPr>
          <w:rFonts w:ascii="Times New Roman" w:eastAsia="PMingLiU" w:hAnsi="Times New Roman"/>
          <w:lang w:val="pl-PL" w:eastAsia="zh-TW"/>
        </w:rPr>
      </w:pPr>
    </w:p>
    <w:p w14:paraId="4E4CD74D" w14:textId="77777777" w:rsidR="00B63A7E" w:rsidRPr="007560B4" w:rsidRDefault="00AB3992" w:rsidP="007560B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</w:pPr>
      <w:r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LECZENIE</w:t>
      </w:r>
      <w:r w:rsidR="00BD2FA1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</w:t>
      </w:r>
      <w:r w:rsidR="00357C86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CHORYCH </w:t>
      </w:r>
      <w:r w:rsidR="00B77AD3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Z </w:t>
      </w:r>
      <w:r w:rsidR="000160EA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TOCZNI</w:t>
      </w:r>
      <w:r w:rsidR="00B77AD3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EM</w:t>
      </w:r>
      <w:r w:rsidR="000160EA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RUMIENIOWAT</w:t>
      </w:r>
      <w:r w:rsidR="00B77AD3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YM</w:t>
      </w:r>
      <w:r w:rsidR="000160EA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UKŁADOW</w:t>
      </w:r>
      <w:r w:rsidR="00B77AD3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YM</w:t>
      </w:r>
      <w:r w:rsidR="00973E81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(TRU</w:t>
      </w:r>
      <w:r w:rsidR="00EE0BE3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, SLE</w:t>
      </w:r>
      <w:r w:rsidR="00973E81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)</w:t>
      </w:r>
      <w:r w:rsidR="004275BE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</w:t>
      </w:r>
      <w:r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(ICD-</w:t>
      </w:r>
      <w:r w:rsidR="00C10414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10</w:t>
      </w:r>
      <w:r w:rsidR="00357C86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:</w:t>
      </w:r>
      <w:r w:rsidR="00C10414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 xml:space="preserve"> </w:t>
      </w:r>
      <w:r w:rsidR="000160EA" w:rsidRPr="007560B4">
        <w:rPr>
          <w:rFonts w:ascii="Times New Roman" w:eastAsia="Times New Roman" w:hAnsi="Times New Roman"/>
          <w:b/>
          <w:bCs/>
          <w:sz w:val="28"/>
          <w:szCs w:val="24"/>
          <w:lang w:val="pl-PL" w:eastAsia="pl-PL"/>
        </w:rPr>
        <w:t>M32)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4"/>
        <w:gridCol w:w="4112"/>
        <w:gridCol w:w="5614"/>
      </w:tblGrid>
      <w:tr w:rsidR="00B63A7E" w:rsidRPr="007560B4" w14:paraId="3067DC1F" w14:textId="77777777" w:rsidTr="007560B4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82EE" w14:textId="77777777" w:rsidR="00B63A7E" w:rsidRPr="007560B4" w:rsidRDefault="00B63A7E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ZAKRES ŚWIADCZENIA GWARANTOWANEGO</w:t>
            </w:r>
          </w:p>
        </w:tc>
      </w:tr>
      <w:tr w:rsidR="00B02301" w:rsidRPr="007F3783" w14:paraId="5C12CB9F" w14:textId="77777777" w:rsidTr="00D939E7">
        <w:trPr>
          <w:trHeight w:val="567"/>
          <w:jc w:val="center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6E40" w14:textId="77777777" w:rsidR="00F64DF4" w:rsidRPr="007560B4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ŚWIADCZENIOBIORCY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50AF" w14:textId="21F71C89" w:rsidR="00F64DF4" w:rsidRPr="007560B4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SCHEMAT DAWKOWANIA LEKU </w:t>
            </w:r>
            <w:r w:rsid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br/>
            </w: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W PROGRAMIE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35B2" w14:textId="7D6DEFF1" w:rsidR="00F64DF4" w:rsidRPr="007560B4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BADANIA DIAGNOSTYCZNE WYKONYWANE</w:t>
            </w:r>
            <w:r w:rsidR="007560B4"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="00D939E7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br/>
            </w:r>
            <w:r w:rsidRPr="007560B4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W RAMACH PROGRAMU</w:t>
            </w:r>
          </w:p>
        </w:tc>
      </w:tr>
      <w:tr w:rsidR="00B63A7E" w:rsidRPr="007F3783" w14:paraId="18071610" w14:textId="77777777" w:rsidTr="00D939E7">
        <w:trPr>
          <w:trHeight w:val="20"/>
          <w:jc w:val="center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8A6C" w14:textId="77777777" w:rsidR="00752087" w:rsidRPr="007560B4" w:rsidRDefault="00752087" w:rsidP="007560B4">
            <w:pPr>
              <w:spacing w:before="120"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7560B4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 ramach programu lekowego udostępnia się terapie:</w:t>
            </w:r>
          </w:p>
          <w:p w14:paraId="0D3D2E26" w14:textId="645A846F" w:rsidR="00752087" w:rsidRPr="00475AE1" w:rsidRDefault="00752087" w:rsidP="00475AE1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proofErr w:type="spellStart"/>
            <w:r w:rsidRPr="00475AE1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pl-PL"/>
              </w:rPr>
              <w:t>anifrolumabem</w:t>
            </w:r>
            <w:proofErr w:type="spellEnd"/>
            <w:r w:rsidRPr="00475AE1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,</w:t>
            </w:r>
          </w:p>
          <w:p w14:paraId="6C9898A8" w14:textId="112D6260" w:rsidR="00543F24" w:rsidRPr="00475AE1" w:rsidRDefault="00543F24" w:rsidP="00475AE1">
            <w:pPr>
              <w:pStyle w:val="Akapitzlist"/>
              <w:numPr>
                <w:ilvl w:val="3"/>
                <w:numId w:val="16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proofErr w:type="spellStart"/>
            <w:r w:rsidRPr="00475AE1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pl-PL"/>
              </w:rPr>
              <w:t>rytuksymabem</w:t>
            </w:r>
            <w:proofErr w:type="spellEnd"/>
          </w:p>
          <w:p w14:paraId="7F202445" w14:textId="77777777" w:rsidR="00752087" w:rsidRPr="00475AE1" w:rsidRDefault="00752087" w:rsidP="00475AE1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u w:val="single"/>
                <w:lang w:val="pl-PL"/>
              </w:rPr>
            </w:pPr>
            <w:r w:rsidRPr="00475AE1">
              <w:rPr>
                <w:rFonts w:ascii="Times New Roman" w:hAnsi="Times New Roman"/>
                <w:bCs/>
                <w:sz w:val="20"/>
                <w:szCs w:val="20"/>
                <w:u w:val="single"/>
                <w:lang w:val="pl-PL"/>
              </w:rPr>
              <w:t>zgodnie ze wskazanymi w opisie programu warunkami i kryteriami.</w:t>
            </w:r>
          </w:p>
          <w:p w14:paraId="3487D44B" w14:textId="77777777" w:rsidR="007560B4" w:rsidRPr="00475AE1" w:rsidRDefault="007560B4" w:rsidP="00475AE1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0F1C5B50" w14:textId="2CD64E55" w:rsidR="00752087" w:rsidRPr="00475AE1" w:rsidRDefault="00752087" w:rsidP="00475AE1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Kwalifikacja świadczeniobiorców do programu przeprowadzana jest przez Zespół Koordynacyjny ds. Leczenia Biologicznego w Chorobach Reumatycznych powoływany przez Prezesa Narodowego Funduszu Zdrowia.</w:t>
            </w:r>
          </w:p>
          <w:p w14:paraId="3C8D2523" w14:textId="77777777" w:rsidR="00C95ADF" w:rsidRPr="00475AE1" w:rsidRDefault="00C95ADF" w:rsidP="00475AE1">
            <w:pPr>
              <w:pStyle w:val="Akapitzlist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4DE7C36F" w14:textId="77777777" w:rsidR="00752087" w:rsidRPr="00475AE1" w:rsidRDefault="00E730E9" w:rsidP="00475AE1">
            <w:pPr>
              <w:pStyle w:val="Akapitzlist"/>
              <w:numPr>
                <w:ilvl w:val="0"/>
                <w:numId w:val="19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Kryteria kwalifikacji</w:t>
            </w:r>
          </w:p>
          <w:p w14:paraId="5E4BCE63" w14:textId="2379CB14" w:rsidR="006B5CB9" w:rsidRPr="00475AE1" w:rsidRDefault="00752087" w:rsidP="00475AE1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 programu kwalifikowani są pacjenci spełniający łącznie następujące kryteria:</w:t>
            </w:r>
          </w:p>
          <w:p w14:paraId="1976548B" w14:textId="245E9B43" w:rsidR="00F17E60" w:rsidRPr="00475AE1" w:rsidRDefault="00187CBB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do terapii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anifrolumabem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</w:t>
            </w:r>
            <w:r w:rsidR="0097200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acjenci</w:t>
            </w:r>
            <w:r w:rsidR="00280E4C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 wieku ≥ 18 lat</w:t>
            </w:r>
            <w:r w:rsidR="00F17E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:</w:t>
            </w:r>
          </w:p>
          <w:p w14:paraId="6B9613D6" w14:textId="77777777" w:rsidR="00F17E60" w:rsidRPr="00475AE1" w:rsidRDefault="00623D99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 rozpoznaniem</w:t>
            </w:r>
            <w:r w:rsidR="0051088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TRU na podstawie obowiązujących kryteriów klasyfikacyjnych </w:t>
            </w:r>
            <w:r w:rsidR="00BD286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EULAR/ACR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, </w:t>
            </w:r>
          </w:p>
          <w:p w14:paraId="7783F38C" w14:textId="77777777" w:rsidR="00F17E60" w:rsidRPr="00475AE1" w:rsidRDefault="00F17E60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oraz</w:t>
            </w:r>
          </w:p>
          <w:p w14:paraId="1C2336FA" w14:textId="77777777" w:rsidR="00B81493" w:rsidRPr="00475AE1" w:rsidRDefault="00F17E60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 aktywną chorobą definiowaną jako</w:t>
            </w:r>
            <w:r w:rsidR="00B814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:</w:t>
            </w:r>
          </w:p>
          <w:p w14:paraId="0E00C4B4" w14:textId="1A9736ED" w:rsidR="00EB3428" w:rsidRPr="00475AE1" w:rsidRDefault="00F17E60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wartość SLEDAI-2K</w:t>
            </w:r>
            <w:r w:rsidR="007560B4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≥ 6, w tym 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wartość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kliniczn</w:t>
            </w:r>
            <w:r w:rsidR="00F004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ego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SLEDAI-2K</w:t>
            </w:r>
            <w:r w:rsidR="007560B4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≥ 4</w:t>
            </w:r>
            <w:r w:rsidR="00B814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4E86E37D" w14:textId="77777777" w:rsidR="00EB3428" w:rsidRPr="00475AE1" w:rsidRDefault="00B81493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90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lub </w:t>
            </w:r>
          </w:p>
          <w:p w14:paraId="27D211CC" w14:textId="2930006D" w:rsidR="00EB3428" w:rsidRPr="00475AE1" w:rsidRDefault="00B81493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>ocena stopnia aktywności choroby w skali BILAG-2004</w:t>
            </w:r>
            <w:r w:rsidR="00BC15D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≥ 1 A lub ≥ 2 B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41017B5A" w14:textId="77777777" w:rsidR="00EB3428" w:rsidRPr="00475AE1" w:rsidRDefault="00BC15DB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90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oraz </w:t>
            </w:r>
          </w:p>
          <w:p w14:paraId="70E60708" w14:textId="318D15AA" w:rsidR="00EB3428" w:rsidRPr="00475AE1" w:rsidRDefault="00BC15DB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wartość ogólnej oceny aktywności </w:t>
            </w:r>
            <w:r w:rsidR="000A05EC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choroby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przez lekarza </w:t>
            </w:r>
            <w:r w:rsidR="00182D4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w skali 0-3 </w:t>
            </w:r>
            <w:r w:rsidR="0028663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(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PGA</w:t>
            </w:r>
            <w:r w:rsidR="0028663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)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&gt; 1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5375B796" w14:textId="06CDB8BA" w:rsidR="006B5CB9" w:rsidRPr="00475AE1" w:rsidRDefault="00F17E60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pomimo stosowania 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GKS</w:t>
            </w:r>
            <w:r w:rsidR="00A16B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 przeliczeniu na </w:t>
            </w:r>
            <w:proofErr w:type="spellStart"/>
            <w:r w:rsidR="00A16B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prednizon</w:t>
            </w:r>
            <w:proofErr w:type="spellEnd"/>
            <w:r w:rsidR="00A16B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 dawce  </w:t>
            </w:r>
            <w:r w:rsidR="00187CB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≥</w:t>
            </w:r>
            <w:r w:rsidR="00151D9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5,0 </w:t>
            </w:r>
            <w:r w:rsidR="00A16B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mg/dobę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oraz</w:t>
            </w:r>
            <w:r w:rsidR="00E83C6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co najmniej dwóch leków spośród rekomendowanych dla danej postaci klinicznej TRU,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jak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metotreksat</w:t>
            </w:r>
            <w:proofErr w:type="spellEnd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my</w:t>
            </w:r>
            <w:r w:rsidR="000517C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k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ofenolan</w:t>
            </w:r>
            <w:proofErr w:type="spellEnd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mofet</w:t>
            </w:r>
            <w:r w:rsidR="000517C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lu</w:t>
            </w:r>
            <w:proofErr w:type="spellEnd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cyklofosfamid</w:t>
            </w:r>
            <w:proofErr w:type="spellEnd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azatiopryn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</w:t>
            </w:r>
            <w:proofErr w:type="spellEnd"/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r w:rsidR="00182D4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lek</w:t>
            </w:r>
            <w:r w:rsidR="00371216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i</w:t>
            </w:r>
            <w:r w:rsidR="00182D4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antymalaryczn</w:t>
            </w:r>
            <w:r w:rsidR="00371216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e</w:t>
            </w:r>
            <w:r w:rsidR="00B36A7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lub </w:t>
            </w:r>
            <w:r w:rsidR="00E4631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inhibitor</w:t>
            </w:r>
            <w:r w:rsidR="00371216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</w:t>
            </w:r>
            <w:r w:rsidR="00E4631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kalcyneuryny lub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immunoglobulin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E4631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lub </w:t>
            </w:r>
            <w:proofErr w:type="spellStart"/>
            <w:r w:rsidR="00E4631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rytuksymab</w:t>
            </w:r>
            <w:proofErr w:type="spellEnd"/>
            <w:r w:rsidR="00E4631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zgodnie z aktualnymi rekomendacjami EULAR/ACR</w:t>
            </w:r>
            <w:r w:rsidR="002B06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przez okres co najmniej 6 miesięcy lub krócej w przypadku nietolerancji lub działań niepożądanych</w:t>
            </w:r>
            <w:r w:rsidR="0063033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, </w:t>
            </w:r>
            <w:r w:rsidR="00B64D69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jeśli zastosowanie danego leku nie jest przeciwskazane oraz nie istnieją ograniczenia dotyczące jego stosowania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532F8457" w14:textId="0D0F986E" w:rsidR="00187CBB" w:rsidRPr="00475AE1" w:rsidRDefault="00187CBB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do terapii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rytuksymabem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pacjenci w wieku ≥ 18 lat oraz dzieci po okresie dojrzewania:</w:t>
            </w:r>
          </w:p>
          <w:p w14:paraId="60F4D6B2" w14:textId="77777777" w:rsidR="00187CBB" w:rsidRPr="00475AE1" w:rsidRDefault="00187CBB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z rozpoznaniem TRU na podstawie obowiązujących kryteriów klasyfikacyjnych EULAR/ACR, </w:t>
            </w:r>
          </w:p>
          <w:p w14:paraId="2BDD4361" w14:textId="77777777" w:rsidR="00187CBB" w:rsidRPr="00475AE1" w:rsidRDefault="00187CBB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oraz</w:t>
            </w:r>
          </w:p>
          <w:p w14:paraId="626EBC79" w14:textId="77777777" w:rsidR="00187CBB" w:rsidRPr="00475AE1" w:rsidRDefault="00187CBB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 aktywną chorobą definiowaną jako:</w:t>
            </w:r>
          </w:p>
          <w:p w14:paraId="4D415ECC" w14:textId="77777777" w:rsidR="00187CBB" w:rsidRPr="00475AE1" w:rsidRDefault="00187CBB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wartość SLEDAI-2K ≥ 6, w tym wartość klinicznego SLEDAI-2K ≥ 4,</w:t>
            </w:r>
          </w:p>
          <w:p w14:paraId="5FDEA714" w14:textId="77777777" w:rsidR="00187CBB" w:rsidRPr="00475AE1" w:rsidRDefault="00187CBB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90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lub </w:t>
            </w:r>
          </w:p>
          <w:p w14:paraId="7BBC847A" w14:textId="77777777" w:rsidR="00187CBB" w:rsidRPr="00475AE1" w:rsidRDefault="00187CBB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ocena stopnia aktywności choroby w skali BILAG-2004 ≥ 1 A lub ≥ 2 B,</w:t>
            </w:r>
          </w:p>
          <w:p w14:paraId="0A3330D6" w14:textId="77777777" w:rsidR="00187CBB" w:rsidRPr="00475AE1" w:rsidRDefault="00187CBB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90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oraz </w:t>
            </w:r>
          </w:p>
          <w:p w14:paraId="68E54699" w14:textId="77777777" w:rsidR="00187CBB" w:rsidRPr="00475AE1" w:rsidRDefault="00187CBB" w:rsidP="00475AE1">
            <w:pPr>
              <w:numPr>
                <w:ilvl w:val="6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wartość ogólnej oceny aktywności choroby przez lekarza w skali 0-3 (PGA) &gt; 1,</w:t>
            </w:r>
          </w:p>
          <w:p w14:paraId="33C03EDA" w14:textId="1D347DA1" w:rsidR="00187CBB" w:rsidRPr="00475AE1" w:rsidRDefault="00187CBB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 xml:space="preserve">pomimo stosowania GKS w przeliczeniu na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prednizon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 dawce ≥ </w:t>
            </w:r>
            <w:r w:rsidR="00151D9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5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mg/dobę oraz co najmniej dwóch leków spośród rekomendowanych dla danej postaci klinicznej TRU, jak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metotreksat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mykofenolan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mofetylu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cyklofosfamid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azatiopryna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leki antymalaryczne lub inhibitory kalcyneuryny lub immunoglobuliny lub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anifrolumab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zgodnie z aktualnymi rekomendacjami EULAR/ACR przez okres co najmniej 6 miesięcy lub krócej w przypadku nietolerancji lub działań niepożądanych, jeśli zastosowanie danego leku nie jest przeciwskazane oraz nie istnieją ograniczenia dotyczące jego stosowania;</w:t>
            </w:r>
          </w:p>
          <w:p w14:paraId="383C5067" w14:textId="140F8DD1" w:rsidR="0045335A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45335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przypadku kobiet wymagana jest zgoda na świadomą kontrolę urodzeń, zgodnie z Charakterystyką Produktu Leczniczego leku, którym odbywa się leczenie w programie lekowym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7CE56312" w14:textId="411375A9" w:rsidR="0045335A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</w:t>
            </w:r>
            <w:r w:rsidR="0045335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dekwatna wydolność narządowa określona na podstawie wyników badań laboratoryjnych krwi zgodnie z zapisami aktualnej Charakterystyki Produktu Leczniczego (zwanej dalej ChPL)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071699B6" w14:textId="4A1730FC" w:rsidR="0045335A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n</w:t>
            </w:r>
            <w:r w:rsidR="0045335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ieobecność istotnych schorzeń współistniejących stanowiących przeciwskazanie do terapii stwierdzonych przez lekarza prowadzącego w oparciu o aktualną ChPL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09138B73" w14:textId="4B1E81BE" w:rsidR="0045335A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</w:t>
            </w:r>
            <w:r w:rsidR="0045335A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rak przeciwwskazań do stosowania określonej w aktualnej ChPL substancji czynnej ujętej w programie lekowym, z uwzględnieniem rekomendacji EULAR/ACR /PTR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470E09DF" w14:textId="77777777" w:rsidR="007560B4" w:rsidRPr="00475AE1" w:rsidRDefault="007560B4" w:rsidP="00475AE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4DD97452" w14:textId="01C45CF6" w:rsidR="0045335A" w:rsidRPr="00475AE1" w:rsidRDefault="0045335A" w:rsidP="00475AE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Ponadto do programu lekowego kwalifikowani są pacjenci wymagający kontynuacji leczenia, którzy byli leczeni substancjami czynnymi finansowanymi w programie lekowym w ramach innego sposobu finansowania terapii (za wyjątkiem trwających badań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>klinicznych tych leków), pod warunkiem, że w chwili rozpoczęcia leczenia spełniali kryteria kwalifikacji do programu lekowego.</w:t>
            </w:r>
          </w:p>
          <w:p w14:paraId="2A505AD0" w14:textId="77777777" w:rsidR="0045335A" w:rsidRPr="00475AE1" w:rsidRDefault="0045335A" w:rsidP="00475AE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highlight w:val="yellow"/>
                <w:lang w:val="pl-PL"/>
              </w:rPr>
            </w:pPr>
          </w:p>
          <w:p w14:paraId="67B89C0D" w14:textId="77777777" w:rsidR="00E730E9" w:rsidRPr="00475AE1" w:rsidRDefault="007141B6" w:rsidP="00475AE1">
            <w:pPr>
              <w:pStyle w:val="Akapitzlist"/>
              <w:numPr>
                <w:ilvl w:val="0"/>
                <w:numId w:val="19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C</w:t>
            </w:r>
            <w:r w:rsidR="00E730E9" w:rsidRPr="00475AE1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zas leczenia w programie</w:t>
            </w:r>
          </w:p>
          <w:p w14:paraId="30478B4C" w14:textId="77777777" w:rsidR="007E0D06" w:rsidRPr="00475AE1" w:rsidRDefault="007141B6" w:rsidP="00475AE1">
            <w:pPr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bCs/>
                <w:sz w:val="20"/>
                <w:szCs w:val="20"/>
                <w:lang w:val="pl-PL" w:eastAsia="pl-PL"/>
              </w:rPr>
              <w:t>Leczenie trwa do czasu podjęcia przez Zespół Koordynacyjny lub lekarza prowadzącego decyzji o wyłączeniu świadczeniobiorcy z programu, zgodnie z kryteriami wyłączenia.</w:t>
            </w:r>
          </w:p>
          <w:p w14:paraId="43B79DA7" w14:textId="77777777" w:rsidR="00A050E9" w:rsidRPr="00475AE1" w:rsidRDefault="00A050E9" w:rsidP="00475AE1">
            <w:pPr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val="pl-PL" w:eastAsia="pl-PL"/>
              </w:rPr>
            </w:pPr>
          </w:p>
          <w:p w14:paraId="7627EE99" w14:textId="77777777" w:rsidR="00E730E9" w:rsidRPr="00475AE1" w:rsidRDefault="00E730E9" w:rsidP="00475AE1">
            <w:pPr>
              <w:pStyle w:val="Akapitzlist"/>
              <w:numPr>
                <w:ilvl w:val="0"/>
                <w:numId w:val="19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Kryteria wyłączenia z programu</w:t>
            </w:r>
          </w:p>
          <w:p w14:paraId="74F9691A" w14:textId="45E8D284" w:rsidR="003C5126" w:rsidRPr="00475AE1" w:rsidRDefault="00E7102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bookmarkStart w:id="0" w:name="_Hlk56592167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brak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F3BA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adekwatnej </w:t>
            </w:r>
            <w:r w:rsidR="001727F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odpowiedzi na leczeni</w:t>
            </w:r>
            <w:r w:rsidR="008E660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e</w:t>
            </w:r>
            <w:r w:rsidR="008E10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po 6</w:t>
            </w:r>
            <w:r w:rsidR="00F0209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-12</w:t>
            </w:r>
            <w:r w:rsidR="001D6869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8E10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miesiącach </w:t>
            </w:r>
            <w:r w:rsidR="00235B5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(±1 miesiąc) </w:t>
            </w:r>
            <w:r w:rsidR="00F0209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od rozpoczęcia </w:t>
            </w:r>
            <w:r w:rsidR="00235B5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terapii</w:t>
            </w:r>
            <w:r w:rsidR="00F0209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 a następnie po każdych kolejnych 6 miesiącach (±1 miesiąc)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. 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Miernikiem a</w:t>
            </w:r>
            <w:r w:rsidR="008E10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dekwatn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ej</w:t>
            </w:r>
            <w:r w:rsidR="008E10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odpowied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zi</w:t>
            </w:r>
            <w:r w:rsidR="008E106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na leczenie je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st </w:t>
            </w:r>
            <w:r w:rsidR="008E660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spełnieni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e </w:t>
            </w:r>
            <w:r w:rsidR="004B568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wymienionych </w:t>
            </w:r>
            <w:r w:rsidR="008E660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kryteriów 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odpowiedzi 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SRI-4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(a-c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)</w:t>
            </w:r>
            <w:r w:rsidR="008B5701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BI</w:t>
            </w:r>
            <w:r w:rsidR="006D0786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CL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(d-f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)</w:t>
            </w:r>
            <w:r w:rsidR="008B5701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4816B8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uzyskanie niskiej aktywności 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LLDAS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(g-i</w:t>
            </w:r>
            <w:r w:rsidR="00C743D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)</w:t>
            </w:r>
            <w:r w:rsidR="00286632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lub 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zmniejszenie </w:t>
            </w:r>
            <w:r w:rsidR="006568DC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liczby 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ciężkich rzutów choroby (</w:t>
            </w:r>
            <w:r w:rsidR="00F5007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j</w:t>
            </w:r>
            <w:r w:rsidR="004A7E55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)</w:t>
            </w:r>
            <w:r w:rsidR="003C5126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:</w:t>
            </w:r>
          </w:p>
          <w:p w14:paraId="1F41FEA9" w14:textId="58765B03" w:rsidR="003C5126" w:rsidRPr="00475AE1" w:rsidRDefault="00A51E54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zmniejszenie wartości SLEDAI-2K </w:t>
            </w:r>
            <w:r w:rsidR="00235B50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o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≥ 4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41D368BE" w14:textId="233B8D34" w:rsidR="005A73BB" w:rsidRPr="00475AE1" w:rsidRDefault="005A73BB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brak pogorszenia w innych </w:t>
            </w:r>
            <w:r w:rsidR="008E660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układach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narząd</w:t>
            </w:r>
            <w:r w:rsidR="008E660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ów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66662893" w14:textId="542BF401" w:rsidR="003C5126" w:rsidRPr="00475AE1" w:rsidRDefault="008E6607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brak pogorszenia</w:t>
            </w:r>
            <w:r w:rsidR="00A16B9B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PGA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≥ 0,3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782F6A4A" w14:textId="77777777" w:rsidR="008E6607" w:rsidRPr="00475AE1" w:rsidRDefault="008E6607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lub</w:t>
            </w:r>
          </w:p>
          <w:p w14:paraId="4E0D7F62" w14:textId="7309A9D6" w:rsidR="00372CB7" w:rsidRPr="00475AE1" w:rsidRDefault="00372CB7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poprawa wszystkich wyjściowych ocen A </w:t>
            </w:r>
            <w:r w:rsidR="009B1E0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do B/C/D oraz ocen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B </w:t>
            </w:r>
            <w:r w:rsidR="009B1E0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do C/D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 skali BILAG-2004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76DCBF05" w14:textId="43E21D6E" w:rsidR="00372CB7" w:rsidRPr="00475AE1" w:rsidRDefault="00372CB7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brak pogorszenia w innych układach narządów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0D991CA7" w14:textId="2D01A00E" w:rsidR="00372CB7" w:rsidRPr="00475AE1" w:rsidRDefault="00372CB7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brak pogorszenia PGA ≥ 0,3 w skali 0-3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45ECF3A1" w14:textId="77777777" w:rsidR="00372CB7" w:rsidRPr="00475AE1" w:rsidRDefault="00372CB7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lub</w:t>
            </w:r>
          </w:p>
          <w:p w14:paraId="2E4B53D6" w14:textId="0C5934AB" w:rsidR="008E6607" w:rsidRPr="00475AE1" w:rsidRDefault="008E6607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wartość SLEDAI-2K ≤ 4 lub wartość klinicznego SLEDAI-2K ≤ 2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1ADC053F" w14:textId="015F9F4D" w:rsidR="006B1C26" w:rsidRPr="00475AE1" w:rsidRDefault="006B1C26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wartość PGA ≤ 1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05C206D3" w14:textId="5A76A1AE" w:rsidR="003C5126" w:rsidRPr="00475AE1" w:rsidRDefault="00A16B9B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 xml:space="preserve">aktualnie przyjmowana dawka GKS w przeliczeniu na 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prednizon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≤</w:t>
            </w:r>
            <w:r w:rsidR="00BA2327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7,5 mg/dobę</w:t>
            </w:r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,</w:t>
            </w:r>
          </w:p>
          <w:p w14:paraId="7F8C8452" w14:textId="77777777" w:rsidR="008D392E" w:rsidRPr="00475AE1" w:rsidRDefault="008B5701" w:rsidP="00475AE1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lub</w:t>
            </w:r>
          </w:p>
          <w:p w14:paraId="4CBD3C6B" w14:textId="7AB7B0D9" w:rsidR="00E8029E" w:rsidRPr="00475AE1" w:rsidRDefault="00CD3C7F" w:rsidP="00475AE1">
            <w:pPr>
              <w:numPr>
                <w:ilvl w:val="4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zmniejszenie</w:t>
            </w:r>
            <w:r w:rsidR="00D2431E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liczby </w:t>
            </w:r>
            <w:r w:rsidR="00DA38B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ciężkich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rzutów choroby </w:t>
            </w:r>
            <w:r w:rsidR="005A688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definiowane jako co najmniej jedna nowa ocena A lub co najmniej dwie nowe oceny B w skali BILAG-2004 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w odniesieniu do okresu </w:t>
            </w:r>
            <w:r w:rsidR="005A688D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12 miesięcy</w:t>
            </w: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poprzedzających leczenie</w:t>
            </w:r>
            <w:r w:rsidR="0071705C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w programie</w:t>
            </w:r>
            <w:bookmarkEnd w:id="0"/>
            <w:r w:rsidR="00D53693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12C3ADD0" w14:textId="7D536482" w:rsidR="00376E3F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376E3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ystąpienie chorób lub stanów, które w opinii Zespołu Koordynacyjnego lub lekarza prowadzącego uniemożliwiają dalsze prowadzenie leczenia;</w:t>
            </w:r>
          </w:p>
          <w:p w14:paraId="77EFCF56" w14:textId="5A938B0D" w:rsidR="00376E3F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376E3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ystąpienie objawów nadwrażliwości na którąkolwiek substancję czynną lub substancję pomocniczą;</w:t>
            </w:r>
          </w:p>
          <w:p w14:paraId="45F22116" w14:textId="66A5A96B" w:rsidR="00376E3F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w</w:t>
            </w:r>
            <w:r w:rsidR="00376E3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ystąpienie toksyczności wymagającej zakończenia leczenia w opinii Zespołu Koordynacyjnego lub lekarza prowadzącego zgodnie z aktualną ChPL;</w:t>
            </w:r>
          </w:p>
          <w:p w14:paraId="74EC12CB" w14:textId="3F58B121" w:rsidR="00376E3F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</w:t>
            </w:r>
            <w:r w:rsidR="00376E3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ogorszenie jakości życia o istotnym znaczeniu według oceny lekarza;</w:t>
            </w:r>
          </w:p>
          <w:p w14:paraId="7001A282" w14:textId="5999DFC2" w:rsidR="008F3BAB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b</w:t>
            </w:r>
            <w:r w:rsidR="00376E3F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09C4465F" w14:textId="77777777" w:rsidR="00651447" w:rsidRPr="00475AE1" w:rsidRDefault="00651447" w:rsidP="00475AE1">
            <w:pPr>
              <w:widowControl w:val="0"/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49CC68C7" w14:textId="77777777" w:rsidR="003F3B27" w:rsidRPr="00475AE1" w:rsidRDefault="003F3B27" w:rsidP="00475AE1">
            <w:pPr>
              <w:keepNext/>
              <w:numPr>
                <w:ilvl w:val="0"/>
                <w:numId w:val="19"/>
              </w:numPr>
              <w:suppressAutoHyphens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ar-SA"/>
              </w:rPr>
            </w:pPr>
            <w:r w:rsidRPr="00475AE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ar-SA"/>
              </w:rPr>
              <w:t>Kryteria ponownego włączenia do programu</w:t>
            </w:r>
          </w:p>
          <w:p w14:paraId="410CB1C6" w14:textId="434395B9" w:rsidR="0052342E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</w:t>
            </w:r>
            <w:r w:rsidR="0052342E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acjent, u którego zaprzestano podawania substancji czynnej leku biologicznego zastosowanego zgodnie z zapisami programu z powodu uzyskania niskiej aktywności choroby i u którego w trakcie badania kontrolnego stwierdzono nawrót aktywnej choroby zgodny z kryteriami udziału w programie, jest włączany do leczenia w ramach programu bez kwalifikacji</w:t>
            </w:r>
            <w:r w:rsidR="007560B4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1F0CD6BE" w14:textId="35E23067" w:rsidR="0052342E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p</w:t>
            </w:r>
            <w:r w:rsidR="0052342E"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acjent jest włączany do ponownego leczenia substancją czynną, której zastosowanie wywołało niską aktywność </w:t>
            </w:r>
            <w:r w:rsidR="0052342E" w:rsidRPr="00475AE1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>choroby</w:t>
            </w:r>
            <w:r w:rsidR="007560B4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;</w:t>
            </w:r>
          </w:p>
          <w:p w14:paraId="4A96FA62" w14:textId="207F2D3B" w:rsidR="0052342E" w:rsidRPr="00475AE1" w:rsidRDefault="00D53693" w:rsidP="00475AE1">
            <w:pPr>
              <w:widowControl w:val="0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d</w:t>
            </w:r>
            <w:r w:rsidR="0052342E" w:rsidRPr="00475AE1">
              <w:rPr>
                <w:rFonts w:ascii="Times New Roman" w:hAnsi="Times New Roman"/>
                <w:sz w:val="20"/>
                <w:szCs w:val="20"/>
                <w:lang w:val="pl-PL"/>
              </w:rPr>
              <w:t>o programu może być ponownie włączony pacjent, u którego zaprzestano podawania substancji czynnej wymienionej w programie i zastosowanej zgodnie z jego treścią z powodu wystąpienia działań niepożądanych, które ustąpiły po odstawieniu leku bądź zastosowanym leczeniu i w opinii lekarza prowadzącego powrót do terapii tą samą substancją czynną nie stanowi ryzyka dla pacjenta.</w:t>
            </w:r>
          </w:p>
          <w:p w14:paraId="1D1066C2" w14:textId="77777777" w:rsidR="003F3B27" w:rsidRPr="007560B4" w:rsidRDefault="003F3B27" w:rsidP="007560B4">
            <w:pPr>
              <w:suppressAutoHyphens/>
              <w:spacing w:after="60"/>
              <w:ind w:left="360"/>
              <w:rPr>
                <w:rFonts w:ascii="Times New Roman" w:eastAsia="Times New Roman" w:hAnsi="Times New Roman"/>
                <w:sz w:val="20"/>
                <w:szCs w:val="20"/>
                <w:lang w:val="pl-PL" w:eastAsia="ar-SA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7393" w14:textId="77777777" w:rsidR="00825A2A" w:rsidRPr="00475AE1" w:rsidRDefault="00B63A7E" w:rsidP="00475AE1">
            <w:pPr>
              <w:pStyle w:val="Akapitzlist"/>
              <w:numPr>
                <w:ilvl w:val="0"/>
                <w:numId w:val="22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7560B4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lastRenderedPageBreak/>
              <w:t>Dawkowanie</w:t>
            </w:r>
          </w:p>
          <w:p w14:paraId="5DE6E586" w14:textId="44B25F29" w:rsidR="00543F24" w:rsidRPr="00825A2A" w:rsidRDefault="00543F24" w:rsidP="00475AE1">
            <w:pPr>
              <w:pStyle w:val="Akapitzlist"/>
              <w:numPr>
                <w:ilvl w:val="1"/>
                <w:numId w:val="20"/>
              </w:numPr>
              <w:spacing w:after="60"/>
              <w:contextualSpacing w:val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pl-PL"/>
              </w:rPr>
            </w:pPr>
            <w:r w:rsidRPr="00825A2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pl-PL"/>
              </w:rPr>
              <w:t>Anifrolumab</w:t>
            </w:r>
          </w:p>
          <w:p w14:paraId="73C2931E" w14:textId="77777777" w:rsidR="00AA7055" w:rsidRDefault="006F3CD9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543F24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Zalecana </w:t>
            </w:r>
            <w:r w:rsidR="00637D0D" w:rsidRPr="00543F24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 jednocześnie maksymalna</w:t>
            </w:r>
            <w:r w:rsidRPr="00543F24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dawka </w:t>
            </w:r>
            <w:proofErr w:type="spellStart"/>
            <w:r w:rsidRPr="00543F24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anifrolumabu</w:t>
            </w:r>
            <w:proofErr w:type="spellEnd"/>
            <w:r w:rsidR="00637D0D" w:rsidRPr="00543F24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to podanie 300 mg co 4 tygodnie w infuzji dożylnej trwającej 30 minut.</w:t>
            </w:r>
          </w:p>
          <w:p w14:paraId="47E67E67" w14:textId="77777777" w:rsidR="00475AE1" w:rsidRDefault="00475AE1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53867150" w14:textId="77777777" w:rsidR="004E3842" w:rsidRPr="00825A2A" w:rsidRDefault="00543F24" w:rsidP="00475AE1">
            <w:pPr>
              <w:pStyle w:val="Akapitzlist"/>
              <w:numPr>
                <w:ilvl w:val="1"/>
                <w:numId w:val="20"/>
              </w:numPr>
              <w:spacing w:after="60"/>
              <w:contextualSpacing w:val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pl-PL"/>
              </w:rPr>
            </w:pPr>
            <w:proofErr w:type="spellStart"/>
            <w:r w:rsidRPr="00825A2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pl-PL" w:eastAsia="pl-PL"/>
              </w:rPr>
              <w:t>Rytuksymab</w:t>
            </w:r>
            <w:proofErr w:type="spellEnd"/>
          </w:p>
          <w:p w14:paraId="3A76BC20" w14:textId="77777777" w:rsidR="004E3842" w:rsidRDefault="00624DEC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E3842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Cykl leczenia składa się z dwóch infuzji dożylnych po 1000 mg każda podawanych w odstępie 2 tygodni. Kolejne cykle, w zależności od odpowiedzi klinicznej, mogą być podawane w odstępie nie krótszym niż 6 m-</w:t>
            </w:r>
            <w:proofErr w:type="spellStart"/>
            <w:r w:rsidRPr="004E3842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cy</w:t>
            </w:r>
            <w:proofErr w:type="spellEnd"/>
            <w:r w:rsidRPr="004E3842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od podania drugie</w:t>
            </w:r>
            <w:r w:rsidR="006B5CB9" w:rsidRPr="004E3842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 infuzji</w:t>
            </w:r>
            <w:r w:rsidRPr="004E3842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poprzedniego cyklu. </w:t>
            </w:r>
          </w:p>
          <w:p w14:paraId="16F875AC" w14:textId="35D7FFA2" w:rsidR="00D36E69" w:rsidRPr="000966DB" w:rsidRDefault="00D36E69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W sytuacjach szczególnych, za zgodą Zespołu Koordynacyjnego, może być ustalony odmienny schemat dawkowania i jednorazowa dawka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rytuksymabu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dla indywidualnego pacjenta. 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70F7D" w14:textId="65E28DAF" w:rsidR="00B63A7E" w:rsidRPr="007560B4" w:rsidRDefault="00B63A7E" w:rsidP="007560B4">
            <w:pPr>
              <w:pStyle w:val="Akapitzlist"/>
              <w:numPr>
                <w:ilvl w:val="0"/>
                <w:numId w:val="21"/>
              </w:numPr>
              <w:spacing w:before="120" w:after="60"/>
              <w:contextualSpacing w:val="0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7560B4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Badania przy kwalifikacji</w:t>
            </w:r>
          </w:p>
          <w:p w14:paraId="73AA1D9A" w14:textId="77777777" w:rsidR="00AB3992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odczyn Biernackiego (OB);</w:t>
            </w:r>
          </w:p>
          <w:p w14:paraId="603E8C10" w14:textId="77777777" w:rsidR="00123A75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stężenie białka C-reaktywnego (CRP);</w:t>
            </w:r>
          </w:p>
          <w:p w14:paraId="5A902A09" w14:textId="74086200" w:rsidR="00AB3992" w:rsidRPr="00475AE1" w:rsidRDefault="00123A75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morfologia krwi z rozmazem oraz oznaczeniem bezwzględnej liczby granulocytów obojętnochłonnych oraz limfocytów</w:t>
            </w:r>
            <w:r w:rsidR="001F04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67A98E82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płytki krwi (PLT);</w:t>
            </w:r>
          </w:p>
          <w:p w14:paraId="6ECCF900" w14:textId="77777777" w:rsidR="004F741B" w:rsidRPr="00475AE1" w:rsidRDefault="008B39FF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stężenie kreatyniny</w:t>
            </w:r>
            <w:r w:rsidR="001E58F6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/GFR</w:t>
            </w:r>
            <w:r w:rsidR="00AB3992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w surowicy;</w:t>
            </w:r>
          </w:p>
          <w:p w14:paraId="487964CB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aminotransferaza</w:t>
            </w:r>
            <w:r w:rsidR="0053696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asparaginianowa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(A</w:t>
            </w:r>
            <w:r w:rsidR="00FB1E00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LT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);</w:t>
            </w:r>
          </w:p>
          <w:p w14:paraId="741C99E2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aminotransferaza</w:t>
            </w:r>
            <w:r w:rsidR="0053696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alaninowa (A</w:t>
            </w:r>
            <w:r w:rsidR="00FB1E00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);</w:t>
            </w:r>
          </w:p>
          <w:p w14:paraId="084860A7" w14:textId="77777777" w:rsidR="004F741B" w:rsidRPr="00475AE1" w:rsidRDefault="00FB1E00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kinaza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kreatynowa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(CK)</w:t>
            </w:r>
            <w:r w:rsidR="00965119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5BB0895C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 ogólne moczu;</w:t>
            </w:r>
          </w:p>
          <w:p w14:paraId="1E926C16" w14:textId="77777777" w:rsidR="004F741B" w:rsidRPr="00475AE1" w:rsidRDefault="0051088A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białko w dobowej zbiórce moczu </w:t>
            </w:r>
            <w:r w:rsidR="00072F5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przypadku dodatniego wyniku badania ogólnego moczu</w:t>
            </w:r>
            <w:r w:rsidR="001B4D14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2493D6A" w14:textId="77777777" w:rsidR="004F741B" w:rsidRPr="00475AE1" w:rsidRDefault="009241EF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miano p/ciał przeciwjądrowych (ANA)</w:t>
            </w:r>
            <w:r w:rsidR="00BD286B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met. IF</w:t>
            </w:r>
            <w:r w:rsidR="00531D5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EC5F8E6" w14:textId="77777777" w:rsidR="004F741B" w:rsidRPr="00475AE1" w:rsidRDefault="009241EF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profil AN</w:t>
            </w:r>
            <w:r w:rsidR="0014480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</w:t>
            </w:r>
            <w:r w:rsidR="0054131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(w przypadku dodatniego miana ANA)</w:t>
            </w:r>
            <w:r w:rsidR="00B351AB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0BEA9741" w14:textId="77777777" w:rsidR="004F741B" w:rsidRPr="00475AE1" w:rsidRDefault="009D7098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dsDNA</w:t>
            </w:r>
            <w:proofErr w:type="spellEnd"/>
            <w:r w:rsidR="00B351AB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41B94A4A" w14:textId="77777777" w:rsidR="004F741B" w:rsidRPr="00475AE1" w:rsidRDefault="009D7098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stężenie składowych dopełniacza C3 i C4</w:t>
            </w:r>
            <w:r w:rsidR="00965119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C63E321" w14:textId="58A6651F" w:rsidR="004F741B" w:rsidRPr="00475AE1" w:rsidRDefault="0078653C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stężenie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IgG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IgM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IgA</w:t>
            </w:r>
            <w:proofErr w:type="spellEnd"/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</w:t>
            </w:r>
            <w:r w:rsidR="007F378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w przypadku kwalifikacji do leczenia </w:t>
            </w:r>
            <w:proofErr w:type="spellStart"/>
            <w:r w:rsidR="007F378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rytuksymabem</w:t>
            </w:r>
            <w:proofErr w:type="spellEnd"/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1F0D588F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 xml:space="preserve">test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Quantiferon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5E0B2B42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obecność</w:t>
            </w:r>
            <w:r w:rsidR="0053696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antygenu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HBs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6D875D7D" w14:textId="00A48CDF" w:rsidR="00F02097" w:rsidRPr="00475AE1" w:rsidRDefault="00F02097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przeciwciała anty-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HBc</w:t>
            </w:r>
            <w:proofErr w:type="spellEnd"/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D1A6E6E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przeciwciała anty-HCV</w:t>
            </w:r>
            <w:r w:rsidR="00F25158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A0B730F" w14:textId="77777777" w:rsidR="004F741B" w:rsidRPr="00475AE1" w:rsidRDefault="00AB3992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antygen</w:t>
            </w:r>
            <w:proofErr w:type="spellEnd"/>
            <w:r w:rsidR="00410B31"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wirusa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HIV (HIV Ag/Ab Combo</w:t>
            </w:r>
            <w:r w:rsidR="009D7098"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44A0574" w14:textId="77777777" w:rsidR="004F741B" w:rsidRPr="00475AE1" w:rsidRDefault="00235B50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EKG;</w:t>
            </w:r>
          </w:p>
          <w:p w14:paraId="46C0087C" w14:textId="77777777" w:rsidR="004F741B" w:rsidRPr="00475AE1" w:rsidRDefault="00235B50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RTG lub TK klatki piersiowej (maksymalnie do 6 m-</w:t>
            </w:r>
            <w:proofErr w:type="spellStart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>cy</w:t>
            </w:r>
            <w:proofErr w:type="spellEnd"/>
            <w:r w:rsidRPr="00475AE1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przed kwalifikacją);</w:t>
            </w:r>
          </w:p>
          <w:p w14:paraId="5012529D" w14:textId="77777777" w:rsidR="004F741B" w:rsidRPr="00475AE1" w:rsidRDefault="00235B50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stężenie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prokalcytoniny</w:t>
            </w:r>
            <w:proofErr w:type="spellEnd"/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69F83B82" w14:textId="77777777" w:rsidR="004F741B" w:rsidRPr="00475AE1" w:rsidRDefault="00BB31C8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 ciążowy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30FC855" w14:textId="77777777" w:rsidR="004F741B" w:rsidRPr="00475AE1" w:rsidRDefault="00305DA0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/>
              </w:rPr>
              <w:t>USG stawów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/>
              </w:rPr>
              <w:t xml:space="preserve"> (do decyzji lekarza)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/>
              </w:rPr>
              <w:t>;</w:t>
            </w:r>
          </w:p>
          <w:p w14:paraId="3F856A7A" w14:textId="77777777" w:rsidR="004F741B" w:rsidRPr="00475AE1" w:rsidRDefault="00890D56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</w:t>
            </w:r>
            <w:r w:rsidR="009A161B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 serca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C529F10" w14:textId="77777777" w:rsidR="00305DA0" w:rsidRPr="00475AE1" w:rsidRDefault="00E9756D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EMG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965119" w:rsidRPr="00475AE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pl-PL" w:eastAsia="pl-PL"/>
              </w:rPr>
              <w:t>.</w:t>
            </w:r>
          </w:p>
          <w:p w14:paraId="293C566F" w14:textId="77777777" w:rsidR="00EF3055" w:rsidRPr="00475AE1" w:rsidRDefault="00EF3055" w:rsidP="00475AE1">
            <w:pPr>
              <w:suppressAutoHyphens/>
              <w:snapToGrid w:val="0"/>
              <w:spacing w:after="60"/>
              <w:ind w:left="227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08AD135D" w14:textId="32DC8D12" w:rsidR="00B63A7E" w:rsidRPr="00475AE1" w:rsidRDefault="00320D5B" w:rsidP="00475AE1">
            <w:pPr>
              <w:pStyle w:val="NormalnyWeb"/>
              <w:numPr>
                <w:ilvl w:val="0"/>
                <w:numId w:val="21"/>
              </w:numPr>
              <w:spacing w:before="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475AE1">
              <w:rPr>
                <w:b/>
                <w:sz w:val="20"/>
                <w:szCs w:val="20"/>
              </w:rPr>
              <w:t xml:space="preserve">Monitorowanie </w:t>
            </w:r>
            <w:r w:rsidR="00A3063D" w:rsidRPr="00475AE1">
              <w:rPr>
                <w:b/>
                <w:sz w:val="20"/>
                <w:szCs w:val="20"/>
              </w:rPr>
              <w:t>leczenia</w:t>
            </w:r>
          </w:p>
          <w:p w14:paraId="72CC95A6" w14:textId="77777777" w:rsidR="008C5BB4" w:rsidRPr="00475AE1" w:rsidRDefault="002F5C7A" w:rsidP="00475AE1">
            <w:pPr>
              <w:numPr>
                <w:ilvl w:val="3"/>
                <w:numId w:val="21"/>
              </w:numPr>
              <w:suppressAutoHyphens/>
              <w:snapToGri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</w:t>
            </w:r>
            <w:r w:rsidR="008B39FF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3 miesiącach </w:t>
            </w:r>
            <w:r w:rsidR="008C5BB4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(±1 miesiąc) i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po </w:t>
            </w:r>
            <w:r w:rsidR="008C5BB4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6 miesiąc</w:t>
            </w:r>
            <w:r w:rsidR="008B39FF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ach</w:t>
            </w:r>
            <w:r w:rsidR="00235B50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B39FF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(±1 miesiąc) od pierwszego </w:t>
            </w:r>
            <w:r w:rsidR="008C5BB4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podania </w:t>
            </w:r>
            <w:r w:rsidR="008B39FF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leku</w:t>
            </w:r>
            <w:r w:rsidR="008C5BB4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należy wykonać:</w:t>
            </w:r>
          </w:p>
          <w:p w14:paraId="2D95EA5B" w14:textId="40C34309" w:rsidR="009C1222" w:rsidRPr="00475AE1" w:rsidRDefault="009229F7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</w:t>
            </w:r>
            <w:r w:rsidR="00B940E9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tężenie </w:t>
            </w:r>
            <w:r w:rsidR="009C1222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CRP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6B4C7202" w14:textId="0A6F7BE4" w:rsidR="008C5BB4" w:rsidRPr="00475AE1" w:rsidRDefault="008C5BB4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morfologię krwi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6EBEA578" w14:textId="32C8EDC3" w:rsidR="008C5BB4" w:rsidRPr="00475AE1" w:rsidRDefault="008C5BB4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płytki</w:t>
            </w:r>
            <w:r w:rsidR="0053696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krwi (PLT)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22DED86B" w14:textId="3F586098" w:rsidR="008C5BB4" w:rsidRPr="00475AE1" w:rsidRDefault="008C5BB4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stężenie kreatyniny/GFR w surowicy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5A214308" w14:textId="5B3878FC" w:rsidR="008C5BB4" w:rsidRPr="00475AE1" w:rsidRDefault="008C5BB4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</w:t>
            </w:r>
            <w:r w:rsidR="00DD7A39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</w:t>
            </w:r>
            <w:r w:rsidR="008B39FF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A41FA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53696C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</w:t>
            </w:r>
            <w:r w:rsidR="00DD7A39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491572A8" w14:textId="57CC27DC" w:rsidR="0077769E" w:rsidRPr="00475AE1" w:rsidRDefault="0077769E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CK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56DC6E52" w14:textId="0AE47FC1" w:rsidR="00DD7A39" w:rsidRPr="00475AE1" w:rsidRDefault="00DD7A39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 ogólne moczu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61813114" w14:textId="277FA719" w:rsidR="00433360" w:rsidRPr="00475AE1" w:rsidRDefault="00433360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białko w dobowej zbiórce moczu</w:t>
            </w:r>
            <w:r w:rsidR="00F02097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(do decyzji lekarza)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3444BEAF" w14:textId="3E4A2911" w:rsidR="00A3063D" w:rsidRPr="00475AE1" w:rsidRDefault="00DD7A39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dsDNA</w:t>
            </w:r>
            <w:proofErr w:type="spellEnd"/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4C540110" w14:textId="7700F8DD" w:rsidR="00A3063D" w:rsidRPr="00475AE1" w:rsidRDefault="00DD7A39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stężenie składowych dopełniacza C3 i C4</w:t>
            </w:r>
            <w:r w:rsidR="00D53693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,</w:t>
            </w:r>
          </w:p>
          <w:p w14:paraId="1CDEEA06" w14:textId="4EB22F15" w:rsidR="00624DEC" w:rsidRPr="00475AE1" w:rsidRDefault="00624DEC" w:rsidP="00475AE1">
            <w:pPr>
              <w:numPr>
                <w:ilvl w:val="4"/>
                <w:numId w:val="21"/>
              </w:num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 xml:space="preserve">stężenie immunoglobulin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IgG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IgM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,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IgA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(w przypadku leczenia </w:t>
            </w:r>
            <w:proofErr w:type="spellStart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rytuksymabem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</w:t>
            </w:r>
          </w:p>
          <w:p w14:paraId="4DB99336" w14:textId="56C0C599" w:rsidR="00973E81" w:rsidRPr="00475AE1" w:rsidRDefault="009C1222" w:rsidP="00475AE1">
            <w:pPr>
              <w:suppressAutoHyphens/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 dokonać oceny skuteczności zastosowanej terapii po 6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534DE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-12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miesiącach (±1 miesiąc)</w:t>
            </w:r>
            <w:r w:rsidR="00C76768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wg wskaźników zgodnych z pkt 1) kryteriów wyłączenia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.</w:t>
            </w:r>
          </w:p>
          <w:p w14:paraId="635154A2" w14:textId="77777777" w:rsidR="009C1222" w:rsidRPr="00475AE1" w:rsidRDefault="009C1222" w:rsidP="00475AE1">
            <w:pPr>
              <w:spacing w:after="60"/>
              <w:ind w:left="357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4228B8C6" w14:textId="0A945416" w:rsidR="009C1222" w:rsidRPr="00475AE1" w:rsidRDefault="009C1222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Jeżeli terapia jest kontynuowana powyższe </w:t>
            </w:r>
            <w:r w:rsidR="00C743D2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badania wraz oceną skuteczności leczenia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należy powtarzać po każdych kolejnych 6 miesiącach</w:t>
            </w:r>
            <w:r w:rsidR="00235B50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(±</w:t>
            </w:r>
            <w:r w:rsidR="00A3063D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miesiąc)</w:t>
            </w:r>
            <w:r w:rsidR="00827DDE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w przypadku leczenia </w:t>
            </w:r>
            <w:proofErr w:type="spellStart"/>
            <w:r w:rsidR="00827DDE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anifrolumabem</w:t>
            </w:r>
            <w:proofErr w:type="spellEnd"/>
            <w:r w:rsidR="00827DDE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lub po 6 miesiącach ((±1 miesiąc) od podania kolejnego cyklu w przypadku leczenia </w:t>
            </w:r>
            <w:proofErr w:type="spellStart"/>
            <w:r w:rsidR="00827DDE"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rytuksymabem</w:t>
            </w:r>
            <w:proofErr w:type="spellEnd"/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.</w:t>
            </w:r>
          </w:p>
          <w:p w14:paraId="2F454951" w14:textId="77777777" w:rsidR="002C35D8" w:rsidRPr="00475AE1" w:rsidRDefault="002C35D8" w:rsidP="00475AE1">
            <w:pPr>
              <w:spacing w:after="60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101A638C" w14:textId="77777777" w:rsidR="009C1222" w:rsidRPr="00475AE1" w:rsidRDefault="002C35D8" w:rsidP="00475AE1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475AE1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75497134" w14:textId="77777777" w:rsidR="00EF3055" w:rsidRPr="00475AE1" w:rsidRDefault="00EF3055" w:rsidP="00475AE1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5F69B166" w14:textId="6E06DF7D" w:rsidR="00B63A7E" w:rsidRPr="00475AE1" w:rsidRDefault="00B63A7E" w:rsidP="00475AE1">
            <w:pPr>
              <w:pStyle w:val="NormalnyWeb"/>
              <w:numPr>
                <w:ilvl w:val="0"/>
                <w:numId w:val="21"/>
              </w:numPr>
              <w:spacing w:before="0" w:beforeAutospacing="0" w:after="60" w:afterAutospacing="0" w:line="276" w:lineRule="auto"/>
              <w:rPr>
                <w:b/>
                <w:sz w:val="20"/>
                <w:szCs w:val="20"/>
              </w:rPr>
            </w:pPr>
            <w:r w:rsidRPr="00475AE1">
              <w:rPr>
                <w:b/>
                <w:sz w:val="20"/>
                <w:szCs w:val="20"/>
              </w:rPr>
              <w:t>Monitorowanie programu</w:t>
            </w:r>
          </w:p>
          <w:p w14:paraId="74C77117" w14:textId="6541D4C1" w:rsidR="00B63A7E" w:rsidRPr="00475AE1" w:rsidRDefault="00D53693" w:rsidP="00475AE1">
            <w:pPr>
              <w:pStyle w:val="NormalnyWeb"/>
              <w:numPr>
                <w:ilvl w:val="3"/>
                <w:numId w:val="21"/>
              </w:numPr>
              <w:spacing w:before="0" w:beforeAutospacing="0" w:after="60" w:afterAutospacing="0" w:line="276" w:lineRule="auto"/>
              <w:jc w:val="both"/>
              <w:rPr>
                <w:sz w:val="20"/>
                <w:szCs w:val="20"/>
              </w:rPr>
            </w:pPr>
            <w:r w:rsidRPr="00475AE1">
              <w:rPr>
                <w:sz w:val="20"/>
                <w:szCs w:val="20"/>
              </w:rPr>
              <w:t>g</w:t>
            </w:r>
            <w:r w:rsidR="00B63A7E" w:rsidRPr="00475AE1">
              <w:rPr>
                <w:sz w:val="20"/>
                <w:szCs w:val="20"/>
              </w:rPr>
              <w:t>romadzenie w dokumentacji medycznej pacjenta danych dotyc</w:t>
            </w:r>
            <w:r w:rsidR="00F73690" w:rsidRPr="00475AE1">
              <w:rPr>
                <w:sz w:val="20"/>
                <w:szCs w:val="20"/>
              </w:rPr>
              <w:t xml:space="preserve">zących monitorowania leczenia i </w:t>
            </w:r>
            <w:r w:rsidR="00B63A7E" w:rsidRPr="00475AE1">
              <w:rPr>
                <w:sz w:val="20"/>
                <w:szCs w:val="20"/>
              </w:rPr>
              <w:t>każdorazowe ich przedstawianie na żądanie kontrolerów Narodowego Funduszu Zdrowia</w:t>
            </w:r>
            <w:r w:rsidR="007560B4" w:rsidRPr="00475AE1">
              <w:rPr>
                <w:sz w:val="20"/>
                <w:szCs w:val="20"/>
              </w:rPr>
              <w:t>;</w:t>
            </w:r>
          </w:p>
          <w:p w14:paraId="224A73CC" w14:textId="763EFFBC" w:rsidR="00B63A7E" w:rsidRPr="00475AE1" w:rsidRDefault="00D53693" w:rsidP="00475AE1">
            <w:pPr>
              <w:pStyle w:val="NormalnyWeb"/>
              <w:numPr>
                <w:ilvl w:val="3"/>
                <w:numId w:val="21"/>
              </w:numPr>
              <w:spacing w:before="0" w:beforeAutospacing="0" w:after="60" w:afterAutospacing="0" w:line="276" w:lineRule="auto"/>
              <w:jc w:val="both"/>
              <w:rPr>
                <w:sz w:val="20"/>
                <w:szCs w:val="20"/>
              </w:rPr>
            </w:pPr>
            <w:r w:rsidRPr="00475AE1">
              <w:rPr>
                <w:sz w:val="20"/>
                <w:szCs w:val="20"/>
              </w:rPr>
              <w:t>u</w:t>
            </w:r>
            <w:r w:rsidR="00B63A7E" w:rsidRPr="00475AE1">
              <w:rPr>
                <w:sz w:val="20"/>
                <w:szCs w:val="20"/>
              </w:rPr>
              <w:t xml:space="preserve">zupełnienie danych zawartych </w:t>
            </w:r>
            <w:r w:rsidR="004B3523" w:rsidRPr="00475AE1">
              <w:rPr>
                <w:sz w:val="20"/>
                <w:szCs w:val="20"/>
              </w:rPr>
              <w:t xml:space="preserve">w elektronicznym systemie monitorowania programów lekowych </w:t>
            </w:r>
            <w:r w:rsidR="00B63A7E" w:rsidRPr="00475AE1">
              <w:rPr>
                <w:sz w:val="20"/>
                <w:szCs w:val="20"/>
              </w:rPr>
              <w:t>dostępnym za pomocą aplikacji internetowej udost</w:t>
            </w:r>
            <w:r w:rsidR="00F73690" w:rsidRPr="00475AE1">
              <w:rPr>
                <w:sz w:val="20"/>
                <w:szCs w:val="20"/>
              </w:rPr>
              <w:t>ępnionej przez OW NFZ,</w:t>
            </w:r>
            <w:r w:rsidR="00C76768" w:rsidRPr="00475AE1">
              <w:rPr>
                <w:color w:val="000000"/>
                <w:sz w:val="20"/>
                <w:szCs w:val="20"/>
              </w:rPr>
              <w:t xml:space="preserve"> </w:t>
            </w:r>
            <w:r w:rsidR="00C76768" w:rsidRPr="00475AE1">
              <w:rPr>
                <w:sz w:val="20"/>
                <w:szCs w:val="20"/>
              </w:rPr>
              <w:t>w tym wskaźników skuteczności leczenia z częstotliwością zgodną z opisem programu oraz na zakończenie leczenia</w:t>
            </w:r>
            <w:r w:rsidR="007560B4" w:rsidRPr="00475AE1">
              <w:rPr>
                <w:sz w:val="20"/>
                <w:szCs w:val="20"/>
              </w:rPr>
              <w:t>;</w:t>
            </w:r>
          </w:p>
          <w:p w14:paraId="1D491714" w14:textId="15DCB713" w:rsidR="00B63A7E" w:rsidRPr="007560B4" w:rsidRDefault="00D53693" w:rsidP="00475AE1">
            <w:pPr>
              <w:pStyle w:val="NormalnyWeb"/>
              <w:numPr>
                <w:ilvl w:val="3"/>
                <w:numId w:val="21"/>
              </w:numPr>
              <w:spacing w:before="0" w:beforeAutospacing="0" w:after="60" w:afterAutospacing="0" w:line="276" w:lineRule="auto"/>
              <w:jc w:val="both"/>
              <w:rPr>
                <w:sz w:val="20"/>
                <w:szCs w:val="20"/>
              </w:rPr>
            </w:pPr>
            <w:r w:rsidRPr="00475AE1">
              <w:rPr>
                <w:sz w:val="20"/>
                <w:szCs w:val="20"/>
              </w:rPr>
              <w:t>p</w:t>
            </w:r>
            <w:r w:rsidR="00B63A7E" w:rsidRPr="00475AE1">
              <w:rPr>
                <w:sz w:val="20"/>
                <w:szCs w:val="20"/>
              </w:rPr>
              <w:t xml:space="preserve">rzekazywanie informacji sprawozdawczo-rozliczeniowych do NFZ: informacje przekazuje się do NFZ w formie </w:t>
            </w:r>
            <w:r w:rsidR="00B63A7E" w:rsidRPr="00475AE1">
              <w:rPr>
                <w:sz w:val="20"/>
                <w:szCs w:val="20"/>
              </w:rPr>
              <w:lastRenderedPageBreak/>
              <w:t>papierowej lub w formie elektronicznej, zgodnie z wymaganiami opublikowanymi przez NFZ.</w:t>
            </w:r>
          </w:p>
        </w:tc>
      </w:tr>
    </w:tbl>
    <w:p w14:paraId="62E61557" w14:textId="77777777" w:rsidR="00B73B51" w:rsidRPr="007560B4" w:rsidRDefault="00B73B51" w:rsidP="00651447">
      <w:pPr>
        <w:rPr>
          <w:lang w:val="pl-PL"/>
        </w:rPr>
      </w:pPr>
    </w:p>
    <w:sectPr w:rsidR="00B73B51" w:rsidRPr="007560B4" w:rsidSect="00C95ADF">
      <w:pgSz w:w="16840" w:h="11907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2D61" w14:textId="77777777" w:rsidR="000E03B1" w:rsidRDefault="000E03B1" w:rsidP="00BD2918">
      <w:pPr>
        <w:spacing w:after="0" w:line="240" w:lineRule="auto"/>
      </w:pPr>
      <w:r>
        <w:separator/>
      </w:r>
    </w:p>
  </w:endnote>
  <w:endnote w:type="continuationSeparator" w:id="0">
    <w:p w14:paraId="10C200F3" w14:textId="77777777" w:rsidR="000E03B1" w:rsidRDefault="000E03B1" w:rsidP="00BD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ACB9" w14:textId="77777777" w:rsidR="000E03B1" w:rsidRDefault="000E03B1" w:rsidP="00BD2918">
      <w:pPr>
        <w:spacing w:after="0" w:line="240" w:lineRule="auto"/>
      </w:pPr>
      <w:r>
        <w:separator/>
      </w:r>
    </w:p>
  </w:footnote>
  <w:footnote w:type="continuationSeparator" w:id="0">
    <w:p w14:paraId="0ED24E3F" w14:textId="77777777" w:rsidR="000E03B1" w:rsidRDefault="000E03B1" w:rsidP="00BD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44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07027CE5"/>
    <w:multiLevelType w:val="hybridMultilevel"/>
    <w:tmpl w:val="6CCC29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8484E"/>
    <w:multiLevelType w:val="hybridMultilevel"/>
    <w:tmpl w:val="EEE673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D0E26"/>
    <w:multiLevelType w:val="hybridMultilevel"/>
    <w:tmpl w:val="DF6489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4239"/>
    <w:multiLevelType w:val="hybridMultilevel"/>
    <w:tmpl w:val="F1BC411C"/>
    <w:lvl w:ilvl="0" w:tplc="2F08CBE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13848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25A2673F"/>
    <w:multiLevelType w:val="hybridMultilevel"/>
    <w:tmpl w:val="DAF6989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A182113"/>
    <w:multiLevelType w:val="hybridMultilevel"/>
    <w:tmpl w:val="361E9C9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E3AAF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358310AC"/>
    <w:multiLevelType w:val="multilevel"/>
    <w:tmpl w:val="39C82DC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F22FAA"/>
    <w:multiLevelType w:val="hybridMultilevel"/>
    <w:tmpl w:val="DAF6989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1" w15:restartNumberingAfterBreak="0">
    <w:nsid w:val="506739FB"/>
    <w:multiLevelType w:val="hybridMultilevel"/>
    <w:tmpl w:val="96E0B5D8"/>
    <w:lvl w:ilvl="0" w:tplc="9C78329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2" w15:restartNumberingAfterBreak="0">
    <w:nsid w:val="53746087"/>
    <w:multiLevelType w:val="hybridMultilevel"/>
    <w:tmpl w:val="E0FA5FC4"/>
    <w:lvl w:ilvl="0" w:tplc="A0FA0E8A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B6122"/>
    <w:multiLevelType w:val="hybridMultilevel"/>
    <w:tmpl w:val="EE945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74B5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684039A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6B8770F6"/>
    <w:multiLevelType w:val="hybridMultilevel"/>
    <w:tmpl w:val="96E0B5D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5" w:hanging="360"/>
      </w:pPr>
    </w:lvl>
    <w:lvl w:ilvl="2" w:tplc="FFFFFFFF" w:tentative="1">
      <w:start w:val="1"/>
      <w:numFmt w:val="lowerRoman"/>
      <w:lvlText w:val="%3."/>
      <w:lvlJc w:val="right"/>
      <w:pPr>
        <w:ind w:left="2195" w:hanging="180"/>
      </w:pPr>
    </w:lvl>
    <w:lvl w:ilvl="3" w:tplc="FFFFFFFF" w:tentative="1">
      <w:start w:val="1"/>
      <w:numFmt w:val="decimal"/>
      <w:lvlText w:val="%4."/>
      <w:lvlJc w:val="left"/>
      <w:pPr>
        <w:ind w:left="2915" w:hanging="360"/>
      </w:pPr>
    </w:lvl>
    <w:lvl w:ilvl="4" w:tplc="FFFFFFFF" w:tentative="1">
      <w:start w:val="1"/>
      <w:numFmt w:val="lowerLetter"/>
      <w:lvlText w:val="%5."/>
      <w:lvlJc w:val="left"/>
      <w:pPr>
        <w:ind w:left="3635" w:hanging="360"/>
      </w:pPr>
    </w:lvl>
    <w:lvl w:ilvl="5" w:tplc="FFFFFFFF" w:tentative="1">
      <w:start w:val="1"/>
      <w:numFmt w:val="lowerRoman"/>
      <w:lvlText w:val="%6."/>
      <w:lvlJc w:val="right"/>
      <w:pPr>
        <w:ind w:left="4355" w:hanging="180"/>
      </w:pPr>
    </w:lvl>
    <w:lvl w:ilvl="6" w:tplc="FFFFFFFF" w:tentative="1">
      <w:start w:val="1"/>
      <w:numFmt w:val="decimal"/>
      <w:lvlText w:val="%7."/>
      <w:lvlJc w:val="left"/>
      <w:pPr>
        <w:ind w:left="5075" w:hanging="360"/>
      </w:pPr>
    </w:lvl>
    <w:lvl w:ilvl="7" w:tplc="FFFFFFFF" w:tentative="1">
      <w:start w:val="1"/>
      <w:numFmt w:val="lowerLetter"/>
      <w:lvlText w:val="%8."/>
      <w:lvlJc w:val="left"/>
      <w:pPr>
        <w:ind w:left="5795" w:hanging="360"/>
      </w:pPr>
    </w:lvl>
    <w:lvl w:ilvl="8" w:tplc="FFFFFFFF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7" w15:restartNumberingAfterBreak="0">
    <w:nsid w:val="6E340297"/>
    <w:multiLevelType w:val="hybridMultilevel"/>
    <w:tmpl w:val="1602A86C"/>
    <w:lvl w:ilvl="0" w:tplc="1E2CD3F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A2FB7"/>
    <w:multiLevelType w:val="hybridMultilevel"/>
    <w:tmpl w:val="DAF69896"/>
    <w:lvl w:ilvl="0" w:tplc="3F5C38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212" w:hanging="360"/>
      </w:pPr>
    </w:lvl>
    <w:lvl w:ilvl="2" w:tplc="0415001B" w:tentative="1">
      <w:start w:val="1"/>
      <w:numFmt w:val="lowerRoman"/>
      <w:lvlText w:val="%3."/>
      <w:lvlJc w:val="right"/>
      <w:pPr>
        <w:ind w:left="1932" w:hanging="180"/>
      </w:pPr>
    </w:lvl>
    <w:lvl w:ilvl="3" w:tplc="0415000F" w:tentative="1">
      <w:start w:val="1"/>
      <w:numFmt w:val="decimal"/>
      <w:lvlText w:val="%4."/>
      <w:lvlJc w:val="left"/>
      <w:pPr>
        <w:ind w:left="2652" w:hanging="360"/>
      </w:pPr>
    </w:lvl>
    <w:lvl w:ilvl="4" w:tplc="04150019" w:tentative="1">
      <w:start w:val="1"/>
      <w:numFmt w:val="lowerLetter"/>
      <w:lvlText w:val="%5."/>
      <w:lvlJc w:val="left"/>
      <w:pPr>
        <w:ind w:left="3372" w:hanging="360"/>
      </w:pPr>
    </w:lvl>
    <w:lvl w:ilvl="5" w:tplc="0415001B" w:tentative="1">
      <w:start w:val="1"/>
      <w:numFmt w:val="lowerRoman"/>
      <w:lvlText w:val="%6."/>
      <w:lvlJc w:val="right"/>
      <w:pPr>
        <w:ind w:left="4092" w:hanging="180"/>
      </w:pPr>
    </w:lvl>
    <w:lvl w:ilvl="6" w:tplc="0415000F" w:tentative="1">
      <w:start w:val="1"/>
      <w:numFmt w:val="decimal"/>
      <w:lvlText w:val="%7."/>
      <w:lvlJc w:val="left"/>
      <w:pPr>
        <w:ind w:left="4812" w:hanging="360"/>
      </w:pPr>
    </w:lvl>
    <w:lvl w:ilvl="7" w:tplc="04150019" w:tentative="1">
      <w:start w:val="1"/>
      <w:numFmt w:val="lowerLetter"/>
      <w:lvlText w:val="%8."/>
      <w:lvlJc w:val="left"/>
      <w:pPr>
        <w:ind w:left="5532" w:hanging="360"/>
      </w:pPr>
    </w:lvl>
    <w:lvl w:ilvl="8" w:tplc="0415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092973484">
    <w:abstractNumId w:val="3"/>
  </w:num>
  <w:num w:numId="2" w16cid:durableId="1288707431">
    <w:abstractNumId w:val="11"/>
  </w:num>
  <w:num w:numId="3" w16cid:durableId="1578901889">
    <w:abstractNumId w:val="1"/>
  </w:num>
  <w:num w:numId="4" w16cid:durableId="2110007990">
    <w:abstractNumId w:val="17"/>
  </w:num>
  <w:num w:numId="5" w16cid:durableId="1443963206">
    <w:abstractNumId w:val="18"/>
  </w:num>
  <w:num w:numId="6" w16cid:durableId="1680347872">
    <w:abstractNumId w:val="4"/>
  </w:num>
  <w:num w:numId="7" w16cid:durableId="1541281980">
    <w:abstractNumId w:val="7"/>
  </w:num>
  <w:num w:numId="8" w16cid:durableId="1197545663">
    <w:abstractNumId w:val="9"/>
  </w:num>
  <w:num w:numId="9" w16cid:durableId="1616324039">
    <w:abstractNumId w:val="12"/>
  </w:num>
  <w:num w:numId="10" w16cid:durableId="1165170992">
    <w:abstractNumId w:val="10"/>
  </w:num>
  <w:num w:numId="11" w16cid:durableId="524100614">
    <w:abstractNumId w:val="4"/>
    <w:lvlOverride w:ilvl="0">
      <w:lvl w:ilvl="0" w:tplc="2F08CBE6">
        <w:start w:val="1"/>
        <w:numFmt w:val="lowerLetter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69866736">
    <w:abstractNumId w:val="4"/>
    <w:lvlOverride w:ilvl="0">
      <w:lvl w:ilvl="0" w:tplc="2F08CBE6">
        <w:start w:val="1"/>
        <w:numFmt w:val="lowerLetter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892155526">
    <w:abstractNumId w:val="4"/>
    <w:lvlOverride w:ilvl="0">
      <w:lvl w:ilvl="0" w:tplc="2F08CBE6">
        <w:start w:val="1"/>
        <w:numFmt w:val="lowerLetter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859514427">
    <w:abstractNumId w:val="6"/>
  </w:num>
  <w:num w:numId="15" w16cid:durableId="1317343495">
    <w:abstractNumId w:val="16"/>
  </w:num>
  <w:num w:numId="16" w16cid:durableId="642198563">
    <w:abstractNumId w:val="14"/>
  </w:num>
  <w:num w:numId="17" w16cid:durableId="1017971421">
    <w:abstractNumId w:val="2"/>
  </w:num>
  <w:num w:numId="18" w16cid:durableId="916670084">
    <w:abstractNumId w:val="13"/>
  </w:num>
  <w:num w:numId="19" w16cid:durableId="550970051">
    <w:abstractNumId w:val="0"/>
  </w:num>
  <w:num w:numId="20" w16cid:durableId="338315540">
    <w:abstractNumId w:val="8"/>
  </w:num>
  <w:num w:numId="21" w16cid:durableId="393890026">
    <w:abstractNumId w:val="15"/>
  </w:num>
  <w:num w:numId="22" w16cid:durableId="16826560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7E"/>
    <w:rsid w:val="000009C7"/>
    <w:rsid w:val="000077E4"/>
    <w:rsid w:val="0001266E"/>
    <w:rsid w:val="0001490A"/>
    <w:rsid w:val="00015579"/>
    <w:rsid w:val="00015BBE"/>
    <w:rsid w:val="000160EA"/>
    <w:rsid w:val="00024B92"/>
    <w:rsid w:val="00034B0E"/>
    <w:rsid w:val="00035253"/>
    <w:rsid w:val="00041187"/>
    <w:rsid w:val="0004471A"/>
    <w:rsid w:val="000517C8"/>
    <w:rsid w:val="00056A21"/>
    <w:rsid w:val="0005744A"/>
    <w:rsid w:val="00062EE2"/>
    <w:rsid w:val="00067646"/>
    <w:rsid w:val="00072F57"/>
    <w:rsid w:val="000754E1"/>
    <w:rsid w:val="00083EF6"/>
    <w:rsid w:val="00090913"/>
    <w:rsid w:val="00090BC5"/>
    <w:rsid w:val="00095DA6"/>
    <w:rsid w:val="000966DB"/>
    <w:rsid w:val="000A05EC"/>
    <w:rsid w:val="000B0E63"/>
    <w:rsid w:val="000B1670"/>
    <w:rsid w:val="000B3AFD"/>
    <w:rsid w:val="000B6BE7"/>
    <w:rsid w:val="000C6E3D"/>
    <w:rsid w:val="000C766D"/>
    <w:rsid w:val="000E03B1"/>
    <w:rsid w:val="000E2D9A"/>
    <w:rsid w:val="000F1776"/>
    <w:rsid w:val="0010303C"/>
    <w:rsid w:val="00123A75"/>
    <w:rsid w:val="00132D81"/>
    <w:rsid w:val="001345AA"/>
    <w:rsid w:val="00136FFB"/>
    <w:rsid w:val="00142078"/>
    <w:rsid w:val="001443F8"/>
    <w:rsid w:val="0014480C"/>
    <w:rsid w:val="0014590F"/>
    <w:rsid w:val="00147952"/>
    <w:rsid w:val="0015140F"/>
    <w:rsid w:val="00151654"/>
    <w:rsid w:val="00151D9F"/>
    <w:rsid w:val="00153C1E"/>
    <w:rsid w:val="001567B7"/>
    <w:rsid w:val="00165902"/>
    <w:rsid w:val="00166F4C"/>
    <w:rsid w:val="00167528"/>
    <w:rsid w:val="001727FD"/>
    <w:rsid w:val="00173091"/>
    <w:rsid w:val="001757DF"/>
    <w:rsid w:val="00180717"/>
    <w:rsid w:val="001814E6"/>
    <w:rsid w:val="00182D4D"/>
    <w:rsid w:val="00183F2D"/>
    <w:rsid w:val="00185BCE"/>
    <w:rsid w:val="00187CBB"/>
    <w:rsid w:val="001930B8"/>
    <w:rsid w:val="0019713F"/>
    <w:rsid w:val="001A41FA"/>
    <w:rsid w:val="001B4D14"/>
    <w:rsid w:val="001B70DC"/>
    <w:rsid w:val="001C73AE"/>
    <w:rsid w:val="001D056C"/>
    <w:rsid w:val="001D1F9D"/>
    <w:rsid w:val="001D26B7"/>
    <w:rsid w:val="001D2E63"/>
    <w:rsid w:val="001D4B95"/>
    <w:rsid w:val="001D6869"/>
    <w:rsid w:val="001E010C"/>
    <w:rsid w:val="001E17D6"/>
    <w:rsid w:val="001E2FDF"/>
    <w:rsid w:val="001E3492"/>
    <w:rsid w:val="001E58F6"/>
    <w:rsid w:val="001E75E5"/>
    <w:rsid w:val="001F043D"/>
    <w:rsid w:val="001F4FFC"/>
    <w:rsid w:val="0021191A"/>
    <w:rsid w:val="002141CE"/>
    <w:rsid w:val="00232852"/>
    <w:rsid w:val="00235B50"/>
    <w:rsid w:val="002365FC"/>
    <w:rsid w:val="002429B9"/>
    <w:rsid w:val="00251BE5"/>
    <w:rsid w:val="0026104E"/>
    <w:rsid w:val="00261831"/>
    <w:rsid w:val="0026204B"/>
    <w:rsid w:val="002623B8"/>
    <w:rsid w:val="002633D2"/>
    <w:rsid w:val="00265426"/>
    <w:rsid w:val="002709B7"/>
    <w:rsid w:val="002746F3"/>
    <w:rsid w:val="00277823"/>
    <w:rsid w:val="00280E4C"/>
    <w:rsid w:val="00286632"/>
    <w:rsid w:val="002924D9"/>
    <w:rsid w:val="002A284C"/>
    <w:rsid w:val="002A4A0E"/>
    <w:rsid w:val="002B0660"/>
    <w:rsid w:val="002B31D9"/>
    <w:rsid w:val="002B5B26"/>
    <w:rsid w:val="002C35D8"/>
    <w:rsid w:val="002C526D"/>
    <w:rsid w:val="002C5608"/>
    <w:rsid w:val="002C5C3F"/>
    <w:rsid w:val="002C64B3"/>
    <w:rsid w:val="002D06C8"/>
    <w:rsid w:val="002D2E55"/>
    <w:rsid w:val="002E253F"/>
    <w:rsid w:val="002E2D8D"/>
    <w:rsid w:val="002E62FD"/>
    <w:rsid w:val="002E7528"/>
    <w:rsid w:val="002F5C7A"/>
    <w:rsid w:val="002F737E"/>
    <w:rsid w:val="0030089C"/>
    <w:rsid w:val="00300B88"/>
    <w:rsid w:val="00305DA0"/>
    <w:rsid w:val="00320D5B"/>
    <w:rsid w:val="0032453F"/>
    <w:rsid w:val="003371DC"/>
    <w:rsid w:val="00340383"/>
    <w:rsid w:val="003430CA"/>
    <w:rsid w:val="003449B0"/>
    <w:rsid w:val="00351916"/>
    <w:rsid w:val="00357C86"/>
    <w:rsid w:val="003637C4"/>
    <w:rsid w:val="003702F2"/>
    <w:rsid w:val="00371216"/>
    <w:rsid w:val="00372CB7"/>
    <w:rsid w:val="00375AE9"/>
    <w:rsid w:val="0037695B"/>
    <w:rsid w:val="00376E3F"/>
    <w:rsid w:val="00383E19"/>
    <w:rsid w:val="00384742"/>
    <w:rsid w:val="003A115D"/>
    <w:rsid w:val="003A19AD"/>
    <w:rsid w:val="003A40F9"/>
    <w:rsid w:val="003B2B38"/>
    <w:rsid w:val="003B569A"/>
    <w:rsid w:val="003C1521"/>
    <w:rsid w:val="003C5126"/>
    <w:rsid w:val="003C5BC8"/>
    <w:rsid w:val="003C5D61"/>
    <w:rsid w:val="003D32DE"/>
    <w:rsid w:val="003E75E5"/>
    <w:rsid w:val="003E77E7"/>
    <w:rsid w:val="003F3B27"/>
    <w:rsid w:val="00401425"/>
    <w:rsid w:val="00402E0F"/>
    <w:rsid w:val="00410B31"/>
    <w:rsid w:val="00411D3A"/>
    <w:rsid w:val="00413B47"/>
    <w:rsid w:val="004140B9"/>
    <w:rsid w:val="004235BC"/>
    <w:rsid w:val="0042414F"/>
    <w:rsid w:val="004275BE"/>
    <w:rsid w:val="00433360"/>
    <w:rsid w:val="00444A3C"/>
    <w:rsid w:val="00452AD3"/>
    <w:rsid w:val="0045335A"/>
    <w:rsid w:val="00466C1A"/>
    <w:rsid w:val="00471445"/>
    <w:rsid w:val="00475AE1"/>
    <w:rsid w:val="0048150B"/>
    <w:rsid w:val="004816B8"/>
    <w:rsid w:val="004856B2"/>
    <w:rsid w:val="0048685A"/>
    <w:rsid w:val="004A5FED"/>
    <w:rsid w:val="004A7E55"/>
    <w:rsid w:val="004B189D"/>
    <w:rsid w:val="004B3523"/>
    <w:rsid w:val="004B5687"/>
    <w:rsid w:val="004C30FE"/>
    <w:rsid w:val="004C6989"/>
    <w:rsid w:val="004D1AA8"/>
    <w:rsid w:val="004D22DF"/>
    <w:rsid w:val="004D5590"/>
    <w:rsid w:val="004D7768"/>
    <w:rsid w:val="004E3842"/>
    <w:rsid w:val="004E6493"/>
    <w:rsid w:val="004F141E"/>
    <w:rsid w:val="004F741B"/>
    <w:rsid w:val="004F7AB1"/>
    <w:rsid w:val="00504CBC"/>
    <w:rsid w:val="0051088A"/>
    <w:rsid w:val="0052342E"/>
    <w:rsid w:val="00531D57"/>
    <w:rsid w:val="0053696C"/>
    <w:rsid w:val="005402AC"/>
    <w:rsid w:val="00541313"/>
    <w:rsid w:val="00543822"/>
    <w:rsid w:val="00543F24"/>
    <w:rsid w:val="00547041"/>
    <w:rsid w:val="00547B3C"/>
    <w:rsid w:val="0055139D"/>
    <w:rsid w:val="005533D6"/>
    <w:rsid w:val="00554C01"/>
    <w:rsid w:val="005620E3"/>
    <w:rsid w:val="005623EB"/>
    <w:rsid w:val="00562EE2"/>
    <w:rsid w:val="00563A8D"/>
    <w:rsid w:val="00563AAC"/>
    <w:rsid w:val="00584F36"/>
    <w:rsid w:val="00586159"/>
    <w:rsid w:val="00587256"/>
    <w:rsid w:val="00595AB7"/>
    <w:rsid w:val="005A688D"/>
    <w:rsid w:val="005A73BB"/>
    <w:rsid w:val="005B27D1"/>
    <w:rsid w:val="005B3AFD"/>
    <w:rsid w:val="005B5106"/>
    <w:rsid w:val="005C10E6"/>
    <w:rsid w:val="005C1C87"/>
    <w:rsid w:val="005C7C5C"/>
    <w:rsid w:val="005D1B14"/>
    <w:rsid w:val="005D61FF"/>
    <w:rsid w:val="005E1AC9"/>
    <w:rsid w:val="005E52C2"/>
    <w:rsid w:val="005E66D8"/>
    <w:rsid w:val="005F3456"/>
    <w:rsid w:val="005F4851"/>
    <w:rsid w:val="006004E2"/>
    <w:rsid w:val="006008A9"/>
    <w:rsid w:val="0060182F"/>
    <w:rsid w:val="00601EB6"/>
    <w:rsid w:val="00604A2E"/>
    <w:rsid w:val="00606E0E"/>
    <w:rsid w:val="00623D99"/>
    <w:rsid w:val="00623ED7"/>
    <w:rsid w:val="00624DEC"/>
    <w:rsid w:val="00630330"/>
    <w:rsid w:val="0063257C"/>
    <w:rsid w:val="00637515"/>
    <w:rsid w:val="00637D0D"/>
    <w:rsid w:val="00643540"/>
    <w:rsid w:val="00644CC7"/>
    <w:rsid w:val="00645AFD"/>
    <w:rsid w:val="00651447"/>
    <w:rsid w:val="00651B07"/>
    <w:rsid w:val="00654F13"/>
    <w:rsid w:val="006567E5"/>
    <w:rsid w:val="006568DC"/>
    <w:rsid w:val="00662BA9"/>
    <w:rsid w:val="006637DE"/>
    <w:rsid w:val="006666DC"/>
    <w:rsid w:val="006742A2"/>
    <w:rsid w:val="00683FD2"/>
    <w:rsid w:val="00684664"/>
    <w:rsid w:val="00685057"/>
    <w:rsid w:val="00690A59"/>
    <w:rsid w:val="006933FF"/>
    <w:rsid w:val="006A5BD2"/>
    <w:rsid w:val="006B1C26"/>
    <w:rsid w:val="006B5CB9"/>
    <w:rsid w:val="006C5224"/>
    <w:rsid w:val="006D0786"/>
    <w:rsid w:val="006D5300"/>
    <w:rsid w:val="006D6C83"/>
    <w:rsid w:val="006E0DE0"/>
    <w:rsid w:val="006E3018"/>
    <w:rsid w:val="006E3D7C"/>
    <w:rsid w:val="006E5524"/>
    <w:rsid w:val="006E793F"/>
    <w:rsid w:val="006F3CD9"/>
    <w:rsid w:val="006F55EF"/>
    <w:rsid w:val="007004DD"/>
    <w:rsid w:val="00712F55"/>
    <w:rsid w:val="007141B6"/>
    <w:rsid w:val="007153EC"/>
    <w:rsid w:val="0071705C"/>
    <w:rsid w:val="0072504D"/>
    <w:rsid w:val="007271A4"/>
    <w:rsid w:val="00727708"/>
    <w:rsid w:val="00727B93"/>
    <w:rsid w:val="00743101"/>
    <w:rsid w:val="007431E2"/>
    <w:rsid w:val="00752087"/>
    <w:rsid w:val="00753143"/>
    <w:rsid w:val="00753A8E"/>
    <w:rsid w:val="007560B4"/>
    <w:rsid w:val="007570F0"/>
    <w:rsid w:val="0076538A"/>
    <w:rsid w:val="00770D22"/>
    <w:rsid w:val="0077769E"/>
    <w:rsid w:val="0078653C"/>
    <w:rsid w:val="007905D7"/>
    <w:rsid w:val="00792B98"/>
    <w:rsid w:val="00794F5A"/>
    <w:rsid w:val="007A3AF1"/>
    <w:rsid w:val="007B1685"/>
    <w:rsid w:val="007B1ECA"/>
    <w:rsid w:val="007C0461"/>
    <w:rsid w:val="007C2898"/>
    <w:rsid w:val="007D5F75"/>
    <w:rsid w:val="007D642C"/>
    <w:rsid w:val="007D77B6"/>
    <w:rsid w:val="007E0D06"/>
    <w:rsid w:val="007E1503"/>
    <w:rsid w:val="007E5DB0"/>
    <w:rsid w:val="007E7CAF"/>
    <w:rsid w:val="007F3783"/>
    <w:rsid w:val="007F6C27"/>
    <w:rsid w:val="0080251A"/>
    <w:rsid w:val="008130EA"/>
    <w:rsid w:val="008140E4"/>
    <w:rsid w:val="00820320"/>
    <w:rsid w:val="00825A2A"/>
    <w:rsid w:val="00827DDE"/>
    <w:rsid w:val="00827ED5"/>
    <w:rsid w:val="008418D8"/>
    <w:rsid w:val="008434C8"/>
    <w:rsid w:val="00843DA6"/>
    <w:rsid w:val="00862E9A"/>
    <w:rsid w:val="0086619B"/>
    <w:rsid w:val="00871AAB"/>
    <w:rsid w:val="00872FBD"/>
    <w:rsid w:val="00875C86"/>
    <w:rsid w:val="00880610"/>
    <w:rsid w:val="008903A6"/>
    <w:rsid w:val="00890D56"/>
    <w:rsid w:val="008978A0"/>
    <w:rsid w:val="008B39FF"/>
    <w:rsid w:val="008B5701"/>
    <w:rsid w:val="008C5BB4"/>
    <w:rsid w:val="008D1A72"/>
    <w:rsid w:val="008D392E"/>
    <w:rsid w:val="008E1060"/>
    <w:rsid w:val="008E3B0A"/>
    <w:rsid w:val="008E6607"/>
    <w:rsid w:val="008F24F8"/>
    <w:rsid w:val="008F3BAB"/>
    <w:rsid w:val="008F5929"/>
    <w:rsid w:val="00900380"/>
    <w:rsid w:val="00902BFE"/>
    <w:rsid w:val="00906789"/>
    <w:rsid w:val="0091286E"/>
    <w:rsid w:val="00912C34"/>
    <w:rsid w:val="00915EAB"/>
    <w:rsid w:val="009216A3"/>
    <w:rsid w:val="009229F7"/>
    <w:rsid w:val="009232AB"/>
    <w:rsid w:val="009241EF"/>
    <w:rsid w:val="00926459"/>
    <w:rsid w:val="00926AF1"/>
    <w:rsid w:val="009360DF"/>
    <w:rsid w:val="0093723E"/>
    <w:rsid w:val="009502AA"/>
    <w:rsid w:val="00951B58"/>
    <w:rsid w:val="00954616"/>
    <w:rsid w:val="00957420"/>
    <w:rsid w:val="00960AB4"/>
    <w:rsid w:val="00965119"/>
    <w:rsid w:val="00972003"/>
    <w:rsid w:val="00973E81"/>
    <w:rsid w:val="00980E55"/>
    <w:rsid w:val="0099313C"/>
    <w:rsid w:val="00996DE5"/>
    <w:rsid w:val="009A161B"/>
    <w:rsid w:val="009A4A62"/>
    <w:rsid w:val="009A74FD"/>
    <w:rsid w:val="009B0B8A"/>
    <w:rsid w:val="009B1E0D"/>
    <w:rsid w:val="009B2AD5"/>
    <w:rsid w:val="009B55FB"/>
    <w:rsid w:val="009B6731"/>
    <w:rsid w:val="009B68E3"/>
    <w:rsid w:val="009B6D67"/>
    <w:rsid w:val="009C1222"/>
    <w:rsid w:val="009C587C"/>
    <w:rsid w:val="009C67D7"/>
    <w:rsid w:val="009D0443"/>
    <w:rsid w:val="009D05A7"/>
    <w:rsid w:val="009D5CB9"/>
    <w:rsid w:val="009D7098"/>
    <w:rsid w:val="009E1121"/>
    <w:rsid w:val="00A050E9"/>
    <w:rsid w:val="00A11034"/>
    <w:rsid w:val="00A16B9B"/>
    <w:rsid w:val="00A2348A"/>
    <w:rsid w:val="00A2533A"/>
    <w:rsid w:val="00A25B67"/>
    <w:rsid w:val="00A27354"/>
    <w:rsid w:val="00A3063D"/>
    <w:rsid w:val="00A31A35"/>
    <w:rsid w:val="00A43245"/>
    <w:rsid w:val="00A439F3"/>
    <w:rsid w:val="00A51E54"/>
    <w:rsid w:val="00A55F1B"/>
    <w:rsid w:val="00A65AC7"/>
    <w:rsid w:val="00A74081"/>
    <w:rsid w:val="00A8051A"/>
    <w:rsid w:val="00A85CB2"/>
    <w:rsid w:val="00A8772C"/>
    <w:rsid w:val="00A97F4D"/>
    <w:rsid w:val="00AA6C59"/>
    <w:rsid w:val="00AA6F84"/>
    <w:rsid w:val="00AA7055"/>
    <w:rsid w:val="00AB1BE8"/>
    <w:rsid w:val="00AB3992"/>
    <w:rsid w:val="00AB684F"/>
    <w:rsid w:val="00AC22EA"/>
    <w:rsid w:val="00AC5CC5"/>
    <w:rsid w:val="00AD1A15"/>
    <w:rsid w:val="00AD4290"/>
    <w:rsid w:val="00B02301"/>
    <w:rsid w:val="00B05C2A"/>
    <w:rsid w:val="00B27D81"/>
    <w:rsid w:val="00B351AB"/>
    <w:rsid w:val="00B36A7A"/>
    <w:rsid w:val="00B371DF"/>
    <w:rsid w:val="00B417AC"/>
    <w:rsid w:val="00B41D16"/>
    <w:rsid w:val="00B4423B"/>
    <w:rsid w:val="00B534DE"/>
    <w:rsid w:val="00B574BF"/>
    <w:rsid w:val="00B57536"/>
    <w:rsid w:val="00B6178C"/>
    <w:rsid w:val="00B62D3D"/>
    <w:rsid w:val="00B63A7E"/>
    <w:rsid w:val="00B64D69"/>
    <w:rsid w:val="00B73B51"/>
    <w:rsid w:val="00B77AD3"/>
    <w:rsid w:val="00B81493"/>
    <w:rsid w:val="00B83812"/>
    <w:rsid w:val="00B93960"/>
    <w:rsid w:val="00B940E9"/>
    <w:rsid w:val="00BA2327"/>
    <w:rsid w:val="00BB31C8"/>
    <w:rsid w:val="00BC0222"/>
    <w:rsid w:val="00BC15DB"/>
    <w:rsid w:val="00BD286B"/>
    <w:rsid w:val="00BD2918"/>
    <w:rsid w:val="00BD2FA1"/>
    <w:rsid w:val="00BD32A4"/>
    <w:rsid w:val="00BE2CD1"/>
    <w:rsid w:val="00BE6DAA"/>
    <w:rsid w:val="00BE7753"/>
    <w:rsid w:val="00BF0B6F"/>
    <w:rsid w:val="00BF3CEC"/>
    <w:rsid w:val="00BF5949"/>
    <w:rsid w:val="00C067F1"/>
    <w:rsid w:val="00C10414"/>
    <w:rsid w:val="00C1576C"/>
    <w:rsid w:val="00C328FF"/>
    <w:rsid w:val="00C32F8D"/>
    <w:rsid w:val="00C4351D"/>
    <w:rsid w:val="00C53E94"/>
    <w:rsid w:val="00C67350"/>
    <w:rsid w:val="00C737A0"/>
    <w:rsid w:val="00C743D2"/>
    <w:rsid w:val="00C76768"/>
    <w:rsid w:val="00C85F5B"/>
    <w:rsid w:val="00C92102"/>
    <w:rsid w:val="00C937F8"/>
    <w:rsid w:val="00C95ADF"/>
    <w:rsid w:val="00C971FA"/>
    <w:rsid w:val="00CA0BC4"/>
    <w:rsid w:val="00CC2BDA"/>
    <w:rsid w:val="00CD2349"/>
    <w:rsid w:val="00CD3C7F"/>
    <w:rsid w:val="00D12090"/>
    <w:rsid w:val="00D232EF"/>
    <w:rsid w:val="00D2431E"/>
    <w:rsid w:val="00D36E69"/>
    <w:rsid w:val="00D50785"/>
    <w:rsid w:val="00D53693"/>
    <w:rsid w:val="00D56A13"/>
    <w:rsid w:val="00D619DE"/>
    <w:rsid w:val="00D64FC4"/>
    <w:rsid w:val="00D75BE1"/>
    <w:rsid w:val="00D76381"/>
    <w:rsid w:val="00D77576"/>
    <w:rsid w:val="00D82AD6"/>
    <w:rsid w:val="00D85D42"/>
    <w:rsid w:val="00D92399"/>
    <w:rsid w:val="00D939E7"/>
    <w:rsid w:val="00D93A8A"/>
    <w:rsid w:val="00D97C0B"/>
    <w:rsid w:val="00DA38BD"/>
    <w:rsid w:val="00DB63AC"/>
    <w:rsid w:val="00DD18C8"/>
    <w:rsid w:val="00DD5364"/>
    <w:rsid w:val="00DD5EC2"/>
    <w:rsid w:val="00DD714D"/>
    <w:rsid w:val="00DD7A39"/>
    <w:rsid w:val="00DF296D"/>
    <w:rsid w:val="00DF7917"/>
    <w:rsid w:val="00E01C56"/>
    <w:rsid w:val="00E210DD"/>
    <w:rsid w:val="00E24450"/>
    <w:rsid w:val="00E27305"/>
    <w:rsid w:val="00E40499"/>
    <w:rsid w:val="00E46318"/>
    <w:rsid w:val="00E52754"/>
    <w:rsid w:val="00E54585"/>
    <w:rsid w:val="00E56205"/>
    <w:rsid w:val="00E6633F"/>
    <w:rsid w:val="00E71023"/>
    <w:rsid w:val="00E71397"/>
    <w:rsid w:val="00E730E9"/>
    <w:rsid w:val="00E775CF"/>
    <w:rsid w:val="00E8029E"/>
    <w:rsid w:val="00E82C06"/>
    <w:rsid w:val="00E83C6D"/>
    <w:rsid w:val="00E85F54"/>
    <w:rsid w:val="00E9056A"/>
    <w:rsid w:val="00E9756D"/>
    <w:rsid w:val="00EA3104"/>
    <w:rsid w:val="00EA42CF"/>
    <w:rsid w:val="00EA692E"/>
    <w:rsid w:val="00EB3428"/>
    <w:rsid w:val="00EB5BAA"/>
    <w:rsid w:val="00EC012A"/>
    <w:rsid w:val="00EC272C"/>
    <w:rsid w:val="00EC2926"/>
    <w:rsid w:val="00EC4EC3"/>
    <w:rsid w:val="00ED12DF"/>
    <w:rsid w:val="00ED64FC"/>
    <w:rsid w:val="00EE0BE3"/>
    <w:rsid w:val="00EE2E7C"/>
    <w:rsid w:val="00EF3055"/>
    <w:rsid w:val="00F001F1"/>
    <w:rsid w:val="00F0049B"/>
    <w:rsid w:val="00F02097"/>
    <w:rsid w:val="00F043F3"/>
    <w:rsid w:val="00F0546A"/>
    <w:rsid w:val="00F067EA"/>
    <w:rsid w:val="00F124B5"/>
    <w:rsid w:val="00F12CBF"/>
    <w:rsid w:val="00F13C83"/>
    <w:rsid w:val="00F17E60"/>
    <w:rsid w:val="00F216D2"/>
    <w:rsid w:val="00F23D93"/>
    <w:rsid w:val="00F24EED"/>
    <w:rsid w:val="00F25158"/>
    <w:rsid w:val="00F25FCD"/>
    <w:rsid w:val="00F32458"/>
    <w:rsid w:val="00F369FA"/>
    <w:rsid w:val="00F45AE7"/>
    <w:rsid w:val="00F50077"/>
    <w:rsid w:val="00F50F70"/>
    <w:rsid w:val="00F52F85"/>
    <w:rsid w:val="00F60D0C"/>
    <w:rsid w:val="00F60DD1"/>
    <w:rsid w:val="00F64DF4"/>
    <w:rsid w:val="00F7119C"/>
    <w:rsid w:val="00F72FE3"/>
    <w:rsid w:val="00F73165"/>
    <w:rsid w:val="00F73690"/>
    <w:rsid w:val="00F7642A"/>
    <w:rsid w:val="00F77462"/>
    <w:rsid w:val="00F83D4F"/>
    <w:rsid w:val="00F8601D"/>
    <w:rsid w:val="00F92316"/>
    <w:rsid w:val="00F92D8F"/>
    <w:rsid w:val="00F949FC"/>
    <w:rsid w:val="00F95295"/>
    <w:rsid w:val="00F9605F"/>
    <w:rsid w:val="00F97906"/>
    <w:rsid w:val="00FA0AE3"/>
    <w:rsid w:val="00FB1E00"/>
    <w:rsid w:val="00FB5A9D"/>
    <w:rsid w:val="00FB6698"/>
    <w:rsid w:val="00FC0003"/>
    <w:rsid w:val="00FC1C6E"/>
    <w:rsid w:val="00FC2B87"/>
    <w:rsid w:val="00FD449E"/>
    <w:rsid w:val="00FD496C"/>
    <w:rsid w:val="00FD6E8B"/>
    <w:rsid w:val="00FE326B"/>
    <w:rsid w:val="00FE460B"/>
    <w:rsid w:val="00FE628F"/>
    <w:rsid w:val="00FE678C"/>
    <w:rsid w:val="00FF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A6B8"/>
  <w15:chartTrackingRefBased/>
  <w15:docId w15:val="{F4643243-9B4C-4522-B85C-D8F4E6DC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3A7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63A7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63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character" w:styleId="Odwoaniedokomentarza">
    <w:name w:val="annotation reference"/>
    <w:uiPriority w:val="99"/>
    <w:semiHidden/>
    <w:unhideWhenUsed/>
    <w:rsid w:val="00B63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63A7E"/>
    <w:pPr>
      <w:spacing w:line="240" w:lineRule="auto"/>
    </w:pPr>
    <w:rPr>
      <w:sz w:val="20"/>
      <w:szCs w:val="20"/>
      <w:lang w:eastAsia="x-none"/>
    </w:rPr>
  </w:style>
  <w:style w:type="character" w:customStyle="1" w:styleId="TekstkomentarzaZnak">
    <w:name w:val="Tekst komentarza Znak"/>
    <w:link w:val="Tekstkomentarza"/>
    <w:uiPriority w:val="99"/>
    <w:rsid w:val="00B63A7E"/>
    <w:rPr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A7E"/>
    <w:pPr>
      <w:spacing w:after="0" w:line="240" w:lineRule="auto"/>
    </w:pPr>
    <w:rPr>
      <w:rFonts w:ascii="Segoe UI" w:hAnsi="Segoe UI"/>
      <w:sz w:val="18"/>
      <w:szCs w:val="18"/>
      <w:lang w:eastAsia="x-none"/>
    </w:rPr>
  </w:style>
  <w:style w:type="character" w:customStyle="1" w:styleId="TekstdymkaZnak">
    <w:name w:val="Tekst dymka Znak"/>
    <w:link w:val="Tekstdymka"/>
    <w:uiPriority w:val="99"/>
    <w:semiHidden/>
    <w:rsid w:val="00B63A7E"/>
    <w:rPr>
      <w:rFonts w:ascii="Segoe UI" w:hAnsi="Segoe UI" w:cs="Segoe UI"/>
      <w:sz w:val="18"/>
      <w:szCs w:val="18"/>
      <w:lang w:val="en-US"/>
    </w:rPr>
  </w:style>
  <w:style w:type="paragraph" w:styleId="Nagwek">
    <w:name w:val="header"/>
    <w:basedOn w:val="Normalny"/>
    <w:link w:val="NagwekZnak"/>
    <w:unhideWhenUsed/>
    <w:rsid w:val="00BD2918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NagwekZnak">
    <w:name w:val="Nagłówek Znak"/>
    <w:link w:val="Nagwek"/>
    <w:rsid w:val="00BD2918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BD2918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StopkaZnak">
    <w:name w:val="Stopka Znak"/>
    <w:link w:val="Stopka"/>
    <w:uiPriority w:val="99"/>
    <w:rsid w:val="00BD2918"/>
    <w:rPr>
      <w:lang w:val="en-US"/>
    </w:rPr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BD2918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286E"/>
    <w:pPr>
      <w:spacing w:line="276" w:lineRule="auto"/>
    </w:pPr>
    <w:rPr>
      <w:b/>
      <w:bCs/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rsid w:val="0091286E"/>
    <w:rPr>
      <w:b/>
      <w:bCs/>
      <w:sz w:val="20"/>
      <w:szCs w:val="20"/>
      <w:lang w:val="en-US" w:eastAsia="en-US" w:bidi="ar-SA"/>
    </w:rPr>
  </w:style>
  <w:style w:type="paragraph" w:styleId="Poprawka">
    <w:name w:val="Revision"/>
    <w:hidden/>
    <w:uiPriority w:val="99"/>
    <w:semiHidden/>
    <w:rsid w:val="009A161B"/>
    <w:rPr>
      <w:sz w:val="22"/>
      <w:szCs w:val="22"/>
      <w:lang w:val="en-US" w:eastAsia="en-US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75208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5B96-65F6-4EDC-B6AA-E126684F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1419</Words>
  <Characters>8515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Stajszczyk</dc:creator>
  <cp:keywords/>
  <cp:lastModifiedBy>Wilk Justyna</cp:lastModifiedBy>
  <cp:revision>3</cp:revision>
  <cp:lastPrinted>2021-02-08T17:06:00Z</cp:lastPrinted>
  <dcterms:created xsi:type="dcterms:W3CDTF">2025-09-09T07:34:00Z</dcterms:created>
  <dcterms:modified xsi:type="dcterms:W3CDTF">2025-09-15T09:03:00Z</dcterms:modified>
</cp:coreProperties>
</file>