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76EB4" w14:textId="3D41FA04" w:rsidR="000E0C2B" w:rsidRDefault="00250F79" w:rsidP="00250F79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Załącznik</w:t>
      </w:r>
      <w:r w:rsidR="00A84295">
        <w:rPr>
          <w:rFonts w:ascii="Times New Roman" w:hAnsi="Times New Roman" w:cs="Times New Roman"/>
        </w:rPr>
        <w:t xml:space="preserve"> </w:t>
      </w:r>
      <w:r w:rsidR="006F2657">
        <w:rPr>
          <w:rFonts w:ascii="Times New Roman" w:hAnsi="Times New Roman" w:cs="Times New Roman"/>
        </w:rPr>
        <w:t>B.155.</w:t>
      </w:r>
    </w:p>
    <w:p w14:paraId="10DEADA0" w14:textId="77777777" w:rsidR="00250F79" w:rsidRDefault="00250F79" w:rsidP="00250F79">
      <w:pPr>
        <w:spacing w:after="0" w:line="240" w:lineRule="auto"/>
        <w:rPr>
          <w:rFonts w:ascii="Times New Roman" w:hAnsi="Times New Roman" w:cs="Times New Roman"/>
        </w:rPr>
      </w:pPr>
    </w:p>
    <w:p w14:paraId="21714B15" w14:textId="386D464D" w:rsidR="00250F79" w:rsidRPr="00250F79" w:rsidRDefault="00250F79" w:rsidP="00A84295">
      <w:pPr>
        <w:spacing w:after="24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0F79">
        <w:rPr>
          <w:rFonts w:ascii="Times New Roman" w:hAnsi="Times New Roman" w:cs="Times New Roman"/>
          <w:b/>
          <w:bCs/>
          <w:sz w:val="28"/>
          <w:szCs w:val="28"/>
        </w:rPr>
        <w:t>LECZENIE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CHORYCH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NERWIAKOWŁÓKNIAKAMI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SPLOTOWATYMI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PRZEBIEGU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NEUROFIBROMATOZY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TYPU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(NF1)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(ICD-10:</w:t>
      </w:r>
      <w:r w:rsidR="00A842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0F79">
        <w:rPr>
          <w:rFonts w:ascii="Times New Roman" w:hAnsi="Times New Roman" w:cs="Times New Roman"/>
          <w:b/>
          <w:bCs/>
          <w:sz w:val="28"/>
          <w:szCs w:val="28"/>
        </w:rPr>
        <w:t>Q85.0)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62"/>
        <w:gridCol w:w="4111"/>
        <w:gridCol w:w="5611"/>
      </w:tblGrid>
      <w:tr w:rsidR="00250F79" w14:paraId="1152B669" w14:textId="77777777" w:rsidTr="002E7BD9">
        <w:trPr>
          <w:trHeight w:val="567"/>
        </w:trPr>
        <w:tc>
          <w:tcPr>
            <w:tcW w:w="15384" w:type="dxa"/>
            <w:gridSpan w:val="3"/>
            <w:vAlign w:val="center"/>
            <w:hideMark/>
          </w:tcPr>
          <w:p w14:paraId="3E59AD1B" w14:textId="1B8E7369" w:rsidR="00250F79" w:rsidRPr="00DE0884" w:rsidRDefault="00250F79" w:rsidP="0025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ZAKRES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ŚWIADCZENIA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GWARANTOWANEGO</w:t>
            </w:r>
          </w:p>
        </w:tc>
      </w:tr>
      <w:tr w:rsidR="00250F79" w14:paraId="6E3A33A1" w14:textId="77777777" w:rsidTr="002E7BD9">
        <w:trPr>
          <w:trHeight w:val="567"/>
        </w:trPr>
        <w:tc>
          <w:tcPr>
            <w:tcW w:w="5662" w:type="dxa"/>
            <w:vAlign w:val="center"/>
            <w:hideMark/>
          </w:tcPr>
          <w:p w14:paraId="2D2C8634" w14:textId="77777777" w:rsidR="00250F79" w:rsidRPr="00DE0884" w:rsidRDefault="00250F79" w:rsidP="0025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ŚWIADCZENIOBIORCY</w:t>
            </w:r>
          </w:p>
        </w:tc>
        <w:tc>
          <w:tcPr>
            <w:tcW w:w="4111" w:type="dxa"/>
            <w:vAlign w:val="center"/>
            <w:hideMark/>
          </w:tcPr>
          <w:p w14:paraId="20254B3D" w14:textId="026A8008" w:rsidR="00250F79" w:rsidRPr="00DE0884" w:rsidRDefault="00250F79" w:rsidP="0025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SCHEMAT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DAWKOWANIA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LEKÓW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E7B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</w:tc>
        <w:tc>
          <w:tcPr>
            <w:tcW w:w="5611" w:type="dxa"/>
            <w:vAlign w:val="center"/>
            <w:hideMark/>
          </w:tcPr>
          <w:p w14:paraId="51C42E8A" w14:textId="4ABE6722" w:rsidR="00250F79" w:rsidRPr="00DE0884" w:rsidRDefault="00250F79" w:rsidP="00250F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DIAGNOSTYCZNE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WYKONYWANE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2E7BD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br/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RAMACH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DE08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</w:tc>
      </w:tr>
      <w:tr w:rsidR="00250F79" w14:paraId="05898BCA" w14:textId="77777777" w:rsidTr="002E7BD9">
        <w:trPr>
          <w:trHeight w:val="20"/>
        </w:trPr>
        <w:tc>
          <w:tcPr>
            <w:tcW w:w="5662" w:type="dxa"/>
          </w:tcPr>
          <w:p w14:paraId="63E0FD98" w14:textId="2BBD46B6" w:rsidR="001C0440" w:rsidRPr="00A84295" w:rsidRDefault="001C0440" w:rsidP="00A84295">
            <w:pPr>
              <w:autoSpaceDE w:val="0"/>
              <w:autoSpaceDN w:val="0"/>
              <w:adjustRightInd w:val="0"/>
              <w:spacing w:before="120"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Kwalifikacja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świadczeniobiorców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prowadzona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ds.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Nerwiakowłókniaków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Splotowatych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Chorych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Neurofibromatozą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Typu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(NF1),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powoływany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Prezesa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Zdrowia.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905C485" w14:textId="2D52501F" w:rsidR="00956818" w:rsidRPr="00A84295" w:rsidRDefault="00956818" w:rsidP="00A8429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finansuje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następującymi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substancjami:</w:t>
            </w:r>
          </w:p>
          <w:p w14:paraId="1D5107EC" w14:textId="5D03A304" w:rsidR="00956818" w:rsidRPr="00A84295" w:rsidRDefault="00956818" w:rsidP="00A84295">
            <w:pPr>
              <w:pStyle w:val="Akapitzlist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84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selumetynib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50F5F05" w14:textId="0BFAF68B" w:rsidR="00956818" w:rsidRPr="00A84295" w:rsidRDefault="00956818" w:rsidP="00A8429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zgodnie</w:t>
            </w:r>
            <w:r w:rsid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ze</w:t>
            </w:r>
            <w:r w:rsid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wskazanymi</w:t>
            </w:r>
            <w:r w:rsid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opisie</w:t>
            </w:r>
            <w:r w:rsid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programu</w:t>
            </w:r>
            <w:r w:rsid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warunkami</w:t>
            </w:r>
            <w:r w:rsid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kryteriami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496D9D77" w14:textId="77777777" w:rsidR="001C0440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D3EB1A1" w14:textId="205AA6B8" w:rsidR="001C0440" w:rsidRPr="00A84295" w:rsidRDefault="001C0440" w:rsidP="00A8429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39312755" w14:textId="158D0D90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wiek: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≥3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≤18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r.ż.;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DBECA69" w14:textId="5529F635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powierzchnia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≥0,55m²;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B67F284" w14:textId="6EB7672B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zdolność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połykania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całych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kapsułek</w:t>
            </w:r>
            <w:r w:rsidR="00A8429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niszczenia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otoczki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wysypywania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zawartości;</w:t>
            </w:r>
          </w:p>
          <w:p w14:paraId="2DCF79A9" w14:textId="3588DD4F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potwierdzone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klinicznie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molekularnie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rozpoznanie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NF-1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A53EB">
              <w:rPr>
                <w:rFonts w:ascii="Times New Roman" w:hAnsi="Times New Roman" w:cs="Times New Roman"/>
                <w:sz w:val="20"/>
                <w:szCs w:val="20"/>
              </w:rPr>
              <w:t xml:space="preserve">najnowszymi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konferencji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konsensusu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NIH-88;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0B7B1BB8" w14:textId="3AE4614C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objawowy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9B5" w:rsidRPr="00A84295">
              <w:rPr>
                <w:rFonts w:ascii="Times New Roman" w:hAnsi="Times New Roman" w:cs="Times New Roman"/>
                <w:sz w:val="20"/>
                <w:szCs w:val="20"/>
              </w:rPr>
              <w:t>tj.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powodujący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istotne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objawy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kliniczne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wymagające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interwencji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zagrożenie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zdrowia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życia,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nieoperacyjny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nerwiakowłókniak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splotowaty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(PN)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jednym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wymiarze,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którego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można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całkowicie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usunąć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chirurgicznie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bez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znacznych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powikłań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powodu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lokalizacji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bezpośredniego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sąsiedztwa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ważnych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życiowo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struktur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anatomicznych,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inwazyjności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bogatego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unaczynienia,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powodującego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określone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ryzyko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chirurgiczne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zabiegu.</w:t>
            </w:r>
          </w:p>
          <w:p w14:paraId="0CE314B9" w14:textId="3E95DEA5" w:rsidR="001C0440" w:rsidRPr="00A84295" w:rsidRDefault="001C0440" w:rsidP="00A84295">
            <w:pPr>
              <w:pStyle w:val="Akapitzlist"/>
              <w:autoSpaceDE w:val="0"/>
              <w:autoSpaceDN w:val="0"/>
              <w:adjustRightInd w:val="0"/>
              <w:spacing w:after="60"/>
              <w:ind w:left="454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Świadczeniobiorca,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przeszedł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resekcję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kwalifikować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został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całkowicie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wycięty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możliwa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wolumetryczna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rezonansu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magnetycznego;</w:t>
            </w:r>
          </w:p>
          <w:p w14:paraId="7E9EBD7E" w14:textId="75DFB31A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sprawności:</w:t>
            </w:r>
          </w:p>
          <w:p w14:paraId="2AD88522" w14:textId="2B45FA39" w:rsidR="001C0440" w:rsidRPr="00A84295" w:rsidRDefault="001C0440" w:rsidP="00A84295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dorośli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dzieci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Karnofsky’ego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4F7834A7" w14:textId="5CC9771A" w:rsidR="001C0440" w:rsidRPr="00A84295" w:rsidRDefault="001C0440" w:rsidP="00A84295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dzieci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wieku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poniżej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r.ż.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Lansky’ego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188D990" w14:textId="4117F60C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adekwatna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wydolność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narządowa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określona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wyników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laboratoryjnych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krwi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Charakterystyki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Produktu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Leczniczego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(dalej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ChPL);</w:t>
            </w:r>
          </w:p>
          <w:p w14:paraId="0A0F3C90" w14:textId="36BC8B32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istotnych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stanów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schorzeń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współistniejących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stanowiących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przeciwskazanie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stwierdzonych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prowadzącego,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oparciu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ChPL;</w:t>
            </w:r>
          </w:p>
          <w:p w14:paraId="05930C39" w14:textId="059511C2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trwającej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przeciwnowotworowej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niezależnie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przyczyny,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zawłaszcza: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radioterapii,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chemioterapii,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hormonalnej,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przeciwnowotworowej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immunoterapii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biologicznej;</w:t>
            </w:r>
          </w:p>
          <w:p w14:paraId="7548AB1D" w14:textId="0A3AFA57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nieobecność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transformacji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złośliwej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złośliwego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guza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osłonek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nerwów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obwodowych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(MPNST),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radiologicznych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cechach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pobudzenia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(tzw.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Atypowe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biopsji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histopatologicznego;</w:t>
            </w:r>
          </w:p>
          <w:p w14:paraId="7FD97184" w14:textId="34206BF6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patologicznych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dokładnym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okulistycznym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sugerujących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odwarstwienie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nabłonka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barwnikowego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siatkówki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(ang.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retinal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pigment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epithelial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detachment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RPED)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centralną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surowiczą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retinopatię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(ang.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central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serous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retinopathy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CSR)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zmniejszoną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ostrością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widzenia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jaskrę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wlicza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zaburzeń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widzenia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związanych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powikłaniami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rozwoju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typowych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NF1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glejaków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nerwów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wzrokowych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oczodołu);</w:t>
            </w:r>
          </w:p>
          <w:p w14:paraId="53E4CA11" w14:textId="0165F093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upłynięcie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najmniej:</w:t>
            </w:r>
          </w:p>
          <w:p w14:paraId="0B28C46C" w14:textId="32EDD8E7" w:rsidR="001C0440" w:rsidRPr="00A84295" w:rsidRDefault="001C0440" w:rsidP="00A84295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ewentualnego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farmakologicznego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powodu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ustąpienie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wszystkich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ostrych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działań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niepożądanych,</w:t>
            </w:r>
          </w:p>
          <w:p w14:paraId="36041955" w14:textId="4BD9D158" w:rsidR="001C0440" w:rsidRPr="00A84295" w:rsidRDefault="001C0440" w:rsidP="00A84295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upłynięcie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zastosowanej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radioterapii,</w:t>
            </w:r>
          </w:p>
          <w:p w14:paraId="564CB143" w14:textId="5B22B4F6" w:rsidR="001C0440" w:rsidRPr="00A84295" w:rsidRDefault="001C0440" w:rsidP="00A84295">
            <w:pPr>
              <w:pStyle w:val="Akapitzlist"/>
              <w:numPr>
                <w:ilvl w:val="4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upłynięcie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tygodni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zabiegu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chirurgicznego;</w:t>
            </w:r>
          </w:p>
          <w:p w14:paraId="573939F2" w14:textId="45F061EA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przeciwskazań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selumetynibu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88B8534" w14:textId="12BE465A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wykluczenie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okresu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piersią.</w:t>
            </w:r>
          </w:p>
          <w:p w14:paraId="6B81C938" w14:textId="1D908F3D" w:rsidR="001C0440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muszą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spełnione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łącznie.</w:t>
            </w:r>
          </w:p>
          <w:p w14:paraId="6D11656C" w14:textId="4F65256F" w:rsidR="001C0440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Ponadto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lekowego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kwalifikowani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również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pacjenci,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byli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ramach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innego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sposobu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finansowania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terapii,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wyjątkiem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trwających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klinicznych,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warunkiem,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że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chwili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spełniali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kryteria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kwalifikacji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lekowego.</w:t>
            </w:r>
          </w:p>
          <w:p w14:paraId="4F6CD8A5" w14:textId="77777777" w:rsidR="001C0440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C007E3" w14:textId="6D497EBF" w:rsidR="001C0440" w:rsidRPr="00A84295" w:rsidRDefault="001C0440" w:rsidP="00A8429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Określenie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czasu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programie</w:t>
            </w:r>
          </w:p>
          <w:p w14:paraId="6AFB500D" w14:textId="589C472C" w:rsidR="001C0440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czasu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podjęcia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Koordynacyjny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decyzji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wyłączeniu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programu,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kryteriami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wyłączenia.</w:t>
            </w:r>
          </w:p>
          <w:p w14:paraId="463AF297" w14:textId="0A2B7562" w:rsidR="001C0440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związku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bezpieczeństwem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stosowania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może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zostać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czasowo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wstrzymane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zapisami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ChPL.</w:t>
            </w:r>
          </w:p>
          <w:p w14:paraId="5E796C09" w14:textId="2F71F480" w:rsidR="001C0440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pełnoletni,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którzy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rozpoczęli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ukończeniem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roku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mogą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kontynuować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terapię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pod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warunkiem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ustalenia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przewagi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korzyści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ryzykiem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70786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14E03">
              <w:rPr>
                <w:rFonts w:ascii="Times New Roman" w:hAnsi="Times New Roman" w:cs="Times New Roman"/>
                <w:sz w:val="20"/>
                <w:szCs w:val="20"/>
              </w:rPr>
              <w:t xml:space="preserve">zgodnie z Charakterystyką Produktu Leczniczego oraz </w:t>
            </w:r>
            <w:r w:rsidR="0070786E">
              <w:rPr>
                <w:rFonts w:ascii="Times New Roman" w:hAnsi="Times New Roman" w:cs="Times New Roman"/>
                <w:sz w:val="20"/>
                <w:szCs w:val="20"/>
              </w:rPr>
              <w:t>na podstawie wskaźników odpowiedzi na leczenie opisanych w pkt. 2.2 Monitorowanie skuteczności terapii</w:t>
            </w:r>
            <w:r w:rsidR="00114E0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733285A9" w14:textId="77777777" w:rsidR="001C0440" w:rsidRPr="00A84295" w:rsidRDefault="001C0440" w:rsidP="00A84295">
            <w:pPr>
              <w:pStyle w:val="Akapitzlist"/>
              <w:autoSpaceDE w:val="0"/>
              <w:autoSpaceDN w:val="0"/>
              <w:adjustRightInd w:val="0"/>
              <w:spacing w:after="60"/>
              <w:ind w:left="227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43E8FEA" w14:textId="0159F3C9" w:rsidR="001C0440" w:rsidRPr="00A84295" w:rsidRDefault="001C0440" w:rsidP="00A84295">
            <w:pPr>
              <w:pStyle w:val="Akapitzlist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Kryteria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wyłączenia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1F23F706" w14:textId="34B8E95F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korzyści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progresja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choroby,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rozumiana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zwiększenie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objętości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wybranego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porównaniu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wartością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wyjściową,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potwierdzone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kolejnym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wolumetrycznym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MR;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1C87420" w14:textId="1792B84C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objawów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nadwrażliwości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selumetynib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którąkolwiek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substancję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pomocniczą;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21BCC63" w14:textId="6D5167A2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zagrażającej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życiu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nawrotowej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toksyczności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mimo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zastosowania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adekwatnego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postępowania,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zasadami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zawartymi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aktualnej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ChPL;</w:t>
            </w:r>
          </w:p>
          <w:p w14:paraId="3F7CC6DC" w14:textId="5C31BDFA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klinicznie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istotne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pogorszenie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stanu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sprawności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ogólnej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utrzymujący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stan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sprawności:</w:t>
            </w:r>
          </w:p>
          <w:p w14:paraId="30E5B80B" w14:textId="0503A294" w:rsidR="001C0440" w:rsidRPr="00A84295" w:rsidRDefault="001C0440" w:rsidP="00A84295">
            <w:pPr>
              <w:pStyle w:val="Akapitzlist"/>
              <w:numPr>
                <w:ilvl w:val="4"/>
                <w:numId w:val="15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niższy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Karnofsky’ego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dorosłych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dzieci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mających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najmniej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lat</w:t>
            </w:r>
            <w:r w:rsidR="001609B5" w:rsidRPr="00A842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7D25AD4" w14:textId="6D69EBA4" w:rsidR="001C0440" w:rsidRPr="00A84295" w:rsidRDefault="001C0440" w:rsidP="00A84295">
            <w:pPr>
              <w:pStyle w:val="Akapitzlist"/>
              <w:numPr>
                <w:ilvl w:val="4"/>
                <w:numId w:val="15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niższy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70%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według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skali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Lansky’ego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dzieci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poniżej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lat;</w:t>
            </w:r>
          </w:p>
          <w:p w14:paraId="5BF3793D" w14:textId="2321FCFB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wystąpienie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chorób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stanów,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które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opinii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Zespołu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Koordynacyjnego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lekarza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prowadzącego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uniemożliwiają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dalsze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prowadzenie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leczenia;</w:t>
            </w:r>
          </w:p>
          <w:p w14:paraId="267F0DAD" w14:textId="1BF7B783" w:rsidR="001C0440" w:rsidRPr="00A84295" w:rsidRDefault="001C0440" w:rsidP="00A84295">
            <w:pPr>
              <w:pStyle w:val="Akapitzlist"/>
              <w:numPr>
                <w:ilvl w:val="3"/>
                <w:numId w:val="15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okres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ciąży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karmienia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piersią;</w:t>
            </w:r>
          </w:p>
          <w:p w14:paraId="5C115E45" w14:textId="77777777" w:rsidR="001609B5" w:rsidRDefault="001C0440" w:rsidP="00A84295">
            <w:pPr>
              <w:pStyle w:val="Akapitzlist"/>
              <w:numPr>
                <w:ilvl w:val="3"/>
                <w:numId w:val="15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współpracy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nieprzestrzeganie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zaleceń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lekarskich,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zwłaszcza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okresowych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kontrolnych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oceniających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skuteczność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bezpieczeństwo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selumetynibem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strony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świadczeniobiorcy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prawnych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opiekunów.</w:t>
            </w:r>
          </w:p>
          <w:p w14:paraId="4F71C0C2" w14:textId="36366FB8" w:rsidR="002E7BD9" w:rsidRPr="002E7BD9" w:rsidRDefault="002E7BD9" w:rsidP="002E7BD9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111" w:type="dxa"/>
          </w:tcPr>
          <w:p w14:paraId="13A6A1E6" w14:textId="77777777" w:rsidR="001C0440" w:rsidRPr="00A84295" w:rsidRDefault="001C0440" w:rsidP="00A84295">
            <w:pPr>
              <w:pStyle w:val="Akapitzlist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Dawkowanie</w:t>
            </w:r>
          </w:p>
          <w:p w14:paraId="7A9D9FB6" w14:textId="23832C47" w:rsidR="001C0440" w:rsidRPr="00A84295" w:rsidRDefault="001609B5" w:rsidP="00A84295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alecana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0440" w:rsidRPr="00A8429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selumetynibu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wynosi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25mg/m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powierzchni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ciała,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przyjmowana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doustnie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dwa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razy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dobę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(co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około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godzin).</w:t>
            </w:r>
          </w:p>
          <w:p w14:paraId="0C04FAF0" w14:textId="5F1D0D9F" w:rsidR="001C0440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Dawka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ustalana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indywidualnie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powierzchni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(mg/m</w:t>
            </w:r>
            <w:r w:rsidRPr="00A8429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zaokrąglana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najbliższej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dostępnej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mg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maksymalnej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pojedynczej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50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mg).</w:t>
            </w:r>
          </w:p>
          <w:p w14:paraId="361B795E" w14:textId="39247FBF" w:rsidR="001C0440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Dopuszczalne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jest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zmniejszenie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zalecanej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aktualną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ChPL.</w:t>
            </w:r>
          </w:p>
          <w:p w14:paraId="4C188220" w14:textId="4729A2B3" w:rsidR="00250F79" w:rsidRPr="00A84295" w:rsidRDefault="001C0440" w:rsidP="00A84295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Każdy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cykl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trwa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A5F13" w:rsidRPr="00A84295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dni.</w:t>
            </w:r>
          </w:p>
          <w:p w14:paraId="6344E814" w14:textId="77777777" w:rsidR="00250F79" w:rsidRPr="00A84295" w:rsidRDefault="00250F79" w:rsidP="00A84295">
            <w:pPr>
              <w:autoSpaceDE w:val="0"/>
              <w:autoSpaceDN w:val="0"/>
              <w:adjustRightInd w:val="0"/>
              <w:spacing w:after="60" w:line="276" w:lineRule="auto"/>
              <w:ind w:right="2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11" w:type="dxa"/>
          </w:tcPr>
          <w:p w14:paraId="1FB1895F" w14:textId="4BFB8351" w:rsidR="001C0440" w:rsidRPr="00A84295" w:rsidRDefault="001C0440" w:rsidP="00A84295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before="120"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Badania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przy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kwalifikacji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</w:p>
          <w:p w14:paraId="78EFBDC0" w14:textId="039416DF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alaninowej;</w:t>
            </w:r>
          </w:p>
          <w:p w14:paraId="204F7074" w14:textId="6FD1B765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asparaginowej;</w:t>
            </w:r>
          </w:p>
          <w:p w14:paraId="2299D5CE" w14:textId="4E83FBFF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albuminy;</w:t>
            </w:r>
          </w:p>
          <w:p w14:paraId="02ABF424" w14:textId="24C27177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bilirubiny;</w:t>
            </w:r>
          </w:p>
          <w:p w14:paraId="19C1B450" w14:textId="465E1C19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aktywności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kinazy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fosfokreatynowej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372F337D" w14:textId="2A5FEA84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kreatyniny;</w:t>
            </w:r>
          </w:p>
          <w:p w14:paraId="28D70566" w14:textId="19097662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hemoglobiny;</w:t>
            </w:r>
          </w:p>
          <w:p w14:paraId="5BF6DC5D" w14:textId="370EF91A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u w:val="single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koagulogramu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  <w:u w:val="single"/>
              </w:rPr>
              <w:t>;</w:t>
            </w:r>
          </w:p>
          <w:p w14:paraId="2870D279" w14:textId="73308649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pomiar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ciśnienia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tętniczego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krwi;</w:t>
            </w:r>
          </w:p>
          <w:p w14:paraId="0B473B03" w14:textId="1F1EFDF2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frakcji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wyrzutowej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komory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serca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(LVEF)</w:t>
            </w:r>
            <w:r w:rsidR="009847B6" w:rsidRPr="00A8429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6AF8767" w14:textId="3EA43F94" w:rsidR="001C0440" w:rsidRPr="00A84295" w:rsidRDefault="001C0440" w:rsidP="000D29C1">
            <w:pPr>
              <w:pStyle w:val="Akapitzlist"/>
              <w:numPr>
                <w:ilvl w:val="4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wywiad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kierunku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występowania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zaburzeń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czynności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komory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serca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pacjentów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początkową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wartością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LVEF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poniżej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dolnej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granicy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normy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(DGN)</w:t>
            </w:r>
            <w:r w:rsidR="009847B6" w:rsidRPr="00A8429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6EA65CA" w14:textId="6DCD75EE" w:rsidR="001C0440" w:rsidRPr="00A84295" w:rsidRDefault="001C0440" w:rsidP="000D29C1">
            <w:pPr>
              <w:pStyle w:val="Akapitzlist"/>
              <w:numPr>
                <w:ilvl w:val="4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echokardiografia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LVEF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(przed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rozpoczęciem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LVEF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powinna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być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wyższa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DGN);</w:t>
            </w:r>
          </w:p>
          <w:p w14:paraId="794FDB62" w14:textId="18357AE0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wolumetryczna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MR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(wynik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starszy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dwa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miesiące);</w:t>
            </w:r>
          </w:p>
          <w:p w14:paraId="07A0391D" w14:textId="64872696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szczegółowe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okulistyczne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wykluczeniem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obecnej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przebytej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przeszłości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retinopatii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surowiczej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środkowej,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obecnej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przebytej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przeszłości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niedrożności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żyły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siatkówkowej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oraz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ciśnienia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śródgałkowego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(IOP)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wykluczaniem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niekontrolowanej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jaskry;</w:t>
            </w:r>
          </w:p>
          <w:p w14:paraId="28BBC06A" w14:textId="307B9DA2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pomiar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wzrostu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masy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dziecka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określeniem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powierzchni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ciała;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5D162CC" w14:textId="669B5CEE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ryzyka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zadławienia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kapsułką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zaburzeń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połykania</w:t>
            </w:r>
            <w:r w:rsidR="009847B6" w:rsidRPr="00A8429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CC8001C" w14:textId="77777777" w:rsidR="001C0440" w:rsidRPr="00A84295" w:rsidRDefault="001C0440" w:rsidP="000D29C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B8D709" w14:textId="77777777" w:rsidR="001C0440" w:rsidRPr="00A84295" w:rsidRDefault="001C0440" w:rsidP="000D29C1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</w:p>
          <w:p w14:paraId="211E5C33" w14:textId="66FB3734" w:rsidR="001C0440" w:rsidRPr="00A84295" w:rsidRDefault="001C0440" w:rsidP="000D29C1">
            <w:pPr>
              <w:pStyle w:val="Akapitzlist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pacjentów</w:t>
            </w:r>
          </w:p>
          <w:p w14:paraId="24C3C19B" w14:textId="0C2504E6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wolumetryczna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MR;</w:t>
            </w:r>
          </w:p>
          <w:p w14:paraId="04E7302D" w14:textId="73C4108C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pomiar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wzrostu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masy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dziecka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określeniem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powierzchni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ciała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celu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dostosowania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dawki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leku);</w:t>
            </w:r>
          </w:p>
          <w:p w14:paraId="342FF229" w14:textId="2451AB40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echokardiografia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frakcji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wyrzutowej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komory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serca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(LVEF);</w:t>
            </w:r>
          </w:p>
          <w:p w14:paraId="2E69D122" w14:textId="28D7B100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tabs>
                <w:tab w:val="left" w:pos="851"/>
              </w:tabs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okulistyczna;</w:t>
            </w:r>
          </w:p>
          <w:p w14:paraId="2C88CEB5" w14:textId="5685AF7A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laboratoryjne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dotyczące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wątroby:</w:t>
            </w:r>
          </w:p>
          <w:p w14:paraId="176EC8ED" w14:textId="02892AAB" w:rsidR="001C0440" w:rsidRPr="00A84295" w:rsidRDefault="001C0440" w:rsidP="000D29C1">
            <w:pPr>
              <w:pStyle w:val="Akapitzlist"/>
              <w:numPr>
                <w:ilvl w:val="4"/>
                <w:numId w:val="17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alaninowej</w:t>
            </w:r>
            <w:r w:rsidR="001609B5" w:rsidRPr="00A842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101EF767" w14:textId="26A9F246" w:rsidR="001C0440" w:rsidRPr="00A84295" w:rsidRDefault="001C0440" w:rsidP="000D29C1">
            <w:pPr>
              <w:pStyle w:val="Akapitzlist"/>
              <w:numPr>
                <w:ilvl w:val="4"/>
                <w:numId w:val="17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aminotransferazy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asparaginowej</w:t>
            </w:r>
            <w:r w:rsidR="001609B5" w:rsidRPr="00A842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0F05F2F4" w14:textId="2E4865E0" w:rsidR="001C0440" w:rsidRPr="00A84295" w:rsidRDefault="001C0440" w:rsidP="000D29C1">
            <w:pPr>
              <w:pStyle w:val="Akapitzlist"/>
              <w:numPr>
                <w:ilvl w:val="4"/>
                <w:numId w:val="17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albuminy</w:t>
            </w:r>
            <w:r w:rsidR="001609B5" w:rsidRPr="00A84295">
              <w:rPr>
                <w:rFonts w:ascii="Times New Roman" w:hAnsi="Times New Roman" w:cs="Times New Roman"/>
                <w:sz w:val="20"/>
                <w:szCs w:val="20"/>
              </w:rPr>
              <w:t>,</w:t>
            </w:r>
          </w:p>
          <w:p w14:paraId="72462785" w14:textId="4649F3AE" w:rsidR="001C0440" w:rsidRPr="00A84295" w:rsidRDefault="001C0440" w:rsidP="000D29C1">
            <w:pPr>
              <w:pStyle w:val="Akapitzlist"/>
              <w:numPr>
                <w:ilvl w:val="4"/>
                <w:numId w:val="17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oznaczenie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stężenia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bilirubiny;</w:t>
            </w:r>
          </w:p>
          <w:p w14:paraId="086711F4" w14:textId="3722A3E7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zmian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skórnych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zaburzeń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tkanki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podskórnej;</w:t>
            </w:r>
          </w:p>
          <w:p w14:paraId="75288232" w14:textId="06EE6CC3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krzepliwości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9B5" w:rsidRPr="00A84295">
              <w:rPr>
                <w:rFonts w:ascii="Times New Roman" w:hAnsi="Times New Roman" w:cs="Times New Roman"/>
                <w:sz w:val="20"/>
                <w:szCs w:val="20"/>
              </w:rPr>
              <w:t>INR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protrombinowy).</w:t>
            </w:r>
          </w:p>
          <w:p w14:paraId="2E17C016" w14:textId="3A754509" w:rsidR="001C0440" w:rsidRPr="00A84295" w:rsidRDefault="001C0440" w:rsidP="000D29C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wykonuje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się:</w:t>
            </w:r>
          </w:p>
          <w:p w14:paraId="4C0E0F28" w14:textId="33B4D0F9" w:rsidR="001C0440" w:rsidRPr="00A84295" w:rsidRDefault="001C0440" w:rsidP="000D29C1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rzadziej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niż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cykli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33E8A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52685E1A" w14:textId="4753977A" w:rsidR="001C0440" w:rsidRPr="00A84295" w:rsidRDefault="001C0440" w:rsidP="000D29C1">
            <w:pPr>
              <w:pStyle w:val="Akapitzlist"/>
              <w:numPr>
                <w:ilvl w:val="3"/>
                <w:numId w:val="18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każdorazowo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przypadku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wskazań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klinicznych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albo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wyłączenia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programu.</w:t>
            </w:r>
          </w:p>
          <w:p w14:paraId="08EEECDB" w14:textId="77777777" w:rsidR="001C0440" w:rsidRPr="00A84295" w:rsidRDefault="001C0440" w:rsidP="000D29C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1014621" w14:textId="1235C5BD" w:rsidR="001C0440" w:rsidRPr="00A84295" w:rsidRDefault="001C0440" w:rsidP="000D29C1">
            <w:pPr>
              <w:pStyle w:val="Akapitzlist"/>
              <w:numPr>
                <w:ilvl w:val="1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skuteczności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terapii</w:t>
            </w:r>
          </w:p>
          <w:p w14:paraId="38EC3F26" w14:textId="21770997" w:rsidR="001C0440" w:rsidRPr="00A84295" w:rsidRDefault="001C0440" w:rsidP="000D29C1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podstawie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wyników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wolumetrycznej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badaniu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MR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określa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dla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indywidualnego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wskaźniki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leczenie,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tym:</w:t>
            </w:r>
          </w:p>
          <w:p w14:paraId="5A3F6281" w14:textId="31E7687F" w:rsidR="001C0440" w:rsidRPr="00A84295" w:rsidRDefault="001C0440" w:rsidP="000D29C1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całkowitą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(CR)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rozumianą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brak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obecności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wybranego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PN;</w:t>
            </w:r>
          </w:p>
          <w:p w14:paraId="4CB2D690" w14:textId="11D40C27" w:rsidR="001C0440" w:rsidRPr="00A84295" w:rsidRDefault="001C0440" w:rsidP="000D29C1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odpowiedź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częściową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(PR)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rozumianą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zmniejszenie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objętości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wybranego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porównaniu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wartością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wyjściową.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uznaje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niepotwierdzony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pierwszym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wykryciu,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potwierdzony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ponownym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zaobserwowaniu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kolejnym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wolumetrycznym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MR;</w:t>
            </w:r>
          </w:p>
          <w:p w14:paraId="03DE3B24" w14:textId="1BDBB555" w:rsidR="001C0440" w:rsidRPr="00A84295" w:rsidRDefault="001C0440" w:rsidP="000D29C1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chorobę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stabilną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(SD)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rozumianą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niewystarczającą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zmianę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objętości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wybranego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stosunku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wartości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wyjściowej,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aby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kwalifikować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choroby;</w:t>
            </w:r>
          </w:p>
          <w:p w14:paraId="7F8F8BF9" w14:textId="55DFA81F" w:rsidR="001C0440" w:rsidRPr="00A84295" w:rsidRDefault="001C0440" w:rsidP="000D29C1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progresję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choroby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(PD)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rozumianą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jako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zwiększenie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objętości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wybranego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oceny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20%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więcej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porównaniu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wartością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wyjściową,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potwierdzone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kolejnym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wolumetrycznym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MR;</w:t>
            </w:r>
          </w:p>
          <w:p w14:paraId="40F9BCA1" w14:textId="60015B15" w:rsidR="001C0440" w:rsidRPr="00A84295" w:rsidRDefault="001C0440" w:rsidP="000D29C1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jakość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życia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kwestionariusza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PedsQL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7C638FD" w14:textId="09B1CB8B" w:rsidR="001C0440" w:rsidRPr="00A84295" w:rsidRDefault="00CA5F13" w:rsidP="000D29C1">
            <w:pPr>
              <w:pStyle w:val="Akapitzlist"/>
              <w:numPr>
                <w:ilvl w:val="3"/>
                <w:numId w:val="19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cena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nasilenia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bólu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wg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NRS-11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(ang.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Numerical</w:t>
            </w:r>
            <w:r w:rsid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Rating</w:t>
            </w:r>
            <w:r w:rsid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Scale)</w:t>
            </w:r>
            <w:r w:rsid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C0440" w:rsidRP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oraz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PII</w:t>
            </w:r>
            <w:r w:rsid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(ang.</w:t>
            </w:r>
            <w:r w:rsidR="00A8429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Pain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Interferrence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C0440" w:rsidRPr="00A84295">
              <w:rPr>
                <w:rFonts w:ascii="Times New Roman" w:hAnsi="Times New Roman" w:cs="Times New Roman"/>
                <w:sz w:val="20"/>
                <w:szCs w:val="20"/>
              </w:rPr>
              <w:t>Index)</w:t>
            </w:r>
            <w:r w:rsidR="00091A81" w:rsidRPr="00A8429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A852D36" w14:textId="77777777" w:rsidR="001C0440" w:rsidRPr="00A84295" w:rsidRDefault="001C0440" w:rsidP="000D29C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24284B" w14:textId="70FD3AF3" w:rsidR="001C0440" w:rsidRPr="00A84295" w:rsidRDefault="001C0440" w:rsidP="000D29C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Dane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gromadzone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0BB9" w:rsidRPr="00A84295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0BB9" w:rsidRPr="00A84295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0BB9" w:rsidRPr="00A84295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0BB9" w:rsidRPr="00A84295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8D0BB9" w:rsidRPr="00A84295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analizowane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Zespół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Koordynacyjny,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który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podsumowuje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wyniki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koniec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każdego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roku,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określając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tym:</w:t>
            </w:r>
          </w:p>
          <w:p w14:paraId="402A7726" w14:textId="08F9A208" w:rsidR="001C0440" w:rsidRPr="00A84295" w:rsidRDefault="001C0440" w:rsidP="000D29C1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czas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progresji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(PFS);</w:t>
            </w:r>
          </w:p>
          <w:p w14:paraId="3829C599" w14:textId="3C8EFF1A" w:rsidR="001C0440" w:rsidRPr="00A84295" w:rsidRDefault="001C0440" w:rsidP="000D29C1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całkowity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odsetek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odpowiedzi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lekowym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(ORR);</w:t>
            </w:r>
          </w:p>
          <w:p w14:paraId="358E526E" w14:textId="5C14FBCD" w:rsidR="001C0440" w:rsidRPr="00A84295" w:rsidRDefault="001C0440" w:rsidP="000D29C1">
            <w:pPr>
              <w:pStyle w:val="Akapitzlist"/>
              <w:numPr>
                <w:ilvl w:val="3"/>
                <w:numId w:val="20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wskaźnik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wzrostu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(ang.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PN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growth</w:t>
            </w:r>
            <w:proofErr w:type="spellEnd"/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rate</w:t>
            </w:r>
            <w:proofErr w:type="spellEnd"/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14:paraId="2FFD0341" w14:textId="77777777" w:rsidR="001C0440" w:rsidRPr="00A84295" w:rsidRDefault="001C0440" w:rsidP="000D29C1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34457E" w14:textId="00EDC567" w:rsidR="001C0440" w:rsidRPr="00A84295" w:rsidRDefault="001C0440" w:rsidP="000D29C1">
            <w:pPr>
              <w:pStyle w:val="Akapitzlist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Monitorowanie</w:t>
            </w:r>
            <w:r w:rsid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programu</w:t>
            </w:r>
          </w:p>
          <w:p w14:paraId="705AA559" w14:textId="61DD5313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gromadzenie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dokumentacji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medycznej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pacjenta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dotyczących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leczenia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każdorazowe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przedstawianie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żądanie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kontrolerów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Narodowego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Funduszu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Zdrowia;</w:t>
            </w:r>
          </w:p>
          <w:p w14:paraId="60863879" w14:textId="5EEFEBC7" w:rsidR="001C0440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uzupełnianie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danych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zawartych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elektronicznym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systemie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monitorowania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lekowych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dostępnym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za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pomocą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aplikacji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internetowej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udostępnionej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NFZ,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tym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wskaźników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wymienionych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pkt.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2.2.,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częstotliwością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zgodną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opisem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programu;</w:t>
            </w:r>
          </w:p>
          <w:p w14:paraId="69B2A5A5" w14:textId="490AAE77" w:rsidR="00250F79" w:rsidRPr="00A84295" w:rsidRDefault="001C0440" w:rsidP="000D29C1">
            <w:pPr>
              <w:pStyle w:val="Akapitzlist"/>
              <w:numPr>
                <w:ilvl w:val="3"/>
                <w:numId w:val="17"/>
              </w:numPr>
              <w:autoSpaceDE w:val="0"/>
              <w:autoSpaceDN w:val="0"/>
              <w:adjustRightInd w:val="0"/>
              <w:spacing w:after="60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kliniczne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przekazywanie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informacji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sprawozdawczo-rozliczeniowych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NFZ: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informacje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przekazuje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się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do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NFZ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papierowej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lub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formie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elektronicznej,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zgodnie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wymaganiami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opublikowanymi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przez</w:t>
            </w:r>
            <w:r w:rsidR="00A8429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84295">
              <w:rPr>
                <w:rFonts w:ascii="Times New Roman" w:hAnsi="Times New Roman" w:cs="Times New Roman"/>
                <w:sz w:val="20"/>
                <w:szCs w:val="20"/>
              </w:rPr>
              <w:t>NFZ.</w:t>
            </w:r>
          </w:p>
        </w:tc>
      </w:tr>
    </w:tbl>
    <w:p w14:paraId="150BBD0E" w14:textId="77777777" w:rsidR="00250F79" w:rsidRPr="002E7BD9" w:rsidRDefault="00250F79">
      <w:pPr>
        <w:rPr>
          <w:rFonts w:ascii="Lato" w:hAnsi="Lato"/>
          <w:sz w:val="2"/>
          <w:szCs w:val="2"/>
        </w:rPr>
      </w:pPr>
    </w:p>
    <w:sectPr w:rsidR="00250F79" w:rsidRPr="002E7BD9" w:rsidSect="00956818">
      <w:pgSz w:w="16840" w:h="11907" w:orient="landscape" w:code="9"/>
      <w:pgMar w:top="1588" w:right="720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EE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510A3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4C82B84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" w15:restartNumberingAfterBreak="0">
    <w:nsid w:val="0D052896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51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" w15:restartNumberingAfterBreak="0">
    <w:nsid w:val="162F3FDA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1BE963EC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1C716420"/>
    <w:multiLevelType w:val="hybridMultilevel"/>
    <w:tmpl w:val="FD3C6FF0"/>
    <w:lvl w:ilvl="0" w:tplc="D778B9D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strike w:val="0"/>
        <w:dstrike w:val="0"/>
        <w:u w:val="none"/>
        <w:effect w:val="none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13A10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51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7" w15:restartNumberingAfterBreak="0">
    <w:nsid w:val="24F574C1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51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8" w15:restartNumberingAfterBreak="0">
    <w:nsid w:val="2D3B6FB9"/>
    <w:multiLevelType w:val="multilevel"/>
    <w:tmpl w:val="B69C23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lvlText w:val="%2)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strike w:val="0"/>
        <w:dstrike w:val="0"/>
        <w:color w:val="auto"/>
        <w:u w:val="none"/>
        <w:effect w:val="none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9" w15:restartNumberingAfterBreak="0">
    <w:nsid w:val="43BF46E2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51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0" w15:restartNumberingAfterBreak="0">
    <w:nsid w:val="463643AE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1" w15:restartNumberingAfterBreak="0">
    <w:nsid w:val="4B007529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51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2" w15:restartNumberingAfterBreak="0">
    <w:nsid w:val="4CC27868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51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3" w15:restartNumberingAfterBreak="0">
    <w:nsid w:val="538902EC"/>
    <w:multiLevelType w:val="hybridMultilevel"/>
    <w:tmpl w:val="91C6F05E"/>
    <w:lvl w:ilvl="0" w:tplc="7FCE65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AF2142"/>
    <w:multiLevelType w:val="hybridMultilevel"/>
    <w:tmpl w:val="349489C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7F5197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6" w15:restartNumberingAfterBreak="0">
    <w:nsid w:val="6A550E77"/>
    <w:multiLevelType w:val="multilevel"/>
    <w:tmpl w:val="B69C23C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lvlText w:val="%2)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ascii="Times New Roman" w:eastAsia="Times New Roman" w:hAnsi="Times New Roman" w:cs="Times New Roman"/>
        <w:strike w:val="0"/>
        <w:dstrike w:val="0"/>
        <w:color w:val="auto"/>
        <w:u w:val="none"/>
        <w:effect w:val="none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7" w15:restartNumberingAfterBreak="0">
    <w:nsid w:val="71D261DF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8" w15:restartNumberingAfterBreak="0">
    <w:nsid w:val="7D96406C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</w:lvl>
    <w:lvl w:ilvl="4">
      <w:start w:val="1"/>
      <w:numFmt w:val="lowerLetter"/>
      <w:suff w:val="space"/>
      <w:lvlText w:val="%5)"/>
      <w:lvlJc w:val="left"/>
      <w:pPr>
        <w:ind w:left="651" w:hanging="226"/>
      </w:p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num w:numId="1" w16cid:durableId="1337192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773210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5098629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033138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890354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4441516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289780757">
    <w:abstractNumId w:val="13"/>
  </w:num>
  <w:num w:numId="8" w16cid:durableId="424810199">
    <w:abstractNumId w:val="14"/>
  </w:num>
  <w:num w:numId="9" w16cid:durableId="237522634">
    <w:abstractNumId w:val="5"/>
  </w:num>
  <w:num w:numId="10" w16cid:durableId="648487322">
    <w:abstractNumId w:val="18"/>
  </w:num>
  <w:num w:numId="11" w16cid:durableId="2113820700">
    <w:abstractNumId w:val="9"/>
  </w:num>
  <w:num w:numId="12" w16cid:durableId="742870187">
    <w:abstractNumId w:val="6"/>
  </w:num>
  <w:num w:numId="13" w16cid:durableId="1234316453">
    <w:abstractNumId w:val="8"/>
  </w:num>
  <w:num w:numId="14" w16cid:durableId="1477529361">
    <w:abstractNumId w:val="1"/>
  </w:num>
  <w:num w:numId="15" w16cid:durableId="1276016813">
    <w:abstractNumId w:val="3"/>
  </w:num>
  <w:num w:numId="16" w16cid:durableId="963198436">
    <w:abstractNumId w:val="10"/>
  </w:num>
  <w:num w:numId="17" w16cid:durableId="1108232344">
    <w:abstractNumId w:val="15"/>
  </w:num>
  <w:num w:numId="18" w16cid:durableId="708726775">
    <w:abstractNumId w:val="4"/>
  </w:num>
  <w:num w:numId="19" w16cid:durableId="2007633995">
    <w:abstractNumId w:val="0"/>
  </w:num>
  <w:num w:numId="20" w16cid:durableId="21178654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79"/>
    <w:rsid w:val="00072F12"/>
    <w:rsid w:val="00091A81"/>
    <w:rsid w:val="000D29C1"/>
    <w:rsid w:val="000E0C2B"/>
    <w:rsid w:val="00114E03"/>
    <w:rsid w:val="001609B5"/>
    <w:rsid w:val="001C0440"/>
    <w:rsid w:val="00234154"/>
    <w:rsid w:val="00250F79"/>
    <w:rsid w:val="002E7BD9"/>
    <w:rsid w:val="0030333E"/>
    <w:rsid w:val="004A2DD1"/>
    <w:rsid w:val="004D291F"/>
    <w:rsid w:val="004D74A0"/>
    <w:rsid w:val="005E7632"/>
    <w:rsid w:val="006101ED"/>
    <w:rsid w:val="00621B3F"/>
    <w:rsid w:val="006F2657"/>
    <w:rsid w:val="0070786E"/>
    <w:rsid w:val="008264B1"/>
    <w:rsid w:val="00826C22"/>
    <w:rsid w:val="008B00AC"/>
    <w:rsid w:val="008D0BB9"/>
    <w:rsid w:val="00956818"/>
    <w:rsid w:val="009847B6"/>
    <w:rsid w:val="009A53EB"/>
    <w:rsid w:val="00A33E8A"/>
    <w:rsid w:val="00A84295"/>
    <w:rsid w:val="00AA5E03"/>
    <w:rsid w:val="00AC00A0"/>
    <w:rsid w:val="00BC1307"/>
    <w:rsid w:val="00CA5F13"/>
    <w:rsid w:val="00DD0420"/>
    <w:rsid w:val="00E47550"/>
    <w:rsid w:val="00E976DE"/>
    <w:rsid w:val="00F30E39"/>
    <w:rsid w:val="00F8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C6FDD"/>
  <w15:chartTrackingRefBased/>
  <w15:docId w15:val="{009740C8-2788-49EA-A495-521068EF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250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customStyle="1" w:styleId="AkapitzlistZnak">
    <w:name w:val="Akapit z listą Znak"/>
    <w:aliases w:val="Styl moj Znak,Dot pt Znak,F5 List Paragraph Znak,List Paragraph1 Znak,No Spacing1 Znak,List Paragraph Char Char Char Znak,Indicator Text Znak,Colorful List - Accent 11 Znak,Numbered Para 1 Znak,Bullet 1 Znak,Bullet Points Znak"/>
    <w:link w:val="Akapitzlist"/>
    <w:uiPriority w:val="34"/>
    <w:qFormat/>
    <w:locked/>
    <w:rsid w:val="00250F79"/>
  </w:style>
  <w:style w:type="paragraph" w:styleId="Akapitzlist">
    <w:name w:val="List Paragraph"/>
    <w:aliases w:val="Styl moj,Dot pt,F5 List Paragraph,List Paragraph1,No Spacing1,List Paragraph Char Char Char,Indicator Text,Colorful List - Accent 11,Numbered Para 1,Bullet 1,Bullet Points,List Paragraph2,MAIN CONTENT,Normal numbered,列出段落,Akapit z listą11"/>
    <w:basedOn w:val="Normalny"/>
    <w:link w:val="AkapitzlistZnak"/>
    <w:uiPriority w:val="34"/>
    <w:qFormat/>
    <w:rsid w:val="00250F79"/>
    <w:pPr>
      <w:spacing w:after="200" w:line="276" w:lineRule="auto"/>
      <w:ind w:left="720"/>
      <w:contextualSpacing/>
    </w:pPr>
  </w:style>
  <w:style w:type="character" w:styleId="Tekstzastpczy">
    <w:name w:val="Placeholder Text"/>
    <w:uiPriority w:val="99"/>
    <w:semiHidden/>
    <w:rsid w:val="001C0440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A5F1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CA5F1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CA5F13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A5F1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A5F13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9A53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8E891-F306-4569-AC98-36F6730B6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1406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Morawiec Wioleta</dc:creator>
  <cp:keywords/>
  <dc:description/>
  <cp:lastModifiedBy>Wilk Justyna</cp:lastModifiedBy>
  <cp:revision>3</cp:revision>
  <dcterms:created xsi:type="dcterms:W3CDTF">2025-02-12T07:34:00Z</dcterms:created>
  <dcterms:modified xsi:type="dcterms:W3CDTF">2025-02-17T12:35:00Z</dcterms:modified>
</cp:coreProperties>
</file>