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41401" w14:textId="2CF8A1EA" w:rsidR="006B10AF" w:rsidRPr="00E04C3D" w:rsidRDefault="006B10AF" w:rsidP="006B10AF">
      <w:pPr>
        <w:tabs>
          <w:tab w:val="left" w:pos="5865"/>
        </w:tabs>
        <w:spacing w:after="0" w:line="240" w:lineRule="auto"/>
        <w:jc w:val="both"/>
        <w:rPr>
          <w:rFonts w:ascii="Times New Roman" w:eastAsia="Times New Roman" w:hAnsi="Times New Roman"/>
          <w:szCs w:val="20"/>
          <w:lang w:eastAsia="pl-PL"/>
        </w:rPr>
      </w:pPr>
      <w:r w:rsidRPr="00E04C3D">
        <w:rPr>
          <w:rFonts w:ascii="Times New Roman" w:eastAsia="Times New Roman" w:hAnsi="Times New Roman"/>
          <w:szCs w:val="20"/>
          <w:lang w:eastAsia="pl-PL"/>
        </w:rPr>
        <w:t>Załącznik</w:t>
      </w:r>
      <w:r w:rsidR="005E5C99" w:rsidRPr="00E04C3D">
        <w:rPr>
          <w:rFonts w:ascii="Times New Roman" w:eastAsia="Times New Roman" w:hAnsi="Times New Roman"/>
          <w:szCs w:val="20"/>
          <w:lang w:eastAsia="pl-PL"/>
        </w:rPr>
        <w:t xml:space="preserve"> </w:t>
      </w:r>
      <w:r w:rsidRPr="00E04C3D">
        <w:rPr>
          <w:rFonts w:ascii="Times New Roman" w:eastAsia="Times New Roman" w:hAnsi="Times New Roman"/>
          <w:szCs w:val="20"/>
          <w:lang w:eastAsia="pl-PL"/>
        </w:rPr>
        <w:t>B.</w:t>
      </w:r>
      <w:r w:rsidR="00E04C3D" w:rsidRPr="00E04C3D">
        <w:rPr>
          <w:rFonts w:ascii="Times New Roman" w:eastAsia="Times New Roman" w:hAnsi="Times New Roman"/>
          <w:szCs w:val="20"/>
          <w:lang w:eastAsia="pl-PL"/>
        </w:rPr>
        <w:t>157.</w:t>
      </w:r>
    </w:p>
    <w:p w14:paraId="1ED04CD2" w14:textId="77777777" w:rsidR="006B10AF" w:rsidRPr="00E04C3D" w:rsidRDefault="006B10AF" w:rsidP="006B10AF">
      <w:pPr>
        <w:tabs>
          <w:tab w:val="left" w:pos="5865"/>
        </w:tabs>
        <w:spacing w:after="0" w:line="240" w:lineRule="auto"/>
        <w:jc w:val="both"/>
        <w:rPr>
          <w:rFonts w:ascii="Times New Roman" w:eastAsia="Times New Roman" w:hAnsi="Times New Roman"/>
          <w:szCs w:val="20"/>
          <w:lang w:eastAsia="pl-PL"/>
        </w:rPr>
      </w:pPr>
    </w:p>
    <w:p w14:paraId="381FE1D7" w14:textId="3C644075" w:rsidR="006B10AF" w:rsidRPr="009B6E4C" w:rsidRDefault="005D183E" w:rsidP="006B10AF">
      <w:pPr>
        <w:tabs>
          <w:tab w:val="left" w:pos="5865"/>
        </w:tabs>
        <w:spacing w:after="240" w:line="240" w:lineRule="auto"/>
        <w:jc w:val="both"/>
        <w:rPr>
          <w:rFonts w:ascii="Times New Roman" w:eastAsia="Times New Roman" w:hAnsi="Times New Roman"/>
          <w:b/>
          <w:sz w:val="28"/>
          <w:szCs w:val="24"/>
          <w:lang w:eastAsia="pl-PL"/>
        </w:rPr>
      </w:pPr>
      <w:r w:rsidRPr="00653459">
        <w:rPr>
          <w:rFonts w:ascii="Times New Roman" w:eastAsia="Times New Roman" w:hAnsi="Times New Roman" w:cs="Arial"/>
          <w:b/>
          <w:sz w:val="28"/>
          <w:szCs w:val="28"/>
          <w:lang w:eastAsia="pl-PL"/>
        </w:rPr>
        <w:t>LECZENIE CHORYCH Z UOGÓLNIONĄ POSTACIĄ MIASTENII (G.70.0)</w:t>
      </w:r>
    </w:p>
    <w:tbl>
      <w:tblPr>
        <w:tblStyle w:val="Tabela-Siatka"/>
        <w:tblW w:w="5000" w:type="pct"/>
        <w:tblLook w:val="04A0" w:firstRow="1" w:lastRow="0" w:firstColumn="1" w:lastColumn="0" w:noHBand="0" w:noVBand="1"/>
      </w:tblPr>
      <w:tblGrid>
        <w:gridCol w:w="5665"/>
        <w:gridCol w:w="4109"/>
        <w:gridCol w:w="5614"/>
      </w:tblGrid>
      <w:tr w:rsidR="000C5603" w:rsidRPr="000C5603" w14:paraId="59F9DF24" w14:textId="77777777" w:rsidTr="00457885">
        <w:trPr>
          <w:trHeight w:val="567"/>
        </w:trPr>
        <w:tc>
          <w:tcPr>
            <w:tcW w:w="5000" w:type="pct"/>
            <w:gridSpan w:val="3"/>
            <w:vAlign w:val="center"/>
          </w:tcPr>
          <w:p w14:paraId="528F2E8E" w14:textId="77777777" w:rsidR="000C5603" w:rsidRPr="000C5603" w:rsidRDefault="000C5603" w:rsidP="000C5603">
            <w:pPr>
              <w:widowControl w:val="0"/>
              <w:spacing w:after="0" w:line="240" w:lineRule="auto"/>
              <w:jc w:val="center"/>
              <w:rPr>
                <w:rFonts w:ascii="Times New Roman" w:eastAsia="Times New Roman" w:hAnsi="Times New Roman"/>
                <w:b/>
                <w:sz w:val="20"/>
                <w:szCs w:val="20"/>
                <w:lang w:eastAsia="pl-PL"/>
              </w:rPr>
            </w:pPr>
            <w:r w:rsidRPr="000C5603">
              <w:rPr>
                <w:rFonts w:ascii="Times New Roman" w:eastAsia="Times New Roman" w:hAnsi="Times New Roman"/>
                <w:b/>
                <w:sz w:val="20"/>
                <w:szCs w:val="20"/>
                <w:lang w:eastAsia="pl-PL"/>
              </w:rPr>
              <w:t>ZAKRES ŚWIADCZENIA GWARANTOWANEGO</w:t>
            </w:r>
          </w:p>
        </w:tc>
      </w:tr>
      <w:tr w:rsidR="000C5603" w:rsidRPr="000C5603" w14:paraId="21D0B0B2" w14:textId="77777777" w:rsidTr="000C5603">
        <w:trPr>
          <w:trHeight w:val="567"/>
        </w:trPr>
        <w:tc>
          <w:tcPr>
            <w:tcW w:w="1841" w:type="pct"/>
            <w:vAlign w:val="center"/>
          </w:tcPr>
          <w:p w14:paraId="61F254F2" w14:textId="77777777" w:rsidR="000C5603" w:rsidRPr="000C5603" w:rsidRDefault="000C5603" w:rsidP="000C5603">
            <w:pPr>
              <w:widowControl w:val="0"/>
              <w:spacing w:after="0" w:line="240" w:lineRule="auto"/>
              <w:jc w:val="center"/>
              <w:rPr>
                <w:rFonts w:ascii="Times New Roman" w:eastAsia="Times New Roman" w:hAnsi="Times New Roman"/>
                <w:b/>
                <w:sz w:val="20"/>
                <w:szCs w:val="20"/>
                <w:lang w:eastAsia="pl-PL"/>
              </w:rPr>
            </w:pPr>
            <w:r w:rsidRPr="000C5603">
              <w:rPr>
                <w:rFonts w:ascii="Times New Roman" w:eastAsia="Times New Roman" w:hAnsi="Times New Roman"/>
                <w:b/>
                <w:sz w:val="20"/>
                <w:szCs w:val="20"/>
                <w:lang w:eastAsia="pl-PL"/>
              </w:rPr>
              <w:t>ŚWIADCZENIOBIORCY</w:t>
            </w:r>
          </w:p>
        </w:tc>
        <w:tc>
          <w:tcPr>
            <w:tcW w:w="1335" w:type="pct"/>
            <w:vAlign w:val="center"/>
          </w:tcPr>
          <w:p w14:paraId="28B1C532" w14:textId="77777777" w:rsidR="000C5603" w:rsidRPr="000C5603" w:rsidRDefault="000C5603" w:rsidP="000C5603">
            <w:pPr>
              <w:widowControl w:val="0"/>
              <w:spacing w:after="0" w:line="240" w:lineRule="auto"/>
              <w:jc w:val="center"/>
              <w:rPr>
                <w:rFonts w:ascii="Times New Roman" w:eastAsia="Times New Roman" w:hAnsi="Times New Roman"/>
                <w:b/>
                <w:sz w:val="20"/>
                <w:szCs w:val="20"/>
                <w:lang w:eastAsia="pl-PL"/>
              </w:rPr>
            </w:pPr>
            <w:r w:rsidRPr="000C5603">
              <w:rPr>
                <w:rFonts w:ascii="Times New Roman" w:eastAsia="Times New Roman" w:hAnsi="Times New Roman"/>
                <w:b/>
                <w:sz w:val="20"/>
                <w:szCs w:val="20"/>
                <w:lang w:eastAsia="pl-PL"/>
              </w:rPr>
              <w:t xml:space="preserve">SCHEMAT DAWKOWANIA LEKÓW </w:t>
            </w:r>
            <w:r w:rsidRPr="000C5603">
              <w:rPr>
                <w:rFonts w:ascii="Times New Roman" w:eastAsia="Times New Roman" w:hAnsi="Times New Roman"/>
                <w:b/>
                <w:sz w:val="20"/>
                <w:szCs w:val="20"/>
                <w:lang w:eastAsia="pl-PL"/>
              </w:rPr>
              <w:br/>
              <w:t>W PROGRAMIE</w:t>
            </w:r>
          </w:p>
        </w:tc>
        <w:tc>
          <w:tcPr>
            <w:tcW w:w="1824" w:type="pct"/>
            <w:vAlign w:val="center"/>
          </w:tcPr>
          <w:p w14:paraId="46E6DD9D" w14:textId="77777777" w:rsidR="000C5603" w:rsidRPr="000C5603" w:rsidRDefault="000C5603" w:rsidP="000C5603">
            <w:pPr>
              <w:widowControl w:val="0"/>
              <w:spacing w:after="0" w:line="240" w:lineRule="auto"/>
              <w:jc w:val="center"/>
              <w:rPr>
                <w:rFonts w:ascii="Times New Roman" w:eastAsia="Times New Roman" w:hAnsi="Times New Roman"/>
                <w:b/>
                <w:sz w:val="20"/>
                <w:szCs w:val="20"/>
                <w:lang w:eastAsia="pl-PL"/>
              </w:rPr>
            </w:pPr>
            <w:r w:rsidRPr="000C5603">
              <w:rPr>
                <w:rFonts w:ascii="Times New Roman" w:eastAsia="Times New Roman" w:hAnsi="Times New Roman"/>
                <w:b/>
                <w:sz w:val="20"/>
                <w:szCs w:val="20"/>
                <w:lang w:eastAsia="pl-PL"/>
              </w:rPr>
              <w:t xml:space="preserve">BADANIA DIAGNOSTYCZNE WYKONYWANE </w:t>
            </w:r>
            <w:r w:rsidRPr="000C5603">
              <w:rPr>
                <w:rFonts w:ascii="Times New Roman" w:eastAsia="Times New Roman" w:hAnsi="Times New Roman"/>
                <w:b/>
                <w:sz w:val="20"/>
                <w:szCs w:val="20"/>
                <w:lang w:eastAsia="pl-PL"/>
              </w:rPr>
              <w:br/>
              <w:t>W RAMACH PROGRAMU</w:t>
            </w:r>
          </w:p>
        </w:tc>
      </w:tr>
      <w:tr w:rsidR="000C5603" w:rsidRPr="000C5603" w14:paraId="249C3D35" w14:textId="77777777" w:rsidTr="000C5603">
        <w:trPr>
          <w:trHeight w:val="20"/>
        </w:trPr>
        <w:tc>
          <w:tcPr>
            <w:tcW w:w="1841" w:type="pct"/>
          </w:tcPr>
          <w:p w14:paraId="5E175C47" w14:textId="77777777" w:rsidR="000C5603" w:rsidRPr="000C5603" w:rsidRDefault="000C5603" w:rsidP="000C5603">
            <w:pPr>
              <w:spacing w:before="120" w:after="60"/>
              <w:jc w:val="both"/>
              <w:rPr>
                <w:rFonts w:ascii="Times New Roman" w:hAnsi="Times New Roman"/>
                <w:sz w:val="20"/>
                <w:szCs w:val="20"/>
              </w:rPr>
            </w:pPr>
            <w:r w:rsidRPr="000C5603">
              <w:rPr>
                <w:rFonts w:ascii="Times New Roman" w:hAnsi="Times New Roman"/>
                <w:sz w:val="20"/>
                <w:szCs w:val="20"/>
              </w:rPr>
              <w:t>W programie finansuje się leczenie następującymi substancjami:</w:t>
            </w:r>
          </w:p>
          <w:p w14:paraId="413BF1CD" w14:textId="77777777" w:rsidR="000C5603" w:rsidRPr="000C5603" w:rsidRDefault="000C5603" w:rsidP="000C5603">
            <w:pPr>
              <w:numPr>
                <w:ilvl w:val="3"/>
                <w:numId w:val="49"/>
              </w:numPr>
              <w:spacing w:after="60"/>
              <w:jc w:val="both"/>
              <w:rPr>
                <w:rFonts w:ascii="Times New Roman" w:hAnsi="Times New Roman"/>
                <w:i/>
                <w:iCs/>
                <w:sz w:val="20"/>
                <w:szCs w:val="20"/>
              </w:rPr>
            </w:pPr>
            <w:proofErr w:type="spellStart"/>
            <w:r w:rsidRPr="000C5603">
              <w:rPr>
                <w:rFonts w:ascii="Times New Roman" w:hAnsi="Times New Roman"/>
                <w:i/>
                <w:iCs/>
                <w:sz w:val="20"/>
                <w:szCs w:val="20"/>
              </w:rPr>
              <w:t>rytuksymab</w:t>
            </w:r>
            <w:proofErr w:type="spellEnd"/>
            <w:r w:rsidRPr="000C5603">
              <w:rPr>
                <w:rFonts w:ascii="Times New Roman" w:hAnsi="Times New Roman"/>
                <w:i/>
                <w:iCs/>
                <w:sz w:val="20"/>
                <w:szCs w:val="20"/>
              </w:rPr>
              <w:t>,</w:t>
            </w:r>
          </w:p>
          <w:p w14:paraId="33B80F6E" w14:textId="77777777" w:rsidR="000C5603" w:rsidRPr="000C5603" w:rsidRDefault="000C5603" w:rsidP="000C5603">
            <w:pPr>
              <w:numPr>
                <w:ilvl w:val="3"/>
                <w:numId w:val="49"/>
              </w:numPr>
              <w:spacing w:after="60"/>
              <w:jc w:val="both"/>
              <w:rPr>
                <w:rFonts w:ascii="Times New Roman" w:hAnsi="Times New Roman"/>
                <w:i/>
                <w:iCs/>
                <w:sz w:val="20"/>
                <w:szCs w:val="20"/>
              </w:rPr>
            </w:pPr>
            <w:proofErr w:type="spellStart"/>
            <w:r w:rsidRPr="000C5603">
              <w:rPr>
                <w:rFonts w:ascii="Times New Roman" w:hAnsi="Times New Roman"/>
                <w:i/>
                <w:iCs/>
                <w:sz w:val="20"/>
                <w:szCs w:val="20"/>
              </w:rPr>
              <w:t>efgartigimod</w:t>
            </w:r>
            <w:proofErr w:type="spellEnd"/>
            <w:r w:rsidRPr="000C5603">
              <w:rPr>
                <w:rFonts w:ascii="Times New Roman" w:hAnsi="Times New Roman"/>
                <w:i/>
                <w:iCs/>
                <w:sz w:val="20"/>
                <w:szCs w:val="20"/>
              </w:rPr>
              <w:t xml:space="preserve"> alfa,</w:t>
            </w:r>
          </w:p>
          <w:p w14:paraId="3734AD27" w14:textId="77777777" w:rsidR="000C5603" w:rsidRPr="000C5603" w:rsidRDefault="000C5603" w:rsidP="000C5603">
            <w:pPr>
              <w:numPr>
                <w:ilvl w:val="3"/>
                <w:numId w:val="49"/>
              </w:numPr>
              <w:spacing w:after="60"/>
              <w:jc w:val="both"/>
              <w:rPr>
                <w:rFonts w:ascii="Times New Roman" w:hAnsi="Times New Roman"/>
                <w:i/>
                <w:iCs/>
                <w:sz w:val="20"/>
                <w:szCs w:val="20"/>
              </w:rPr>
            </w:pPr>
            <w:proofErr w:type="spellStart"/>
            <w:r w:rsidRPr="000C5603">
              <w:rPr>
                <w:rFonts w:ascii="Times New Roman" w:hAnsi="Times New Roman"/>
                <w:i/>
                <w:iCs/>
                <w:sz w:val="20"/>
                <w:szCs w:val="20"/>
              </w:rPr>
              <w:t>rawulizumab</w:t>
            </w:r>
            <w:proofErr w:type="spellEnd"/>
            <w:r w:rsidRPr="000C5603">
              <w:rPr>
                <w:rFonts w:ascii="Times New Roman" w:hAnsi="Times New Roman"/>
                <w:i/>
                <w:iCs/>
                <w:sz w:val="20"/>
                <w:szCs w:val="20"/>
              </w:rPr>
              <w:t>,</w:t>
            </w:r>
          </w:p>
          <w:p w14:paraId="7AE381DD"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zgodnie ze wskazanymi w opisie programu warunkami i kryteriami.</w:t>
            </w:r>
          </w:p>
          <w:p w14:paraId="04F9ED2E" w14:textId="77777777" w:rsidR="000C5603" w:rsidRPr="000C5603" w:rsidRDefault="000C5603" w:rsidP="000C5603">
            <w:pPr>
              <w:spacing w:after="60"/>
              <w:jc w:val="both"/>
              <w:rPr>
                <w:rFonts w:ascii="Times New Roman" w:hAnsi="Times New Roman"/>
                <w:sz w:val="20"/>
                <w:szCs w:val="20"/>
              </w:rPr>
            </w:pPr>
          </w:p>
          <w:p w14:paraId="030CB4CA" w14:textId="77777777" w:rsidR="000C5603" w:rsidRPr="000C5603" w:rsidRDefault="000C5603" w:rsidP="000C5603">
            <w:pPr>
              <w:widowControl w:val="0"/>
              <w:numPr>
                <w:ilvl w:val="0"/>
                <w:numId w:val="50"/>
              </w:numPr>
              <w:spacing w:after="60"/>
              <w:jc w:val="both"/>
              <w:rPr>
                <w:rFonts w:ascii="Times New Roman" w:hAnsi="Times New Roman"/>
                <w:b/>
                <w:bCs/>
                <w:spacing w:val="4"/>
                <w:sz w:val="20"/>
                <w:szCs w:val="20"/>
              </w:rPr>
            </w:pPr>
            <w:r w:rsidRPr="000C5603">
              <w:rPr>
                <w:rFonts w:ascii="Times New Roman" w:hAnsi="Times New Roman"/>
                <w:b/>
                <w:bCs/>
                <w:spacing w:val="4"/>
                <w:sz w:val="20"/>
                <w:szCs w:val="20"/>
              </w:rPr>
              <w:t>Kryteria kwalifikacji</w:t>
            </w:r>
          </w:p>
          <w:p w14:paraId="198049E8" w14:textId="77777777" w:rsidR="000C5603" w:rsidRPr="000C5603" w:rsidRDefault="000C5603" w:rsidP="000C5603">
            <w:pPr>
              <w:numPr>
                <w:ilvl w:val="3"/>
                <w:numId w:val="50"/>
              </w:numPr>
              <w:spacing w:after="60"/>
              <w:jc w:val="both"/>
              <w:rPr>
                <w:rFonts w:ascii="Times New Roman" w:hAnsi="Times New Roman"/>
                <w:sz w:val="20"/>
                <w:szCs w:val="20"/>
              </w:rPr>
            </w:pPr>
            <w:r w:rsidRPr="000C5603">
              <w:rPr>
                <w:rFonts w:ascii="Times New Roman" w:hAnsi="Times New Roman"/>
                <w:sz w:val="20"/>
                <w:szCs w:val="20"/>
              </w:rPr>
              <w:t>wiek: 18 lat i powyżej;</w:t>
            </w:r>
          </w:p>
          <w:p w14:paraId="699FF650" w14:textId="77777777" w:rsidR="000C5603" w:rsidRPr="000C5603" w:rsidRDefault="000C5603" w:rsidP="000C5603">
            <w:pPr>
              <w:numPr>
                <w:ilvl w:val="3"/>
                <w:numId w:val="50"/>
              </w:numPr>
              <w:spacing w:after="60"/>
              <w:jc w:val="both"/>
              <w:rPr>
                <w:rFonts w:ascii="Times New Roman" w:hAnsi="Times New Roman"/>
                <w:sz w:val="20"/>
                <w:szCs w:val="20"/>
              </w:rPr>
            </w:pPr>
            <w:r w:rsidRPr="000C5603">
              <w:rPr>
                <w:rFonts w:ascii="Times New Roman" w:hAnsi="Times New Roman"/>
                <w:sz w:val="20"/>
                <w:szCs w:val="20"/>
              </w:rPr>
              <w:t>rozpoznanie miastenii uogólnionej (</w:t>
            </w:r>
            <w:proofErr w:type="spellStart"/>
            <w:r w:rsidRPr="000C5603">
              <w:rPr>
                <w:rFonts w:ascii="Times New Roman" w:hAnsi="Times New Roman"/>
                <w:sz w:val="20"/>
                <w:szCs w:val="20"/>
              </w:rPr>
              <w:t>myasthenia</w:t>
            </w:r>
            <w:proofErr w:type="spellEnd"/>
            <w:r w:rsidRPr="000C5603">
              <w:rPr>
                <w:rFonts w:ascii="Times New Roman" w:hAnsi="Times New Roman"/>
                <w:sz w:val="20"/>
                <w:szCs w:val="20"/>
              </w:rPr>
              <w:t xml:space="preserve"> </w:t>
            </w:r>
            <w:proofErr w:type="spellStart"/>
            <w:r w:rsidRPr="000C5603">
              <w:rPr>
                <w:rFonts w:ascii="Times New Roman" w:hAnsi="Times New Roman"/>
                <w:sz w:val="20"/>
                <w:szCs w:val="20"/>
              </w:rPr>
              <w:t>gravis</w:t>
            </w:r>
            <w:proofErr w:type="spellEnd"/>
            <w:r w:rsidRPr="000C5603">
              <w:rPr>
                <w:rFonts w:ascii="Times New Roman" w:hAnsi="Times New Roman"/>
                <w:sz w:val="20"/>
                <w:szCs w:val="20"/>
              </w:rPr>
              <w:t xml:space="preserve">, MG), według </w:t>
            </w:r>
            <w:proofErr w:type="spellStart"/>
            <w:r w:rsidRPr="000C5603">
              <w:rPr>
                <w:rFonts w:ascii="Times New Roman" w:hAnsi="Times New Roman"/>
                <w:sz w:val="20"/>
                <w:szCs w:val="20"/>
              </w:rPr>
              <w:t>Myasthenia</w:t>
            </w:r>
            <w:proofErr w:type="spellEnd"/>
            <w:r w:rsidRPr="000C5603">
              <w:rPr>
                <w:rFonts w:ascii="Times New Roman" w:hAnsi="Times New Roman"/>
                <w:sz w:val="20"/>
                <w:szCs w:val="20"/>
              </w:rPr>
              <w:t xml:space="preserve"> </w:t>
            </w:r>
            <w:proofErr w:type="spellStart"/>
            <w:r w:rsidRPr="000C5603">
              <w:rPr>
                <w:rFonts w:ascii="Times New Roman" w:hAnsi="Times New Roman"/>
                <w:sz w:val="20"/>
                <w:szCs w:val="20"/>
              </w:rPr>
              <w:t>Gravis</w:t>
            </w:r>
            <w:proofErr w:type="spellEnd"/>
            <w:r w:rsidRPr="000C5603">
              <w:rPr>
                <w:rFonts w:ascii="Times New Roman" w:hAnsi="Times New Roman"/>
                <w:sz w:val="20"/>
                <w:szCs w:val="20"/>
              </w:rPr>
              <w:t xml:space="preserve"> Foundation of </w:t>
            </w:r>
            <w:proofErr w:type="spellStart"/>
            <w:r w:rsidRPr="000C5603">
              <w:rPr>
                <w:rFonts w:ascii="Times New Roman" w:hAnsi="Times New Roman"/>
                <w:sz w:val="20"/>
                <w:szCs w:val="20"/>
              </w:rPr>
              <w:t>America</w:t>
            </w:r>
            <w:proofErr w:type="spellEnd"/>
            <w:r w:rsidRPr="000C5603">
              <w:rPr>
                <w:rFonts w:ascii="Times New Roman" w:hAnsi="Times New Roman"/>
                <w:sz w:val="20"/>
                <w:szCs w:val="20"/>
              </w:rPr>
              <w:t xml:space="preserve"> (MGFA): klasa II, III lub IV;</w:t>
            </w:r>
          </w:p>
          <w:p w14:paraId="1E5F8B99" w14:textId="632D7DFB" w:rsidR="000C5603" w:rsidRPr="005E1D18" w:rsidRDefault="000C5603" w:rsidP="00F97FA6">
            <w:pPr>
              <w:numPr>
                <w:ilvl w:val="3"/>
                <w:numId w:val="50"/>
              </w:numPr>
              <w:spacing w:after="60"/>
              <w:jc w:val="both"/>
              <w:rPr>
                <w:rFonts w:ascii="Times New Roman" w:hAnsi="Times New Roman"/>
                <w:sz w:val="20"/>
                <w:szCs w:val="20"/>
              </w:rPr>
            </w:pPr>
            <w:r w:rsidRPr="005E1D18">
              <w:rPr>
                <w:rFonts w:ascii="Times New Roman" w:hAnsi="Times New Roman"/>
                <w:sz w:val="20"/>
                <w:szCs w:val="20"/>
              </w:rPr>
              <w:t>całkowity wynik w skali MG-działania życia codziennego (MG-ADL)</w:t>
            </w:r>
            <w:r w:rsidR="005E1D18" w:rsidRPr="005E1D18">
              <w:rPr>
                <w:rFonts w:ascii="Times New Roman" w:hAnsi="Times New Roman"/>
                <w:sz w:val="20"/>
                <w:szCs w:val="20"/>
              </w:rPr>
              <w:t xml:space="preserve"> </w:t>
            </w:r>
            <w:r w:rsidRPr="005E1D18">
              <w:rPr>
                <w:rFonts w:ascii="Times New Roman" w:hAnsi="Times New Roman"/>
                <w:sz w:val="20"/>
                <w:szCs w:val="20"/>
              </w:rPr>
              <w:t>≥ 5,</w:t>
            </w:r>
            <w:r w:rsidR="005E1D18" w:rsidRPr="005E1D18">
              <w:rPr>
                <w:rFonts w:ascii="Times New Roman" w:hAnsi="Times New Roman"/>
                <w:sz w:val="20"/>
                <w:szCs w:val="20"/>
              </w:rPr>
              <w:t xml:space="preserve"> </w:t>
            </w:r>
            <w:r w:rsidRPr="005E1D18">
              <w:rPr>
                <w:rFonts w:ascii="Times New Roman" w:hAnsi="Times New Roman"/>
                <w:sz w:val="20"/>
                <w:szCs w:val="20"/>
              </w:rPr>
              <w:t xml:space="preserve">w tym minimum 50% uzyskanych punktów z objawów </w:t>
            </w:r>
            <w:proofErr w:type="spellStart"/>
            <w:r w:rsidRPr="005E1D18">
              <w:rPr>
                <w:rFonts w:ascii="Times New Roman" w:hAnsi="Times New Roman"/>
                <w:sz w:val="20"/>
                <w:szCs w:val="20"/>
              </w:rPr>
              <w:t>pozaocznych</w:t>
            </w:r>
            <w:proofErr w:type="spellEnd"/>
            <w:r w:rsidRPr="005E1D18">
              <w:rPr>
                <w:rFonts w:ascii="Times New Roman" w:hAnsi="Times New Roman"/>
                <w:sz w:val="20"/>
                <w:szCs w:val="20"/>
              </w:rPr>
              <w:t>;</w:t>
            </w:r>
          </w:p>
          <w:p w14:paraId="527B38EF" w14:textId="77777777" w:rsidR="000C5603" w:rsidRPr="000C5603" w:rsidRDefault="000C5603" w:rsidP="000C5603">
            <w:pPr>
              <w:numPr>
                <w:ilvl w:val="3"/>
                <w:numId w:val="50"/>
              </w:numPr>
              <w:spacing w:after="60"/>
              <w:jc w:val="both"/>
              <w:rPr>
                <w:rFonts w:ascii="Times New Roman" w:hAnsi="Times New Roman"/>
                <w:sz w:val="20"/>
                <w:szCs w:val="20"/>
              </w:rPr>
            </w:pPr>
            <w:r w:rsidRPr="000C5603">
              <w:rPr>
                <w:rFonts w:ascii="Times New Roman" w:hAnsi="Times New Roman"/>
                <w:sz w:val="20"/>
                <w:szCs w:val="20"/>
              </w:rPr>
              <w:t xml:space="preserve">adekwatna wydolność narządowa określona na podstawie wyników badań laboratoryjnych krwi zgodnie z zapisami aktualnej </w:t>
            </w:r>
            <w:proofErr w:type="spellStart"/>
            <w:r w:rsidRPr="000C5603">
              <w:rPr>
                <w:rFonts w:ascii="Times New Roman" w:hAnsi="Times New Roman"/>
                <w:sz w:val="20"/>
                <w:szCs w:val="20"/>
              </w:rPr>
              <w:t>ChPL</w:t>
            </w:r>
            <w:proofErr w:type="spellEnd"/>
            <w:r w:rsidRPr="000C5603">
              <w:rPr>
                <w:rFonts w:ascii="Times New Roman" w:hAnsi="Times New Roman"/>
                <w:sz w:val="20"/>
                <w:szCs w:val="20"/>
              </w:rPr>
              <w:t>;</w:t>
            </w:r>
          </w:p>
          <w:p w14:paraId="5C44062F" w14:textId="77777777" w:rsidR="000C5603" w:rsidRPr="000C5603" w:rsidRDefault="000C5603" w:rsidP="000C5603">
            <w:pPr>
              <w:numPr>
                <w:ilvl w:val="3"/>
                <w:numId w:val="50"/>
              </w:numPr>
              <w:spacing w:after="60"/>
              <w:jc w:val="both"/>
              <w:rPr>
                <w:rFonts w:ascii="Times New Roman" w:hAnsi="Times New Roman"/>
                <w:sz w:val="20"/>
                <w:szCs w:val="20"/>
              </w:rPr>
            </w:pPr>
            <w:r w:rsidRPr="000C5603">
              <w:rPr>
                <w:rFonts w:ascii="Times New Roman" w:hAnsi="Times New Roman"/>
                <w:sz w:val="20"/>
                <w:szCs w:val="20"/>
              </w:rPr>
              <w:t xml:space="preserve">brak istotnych chorób współistniejących stanowiących przeciwskazanie do terapii stwierdzonych przez lekarza prowadzącego w oparciu o aktualną </w:t>
            </w:r>
            <w:proofErr w:type="spellStart"/>
            <w:r w:rsidRPr="000C5603">
              <w:rPr>
                <w:rFonts w:ascii="Times New Roman" w:hAnsi="Times New Roman"/>
                <w:sz w:val="20"/>
                <w:szCs w:val="20"/>
              </w:rPr>
              <w:t>ChPL</w:t>
            </w:r>
            <w:proofErr w:type="spellEnd"/>
            <w:r w:rsidRPr="000C5603">
              <w:rPr>
                <w:rFonts w:ascii="Times New Roman" w:hAnsi="Times New Roman"/>
                <w:sz w:val="20"/>
                <w:szCs w:val="20"/>
              </w:rPr>
              <w:t>;</w:t>
            </w:r>
          </w:p>
          <w:p w14:paraId="38AE1F5A" w14:textId="77777777" w:rsidR="000C5603" w:rsidRPr="000C5603" w:rsidRDefault="000C5603" w:rsidP="000C5603">
            <w:pPr>
              <w:numPr>
                <w:ilvl w:val="3"/>
                <w:numId w:val="50"/>
              </w:numPr>
              <w:spacing w:after="60"/>
              <w:jc w:val="both"/>
              <w:rPr>
                <w:rFonts w:ascii="Times New Roman" w:hAnsi="Times New Roman"/>
                <w:sz w:val="20"/>
                <w:szCs w:val="20"/>
              </w:rPr>
            </w:pPr>
            <w:r w:rsidRPr="000C5603">
              <w:rPr>
                <w:rFonts w:ascii="Times New Roman" w:hAnsi="Times New Roman"/>
                <w:sz w:val="20"/>
                <w:szCs w:val="20"/>
              </w:rPr>
              <w:t>wykluczenie okresu ciąży lub karmienia piersią;</w:t>
            </w:r>
          </w:p>
          <w:p w14:paraId="0AF59737" w14:textId="77777777" w:rsidR="000C5603" w:rsidRPr="000C5603" w:rsidRDefault="000C5603" w:rsidP="000C5603">
            <w:pPr>
              <w:spacing w:after="60"/>
              <w:jc w:val="both"/>
              <w:rPr>
                <w:rFonts w:ascii="Times New Roman" w:hAnsi="Times New Roman"/>
                <w:sz w:val="20"/>
                <w:szCs w:val="20"/>
              </w:rPr>
            </w:pPr>
          </w:p>
          <w:p w14:paraId="0AB6D274" w14:textId="77777777" w:rsidR="000C5603" w:rsidRPr="000C5603" w:rsidRDefault="000C5603" w:rsidP="000C5603">
            <w:pPr>
              <w:widowControl w:val="0"/>
              <w:numPr>
                <w:ilvl w:val="1"/>
                <w:numId w:val="51"/>
              </w:numPr>
              <w:spacing w:after="60"/>
              <w:jc w:val="both"/>
              <w:rPr>
                <w:rFonts w:ascii="Times New Roman" w:hAnsi="Times New Roman"/>
                <w:b/>
                <w:bCs/>
                <w:sz w:val="20"/>
                <w:szCs w:val="20"/>
              </w:rPr>
            </w:pPr>
            <w:r w:rsidRPr="000C5603">
              <w:rPr>
                <w:rFonts w:ascii="Times New Roman" w:hAnsi="Times New Roman"/>
                <w:b/>
                <w:bCs/>
                <w:sz w:val="20"/>
                <w:szCs w:val="20"/>
              </w:rPr>
              <w:t xml:space="preserve">Szczegółowe kryteria kwalifikacji do terapii </w:t>
            </w:r>
            <w:proofErr w:type="spellStart"/>
            <w:r w:rsidRPr="000C5603">
              <w:rPr>
                <w:rFonts w:ascii="Times New Roman" w:hAnsi="Times New Roman"/>
                <w:b/>
                <w:bCs/>
                <w:sz w:val="20"/>
                <w:szCs w:val="20"/>
              </w:rPr>
              <w:t>rytuksymabem</w:t>
            </w:r>
            <w:proofErr w:type="spellEnd"/>
          </w:p>
          <w:p w14:paraId="22B46BD5"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dodatni wynik badania na obecność przeciwciał przeciwko receptorowi acetylocholiny (</w:t>
            </w:r>
            <w:proofErr w:type="spellStart"/>
            <w:r w:rsidRPr="000C5603">
              <w:rPr>
                <w:rFonts w:ascii="Times New Roman" w:hAnsi="Times New Roman"/>
                <w:sz w:val="20"/>
                <w:szCs w:val="20"/>
              </w:rPr>
              <w:t>AChR</w:t>
            </w:r>
            <w:proofErr w:type="spellEnd"/>
            <w:r w:rsidRPr="000C5603">
              <w:rPr>
                <w:rFonts w:ascii="Times New Roman" w:hAnsi="Times New Roman"/>
                <w:sz w:val="20"/>
                <w:szCs w:val="20"/>
              </w:rPr>
              <w:t xml:space="preserve">, ARAB) </w:t>
            </w:r>
          </w:p>
          <w:p w14:paraId="7E998CFD" w14:textId="77777777" w:rsidR="000C5603" w:rsidRPr="000C5603" w:rsidRDefault="000C5603" w:rsidP="000C5603">
            <w:pPr>
              <w:spacing w:after="60"/>
              <w:ind w:left="454"/>
              <w:jc w:val="both"/>
              <w:rPr>
                <w:rFonts w:ascii="Times New Roman" w:hAnsi="Times New Roman"/>
                <w:sz w:val="20"/>
                <w:szCs w:val="20"/>
              </w:rPr>
            </w:pPr>
            <w:r w:rsidRPr="000C5603">
              <w:rPr>
                <w:rFonts w:ascii="Times New Roman" w:hAnsi="Times New Roman"/>
                <w:sz w:val="20"/>
                <w:szCs w:val="20"/>
              </w:rPr>
              <w:t xml:space="preserve">lub dodatni wynik badania na obecność przeciwciał przeciwko białku związanemu z receptorem </w:t>
            </w:r>
            <w:proofErr w:type="spellStart"/>
            <w:r w:rsidRPr="000C5603">
              <w:rPr>
                <w:rFonts w:ascii="Times New Roman" w:hAnsi="Times New Roman"/>
                <w:sz w:val="20"/>
                <w:szCs w:val="20"/>
              </w:rPr>
              <w:t>lipoproteiny</w:t>
            </w:r>
            <w:proofErr w:type="spellEnd"/>
            <w:r w:rsidRPr="000C5603">
              <w:rPr>
                <w:rFonts w:ascii="Times New Roman" w:hAnsi="Times New Roman"/>
                <w:sz w:val="20"/>
                <w:szCs w:val="20"/>
              </w:rPr>
              <w:t xml:space="preserve"> o niskiej gęstości 4 (anty-LRP4) </w:t>
            </w:r>
          </w:p>
          <w:p w14:paraId="63C2B21B" w14:textId="77777777" w:rsidR="000C5603" w:rsidRPr="000C5603" w:rsidRDefault="000C5603" w:rsidP="000C5603">
            <w:pPr>
              <w:spacing w:after="60"/>
              <w:ind w:left="454"/>
              <w:jc w:val="both"/>
              <w:rPr>
                <w:rFonts w:ascii="Times New Roman" w:hAnsi="Times New Roman"/>
                <w:sz w:val="20"/>
                <w:szCs w:val="20"/>
              </w:rPr>
            </w:pPr>
            <w:r w:rsidRPr="000C5603">
              <w:rPr>
                <w:rFonts w:ascii="Times New Roman" w:hAnsi="Times New Roman"/>
                <w:sz w:val="20"/>
                <w:szCs w:val="20"/>
              </w:rPr>
              <w:t>lub dodatni wynik przeciwciał przeciwko swoistej dla mięśni kinazie tyrozynowej (</w:t>
            </w:r>
            <w:proofErr w:type="spellStart"/>
            <w:r w:rsidRPr="000C5603">
              <w:rPr>
                <w:rFonts w:ascii="Times New Roman" w:hAnsi="Times New Roman"/>
                <w:sz w:val="20"/>
                <w:szCs w:val="20"/>
              </w:rPr>
              <w:t>MuSK</w:t>
            </w:r>
            <w:proofErr w:type="spellEnd"/>
            <w:r w:rsidRPr="000C5603">
              <w:rPr>
                <w:rFonts w:ascii="Times New Roman" w:hAnsi="Times New Roman"/>
                <w:sz w:val="20"/>
                <w:szCs w:val="20"/>
              </w:rPr>
              <w:t>)</w:t>
            </w:r>
          </w:p>
          <w:p w14:paraId="3F379ABD" w14:textId="77777777" w:rsidR="000C5603" w:rsidRPr="000C5603" w:rsidRDefault="000C5603" w:rsidP="000C5603">
            <w:pPr>
              <w:spacing w:after="60"/>
              <w:ind w:left="454"/>
              <w:jc w:val="both"/>
              <w:rPr>
                <w:rFonts w:ascii="Times New Roman" w:hAnsi="Times New Roman"/>
                <w:sz w:val="20"/>
                <w:szCs w:val="20"/>
              </w:rPr>
            </w:pPr>
            <w:r w:rsidRPr="000C5603">
              <w:rPr>
                <w:rFonts w:ascii="Times New Roman" w:hAnsi="Times New Roman"/>
                <w:sz w:val="20"/>
                <w:szCs w:val="20"/>
              </w:rPr>
              <w:t>lub w przypadku pacjentów seronegatywnych stwierdzenie zaburzeń transmisji nerwowo-mięśniowej wykazane w przeszłości lub obecnie w badaniu metodą elektrostymulacyjnej próby męczliwości (próbie miastenicznej) lub elektromiografii pojedynczego włókna mięśniowego (SFEMG)</w:t>
            </w:r>
          </w:p>
          <w:p w14:paraId="533811D6"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 xml:space="preserve">w przypadku pacjentów z uogólnioną miastenią </w:t>
            </w:r>
            <w:proofErr w:type="spellStart"/>
            <w:r w:rsidRPr="000C5603">
              <w:rPr>
                <w:rFonts w:ascii="Times New Roman" w:hAnsi="Times New Roman"/>
                <w:sz w:val="20"/>
                <w:szCs w:val="20"/>
              </w:rPr>
              <w:t>MuSK</w:t>
            </w:r>
            <w:proofErr w:type="spellEnd"/>
            <w:r w:rsidRPr="000C5603">
              <w:rPr>
                <w:rFonts w:ascii="Times New Roman" w:hAnsi="Times New Roman"/>
                <w:sz w:val="20"/>
                <w:szCs w:val="20"/>
              </w:rPr>
              <w:t xml:space="preserve">-dodatnią </w:t>
            </w:r>
            <w:proofErr w:type="spellStart"/>
            <w:r w:rsidRPr="000C5603">
              <w:rPr>
                <w:rFonts w:ascii="Times New Roman" w:hAnsi="Times New Roman"/>
                <w:sz w:val="20"/>
                <w:szCs w:val="20"/>
              </w:rPr>
              <w:t>rytuksymab</w:t>
            </w:r>
            <w:proofErr w:type="spellEnd"/>
            <w:r w:rsidRPr="000C5603">
              <w:rPr>
                <w:rFonts w:ascii="Times New Roman" w:hAnsi="Times New Roman"/>
                <w:sz w:val="20"/>
                <w:szCs w:val="20"/>
              </w:rPr>
              <w:t xml:space="preserve"> można zastosować jako opcję terapeutyczną jeśli ich odpowiedź na immunoterapię jest niezadowalająca, tj. odpowiada nasileniu objawów jak w pkt. 1.</w:t>
            </w:r>
          </w:p>
          <w:p w14:paraId="29111C08"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 xml:space="preserve">w przypadku pacjentów </w:t>
            </w:r>
            <w:proofErr w:type="spellStart"/>
            <w:r w:rsidRPr="000C5603">
              <w:rPr>
                <w:rFonts w:ascii="Times New Roman" w:hAnsi="Times New Roman"/>
                <w:sz w:val="20"/>
                <w:szCs w:val="20"/>
              </w:rPr>
              <w:t>AChR</w:t>
            </w:r>
            <w:proofErr w:type="spellEnd"/>
            <w:r w:rsidRPr="000C5603">
              <w:rPr>
                <w:rFonts w:ascii="Times New Roman" w:hAnsi="Times New Roman"/>
                <w:sz w:val="20"/>
                <w:szCs w:val="20"/>
              </w:rPr>
              <w:t xml:space="preserve">-dodatnich, LRP4-dodatnich lub seronegatywnych wysoka aktywność choroby, stwierdzona na podstawie spełnienia </w:t>
            </w:r>
            <w:r w:rsidRPr="000C5603">
              <w:rPr>
                <w:rFonts w:ascii="Cambria Math" w:hAnsi="Cambria Math" w:cs="Cambria Math"/>
                <w:sz w:val="20"/>
                <w:szCs w:val="20"/>
              </w:rPr>
              <w:t>co najmniej jednego</w:t>
            </w:r>
            <w:r w:rsidRPr="000C5603">
              <w:rPr>
                <w:rFonts w:ascii="Times New Roman" w:hAnsi="Times New Roman"/>
                <w:sz w:val="20"/>
                <w:szCs w:val="20"/>
              </w:rPr>
              <w:t xml:space="preserve"> z poniższych kryteriów: </w:t>
            </w:r>
          </w:p>
          <w:p w14:paraId="106D17DB" w14:textId="77777777" w:rsidR="000C5603" w:rsidRPr="000C5603" w:rsidRDefault="000C5603" w:rsidP="000C5603">
            <w:pPr>
              <w:numPr>
                <w:ilvl w:val="4"/>
                <w:numId w:val="51"/>
              </w:numPr>
              <w:spacing w:after="60"/>
              <w:jc w:val="both"/>
              <w:rPr>
                <w:rFonts w:ascii="Times New Roman" w:hAnsi="Times New Roman"/>
                <w:sz w:val="20"/>
                <w:szCs w:val="20"/>
              </w:rPr>
            </w:pPr>
            <w:r w:rsidRPr="000C5603">
              <w:rPr>
                <w:rFonts w:ascii="Times New Roman" w:hAnsi="Times New Roman"/>
                <w:sz w:val="20"/>
                <w:szCs w:val="20"/>
              </w:rPr>
              <w:t>u pacjentów w pierwszym roku po zachorowaniu utrzymujące się objawy istotnie utrudniające codzienne funkcjonowanie (</w:t>
            </w:r>
            <w:proofErr w:type="spellStart"/>
            <w:r w:rsidRPr="000C5603">
              <w:rPr>
                <w:rFonts w:ascii="Times New Roman" w:hAnsi="Times New Roman"/>
                <w:sz w:val="20"/>
                <w:szCs w:val="20"/>
              </w:rPr>
              <w:t>MGFA≥IIb</w:t>
            </w:r>
            <w:proofErr w:type="spellEnd"/>
            <w:r w:rsidRPr="000C5603">
              <w:rPr>
                <w:rFonts w:ascii="Times New Roman" w:hAnsi="Times New Roman"/>
                <w:sz w:val="20"/>
                <w:szCs w:val="20"/>
              </w:rPr>
              <w:t>) pomimo odpowiedniego leczenia objawowego i immunosupresyjnego,</w:t>
            </w:r>
          </w:p>
          <w:p w14:paraId="4438E1D5" w14:textId="77777777" w:rsidR="000C5603" w:rsidRPr="000C5603" w:rsidRDefault="000C5603" w:rsidP="000C5603">
            <w:pPr>
              <w:numPr>
                <w:ilvl w:val="4"/>
                <w:numId w:val="51"/>
              </w:numPr>
              <w:spacing w:after="60"/>
              <w:jc w:val="both"/>
              <w:rPr>
                <w:rFonts w:ascii="Times New Roman" w:hAnsi="Times New Roman"/>
                <w:sz w:val="20"/>
                <w:szCs w:val="20"/>
              </w:rPr>
            </w:pPr>
            <w:r w:rsidRPr="000C5603">
              <w:rPr>
                <w:rFonts w:ascii="Times New Roman" w:hAnsi="Times New Roman"/>
                <w:sz w:val="20"/>
                <w:szCs w:val="20"/>
              </w:rPr>
              <w:t>utrzymujące się objawy istotnie utrudniające codzienne funkcjonowanie (</w:t>
            </w:r>
            <w:proofErr w:type="spellStart"/>
            <w:r w:rsidRPr="000C5603">
              <w:rPr>
                <w:rFonts w:ascii="Times New Roman" w:hAnsi="Times New Roman"/>
                <w:sz w:val="20"/>
                <w:szCs w:val="20"/>
              </w:rPr>
              <w:t>MGFA≥IIa</w:t>
            </w:r>
            <w:proofErr w:type="spellEnd"/>
            <w:r w:rsidRPr="000C5603">
              <w:rPr>
                <w:rFonts w:ascii="Times New Roman" w:hAnsi="Times New Roman"/>
                <w:sz w:val="20"/>
                <w:szCs w:val="20"/>
              </w:rPr>
              <w:t xml:space="preserve">) i ciężkie zaostrzenie/przełom miasteniczny w ciągu poprzedniego roku pomimo </w:t>
            </w:r>
            <w:r w:rsidRPr="000C5603">
              <w:rPr>
                <w:rFonts w:ascii="Times New Roman" w:hAnsi="Times New Roman"/>
                <w:sz w:val="20"/>
                <w:szCs w:val="20"/>
              </w:rPr>
              <w:lastRenderedPageBreak/>
              <w:t>odpowiedniego leczenia objawowego i immunosupresyjnego,</w:t>
            </w:r>
          </w:p>
          <w:p w14:paraId="553C87D6" w14:textId="77777777" w:rsidR="000C5603" w:rsidRPr="000C5603" w:rsidRDefault="000C5603" w:rsidP="000C5603">
            <w:pPr>
              <w:numPr>
                <w:ilvl w:val="4"/>
                <w:numId w:val="51"/>
              </w:numPr>
              <w:spacing w:after="60"/>
              <w:jc w:val="both"/>
              <w:rPr>
                <w:rFonts w:ascii="Times New Roman" w:hAnsi="Times New Roman"/>
                <w:sz w:val="20"/>
                <w:szCs w:val="20"/>
              </w:rPr>
            </w:pPr>
            <w:r w:rsidRPr="000C5603">
              <w:rPr>
                <w:rFonts w:ascii="Times New Roman" w:hAnsi="Times New Roman"/>
                <w:sz w:val="20"/>
                <w:szCs w:val="20"/>
              </w:rPr>
              <w:t>utrzymujące się objawy istotnie utrudniające codzienne funkcjonowanie (</w:t>
            </w:r>
            <w:proofErr w:type="spellStart"/>
            <w:r w:rsidRPr="000C5603">
              <w:rPr>
                <w:rFonts w:ascii="Times New Roman" w:hAnsi="Times New Roman"/>
                <w:sz w:val="20"/>
                <w:szCs w:val="20"/>
              </w:rPr>
              <w:t>MGFA≥IIa</w:t>
            </w:r>
            <w:proofErr w:type="spellEnd"/>
            <w:r w:rsidRPr="000C5603">
              <w:rPr>
                <w:rFonts w:ascii="Times New Roman" w:hAnsi="Times New Roman"/>
                <w:sz w:val="20"/>
                <w:szCs w:val="20"/>
              </w:rPr>
              <w:t>) przez co najmniej 2 poprzednie lata pomimo odpowiedniego leczenia objawowego i immunosupresyjnego;</w:t>
            </w:r>
          </w:p>
          <w:p w14:paraId="0E340652"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 xml:space="preserve">brak przeciwwskazań do stosowania </w:t>
            </w:r>
            <w:proofErr w:type="spellStart"/>
            <w:r w:rsidRPr="000C5603">
              <w:rPr>
                <w:rFonts w:ascii="Times New Roman" w:hAnsi="Times New Roman"/>
                <w:sz w:val="20"/>
                <w:szCs w:val="20"/>
              </w:rPr>
              <w:t>rytuksymabu</w:t>
            </w:r>
            <w:proofErr w:type="spellEnd"/>
            <w:r w:rsidRPr="000C5603">
              <w:rPr>
                <w:rFonts w:ascii="Times New Roman" w:hAnsi="Times New Roman"/>
                <w:sz w:val="20"/>
                <w:szCs w:val="20"/>
              </w:rPr>
              <w:t xml:space="preserve"> zgodnie z aktualną </w:t>
            </w:r>
            <w:proofErr w:type="spellStart"/>
            <w:r w:rsidRPr="000C5603">
              <w:rPr>
                <w:rFonts w:ascii="Times New Roman" w:hAnsi="Times New Roman"/>
                <w:sz w:val="20"/>
                <w:szCs w:val="20"/>
              </w:rPr>
              <w:t>ChPL</w:t>
            </w:r>
            <w:proofErr w:type="spellEnd"/>
            <w:r w:rsidRPr="000C5603">
              <w:rPr>
                <w:rFonts w:ascii="Times New Roman" w:hAnsi="Times New Roman"/>
                <w:sz w:val="20"/>
                <w:szCs w:val="20"/>
              </w:rPr>
              <w:t>;</w:t>
            </w:r>
          </w:p>
          <w:p w14:paraId="7CE328A4"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 xml:space="preserve">u pacjentów seronegatywnych (bez </w:t>
            </w:r>
            <w:proofErr w:type="spellStart"/>
            <w:r w:rsidRPr="000C5603">
              <w:rPr>
                <w:rFonts w:ascii="Times New Roman" w:hAnsi="Times New Roman"/>
                <w:sz w:val="20"/>
                <w:szCs w:val="20"/>
              </w:rPr>
              <w:t>AChRAb</w:t>
            </w:r>
            <w:proofErr w:type="spellEnd"/>
            <w:r w:rsidRPr="000C5603">
              <w:rPr>
                <w:rFonts w:ascii="Times New Roman" w:hAnsi="Times New Roman"/>
                <w:sz w:val="20"/>
                <w:szCs w:val="20"/>
              </w:rPr>
              <w:t xml:space="preserve">, </w:t>
            </w:r>
            <w:proofErr w:type="spellStart"/>
            <w:r w:rsidRPr="000C5603">
              <w:rPr>
                <w:rFonts w:ascii="Times New Roman" w:hAnsi="Times New Roman"/>
                <w:sz w:val="20"/>
                <w:szCs w:val="20"/>
              </w:rPr>
              <w:t>MuSKAb</w:t>
            </w:r>
            <w:proofErr w:type="spellEnd"/>
            <w:r w:rsidRPr="000C5603">
              <w:rPr>
                <w:rFonts w:ascii="Times New Roman" w:hAnsi="Times New Roman"/>
                <w:sz w:val="20"/>
                <w:szCs w:val="20"/>
              </w:rPr>
              <w:t>, LRP4Ab) brak podstaw do rozpoznania genetycznie uwarunkowanego wrodzonego zespołu miastenicznego lub zespołu miastenicznego Lamberta-Eatona</w:t>
            </w:r>
          </w:p>
          <w:p w14:paraId="319B05E7" w14:textId="77777777" w:rsidR="000C5603" w:rsidRPr="000C5603" w:rsidRDefault="000C5603" w:rsidP="000C5603">
            <w:pPr>
              <w:spacing w:after="60"/>
              <w:jc w:val="both"/>
              <w:rPr>
                <w:rFonts w:ascii="Times New Roman" w:hAnsi="Times New Roman"/>
                <w:b/>
                <w:bCs/>
                <w:sz w:val="20"/>
                <w:szCs w:val="20"/>
              </w:rPr>
            </w:pPr>
          </w:p>
          <w:p w14:paraId="233E3F2B"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Kryteria kwalifikacji w punkcie 1 oraz 1.1. muszą być spełnione łącznie.</w:t>
            </w:r>
          </w:p>
          <w:p w14:paraId="260A1CB4" w14:textId="77777777" w:rsidR="000C5603" w:rsidRPr="000C5603" w:rsidRDefault="000C5603" w:rsidP="000C5603">
            <w:pPr>
              <w:spacing w:after="60"/>
              <w:jc w:val="both"/>
              <w:rPr>
                <w:rFonts w:ascii="Times New Roman" w:hAnsi="Times New Roman"/>
                <w:bCs/>
                <w:sz w:val="20"/>
                <w:szCs w:val="20"/>
              </w:rPr>
            </w:pPr>
          </w:p>
          <w:p w14:paraId="6CFBF530" w14:textId="77777777" w:rsidR="000C5603" w:rsidRPr="000C5603" w:rsidRDefault="000C5603" w:rsidP="000C5603">
            <w:pPr>
              <w:widowControl w:val="0"/>
              <w:numPr>
                <w:ilvl w:val="1"/>
                <w:numId w:val="51"/>
              </w:numPr>
              <w:spacing w:after="60"/>
              <w:jc w:val="both"/>
              <w:rPr>
                <w:rFonts w:ascii="Times New Roman" w:hAnsi="Times New Roman"/>
                <w:b/>
                <w:bCs/>
                <w:sz w:val="20"/>
                <w:szCs w:val="20"/>
              </w:rPr>
            </w:pPr>
            <w:r w:rsidRPr="000C5603">
              <w:rPr>
                <w:rFonts w:ascii="Times New Roman" w:hAnsi="Times New Roman"/>
                <w:b/>
                <w:bCs/>
                <w:sz w:val="20"/>
                <w:szCs w:val="20"/>
              </w:rPr>
              <w:t xml:space="preserve">Szczegółowe kryteria kwalifikacji do leczenia </w:t>
            </w:r>
            <w:proofErr w:type="spellStart"/>
            <w:r w:rsidRPr="000C5603">
              <w:rPr>
                <w:rFonts w:ascii="Times New Roman" w:hAnsi="Times New Roman"/>
                <w:b/>
                <w:bCs/>
                <w:sz w:val="20"/>
                <w:szCs w:val="20"/>
              </w:rPr>
              <w:t>efgartigimodem</w:t>
            </w:r>
            <w:proofErr w:type="spellEnd"/>
            <w:r w:rsidRPr="000C5603">
              <w:rPr>
                <w:rFonts w:ascii="Times New Roman" w:hAnsi="Times New Roman"/>
                <w:b/>
                <w:bCs/>
                <w:sz w:val="20"/>
                <w:szCs w:val="20"/>
              </w:rPr>
              <w:t xml:space="preserve"> alfa</w:t>
            </w:r>
          </w:p>
          <w:p w14:paraId="18FA1D70"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dodatni wynik badania na obecność przeciwciał przeciwko receptorowi acetylocholiny (</w:t>
            </w:r>
            <w:proofErr w:type="spellStart"/>
            <w:r w:rsidRPr="000C5603">
              <w:rPr>
                <w:rFonts w:ascii="Times New Roman" w:hAnsi="Times New Roman"/>
                <w:sz w:val="20"/>
                <w:szCs w:val="20"/>
              </w:rPr>
              <w:t>AChR</w:t>
            </w:r>
            <w:proofErr w:type="spellEnd"/>
            <w:r w:rsidRPr="000C5603">
              <w:rPr>
                <w:rFonts w:ascii="Times New Roman" w:hAnsi="Times New Roman"/>
                <w:sz w:val="20"/>
                <w:szCs w:val="20"/>
              </w:rPr>
              <w:t>);</w:t>
            </w:r>
          </w:p>
          <w:p w14:paraId="4E4813D9" w14:textId="4B82A71A"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pacjenci objawowi pomimo leczenia miastenii i w historii interwencji farmakologicznych odnotowano:</w:t>
            </w:r>
          </w:p>
          <w:p w14:paraId="3E2E5495" w14:textId="77777777" w:rsidR="000C5603" w:rsidRPr="000C5603" w:rsidRDefault="000C5603" w:rsidP="000C5603">
            <w:pPr>
              <w:numPr>
                <w:ilvl w:val="4"/>
                <w:numId w:val="51"/>
              </w:numPr>
              <w:spacing w:after="60"/>
              <w:jc w:val="both"/>
              <w:rPr>
                <w:rFonts w:ascii="Times New Roman" w:hAnsi="Times New Roman"/>
                <w:sz w:val="20"/>
                <w:szCs w:val="20"/>
              </w:rPr>
            </w:pPr>
            <w:r w:rsidRPr="000C5603">
              <w:rPr>
                <w:rFonts w:ascii="Times New Roman" w:hAnsi="Times New Roman"/>
                <w:sz w:val="20"/>
                <w:szCs w:val="20"/>
              </w:rPr>
              <w:t xml:space="preserve">leczenie immunosupresyjne kortykosteroidami doustnymi przez co najmniej 6 miesięcy, w tym co najmniej 3 miesiące w dawce dobowej odpowiadającej co najmniej 30 mg </w:t>
            </w:r>
            <w:proofErr w:type="spellStart"/>
            <w:r w:rsidRPr="000C5603">
              <w:rPr>
                <w:rFonts w:ascii="Times New Roman" w:hAnsi="Times New Roman"/>
                <w:sz w:val="20"/>
                <w:szCs w:val="20"/>
              </w:rPr>
              <w:t>prednizonu</w:t>
            </w:r>
            <w:proofErr w:type="spellEnd"/>
          </w:p>
          <w:p w14:paraId="126FAF6C" w14:textId="77777777" w:rsidR="000C5603" w:rsidRPr="000C5603" w:rsidRDefault="000C5603" w:rsidP="000C5603">
            <w:pPr>
              <w:numPr>
                <w:ilvl w:val="4"/>
                <w:numId w:val="51"/>
              </w:numPr>
              <w:spacing w:after="60"/>
              <w:jc w:val="both"/>
              <w:rPr>
                <w:rFonts w:ascii="Times New Roman" w:hAnsi="Times New Roman"/>
                <w:sz w:val="20"/>
                <w:szCs w:val="20"/>
              </w:rPr>
            </w:pPr>
            <w:r w:rsidRPr="000C5603">
              <w:rPr>
                <w:rFonts w:ascii="Times New Roman" w:hAnsi="Times New Roman"/>
                <w:sz w:val="20"/>
                <w:szCs w:val="20"/>
              </w:rPr>
              <w:t>stosowanie dwóch leków z klasy niesteroidowych leków immunosupresyjnych, w tym jeden przez co najmniej 12 m-</w:t>
            </w:r>
            <w:proofErr w:type="spellStart"/>
            <w:r w:rsidRPr="000C5603">
              <w:rPr>
                <w:rFonts w:ascii="Times New Roman" w:hAnsi="Times New Roman"/>
                <w:sz w:val="20"/>
                <w:szCs w:val="20"/>
              </w:rPr>
              <w:t>cy</w:t>
            </w:r>
            <w:proofErr w:type="spellEnd"/>
            <w:r w:rsidRPr="000C5603">
              <w:rPr>
                <w:rFonts w:ascii="Times New Roman" w:hAnsi="Times New Roman"/>
                <w:sz w:val="20"/>
                <w:szCs w:val="20"/>
              </w:rPr>
              <w:t>, drugi co najmniej 6 m-</w:t>
            </w:r>
            <w:proofErr w:type="spellStart"/>
            <w:r w:rsidRPr="000C5603">
              <w:rPr>
                <w:rFonts w:ascii="Times New Roman" w:hAnsi="Times New Roman"/>
                <w:sz w:val="20"/>
                <w:szCs w:val="20"/>
              </w:rPr>
              <w:t>cy</w:t>
            </w:r>
            <w:proofErr w:type="spellEnd"/>
            <w:r w:rsidRPr="000C5603">
              <w:rPr>
                <w:rFonts w:ascii="Times New Roman" w:hAnsi="Times New Roman"/>
                <w:sz w:val="20"/>
                <w:szCs w:val="20"/>
              </w:rPr>
              <w:t xml:space="preserve"> </w:t>
            </w:r>
          </w:p>
          <w:p w14:paraId="61A98D29" w14:textId="77777777" w:rsidR="000C5603" w:rsidRPr="000C5603" w:rsidRDefault="000C5603" w:rsidP="000C5603">
            <w:pPr>
              <w:numPr>
                <w:ilvl w:val="4"/>
                <w:numId w:val="51"/>
              </w:numPr>
              <w:spacing w:after="60"/>
              <w:jc w:val="both"/>
              <w:rPr>
                <w:rFonts w:ascii="Times New Roman" w:hAnsi="Times New Roman"/>
                <w:sz w:val="20"/>
                <w:szCs w:val="20"/>
              </w:rPr>
            </w:pPr>
            <w:r w:rsidRPr="000C5603">
              <w:rPr>
                <w:rFonts w:ascii="Times New Roman" w:hAnsi="Times New Roman"/>
                <w:sz w:val="20"/>
                <w:szCs w:val="20"/>
              </w:rPr>
              <w:lastRenderedPageBreak/>
              <w:t>utrzymujące się objawy istotnie utrudniające codzienne funkcjonowanie (</w:t>
            </w:r>
            <w:proofErr w:type="spellStart"/>
            <w:r w:rsidRPr="000C5603">
              <w:rPr>
                <w:rFonts w:ascii="Times New Roman" w:hAnsi="Times New Roman"/>
                <w:sz w:val="20"/>
                <w:szCs w:val="20"/>
              </w:rPr>
              <w:t>MGFA≥IIa</w:t>
            </w:r>
            <w:proofErr w:type="spellEnd"/>
            <w:r w:rsidRPr="000C5603">
              <w:rPr>
                <w:rFonts w:ascii="Times New Roman" w:hAnsi="Times New Roman"/>
                <w:sz w:val="20"/>
                <w:szCs w:val="20"/>
              </w:rPr>
              <w:t>) i ciężkie zaostrzenie wymagające terapii ratunkowej (</w:t>
            </w:r>
            <w:proofErr w:type="spellStart"/>
            <w:r w:rsidRPr="000C5603">
              <w:rPr>
                <w:rFonts w:ascii="Times New Roman" w:hAnsi="Times New Roman"/>
                <w:sz w:val="20"/>
                <w:szCs w:val="20"/>
              </w:rPr>
              <w:t>IVIg</w:t>
            </w:r>
            <w:proofErr w:type="spellEnd"/>
            <w:r w:rsidRPr="000C5603">
              <w:rPr>
                <w:rFonts w:ascii="Times New Roman" w:hAnsi="Times New Roman"/>
                <w:sz w:val="20"/>
                <w:szCs w:val="20"/>
              </w:rPr>
              <w:t xml:space="preserve"> lub plazmaferezy) / przełom miasteniczny w ciągu roku poprzedzającego rozpoczęcie leczenia </w:t>
            </w:r>
            <w:proofErr w:type="spellStart"/>
            <w:r w:rsidRPr="000C5603">
              <w:rPr>
                <w:rFonts w:ascii="Times New Roman" w:hAnsi="Times New Roman"/>
                <w:sz w:val="20"/>
                <w:szCs w:val="20"/>
              </w:rPr>
              <w:t>efgartigimodem</w:t>
            </w:r>
            <w:proofErr w:type="spellEnd"/>
          </w:p>
          <w:p w14:paraId="4099504F" w14:textId="77777777" w:rsidR="000C5603" w:rsidRPr="000C5603" w:rsidRDefault="000C5603" w:rsidP="000C5603">
            <w:pPr>
              <w:spacing w:after="60"/>
              <w:ind w:left="452"/>
              <w:jc w:val="both"/>
              <w:rPr>
                <w:rFonts w:ascii="Times New Roman" w:hAnsi="Times New Roman"/>
                <w:sz w:val="20"/>
                <w:szCs w:val="20"/>
              </w:rPr>
            </w:pPr>
            <w:r w:rsidRPr="000C5603">
              <w:rPr>
                <w:rFonts w:ascii="Times New Roman" w:hAnsi="Times New Roman"/>
                <w:sz w:val="20"/>
                <w:szCs w:val="20"/>
              </w:rPr>
              <w:t>lub udokumentowane przeciwwskazania do stosowania w/w terapii,</w:t>
            </w:r>
          </w:p>
          <w:p w14:paraId="54AACE8D" w14:textId="77777777" w:rsidR="000C5603" w:rsidRPr="000C5603" w:rsidRDefault="000C5603" w:rsidP="000C5603">
            <w:pPr>
              <w:spacing w:after="60"/>
              <w:ind w:left="454"/>
              <w:jc w:val="both"/>
              <w:rPr>
                <w:rFonts w:ascii="Times New Roman" w:hAnsi="Times New Roman"/>
                <w:sz w:val="20"/>
                <w:szCs w:val="20"/>
              </w:rPr>
            </w:pPr>
            <w:r w:rsidRPr="000C5603">
              <w:rPr>
                <w:rFonts w:ascii="Times New Roman" w:hAnsi="Times New Roman"/>
                <w:sz w:val="20"/>
                <w:szCs w:val="20"/>
              </w:rPr>
              <w:t>lub brak tolerancji w/w terapii zgodnie z aktualną Charakterystyką Produktu Leczniczego;</w:t>
            </w:r>
          </w:p>
          <w:p w14:paraId="37C2C79F"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 xml:space="preserve">brak przeciwwskazań do stosowania </w:t>
            </w:r>
            <w:proofErr w:type="spellStart"/>
            <w:r w:rsidRPr="000C5603">
              <w:rPr>
                <w:rFonts w:ascii="Times New Roman" w:hAnsi="Times New Roman"/>
                <w:sz w:val="20"/>
                <w:szCs w:val="20"/>
              </w:rPr>
              <w:t>efgartigimodu</w:t>
            </w:r>
            <w:proofErr w:type="spellEnd"/>
            <w:r w:rsidRPr="000C5603">
              <w:rPr>
                <w:rFonts w:ascii="Times New Roman" w:hAnsi="Times New Roman"/>
                <w:sz w:val="20"/>
                <w:szCs w:val="20"/>
              </w:rPr>
              <w:t xml:space="preserve"> alfa zgodnie z aktualną </w:t>
            </w:r>
            <w:proofErr w:type="spellStart"/>
            <w:r w:rsidRPr="000C5603">
              <w:rPr>
                <w:rFonts w:ascii="Times New Roman" w:hAnsi="Times New Roman"/>
                <w:sz w:val="20"/>
                <w:szCs w:val="20"/>
              </w:rPr>
              <w:t>ChPL</w:t>
            </w:r>
            <w:proofErr w:type="spellEnd"/>
            <w:r w:rsidRPr="000C5603">
              <w:rPr>
                <w:rFonts w:ascii="Times New Roman" w:hAnsi="Times New Roman"/>
                <w:sz w:val="20"/>
                <w:szCs w:val="20"/>
              </w:rPr>
              <w:t>.</w:t>
            </w:r>
          </w:p>
          <w:p w14:paraId="4670F4C8" w14:textId="77777777" w:rsidR="000C5603" w:rsidRPr="000C5603" w:rsidRDefault="000C5603" w:rsidP="000C5603">
            <w:pPr>
              <w:spacing w:after="60"/>
              <w:jc w:val="both"/>
              <w:rPr>
                <w:rFonts w:ascii="Times New Roman" w:hAnsi="Times New Roman"/>
                <w:sz w:val="20"/>
                <w:szCs w:val="20"/>
              </w:rPr>
            </w:pPr>
          </w:p>
          <w:p w14:paraId="766B6436" w14:textId="77777777" w:rsidR="000C5603" w:rsidRPr="000C5603" w:rsidRDefault="000C5603" w:rsidP="000C5603">
            <w:pPr>
              <w:spacing w:after="60"/>
              <w:jc w:val="both"/>
              <w:rPr>
                <w:rFonts w:ascii="Times New Roman" w:hAnsi="Times New Roman"/>
                <w:bCs/>
                <w:sz w:val="20"/>
                <w:szCs w:val="20"/>
              </w:rPr>
            </w:pPr>
            <w:r w:rsidRPr="000C5603">
              <w:rPr>
                <w:rFonts w:ascii="Times New Roman" w:hAnsi="Times New Roman"/>
                <w:sz w:val="20"/>
                <w:szCs w:val="20"/>
              </w:rPr>
              <w:t>Kryteria kwalifikacji w punkcie 1 oraz 1.2. muszą być spełnione łącznie.</w:t>
            </w:r>
          </w:p>
          <w:p w14:paraId="10F0575E" w14:textId="77777777" w:rsidR="000C5603" w:rsidRPr="000C5603" w:rsidRDefault="000C5603" w:rsidP="000C5603">
            <w:pPr>
              <w:spacing w:after="60"/>
              <w:jc w:val="both"/>
              <w:rPr>
                <w:rFonts w:ascii="Times New Roman" w:hAnsi="Times New Roman"/>
                <w:bCs/>
                <w:sz w:val="20"/>
                <w:szCs w:val="20"/>
              </w:rPr>
            </w:pPr>
          </w:p>
          <w:p w14:paraId="6F546C6A" w14:textId="77777777" w:rsidR="000C5603" w:rsidRPr="000C5603" w:rsidRDefault="000C5603" w:rsidP="000C5603">
            <w:pPr>
              <w:autoSpaceDE w:val="0"/>
              <w:autoSpaceDN w:val="0"/>
              <w:adjustRightInd w:val="0"/>
              <w:spacing w:after="60"/>
              <w:jc w:val="both"/>
              <w:rPr>
                <w:rFonts w:ascii="Times New Roman" w:eastAsia="Times New Roman" w:hAnsi="Times New Roman"/>
                <w:iCs/>
                <w:color w:val="000000"/>
                <w:sz w:val="20"/>
                <w:szCs w:val="20"/>
                <w:lang w:eastAsia="pl-PL"/>
              </w:rPr>
            </w:pPr>
            <w:r w:rsidRPr="000C5603">
              <w:rPr>
                <w:rFonts w:ascii="Times New Roman" w:eastAsia="Times New Roman" w:hAnsi="Times New Roman"/>
                <w:iCs/>
                <w:color w:val="000000"/>
                <w:sz w:val="20"/>
                <w:szCs w:val="20"/>
                <w:lang w:eastAsia="pl-PL"/>
              </w:rPr>
              <w:t xml:space="preserve">Ponadto do programu lekowego kwalifikowani są również pacjenci wymagający kontynuacji leczenia, którzy byli leczeni dotychczas w ramach innego sposobu finansowania terapii, za wyjątkiem trwających badań klinicznych, pod warunkiem, że w chwili rozpoczęcia leczenia </w:t>
            </w:r>
            <w:proofErr w:type="spellStart"/>
            <w:r w:rsidRPr="000C5603">
              <w:rPr>
                <w:rFonts w:ascii="Times New Roman" w:eastAsia="Times New Roman" w:hAnsi="Times New Roman"/>
                <w:iCs/>
                <w:color w:val="000000"/>
                <w:sz w:val="20"/>
                <w:szCs w:val="20"/>
                <w:lang w:eastAsia="pl-PL"/>
              </w:rPr>
              <w:t>efgartigimodem</w:t>
            </w:r>
            <w:proofErr w:type="spellEnd"/>
            <w:r w:rsidRPr="000C5603">
              <w:rPr>
                <w:rFonts w:ascii="Times New Roman" w:eastAsia="Times New Roman" w:hAnsi="Times New Roman"/>
                <w:iCs/>
                <w:color w:val="000000"/>
                <w:sz w:val="20"/>
                <w:szCs w:val="20"/>
                <w:lang w:eastAsia="pl-PL"/>
              </w:rPr>
              <w:t xml:space="preserve"> alfa spełniali kryteria kwalifikacji do programu lekowego.</w:t>
            </w:r>
          </w:p>
          <w:p w14:paraId="14D0125A" w14:textId="77777777" w:rsidR="000C5603" w:rsidRPr="000C5603" w:rsidRDefault="000C5603" w:rsidP="000C5603">
            <w:pPr>
              <w:spacing w:after="60"/>
              <w:jc w:val="both"/>
              <w:rPr>
                <w:rFonts w:ascii="Times New Roman" w:hAnsi="Times New Roman"/>
                <w:bCs/>
                <w:sz w:val="20"/>
                <w:szCs w:val="20"/>
              </w:rPr>
            </w:pPr>
          </w:p>
          <w:p w14:paraId="0D5CB348" w14:textId="77777777" w:rsidR="000C5603" w:rsidRPr="000C5603" w:rsidRDefault="000C5603" w:rsidP="000C5603">
            <w:pPr>
              <w:widowControl w:val="0"/>
              <w:numPr>
                <w:ilvl w:val="1"/>
                <w:numId w:val="51"/>
              </w:numPr>
              <w:spacing w:after="60"/>
              <w:jc w:val="both"/>
              <w:rPr>
                <w:rFonts w:ascii="Times New Roman" w:hAnsi="Times New Roman"/>
                <w:b/>
                <w:bCs/>
                <w:sz w:val="20"/>
                <w:szCs w:val="20"/>
              </w:rPr>
            </w:pPr>
            <w:r w:rsidRPr="000C5603">
              <w:rPr>
                <w:rFonts w:ascii="Times New Roman" w:hAnsi="Times New Roman"/>
                <w:b/>
                <w:bCs/>
                <w:sz w:val="20"/>
                <w:szCs w:val="20"/>
              </w:rPr>
              <w:t xml:space="preserve">Szczegółowe kryteria kwalifikacji do leczenia </w:t>
            </w:r>
            <w:proofErr w:type="spellStart"/>
            <w:r w:rsidRPr="000C5603">
              <w:rPr>
                <w:rFonts w:ascii="Times New Roman" w:hAnsi="Times New Roman"/>
                <w:b/>
                <w:bCs/>
                <w:sz w:val="20"/>
                <w:szCs w:val="20"/>
              </w:rPr>
              <w:t>rawulizumabem</w:t>
            </w:r>
            <w:proofErr w:type="spellEnd"/>
          </w:p>
          <w:p w14:paraId="3856878E"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dodatni wynik badania na obecność przeciwciał przeciwko receptorowi acetylocholiny (</w:t>
            </w:r>
            <w:proofErr w:type="spellStart"/>
            <w:r w:rsidRPr="000C5603">
              <w:rPr>
                <w:rFonts w:ascii="Times New Roman" w:hAnsi="Times New Roman"/>
                <w:sz w:val="20"/>
                <w:szCs w:val="20"/>
              </w:rPr>
              <w:t>AChR</w:t>
            </w:r>
            <w:proofErr w:type="spellEnd"/>
            <w:r w:rsidRPr="000C5603">
              <w:rPr>
                <w:rFonts w:ascii="Times New Roman" w:hAnsi="Times New Roman"/>
                <w:sz w:val="20"/>
                <w:szCs w:val="20"/>
              </w:rPr>
              <w:t>);</w:t>
            </w:r>
          </w:p>
          <w:p w14:paraId="6A9B277A" w14:textId="70CB1D2C"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pacjenci objawowi pomimo leczenia miastenii i w historii interwencji farmakologicznych odnotowano:</w:t>
            </w:r>
          </w:p>
          <w:p w14:paraId="5D466BCE" w14:textId="77777777" w:rsidR="000C5603" w:rsidRPr="000C5603" w:rsidRDefault="000C5603" w:rsidP="000C5603">
            <w:pPr>
              <w:numPr>
                <w:ilvl w:val="4"/>
                <w:numId w:val="51"/>
              </w:numPr>
              <w:spacing w:after="60"/>
              <w:jc w:val="both"/>
              <w:rPr>
                <w:rFonts w:ascii="Times New Roman" w:hAnsi="Times New Roman"/>
                <w:sz w:val="20"/>
                <w:szCs w:val="20"/>
              </w:rPr>
            </w:pPr>
            <w:r w:rsidRPr="000C5603">
              <w:rPr>
                <w:rFonts w:ascii="Times New Roman" w:hAnsi="Times New Roman"/>
                <w:sz w:val="20"/>
                <w:szCs w:val="20"/>
              </w:rPr>
              <w:t xml:space="preserve">leczenie immunosupresyjne kortykosteroidami doustnymi przez co najmniej 6 miesięcy, w tym co najmniej 3 miesiące </w:t>
            </w:r>
            <w:r w:rsidRPr="000C5603">
              <w:rPr>
                <w:rFonts w:ascii="Times New Roman" w:hAnsi="Times New Roman"/>
                <w:sz w:val="20"/>
                <w:szCs w:val="20"/>
              </w:rPr>
              <w:lastRenderedPageBreak/>
              <w:t xml:space="preserve">w dawce dobowej odpowiadającej co najmniej 30 mg </w:t>
            </w:r>
            <w:proofErr w:type="spellStart"/>
            <w:r w:rsidRPr="000C5603">
              <w:rPr>
                <w:rFonts w:ascii="Times New Roman" w:hAnsi="Times New Roman"/>
                <w:sz w:val="20"/>
                <w:szCs w:val="20"/>
              </w:rPr>
              <w:t>prednizonu</w:t>
            </w:r>
            <w:proofErr w:type="spellEnd"/>
          </w:p>
          <w:p w14:paraId="71A29AAB" w14:textId="77777777" w:rsidR="000C5603" w:rsidRPr="000C5603" w:rsidRDefault="000C5603" w:rsidP="000C5603">
            <w:pPr>
              <w:numPr>
                <w:ilvl w:val="4"/>
                <w:numId w:val="51"/>
              </w:numPr>
              <w:spacing w:after="60"/>
              <w:jc w:val="both"/>
              <w:rPr>
                <w:rFonts w:ascii="Times New Roman" w:hAnsi="Times New Roman"/>
                <w:sz w:val="20"/>
                <w:szCs w:val="20"/>
              </w:rPr>
            </w:pPr>
            <w:r w:rsidRPr="000C5603">
              <w:rPr>
                <w:rFonts w:ascii="Times New Roman" w:hAnsi="Times New Roman"/>
                <w:sz w:val="20"/>
                <w:szCs w:val="20"/>
              </w:rPr>
              <w:t>stosowanie dwóch leków z klasy niesteroidowych leków immunosupresyjnych, w tym jeden przez co najmniej 12 m-</w:t>
            </w:r>
            <w:proofErr w:type="spellStart"/>
            <w:r w:rsidRPr="000C5603">
              <w:rPr>
                <w:rFonts w:ascii="Times New Roman" w:hAnsi="Times New Roman"/>
                <w:sz w:val="20"/>
                <w:szCs w:val="20"/>
              </w:rPr>
              <w:t>cy</w:t>
            </w:r>
            <w:proofErr w:type="spellEnd"/>
            <w:r w:rsidRPr="000C5603">
              <w:rPr>
                <w:rFonts w:ascii="Times New Roman" w:hAnsi="Times New Roman"/>
                <w:sz w:val="20"/>
                <w:szCs w:val="20"/>
              </w:rPr>
              <w:t>, drugi co najmniej 6 m-</w:t>
            </w:r>
            <w:proofErr w:type="spellStart"/>
            <w:r w:rsidRPr="000C5603">
              <w:rPr>
                <w:rFonts w:ascii="Times New Roman" w:hAnsi="Times New Roman"/>
                <w:sz w:val="20"/>
                <w:szCs w:val="20"/>
              </w:rPr>
              <w:t>cy</w:t>
            </w:r>
            <w:proofErr w:type="spellEnd"/>
            <w:r w:rsidRPr="000C5603">
              <w:rPr>
                <w:rFonts w:ascii="Times New Roman" w:hAnsi="Times New Roman"/>
                <w:sz w:val="20"/>
                <w:szCs w:val="20"/>
              </w:rPr>
              <w:t xml:space="preserve"> </w:t>
            </w:r>
          </w:p>
          <w:p w14:paraId="0614945A" w14:textId="31692AB8" w:rsidR="000C5603" w:rsidRPr="000C5603" w:rsidRDefault="000C5603" w:rsidP="000C5603">
            <w:pPr>
              <w:numPr>
                <w:ilvl w:val="4"/>
                <w:numId w:val="51"/>
              </w:numPr>
              <w:spacing w:after="60"/>
              <w:jc w:val="both"/>
              <w:rPr>
                <w:rFonts w:ascii="Times New Roman" w:hAnsi="Times New Roman"/>
                <w:sz w:val="20"/>
                <w:szCs w:val="20"/>
              </w:rPr>
            </w:pPr>
            <w:r w:rsidRPr="000C5603">
              <w:rPr>
                <w:rFonts w:ascii="Times New Roman" w:hAnsi="Times New Roman"/>
                <w:sz w:val="20"/>
                <w:szCs w:val="20"/>
              </w:rPr>
              <w:t>utrzymujące się objawy istotnie utrudniające codzienne funkcjonowanie (</w:t>
            </w:r>
            <w:proofErr w:type="spellStart"/>
            <w:r w:rsidRPr="000C5603">
              <w:rPr>
                <w:rFonts w:ascii="Times New Roman" w:hAnsi="Times New Roman"/>
                <w:sz w:val="20"/>
                <w:szCs w:val="20"/>
              </w:rPr>
              <w:t>MGFA≥IIa</w:t>
            </w:r>
            <w:proofErr w:type="spellEnd"/>
            <w:r w:rsidRPr="000C5603">
              <w:rPr>
                <w:rFonts w:ascii="Times New Roman" w:hAnsi="Times New Roman"/>
                <w:sz w:val="20"/>
                <w:szCs w:val="20"/>
              </w:rPr>
              <w:t>) i ciężkie zaostrzenie wymagające terapii ratunkowej (</w:t>
            </w:r>
            <w:proofErr w:type="spellStart"/>
            <w:r w:rsidRPr="000C5603">
              <w:rPr>
                <w:rFonts w:ascii="Times New Roman" w:hAnsi="Times New Roman"/>
                <w:sz w:val="20"/>
                <w:szCs w:val="20"/>
              </w:rPr>
              <w:t>IVIg</w:t>
            </w:r>
            <w:proofErr w:type="spellEnd"/>
            <w:r w:rsidRPr="000C5603">
              <w:rPr>
                <w:rFonts w:ascii="Times New Roman" w:hAnsi="Times New Roman"/>
                <w:sz w:val="20"/>
                <w:szCs w:val="20"/>
              </w:rPr>
              <w:t xml:space="preserve"> lub plazmaferezy) / przełom miasteniczny w ciągu roku poprzedzającego rozpoczęcie leczenia </w:t>
            </w:r>
            <w:proofErr w:type="spellStart"/>
            <w:r w:rsidR="00612DDC">
              <w:rPr>
                <w:rFonts w:ascii="Times New Roman" w:hAnsi="Times New Roman"/>
                <w:sz w:val="20"/>
                <w:szCs w:val="20"/>
              </w:rPr>
              <w:t>ra</w:t>
            </w:r>
            <w:r w:rsidR="005E1D18">
              <w:rPr>
                <w:rFonts w:ascii="Times New Roman" w:hAnsi="Times New Roman"/>
                <w:sz w:val="20"/>
                <w:szCs w:val="20"/>
              </w:rPr>
              <w:t>w</w:t>
            </w:r>
            <w:r w:rsidR="00612DDC">
              <w:rPr>
                <w:rFonts w:ascii="Times New Roman" w:hAnsi="Times New Roman"/>
                <w:sz w:val="20"/>
                <w:szCs w:val="20"/>
              </w:rPr>
              <w:t>ulizumabem</w:t>
            </w:r>
            <w:proofErr w:type="spellEnd"/>
            <w:r w:rsidR="00612DDC">
              <w:rPr>
                <w:rFonts w:ascii="Times New Roman" w:hAnsi="Times New Roman"/>
                <w:sz w:val="20"/>
                <w:szCs w:val="20"/>
              </w:rPr>
              <w:t>,</w:t>
            </w:r>
          </w:p>
          <w:p w14:paraId="5E8BE87B" w14:textId="77777777" w:rsidR="000C5603" w:rsidRPr="000C5603" w:rsidRDefault="000C5603" w:rsidP="000C5603">
            <w:pPr>
              <w:spacing w:after="60"/>
              <w:ind w:left="452"/>
              <w:jc w:val="both"/>
              <w:rPr>
                <w:rFonts w:ascii="Times New Roman" w:hAnsi="Times New Roman"/>
                <w:sz w:val="20"/>
                <w:szCs w:val="20"/>
              </w:rPr>
            </w:pPr>
            <w:r w:rsidRPr="000C5603">
              <w:rPr>
                <w:rFonts w:ascii="Times New Roman" w:hAnsi="Times New Roman"/>
                <w:sz w:val="20"/>
                <w:szCs w:val="20"/>
              </w:rPr>
              <w:t>lub udokumentowane przeciwwskazania do stosowania w/w terapii,</w:t>
            </w:r>
          </w:p>
          <w:p w14:paraId="3862A1D5" w14:textId="77777777" w:rsidR="000C5603" w:rsidRPr="000C5603" w:rsidRDefault="000C5603" w:rsidP="000C5603">
            <w:pPr>
              <w:spacing w:after="60"/>
              <w:ind w:left="454"/>
              <w:jc w:val="both"/>
              <w:rPr>
                <w:rFonts w:ascii="Times New Roman" w:hAnsi="Times New Roman"/>
                <w:sz w:val="20"/>
                <w:szCs w:val="20"/>
              </w:rPr>
            </w:pPr>
            <w:r w:rsidRPr="000C5603">
              <w:rPr>
                <w:rFonts w:ascii="Times New Roman" w:hAnsi="Times New Roman"/>
                <w:sz w:val="20"/>
                <w:szCs w:val="20"/>
              </w:rPr>
              <w:t>lub brak tolerancji w/w terapii zgodnie z aktualną Charakterystyką Produktu Leczniczego;</w:t>
            </w:r>
          </w:p>
          <w:p w14:paraId="3AE7387A"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 xml:space="preserve">brak przeciwwskazań do stosowania </w:t>
            </w:r>
            <w:proofErr w:type="spellStart"/>
            <w:r w:rsidRPr="000C5603">
              <w:rPr>
                <w:rFonts w:ascii="Times New Roman" w:hAnsi="Times New Roman"/>
                <w:sz w:val="20"/>
                <w:szCs w:val="20"/>
              </w:rPr>
              <w:t>rawulizumabu</w:t>
            </w:r>
            <w:proofErr w:type="spellEnd"/>
            <w:r w:rsidRPr="000C5603">
              <w:rPr>
                <w:rFonts w:ascii="Times New Roman" w:hAnsi="Times New Roman"/>
                <w:sz w:val="20"/>
                <w:szCs w:val="20"/>
              </w:rPr>
              <w:t xml:space="preserve"> zgodnie z aktualną </w:t>
            </w:r>
            <w:proofErr w:type="spellStart"/>
            <w:r w:rsidRPr="000C5603">
              <w:rPr>
                <w:rFonts w:ascii="Times New Roman" w:hAnsi="Times New Roman"/>
                <w:sz w:val="20"/>
                <w:szCs w:val="20"/>
              </w:rPr>
              <w:t>ChPL</w:t>
            </w:r>
            <w:proofErr w:type="spellEnd"/>
            <w:r w:rsidRPr="000C5603">
              <w:rPr>
                <w:rFonts w:ascii="Times New Roman" w:hAnsi="Times New Roman"/>
                <w:sz w:val="20"/>
                <w:szCs w:val="20"/>
              </w:rPr>
              <w:t>;</w:t>
            </w:r>
          </w:p>
          <w:p w14:paraId="2FD48C56" w14:textId="6E3CBF00" w:rsidR="000C5603" w:rsidRPr="00612DDC" w:rsidRDefault="000C5603" w:rsidP="00612DDC">
            <w:pPr>
              <w:numPr>
                <w:ilvl w:val="3"/>
                <w:numId w:val="51"/>
              </w:numPr>
              <w:spacing w:after="60"/>
              <w:jc w:val="both"/>
              <w:rPr>
                <w:rFonts w:ascii="Times New Roman" w:hAnsi="Times New Roman"/>
                <w:sz w:val="20"/>
                <w:szCs w:val="20"/>
              </w:rPr>
            </w:pPr>
            <w:r w:rsidRPr="000C5603">
              <w:rPr>
                <w:rFonts w:ascii="Times New Roman" w:hAnsi="Times New Roman"/>
                <w:sz w:val="20"/>
                <w:szCs w:val="20"/>
              </w:rPr>
              <w:t>wykonanie szczepienia przeciw meningokokom</w:t>
            </w:r>
            <w:r w:rsidR="00DE2275">
              <w:rPr>
                <w:rFonts w:ascii="Times New Roman" w:hAnsi="Times New Roman"/>
                <w:sz w:val="20"/>
                <w:szCs w:val="20"/>
              </w:rPr>
              <w:t xml:space="preserve">, a </w:t>
            </w:r>
            <w:r w:rsidRPr="000C5603">
              <w:rPr>
                <w:rFonts w:ascii="Times New Roman" w:hAnsi="Times New Roman"/>
                <w:sz w:val="20"/>
                <w:szCs w:val="20"/>
              </w:rPr>
              <w:t>w przypadku konieczności wdrożenia leczenia przed upływem 2 tygodni po wykonaniu szczepienia przeciw meni</w:t>
            </w:r>
            <w:r w:rsidR="00DE2275">
              <w:rPr>
                <w:rFonts w:ascii="Times New Roman" w:hAnsi="Times New Roman"/>
                <w:sz w:val="20"/>
                <w:szCs w:val="20"/>
              </w:rPr>
              <w:t>n</w:t>
            </w:r>
            <w:r w:rsidRPr="000C5603">
              <w:rPr>
                <w:rFonts w:ascii="Times New Roman" w:hAnsi="Times New Roman"/>
                <w:sz w:val="20"/>
                <w:szCs w:val="20"/>
              </w:rPr>
              <w:t>gokokom - profilaktyka antybiotykowa</w:t>
            </w:r>
            <w:r w:rsidRPr="00612DDC">
              <w:rPr>
                <w:rFonts w:ascii="Times New Roman" w:hAnsi="Times New Roman"/>
                <w:sz w:val="20"/>
                <w:szCs w:val="20"/>
              </w:rPr>
              <w:t>.</w:t>
            </w:r>
          </w:p>
          <w:p w14:paraId="08188873" w14:textId="77777777" w:rsidR="000C5603" w:rsidRPr="000C5603" w:rsidRDefault="000C5603" w:rsidP="000C5603">
            <w:pPr>
              <w:spacing w:after="60"/>
              <w:jc w:val="both"/>
              <w:rPr>
                <w:rFonts w:ascii="Times New Roman" w:hAnsi="Times New Roman"/>
                <w:sz w:val="20"/>
                <w:szCs w:val="20"/>
              </w:rPr>
            </w:pPr>
          </w:p>
          <w:p w14:paraId="30376903" w14:textId="77777777" w:rsidR="000C5603" w:rsidRPr="000C5603" w:rsidRDefault="000C5603" w:rsidP="000C5603">
            <w:pPr>
              <w:spacing w:after="60"/>
              <w:jc w:val="both"/>
              <w:rPr>
                <w:rFonts w:ascii="Times New Roman" w:hAnsi="Times New Roman"/>
                <w:bCs/>
                <w:sz w:val="20"/>
                <w:szCs w:val="20"/>
              </w:rPr>
            </w:pPr>
            <w:r w:rsidRPr="000C5603">
              <w:rPr>
                <w:rFonts w:ascii="Times New Roman" w:hAnsi="Times New Roman"/>
                <w:sz w:val="20"/>
                <w:szCs w:val="20"/>
              </w:rPr>
              <w:t>Kryteria kwalifikacji w punkcie 1 oraz 1.3. muszą być spełnione łącznie.</w:t>
            </w:r>
          </w:p>
          <w:p w14:paraId="58C46BA2" w14:textId="77777777" w:rsidR="000C5603" w:rsidRPr="000C5603" w:rsidRDefault="000C5603" w:rsidP="000C5603">
            <w:pPr>
              <w:spacing w:after="60"/>
              <w:jc w:val="both"/>
              <w:rPr>
                <w:rFonts w:ascii="Times New Roman" w:hAnsi="Times New Roman"/>
                <w:bCs/>
                <w:sz w:val="20"/>
                <w:szCs w:val="20"/>
              </w:rPr>
            </w:pPr>
          </w:p>
          <w:p w14:paraId="02621400" w14:textId="77777777" w:rsidR="000C5603" w:rsidRPr="000C5603" w:rsidRDefault="000C5603" w:rsidP="000C5603">
            <w:pPr>
              <w:autoSpaceDE w:val="0"/>
              <w:autoSpaceDN w:val="0"/>
              <w:adjustRightInd w:val="0"/>
              <w:spacing w:after="60"/>
              <w:jc w:val="both"/>
              <w:rPr>
                <w:rFonts w:ascii="Times New Roman" w:eastAsia="Times New Roman" w:hAnsi="Times New Roman"/>
                <w:iCs/>
                <w:color w:val="000000"/>
                <w:sz w:val="20"/>
                <w:szCs w:val="20"/>
                <w:lang w:eastAsia="pl-PL"/>
              </w:rPr>
            </w:pPr>
            <w:r w:rsidRPr="000C5603">
              <w:rPr>
                <w:rFonts w:ascii="Times New Roman" w:eastAsia="Times New Roman" w:hAnsi="Times New Roman"/>
                <w:iCs/>
                <w:color w:val="000000"/>
                <w:sz w:val="20"/>
                <w:szCs w:val="20"/>
                <w:lang w:eastAsia="pl-PL"/>
              </w:rPr>
              <w:t xml:space="preserve">Ponadto do programu lekowego kwalifikowani są również pacjenci wymagający kontynuacji leczenia, którzy byli leczeni dotychczas w ramach innego sposobu finansowania terapii, za wyjątkiem trwających badań klinicznych, pod warunkiem, że w chwili rozpoczęcia leczenia </w:t>
            </w:r>
            <w:proofErr w:type="spellStart"/>
            <w:r w:rsidRPr="000C5603">
              <w:rPr>
                <w:rFonts w:ascii="Times New Roman" w:eastAsia="Times New Roman" w:hAnsi="Times New Roman"/>
                <w:iCs/>
                <w:color w:val="000000"/>
                <w:sz w:val="20"/>
                <w:szCs w:val="20"/>
                <w:lang w:eastAsia="pl-PL"/>
              </w:rPr>
              <w:t>rawulizumabem</w:t>
            </w:r>
            <w:proofErr w:type="spellEnd"/>
            <w:r w:rsidRPr="000C5603">
              <w:rPr>
                <w:rFonts w:ascii="Times New Roman" w:eastAsia="Times New Roman" w:hAnsi="Times New Roman"/>
                <w:iCs/>
                <w:color w:val="000000"/>
                <w:sz w:val="20"/>
                <w:szCs w:val="20"/>
                <w:lang w:eastAsia="pl-PL"/>
              </w:rPr>
              <w:t xml:space="preserve"> spełniali kryteria kwalifikacji do programu lekowego.</w:t>
            </w:r>
          </w:p>
          <w:p w14:paraId="07A5F7EE" w14:textId="77777777" w:rsidR="000C5603" w:rsidRPr="000C5603" w:rsidRDefault="000C5603" w:rsidP="000C5603">
            <w:pPr>
              <w:spacing w:after="60"/>
              <w:jc w:val="both"/>
              <w:rPr>
                <w:rFonts w:ascii="Times New Roman" w:hAnsi="Times New Roman"/>
                <w:bCs/>
                <w:sz w:val="20"/>
                <w:szCs w:val="20"/>
              </w:rPr>
            </w:pPr>
          </w:p>
          <w:p w14:paraId="05251439" w14:textId="77777777" w:rsidR="000C5603" w:rsidRPr="000C5603" w:rsidRDefault="000C5603" w:rsidP="000C5603">
            <w:pPr>
              <w:widowControl w:val="0"/>
              <w:numPr>
                <w:ilvl w:val="0"/>
                <w:numId w:val="51"/>
              </w:numPr>
              <w:spacing w:after="60"/>
              <w:jc w:val="both"/>
              <w:rPr>
                <w:rFonts w:ascii="Times New Roman" w:eastAsia="Times New Roman" w:hAnsi="Times New Roman"/>
                <w:b/>
                <w:sz w:val="20"/>
                <w:szCs w:val="20"/>
                <w:lang w:eastAsia="pl-PL"/>
              </w:rPr>
            </w:pPr>
            <w:r w:rsidRPr="000C5603">
              <w:rPr>
                <w:rFonts w:ascii="Times New Roman" w:eastAsia="Times New Roman" w:hAnsi="Times New Roman"/>
                <w:b/>
                <w:sz w:val="20"/>
                <w:szCs w:val="20"/>
                <w:lang w:eastAsia="pl-PL"/>
              </w:rPr>
              <w:t>Określenie czasu leczenia w programie</w:t>
            </w:r>
          </w:p>
          <w:p w14:paraId="7A857FFF" w14:textId="77777777" w:rsidR="000C5603" w:rsidRPr="000C5603" w:rsidRDefault="000C5603" w:rsidP="000C5603">
            <w:pPr>
              <w:spacing w:after="60"/>
              <w:jc w:val="both"/>
              <w:rPr>
                <w:rFonts w:ascii="Times New Roman" w:eastAsia="Times New Roman" w:hAnsi="Times New Roman"/>
                <w:iCs/>
                <w:sz w:val="20"/>
                <w:szCs w:val="20"/>
                <w:lang w:eastAsia="pl-PL"/>
              </w:rPr>
            </w:pPr>
            <w:r w:rsidRPr="000C5603">
              <w:rPr>
                <w:rFonts w:ascii="Times New Roman" w:eastAsia="Times New Roman" w:hAnsi="Times New Roman"/>
                <w:iCs/>
                <w:sz w:val="20"/>
                <w:szCs w:val="20"/>
                <w:lang w:eastAsia="pl-PL"/>
              </w:rPr>
              <w:t>Leczenie trwa do czasu podjęcia przez lekarza prowadzącego decyzji o wyłączeniu pacjenta z programu lekowego, zgodnie z kryteriami wyłączenia z programu lekowego określonymi w punkcie 3.</w:t>
            </w:r>
          </w:p>
          <w:p w14:paraId="6E8C5E83" w14:textId="77777777" w:rsidR="000C5603" w:rsidRPr="000C5603" w:rsidRDefault="000C5603" w:rsidP="000C5603">
            <w:pPr>
              <w:spacing w:after="60"/>
              <w:jc w:val="both"/>
              <w:rPr>
                <w:rFonts w:ascii="Times New Roman" w:eastAsia="Times New Roman" w:hAnsi="Times New Roman"/>
                <w:iCs/>
                <w:sz w:val="20"/>
                <w:szCs w:val="20"/>
                <w:lang w:eastAsia="pl-PL"/>
              </w:rPr>
            </w:pPr>
          </w:p>
          <w:p w14:paraId="1A12AAB9" w14:textId="77777777" w:rsidR="000C5603" w:rsidRPr="000C5603" w:rsidRDefault="000C5603" w:rsidP="000C5603">
            <w:pPr>
              <w:numPr>
                <w:ilvl w:val="0"/>
                <w:numId w:val="51"/>
              </w:numPr>
              <w:spacing w:after="60"/>
              <w:jc w:val="both"/>
              <w:rPr>
                <w:rFonts w:ascii="Times New Roman" w:eastAsia="Times New Roman" w:hAnsi="Times New Roman"/>
                <w:b/>
                <w:sz w:val="20"/>
                <w:szCs w:val="20"/>
                <w:lang w:eastAsia="pl-PL"/>
              </w:rPr>
            </w:pPr>
            <w:r w:rsidRPr="000C5603">
              <w:rPr>
                <w:rFonts w:ascii="Times New Roman" w:eastAsia="Times New Roman" w:hAnsi="Times New Roman"/>
                <w:b/>
                <w:sz w:val="20"/>
                <w:szCs w:val="20"/>
                <w:lang w:eastAsia="pl-PL"/>
              </w:rPr>
              <w:t>Kryteria wyłączenia z programu</w:t>
            </w:r>
          </w:p>
          <w:p w14:paraId="65DFFCBC" w14:textId="1C62F50E" w:rsidR="00612DDC" w:rsidRPr="00612DDC" w:rsidRDefault="000C5603" w:rsidP="00612DDC">
            <w:pPr>
              <w:numPr>
                <w:ilvl w:val="3"/>
                <w:numId w:val="51"/>
              </w:numPr>
              <w:spacing w:after="60"/>
              <w:jc w:val="both"/>
              <w:rPr>
                <w:rFonts w:ascii="Times New Roman" w:hAnsi="Times New Roman"/>
                <w:sz w:val="20"/>
                <w:szCs w:val="20"/>
              </w:rPr>
            </w:pPr>
            <w:r w:rsidRPr="000C5603">
              <w:rPr>
                <w:rFonts w:ascii="Times New Roman" w:hAnsi="Times New Roman"/>
                <w:sz w:val="20"/>
                <w:szCs w:val="20"/>
              </w:rPr>
              <w:t xml:space="preserve">w przypadku terapii </w:t>
            </w:r>
            <w:proofErr w:type="spellStart"/>
            <w:r w:rsidRPr="000C5603">
              <w:rPr>
                <w:rFonts w:ascii="Times New Roman" w:hAnsi="Times New Roman"/>
                <w:sz w:val="20"/>
                <w:szCs w:val="20"/>
              </w:rPr>
              <w:t>rytuksymabem</w:t>
            </w:r>
            <w:proofErr w:type="spellEnd"/>
            <w:r w:rsidRPr="000C5603">
              <w:rPr>
                <w:rFonts w:ascii="Times New Roman" w:hAnsi="Times New Roman"/>
                <w:sz w:val="20"/>
                <w:szCs w:val="20"/>
              </w:rPr>
              <w:t xml:space="preserve"> brak skuteczności terapii definiowanej jako brak co najmniej 2-punktowej redukcji całkowitego wyniku w skali MG-ADL w porównaniu z punktem początkowym oceniane co 3 miesiące w pierwszym roku leczenia, a następnie do 6 miesięcy;</w:t>
            </w:r>
          </w:p>
          <w:p w14:paraId="10D3AC8F" w14:textId="77777777" w:rsid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 xml:space="preserve">w przypadku terapii </w:t>
            </w:r>
            <w:proofErr w:type="spellStart"/>
            <w:r w:rsidRPr="000C5603">
              <w:rPr>
                <w:rFonts w:ascii="Times New Roman" w:hAnsi="Times New Roman"/>
                <w:sz w:val="20"/>
                <w:szCs w:val="20"/>
              </w:rPr>
              <w:t>efgartigimodem</w:t>
            </w:r>
            <w:proofErr w:type="spellEnd"/>
            <w:r w:rsidRPr="000C5603">
              <w:rPr>
                <w:rFonts w:ascii="Times New Roman" w:hAnsi="Times New Roman"/>
                <w:sz w:val="20"/>
                <w:szCs w:val="20"/>
              </w:rPr>
              <w:t xml:space="preserve"> alfa brak skuteczności terapii definiowanej jako brak co najmniej 2-punktowej redukcji całkowitego wyniku w skali MG-ADL w porównaniu z punktem początkowym cyklu leczenia, utrzymującej się przez co najmniej 4 kolejne tygodnie;</w:t>
            </w:r>
          </w:p>
          <w:p w14:paraId="65340F2E" w14:textId="3A814EA4" w:rsidR="00612DDC" w:rsidRPr="000C5603" w:rsidRDefault="00612DDC"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 xml:space="preserve">w przypadku terapii </w:t>
            </w:r>
            <w:proofErr w:type="spellStart"/>
            <w:r w:rsidRPr="000C5603">
              <w:rPr>
                <w:rFonts w:ascii="Times New Roman" w:hAnsi="Times New Roman"/>
                <w:sz w:val="20"/>
                <w:szCs w:val="20"/>
              </w:rPr>
              <w:t>rawulizumabem</w:t>
            </w:r>
            <w:proofErr w:type="spellEnd"/>
            <w:r w:rsidRPr="000C5603">
              <w:rPr>
                <w:rFonts w:ascii="Times New Roman" w:hAnsi="Times New Roman"/>
                <w:sz w:val="20"/>
                <w:szCs w:val="20"/>
              </w:rPr>
              <w:t xml:space="preserve"> brak skuteczności terapii definiowanej jako brak co najmniej 2-punktowej redukcji całkowitego wyniku w skali MG-ADL w porównaniu z punktem początkowym oceniane co </w:t>
            </w:r>
            <w:r>
              <w:rPr>
                <w:rFonts w:ascii="Times New Roman" w:hAnsi="Times New Roman"/>
                <w:sz w:val="20"/>
                <w:szCs w:val="20"/>
              </w:rPr>
              <w:t>4</w:t>
            </w:r>
            <w:r w:rsidRPr="000C5603">
              <w:rPr>
                <w:rFonts w:ascii="Times New Roman" w:hAnsi="Times New Roman"/>
                <w:sz w:val="20"/>
                <w:szCs w:val="20"/>
              </w:rPr>
              <w:t xml:space="preserve"> miesiące w pierwszym roku leczenia, a następnie </w:t>
            </w:r>
            <w:r w:rsidR="005E1D18">
              <w:rPr>
                <w:rFonts w:ascii="Times New Roman" w:hAnsi="Times New Roman"/>
                <w:sz w:val="20"/>
                <w:szCs w:val="20"/>
              </w:rPr>
              <w:t>c</w:t>
            </w:r>
            <w:r w:rsidRPr="000C5603">
              <w:rPr>
                <w:rFonts w:ascii="Times New Roman" w:hAnsi="Times New Roman"/>
                <w:sz w:val="20"/>
                <w:szCs w:val="20"/>
              </w:rPr>
              <w:t>o 6 miesięcy;</w:t>
            </w:r>
          </w:p>
          <w:p w14:paraId="238F95C9"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wystąpienie chorób lub stanów, które w opinii lekarza prowadzącego uniemożliwiają kontynuację leczenia;</w:t>
            </w:r>
          </w:p>
          <w:p w14:paraId="5671FD76"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wystąpienie działań niepożądanych, które w opinii lekarza prowadzącego uniemożliwiają kontynuację leczenia;</w:t>
            </w:r>
          </w:p>
          <w:p w14:paraId="6E156F9B"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wystąpienie nadwrażliwości na lek lub substancję pomocniczą uniemożliwiające kontynuację leczenia;</w:t>
            </w:r>
          </w:p>
          <w:p w14:paraId="4767820C"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lastRenderedPageBreak/>
              <w:t>wystąpienie zagrażającej życiu albo nieakceptowalnej toksyczności pomimo zastosowania adekwatnego postępowania;</w:t>
            </w:r>
          </w:p>
          <w:p w14:paraId="68F4E032" w14:textId="77777777" w:rsidR="000C5603" w:rsidRPr="000C5603" w:rsidRDefault="000C5603" w:rsidP="000C5603">
            <w:pPr>
              <w:numPr>
                <w:ilvl w:val="3"/>
                <w:numId w:val="51"/>
              </w:numPr>
              <w:spacing w:after="60"/>
              <w:jc w:val="both"/>
              <w:rPr>
                <w:rFonts w:ascii="Times New Roman" w:hAnsi="Times New Roman"/>
                <w:sz w:val="20"/>
                <w:szCs w:val="20"/>
              </w:rPr>
            </w:pPr>
            <w:r w:rsidRPr="000C5603">
              <w:rPr>
                <w:rFonts w:ascii="Times New Roman" w:hAnsi="Times New Roman"/>
                <w:sz w:val="20"/>
                <w:szCs w:val="20"/>
              </w:rPr>
              <w:t>brak współpracy lub nieprzestrzeganie zaleceń lekarskich ze strony świadczeniobiorcy dotyczących okresowych badań kontrolnych oceniających skuteczność i bezpieczeństwo leczenia.</w:t>
            </w:r>
          </w:p>
          <w:p w14:paraId="1549D634" w14:textId="77777777" w:rsidR="000C5603" w:rsidRPr="000C5603" w:rsidRDefault="000C5603" w:rsidP="000C5603">
            <w:pPr>
              <w:spacing w:after="60"/>
              <w:ind w:left="907"/>
              <w:jc w:val="both"/>
              <w:rPr>
                <w:rFonts w:ascii="Times New Roman" w:hAnsi="Times New Roman"/>
                <w:iCs/>
                <w:sz w:val="20"/>
                <w:szCs w:val="20"/>
              </w:rPr>
            </w:pPr>
          </w:p>
          <w:p w14:paraId="4CAB3BEB" w14:textId="77777777" w:rsidR="000C5603" w:rsidRPr="000C5603" w:rsidRDefault="000C5603" w:rsidP="000C5603">
            <w:pPr>
              <w:numPr>
                <w:ilvl w:val="0"/>
                <w:numId w:val="51"/>
              </w:numPr>
              <w:spacing w:after="60"/>
              <w:jc w:val="both"/>
              <w:rPr>
                <w:rFonts w:ascii="Times New Roman" w:hAnsi="Times New Roman"/>
                <w:b/>
                <w:bCs/>
                <w:iCs/>
                <w:sz w:val="20"/>
                <w:szCs w:val="20"/>
              </w:rPr>
            </w:pPr>
            <w:r w:rsidRPr="000C5603">
              <w:rPr>
                <w:rFonts w:ascii="Times New Roman" w:hAnsi="Times New Roman"/>
                <w:b/>
                <w:bCs/>
                <w:iCs/>
                <w:sz w:val="20"/>
                <w:szCs w:val="20"/>
              </w:rPr>
              <w:t>Zmiana leczenia</w:t>
            </w:r>
          </w:p>
          <w:p w14:paraId="60267498" w14:textId="77777777" w:rsidR="000C5603" w:rsidRPr="000C5603" w:rsidRDefault="000C5603" w:rsidP="000C5603">
            <w:pPr>
              <w:spacing w:after="60"/>
              <w:jc w:val="both"/>
              <w:rPr>
                <w:rFonts w:ascii="Times New Roman" w:hAnsi="Times New Roman"/>
                <w:iCs/>
                <w:sz w:val="20"/>
                <w:szCs w:val="20"/>
              </w:rPr>
            </w:pPr>
            <w:r w:rsidRPr="000C5603">
              <w:rPr>
                <w:rFonts w:ascii="Times New Roman" w:hAnsi="Times New Roman"/>
                <w:iCs/>
                <w:sz w:val="20"/>
                <w:szCs w:val="20"/>
              </w:rPr>
              <w:t xml:space="preserve">Zmiana terapii z </w:t>
            </w:r>
            <w:proofErr w:type="spellStart"/>
            <w:r w:rsidRPr="000C5603">
              <w:rPr>
                <w:rFonts w:ascii="Times New Roman" w:hAnsi="Times New Roman"/>
                <w:iCs/>
                <w:sz w:val="20"/>
                <w:szCs w:val="20"/>
              </w:rPr>
              <w:t>efgartigimodu</w:t>
            </w:r>
            <w:proofErr w:type="spellEnd"/>
            <w:r w:rsidRPr="000C5603">
              <w:rPr>
                <w:rFonts w:ascii="Times New Roman" w:hAnsi="Times New Roman"/>
                <w:iCs/>
                <w:sz w:val="20"/>
                <w:szCs w:val="20"/>
              </w:rPr>
              <w:t xml:space="preserve"> alfa na </w:t>
            </w:r>
            <w:proofErr w:type="spellStart"/>
            <w:r w:rsidRPr="000C5603">
              <w:rPr>
                <w:rFonts w:ascii="Times New Roman" w:hAnsi="Times New Roman"/>
                <w:iCs/>
                <w:sz w:val="20"/>
                <w:szCs w:val="20"/>
              </w:rPr>
              <w:t>rawulizumab</w:t>
            </w:r>
            <w:proofErr w:type="spellEnd"/>
            <w:r w:rsidRPr="000C5603">
              <w:rPr>
                <w:rFonts w:ascii="Times New Roman" w:hAnsi="Times New Roman"/>
                <w:iCs/>
                <w:sz w:val="20"/>
                <w:szCs w:val="20"/>
              </w:rPr>
              <w:t xml:space="preserve"> oraz z </w:t>
            </w:r>
            <w:proofErr w:type="spellStart"/>
            <w:r w:rsidRPr="000C5603">
              <w:rPr>
                <w:rFonts w:ascii="Times New Roman" w:hAnsi="Times New Roman"/>
                <w:iCs/>
                <w:sz w:val="20"/>
                <w:szCs w:val="20"/>
              </w:rPr>
              <w:t>rawulizumabu</w:t>
            </w:r>
            <w:proofErr w:type="spellEnd"/>
            <w:r w:rsidRPr="000C5603">
              <w:rPr>
                <w:rFonts w:ascii="Times New Roman" w:hAnsi="Times New Roman"/>
                <w:iCs/>
                <w:sz w:val="20"/>
                <w:szCs w:val="20"/>
              </w:rPr>
              <w:t xml:space="preserve"> na </w:t>
            </w:r>
            <w:proofErr w:type="spellStart"/>
            <w:r w:rsidRPr="000C5603">
              <w:rPr>
                <w:rFonts w:ascii="Times New Roman" w:hAnsi="Times New Roman"/>
                <w:iCs/>
                <w:sz w:val="20"/>
                <w:szCs w:val="20"/>
              </w:rPr>
              <w:t>efgartigimod</w:t>
            </w:r>
            <w:proofErr w:type="spellEnd"/>
            <w:r w:rsidRPr="000C5603">
              <w:rPr>
                <w:rFonts w:ascii="Times New Roman" w:hAnsi="Times New Roman"/>
                <w:iCs/>
                <w:sz w:val="20"/>
                <w:szCs w:val="20"/>
              </w:rPr>
              <w:t xml:space="preserve"> alfa jest możliwa w przypadku:</w:t>
            </w:r>
          </w:p>
          <w:p w14:paraId="3E53DD56" w14:textId="77777777" w:rsidR="000C5603" w:rsidRPr="000C5603" w:rsidRDefault="000C5603" w:rsidP="000C5603">
            <w:pPr>
              <w:numPr>
                <w:ilvl w:val="0"/>
                <w:numId w:val="53"/>
              </w:numPr>
              <w:spacing w:after="60"/>
              <w:ind w:left="454" w:hanging="227"/>
              <w:jc w:val="both"/>
              <w:rPr>
                <w:rFonts w:ascii="Times New Roman" w:hAnsi="Times New Roman"/>
                <w:iCs/>
                <w:sz w:val="20"/>
                <w:szCs w:val="20"/>
              </w:rPr>
            </w:pPr>
            <w:r w:rsidRPr="000C5603">
              <w:rPr>
                <w:rFonts w:ascii="Times New Roman" w:hAnsi="Times New Roman"/>
                <w:iCs/>
                <w:sz w:val="20"/>
                <w:szCs w:val="20"/>
              </w:rPr>
              <w:t xml:space="preserve">wystąpienia przeciwwskazań zgodnych z aktualną </w:t>
            </w:r>
            <w:proofErr w:type="spellStart"/>
            <w:r w:rsidRPr="000C5603">
              <w:rPr>
                <w:rFonts w:ascii="Times New Roman" w:hAnsi="Times New Roman"/>
                <w:iCs/>
                <w:sz w:val="20"/>
                <w:szCs w:val="20"/>
              </w:rPr>
              <w:t>ChPL</w:t>
            </w:r>
            <w:proofErr w:type="spellEnd"/>
            <w:r w:rsidRPr="000C5603">
              <w:rPr>
                <w:rFonts w:ascii="Times New Roman" w:hAnsi="Times New Roman"/>
                <w:iCs/>
                <w:sz w:val="20"/>
                <w:szCs w:val="20"/>
              </w:rPr>
              <w:t>;</w:t>
            </w:r>
          </w:p>
          <w:p w14:paraId="325EF838" w14:textId="77777777" w:rsidR="000C5603" w:rsidRPr="000C5603" w:rsidRDefault="000C5603" w:rsidP="000C5603">
            <w:pPr>
              <w:numPr>
                <w:ilvl w:val="0"/>
                <w:numId w:val="53"/>
              </w:numPr>
              <w:spacing w:after="60"/>
              <w:ind w:left="454" w:hanging="227"/>
              <w:jc w:val="both"/>
              <w:rPr>
                <w:rFonts w:ascii="Times New Roman" w:hAnsi="Times New Roman"/>
                <w:iCs/>
                <w:sz w:val="20"/>
                <w:szCs w:val="20"/>
              </w:rPr>
            </w:pPr>
            <w:r w:rsidRPr="000C5603">
              <w:rPr>
                <w:rFonts w:ascii="Times New Roman" w:hAnsi="Times New Roman"/>
                <w:iCs/>
                <w:sz w:val="20"/>
                <w:szCs w:val="20"/>
              </w:rPr>
              <w:t>braku skuteczności opisanej w pkt. 3.;</w:t>
            </w:r>
          </w:p>
          <w:p w14:paraId="00655D3B" w14:textId="77777777" w:rsidR="000C5603" w:rsidRPr="000C5603" w:rsidRDefault="000C5603" w:rsidP="000C5603">
            <w:pPr>
              <w:spacing w:after="60"/>
              <w:jc w:val="both"/>
              <w:rPr>
                <w:rFonts w:ascii="Times New Roman" w:hAnsi="Times New Roman"/>
                <w:iCs/>
                <w:sz w:val="20"/>
                <w:szCs w:val="20"/>
              </w:rPr>
            </w:pPr>
            <w:r w:rsidRPr="000C5603">
              <w:rPr>
                <w:rFonts w:ascii="Times New Roman" w:hAnsi="Times New Roman"/>
                <w:iCs/>
                <w:sz w:val="20"/>
                <w:szCs w:val="20"/>
              </w:rPr>
              <w:t>przy założeniu spełnienia kryteriów kwalifikacji do danej terapii.</w:t>
            </w:r>
          </w:p>
          <w:p w14:paraId="1C3C65D9" w14:textId="77777777" w:rsidR="000C5603" w:rsidRDefault="000C5603" w:rsidP="000C5603">
            <w:pPr>
              <w:spacing w:after="60"/>
              <w:jc w:val="both"/>
              <w:rPr>
                <w:rFonts w:ascii="Times New Roman" w:hAnsi="Times New Roman"/>
                <w:iCs/>
                <w:sz w:val="20"/>
                <w:szCs w:val="20"/>
              </w:rPr>
            </w:pPr>
            <w:r w:rsidRPr="000C5603">
              <w:rPr>
                <w:rFonts w:ascii="Times New Roman" w:hAnsi="Times New Roman"/>
                <w:iCs/>
                <w:sz w:val="20"/>
                <w:szCs w:val="20"/>
              </w:rPr>
              <w:t>Przy zmianie terapii do oceny skuteczności należy wziąć pod uwagę okres przed rozpoczęciem leczenia substancją, która stosowana była przed zmianą.</w:t>
            </w:r>
          </w:p>
          <w:p w14:paraId="4BB64E97" w14:textId="77777777" w:rsidR="005E1D18" w:rsidRPr="000C5603" w:rsidRDefault="005E1D18" w:rsidP="000C5603">
            <w:pPr>
              <w:spacing w:after="60"/>
              <w:jc w:val="both"/>
              <w:rPr>
                <w:rFonts w:ascii="Times New Roman" w:hAnsi="Times New Roman"/>
                <w:iCs/>
                <w:sz w:val="20"/>
                <w:szCs w:val="20"/>
              </w:rPr>
            </w:pPr>
          </w:p>
        </w:tc>
        <w:tc>
          <w:tcPr>
            <w:tcW w:w="1335" w:type="pct"/>
          </w:tcPr>
          <w:p w14:paraId="2BF1CC80" w14:textId="77777777" w:rsidR="000C5603" w:rsidRPr="000C5603" w:rsidRDefault="000C5603" w:rsidP="000C5603">
            <w:pPr>
              <w:spacing w:before="120" w:after="60"/>
              <w:jc w:val="both"/>
              <w:rPr>
                <w:rFonts w:ascii="Times New Roman" w:hAnsi="Times New Roman"/>
                <w:sz w:val="20"/>
                <w:szCs w:val="20"/>
              </w:rPr>
            </w:pPr>
            <w:r w:rsidRPr="000C5603">
              <w:rPr>
                <w:rFonts w:ascii="Times New Roman" w:hAnsi="Times New Roman"/>
                <w:sz w:val="20"/>
                <w:szCs w:val="20"/>
              </w:rPr>
              <w:lastRenderedPageBreak/>
              <w:t>Sposób podawania oraz ewentualne czasowe wstrzymania leczenia, prowadzone zgodnie z aktualnymi Charakterystykami Produktu Leczniczego (</w:t>
            </w:r>
            <w:proofErr w:type="spellStart"/>
            <w:r w:rsidRPr="000C5603">
              <w:rPr>
                <w:rFonts w:ascii="Times New Roman" w:hAnsi="Times New Roman"/>
                <w:sz w:val="20"/>
                <w:szCs w:val="20"/>
              </w:rPr>
              <w:t>ChPL</w:t>
            </w:r>
            <w:proofErr w:type="spellEnd"/>
            <w:r w:rsidRPr="000C5603">
              <w:rPr>
                <w:rFonts w:ascii="Times New Roman" w:hAnsi="Times New Roman"/>
                <w:sz w:val="20"/>
                <w:szCs w:val="20"/>
              </w:rPr>
              <w:t>) lub przyjętą praktyką kliniczną.</w:t>
            </w:r>
          </w:p>
          <w:p w14:paraId="763F23F6" w14:textId="77777777" w:rsidR="000C5603" w:rsidRPr="000C5603" w:rsidRDefault="000C5603" w:rsidP="000C5603">
            <w:pPr>
              <w:widowControl w:val="0"/>
              <w:spacing w:before="120" w:after="60"/>
              <w:jc w:val="both"/>
              <w:rPr>
                <w:rFonts w:ascii="Times New Roman" w:hAnsi="Times New Roman"/>
                <w:b/>
                <w:bCs/>
                <w:spacing w:val="4"/>
                <w:sz w:val="20"/>
                <w:szCs w:val="20"/>
              </w:rPr>
            </w:pPr>
          </w:p>
          <w:p w14:paraId="6F538FEC" w14:textId="77777777" w:rsidR="000C5603" w:rsidRPr="000C5603" w:rsidRDefault="000C5603" w:rsidP="000C5603">
            <w:pPr>
              <w:widowControl w:val="0"/>
              <w:numPr>
                <w:ilvl w:val="0"/>
                <w:numId w:val="14"/>
              </w:numPr>
              <w:spacing w:before="120" w:after="60"/>
              <w:jc w:val="both"/>
              <w:rPr>
                <w:rFonts w:ascii="Times New Roman" w:hAnsi="Times New Roman"/>
                <w:b/>
                <w:bCs/>
                <w:spacing w:val="4"/>
                <w:sz w:val="20"/>
                <w:szCs w:val="20"/>
              </w:rPr>
            </w:pPr>
            <w:r w:rsidRPr="000C5603">
              <w:rPr>
                <w:rFonts w:ascii="Times New Roman" w:hAnsi="Times New Roman"/>
                <w:b/>
                <w:bCs/>
                <w:spacing w:val="4"/>
                <w:sz w:val="20"/>
                <w:szCs w:val="20"/>
              </w:rPr>
              <w:t xml:space="preserve">Dawkowanie </w:t>
            </w:r>
            <w:proofErr w:type="spellStart"/>
            <w:r w:rsidRPr="000C5603">
              <w:rPr>
                <w:rFonts w:ascii="Times New Roman" w:hAnsi="Times New Roman"/>
                <w:b/>
                <w:bCs/>
                <w:spacing w:val="4"/>
                <w:sz w:val="20"/>
                <w:szCs w:val="20"/>
              </w:rPr>
              <w:t>rytuksymabu</w:t>
            </w:r>
            <w:proofErr w:type="spellEnd"/>
          </w:p>
          <w:p w14:paraId="73C53ECD" w14:textId="77777777" w:rsidR="000C5603" w:rsidRPr="000C5603" w:rsidRDefault="000C5603" w:rsidP="000C5603">
            <w:pPr>
              <w:spacing w:after="60"/>
              <w:jc w:val="both"/>
              <w:rPr>
                <w:rFonts w:ascii="Times New Roman" w:hAnsi="Times New Roman"/>
                <w:sz w:val="20"/>
                <w:szCs w:val="20"/>
                <w:u w:val="single"/>
              </w:rPr>
            </w:pPr>
            <w:r w:rsidRPr="000C5603">
              <w:rPr>
                <w:rFonts w:ascii="Times New Roman" w:hAnsi="Times New Roman"/>
                <w:sz w:val="20"/>
                <w:szCs w:val="20"/>
                <w:u w:val="single"/>
              </w:rPr>
              <w:t>Leczenie inicjujące:</w:t>
            </w:r>
          </w:p>
          <w:p w14:paraId="7107383A"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 xml:space="preserve">Maksymalna dawka </w:t>
            </w:r>
            <w:proofErr w:type="spellStart"/>
            <w:r w:rsidRPr="000C5603">
              <w:rPr>
                <w:rFonts w:ascii="Times New Roman" w:hAnsi="Times New Roman"/>
                <w:sz w:val="20"/>
                <w:szCs w:val="20"/>
              </w:rPr>
              <w:t>rytuksymabu</w:t>
            </w:r>
            <w:proofErr w:type="spellEnd"/>
            <w:r w:rsidRPr="000C5603">
              <w:rPr>
                <w:rFonts w:ascii="Times New Roman" w:hAnsi="Times New Roman"/>
                <w:sz w:val="20"/>
                <w:szCs w:val="20"/>
              </w:rPr>
              <w:t xml:space="preserve"> (</w:t>
            </w:r>
            <w:proofErr w:type="spellStart"/>
            <w:r w:rsidRPr="000C5603">
              <w:rPr>
                <w:rFonts w:ascii="Times New Roman" w:hAnsi="Times New Roman"/>
                <w:sz w:val="20"/>
                <w:szCs w:val="20"/>
              </w:rPr>
              <w:t>i.v</w:t>
            </w:r>
            <w:proofErr w:type="spellEnd"/>
            <w:r w:rsidRPr="000C5603">
              <w:rPr>
                <w:rFonts w:ascii="Times New Roman" w:hAnsi="Times New Roman"/>
                <w:sz w:val="20"/>
                <w:szCs w:val="20"/>
              </w:rPr>
              <w:t>.):</w:t>
            </w:r>
          </w:p>
          <w:p w14:paraId="3D050FB8" w14:textId="77777777" w:rsidR="000C5603" w:rsidRPr="000C5603" w:rsidRDefault="000C5603" w:rsidP="000C5603">
            <w:pPr>
              <w:numPr>
                <w:ilvl w:val="3"/>
                <w:numId w:val="28"/>
              </w:numPr>
              <w:spacing w:after="60"/>
              <w:ind w:left="322" w:hanging="322"/>
              <w:jc w:val="both"/>
              <w:rPr>
                <w:rFonts w:ascii="Times New Roman" w:hAnsi="Times New Roman"/>
                <w:sz w:val="20"/>
                <w:szCs w:val="20"/>
              </w:rPr>
            </w:pPr>
            <w:r w:rsidRPr="000C5603">
              <w:rPr>
                <w:rFonts w:ascii="Times New Roman" w:hAnsi="Times New Roman"/>
                <w:sz w:val="20"/>
                <w:szCs w:val="20"/>
              </w:rPr>
              <w:t>375 mg/m</w:t>
            </w:r>
            <w:r w:rsidRPr="000C5603">
              <w:rPr>
                <w:rFonts w:ascii="Times New Roman" w:hAnsi="Times New Roman"/>
                <w:sz w:val="20"/>
                <w:szCs w:val="20"/>
                <w:vertAlign w:val="superscript"/>
              </w:rPr>
              <w:t>2</w:t>
            </w:r>
            <w:r w:rsidRPr="000C5603">
              <w:rPr>
                <w:rFonts w:ascii="Times New Roman" w:hAnsi="Times New Roman"/>
                <w:sz w:val="20"/>
                <w:szCs w:val="20"/>
              </w:rPr>
              <w:t xml:space="preserve"> pow. ciała podawana co tydzień przez 4 kolejne tygodnie,</w:t>
            </w:r>
          </w:p>
          <w:p w14:paraId="0638C90F"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lub</w:t>
            </w:r>
          </w:p>
          <w:p w14:paraId="4B85F54D" w14:textId="77777777" w:rsidR="000C5603" w:rsidRPr="000C5603" w:rsidRDefault="000C5603" w:rsidP="000C5603">
            <w:pPr>
              <w:numPr>
                <w:ilvl w:val="3"/>
                <w:numId w:val="28"/>
              </w:numPr>
              <w:spacing w:after="60"/>
              <w:ind w:left="322" w:hanging="322"/>
              <w:jc w:val="both"/>
              <w:rPr>
                <w:rFonts w:ascii="Times New Roman" w:hAnsi="Times New Roman"/>
                <w:sz w:val="20"/>
                <w:szCs w:val="20"/>
              </w:rPr>
            </w:pPr>
            <w:r w:rsidRPr="000C5603">
              <w:rPr>
                <w:rFonts w:ascii="Times New Roman" w:hAnsi="Times New Roman"/>
                <w:sz w:val="20"/>
                <w:szCs w:val="20"/>
              </w:rPr>
              <w:t>dwie dawki po 1 g w odstępie 2 tygodni.</w:t>
            </w:r>
          </w:p>
          <w:p w14:paraId="6D20754B" w14:textId="77777777" w:rsidR="000C5603" w:rsidRPr="000C5603" w:rsidRDefault="000C5603" w:rsidP="000C5603">
            <w:pPr>
              <w:spacing w:after="60"/>
              <w:jc w:val="both"/>
              <w:rPr>
                <w:rFonts w:ascii="Times New Roman" w:hAnsi="Times New Roman"/>
                <w:sz w:val="20"/>
                <w:szCs w:val="20"/>
              </w:rPr>
            </w:pPr>
          </w:p>
          <w:p w14:paraId="1140B4C9" w14:textId="77777777" w:rsidR="000C5603" w:rsidRPr="000C5603" w:rsidRDefault="000C5603" w:rsidP="000C5603">
            <w:pPr>
              <w:spacing w:after="60"/>
              <w:jc w:val="both"/>
              <w:rPr>
                <w:rFonts w:ascii="Times New Roman" w:hAnsi="Times New Roman"/>
                <w:sz w:val="20"/>
                <w:szCs w:val="20"/>
                <w:u w:val="single"/>
              </w:rPr>
            </w:pPr>
            <w:r w:rsidRPr="000C5603">
              <w:rPr>
                <w:rFonts w:ascii="Times New Roman" w:hAnsi="Times New Roman"/>
                <w:sz w:val="20"/>
                <w:szCs w:val="20"/>
                <w:u w:val="single"/>
              </w:rPr>
              <w:t>Leczenie podtrzymujące:</w:t>
            </w:r>
          </w:p>
          <w:p w14:paraId="7A644447"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 xml:space="preserve">Maksymalna dawka </w:t>
            </w:r>
            <w:proofErr w:type="spellStart"/>
            <w:r w:rsidRPr="000C5603">
              <w:rPr>
                <w:rFonts w:ascii="Times New Roman" w:hAnsi="Times New Roman"/>
                <w:sz w:val="20"/>
                <w:szCs w:val="20"/>
              </w:rPr>
              <w:t>rytuksymabu</w:t>
            </w:r>
            <w:proofErr w:type="spellEnd"/>
            <w:r w:rsidRPr="000C5603">
              <w:rPr>
                <w:rFonts w:ascii="Times New Roman" w:hAnsi="Times New Roman"/>
                <w:sz w:val="20"/>
                <w:szCs w:val="20"/>
              </w:rPr>
              <w:t xml:space="preserve"> (</w:t>
            </w:r>
            <w:proofErr w:type="spellStart"/>
            <w:r w:rsidRPr="000C5603">
              <w:rPr>
                <w:rFonts w:ascii="Times New Roman" w:hAnsi="Times New Roman"/>
                <w:sz w:val="20"/>
                <w:szCs w:val="20"/>
              </w:rPr>
              <w:t>i.v</w:t>
            </w:r>
            <w:proofErr w:type="spellEnd"/>
            <w:r w:rsidRPr="000C5603">
              <w:rPr>
                <w:rFonts w:ascii="Times New Roman" w:hAnsi="Times New Roman"/>
                <w:sz w:val="20"/>
                <w:szCs w:val="20"/>
              </w:rPr>
              <w:t>.):</w:t>
            </w:r>
          </w:p>
          <w:p w14:paraId="739C6003" w14:textId="77777777" w:rsidR="000C5603" w:rsidRPr="000C5603" w:rsidRDefault="000C5603" w:rsidP="000C5603">
            <w:pPr>
              <w:numPr>
                <w:ilvl w:val="3"/>
                <w:numId w:val="48"/>
              </w:numPr>
              <w:spacing w:after="60"/>
              <w:ind w:hanging="558"/>
              <w:jc w:val="both"/>
              <w:rPr>
                <w:rFonts w:ascii="Times New Roman" w:hAnsi="Times New Roman"/>
                <w:sz w:val="20"/>
                <w:szCs w:val="20"/>
              </w:rPr>
            </w:pPr>
            <w:r w:rsidRPr="000C5603">
              <w:rPr>
                <w:rFonts w:ascii="Times New Roman" w:hAnsi="Times New Roman"/>
                <w:sz w:val="20"/>
                <w:szCs w:val="20"/>
              </w:rPr>
              <w:t>375 mg/m</w:t>
            </w:r>
            <w:r w:rsidRPr="000C5603">
              <w:rPr>
                <w:rFonts w:ascii="Times New Roman" w:hAnsi="Times New Roman"/>
                <w:sz w:val="20"/>
                <w:szCs w:val="20"/>
                <w:vertAlign w:val="superscript"/>
              </w:rPr>
              <w:t>2</w:t>
            </w:r>
            <w:r w:rsidRPr="000C5603">
              <w:rPr>
                <w:rFonts w:ascii="Times New Roman" w:hAnsi="Times New Roman"/>
                <w:sz w:val="20"/>
                <w:szCs w:val="20"/>
              </w:rPr>
              <w:t xml:space="preserve"> pow. ciała,</w:t>
            </w:r>
          </w:p>
          <w:p w14:paraId="511C359F"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lub</w:t>
            </w:r>
          </w:p>
          <w:p w14:paraId="4241E935" w14:textId="77777777" w:rsidR="000C5603" w:rsidRPr="000C5603" w:rsidRDefault="000C5603" w:rsidP="000C5603">
            <w:pPr>
              <w:numPr>
                <w:ilvl w:val="3"/>
                <w:numId w:val="48"/>
              </w:numPr>
              <w:spacing w:after="60"/>
              <w:ind w:hanging="558"/>
              <w:jc w:val="both"/>
              <w:rPr>
                <w:rFonts w:ascii="Times New Roman" w:hAnsi="Times New Roman"/>
                <w:sz w:val="20"/>
                <w:szCs w:val="20"/>
              </w:rPr>
            </w:pPr>
            <w:r w:rsidRPr="000C5603">
              <w:rPr>
                <w:rFonts w:ascii="Times New Roman" w:hAnsi="Times New Roman"/>
                <w:sz w:val="20"/>
                <w:szCs w:val="20"/>
              </w:rPr>
              <w:t>500 mg.</w:t>
            </w:r>
          </w:p>
          <w:p w14:paraId="759C64ED"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podawane w odstępach minimum 6 miesięcy.</w:t>
            </w:r>
          </w:p>
          <w:p w14:paraId="0BD8CDAA"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lastRenderedPageBreak/>
              <w:t xml:space="preserve">W uzasadnionych klinicznie przypadkach możliwe jest zastosowanie dawki inicjującej. </w:t>
            </w:r>
          </w:p>
          <w:p w14:paraId="1756A616" w14:textId="77777777" w:rsidR="000C5603" w:rsidRPr="000C5603" w:rsidRDefault="000C5603" w:rsidP="000C5603">
            <w:pPr>
              <w:spacing w:after="60"/>
              <w:jc w:val="both"/>
              <w:rPr>
                <w:rFonts w:ascii="Times New Roman" w:hAnsi="Times New Roman"/>
                <w:sz w:val="20"/>
                <w:szCs w:val="20"/>
              </w:rPr>
            </w:pPr>
          </w:p>
          <w:p w14:paraId="722E5DBA" w14:textId="77777777" w:rsidR="000C5603" w:rsidRPr="000C5603" w:rsidRDefault="000C5603" w:rsidP="000C5603">
            <w:pPr>
              <w:widowControl w:val="0"/>
              <w:numPr>
                <w:ilvl w:val="0"/>
                <w:numId w:val="14"/>
              </w:numPr>
              <w:spacing w:before="120" w:after="60"/>
              <w:jc w:val="both"/>
              <w:rPr>
                <w:rFonts w:ascii="Times New Roman" w:hAnsi="Times New Roman"/>
                <w:sz w:val="20"/>
                <w:szCs w:val="20"/>
              </w:rPr>
            </w:pPr>
            <w:r w:rsidRPr="000C5603">
              <w:rPr>
                <w:rFonts w:ascii="Times New Roman" w:hAnsi="Times New Roman"/>
                <w:b/>
                <w:bCs/>
                <w:spacing w:val="4"/>
                <w:sz w:val="20"/>
                <w:szCs w:val="20"/>
              </w:rPr>
              <w:t xml:space="preserve">Dawkowanie </w:t>
            </w:r>
            <w:proofErr w:type="spellStart"/>
            <w:r w:rsidRPr="000C5603">
              <w:rPr>
                <w:rFonts w:ascii="Times New Roman" w:hAnsi="Times New Roman"/>
                <w:b/>
                <w:bCs/>
                <w:spacing w:val="4"/>
                <w:sz w:val="20"/>
                <w:szCs w:val="20"/>
              </w:rPr>
              <w:t>efgartigimodu</w:t>
            </w:r>
            <w:proofErr w:type="spellEnd"/>
            <w:r w:rsidRPr="000C5603">
              <w:rPr>
                <w:rFonts w:ascii="Times New Roman" w:hAnsi="Times New Roman"/>
                <w:b/>
                <w:bCs/>
                <w:spacing w:val="4"/>
                <w:sz w:val="20"/>
                <w:szCs w:val="20"/>
              </w:rPr>
              <w:t xml:space="preserve"> alfa</w:t>
            </w:r>
          </w:p>
          <w:p w14:paraId="77CE8A33"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Zalecana dawka to 10 mg/kg masy ciała w postaci wlewu dożylnego podawanego w cyklach raz w tygodniu przez 4 tygodnie.</w:t>
            </w:r>
          </w:p>
          <w:p w14:paraId="4998BA71"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Kolejny cykl leczenia należy stosować zgodnie z oceną kliniczną. Częstotliwość cykli leczenia może się różnić w zależności od pacjenta przy czym najwcześniejszy czas rozpoczęcia kolejnego cyklu leczenia wynosi 7 tygodni od pierwszego wlewu w poprzednim cyklu.</w:t>
            </w:r>
          </w:p>
          <w:p w14:paraId="03355AE5" w14:textId="77777777" w:rsidR="000C5603" w:rsidRPr="000C5603" w:rsidRDefault="000C5603" w:rsidP="000C5603">
            <w:pPr>
              <w:spacing w:after="60"/>
              <w:jc w:val="both"/>
              <w:rPr>
                <w:rFonts w:ascii="Times New Roman" w:hAnsi="Times New Roman"/>
                <w:sz w:val="20"/>
                <w:szCs w:val="20"/>
              </w:rPr>
            </w:pPr>
          </w:p>
          <w:p w14:paraId="30ECAE80" w14:textId="77777777" w:rsidR="000C5603" w:rsidRPr="000C5603" w:rsidRDefault="000C5603" w:rsidP="000C5603">
            <w:pPr>
              <w:widowControl w:val="0"/>
              <w:numPr>
                <w:ilvl w:val="0"/>
                <w:numId w:val="14"/>
              </w:numPr>
              <w:spacing w:before="120" w:after="60"/>
              <w:jc w:val="both"/>
              <w:rPr>
                <w:rFonts w:ascii="Times New Roman" w:hAnsi="Times New Roman"/>
                <w:sz w:val="20"/>
                <w:szCs w:val="20"/>
              </w:rPr>
            </w:pPr>
            <w:r w:rsidRPr="000C5603">
              <w:rPr>
                <w:rFonts w:ascii="Times New Roman" w:hAnsi="Times New Roman"/>
                <w:b/>
                <w:bCs/>
                <w:spacing w:val="4"/>
                <w:sz w:val="20"/>
                <w:szCs w:val="20"/>
              </w:rPr>
              <w:t xml:space="preserve">Dawkowanie </w:t>
            </w:r>
            <w:proofErr w:type="spellStart"/>
            <w:r w:rsidRPr="000C5603">
              <w:rPr>
                <w:rFonts w:ascii="Times New Roman" w:hAnsi="Times New Roman"/>
                <w:b/>
                <w:bCs/>
                <w:spacing w:val="4"/>
                <w:sz w:val="20"/>
                <w:szCs w:val="20"/>
              </w:rPr>
              <w:t>rawulizumabu</w:t>
            </w:r>
            <w:proofErr w:type="spellEnd"/>
          </w:p>
          <w:p w14:paraId="02EF3DE5"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a) maksymalna dawka nasycająca to 3000 mg podana w infuzji dożylnej,</w:t>
            </w:r>
          </w:p>
          <w:p w14:paraId="2F26390F"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b) maksymalna dawka podtrzymująca to 3600 mg podana w infuzji dożylnej. Pierwszą dawkę podtrzymującą należy podać 2 tygodnie po dawce nasycającej, a kolejne dawki podtrzymujące należy podawać w infuzji dożylnej co 8 tygodni.</w:t>
            </w:r>
          </w:p>
          <w:p w14:paraId="6867B723" w14:textId="77777777" w:rsidR="000C5603" w:rsidRPr="000C5603" w:rsidRDefault="000C5603" w:rsidP="000C5603">
            <w:pPr>
              <w:spacing w:after="60"/>
              <w:jc w:val="both"/>
              <w:rPr>
                <w:rFonts w:ascii="Times New Roman" w:hAnsi="Times New Roman"/>
                <w:sz w:val="20"/>
                <w:szCs w:val="20"/>
              </w:rPr>
            </w:pPr>
          </w:p>
        </w:tc>
        <w:tc>
          <w:tcPr>
            <w:tcW w:w="1824" w:type="pct"/>
          </w:tcPr>
          <w:p w14:paraId="6DE99D84" w14:textId="77777777" w:rsidR="000C5603" w:rsidRPr="000C5603" w:rsidRDefault="000C5603" w:rsidP="000C5603">
            <w:pPr>
              <w:widowControl w:val="0"/>
              <w:numPr>
                <w:ilvl w:val="0"/>
                <w:numId w:val="19"/>
              </w:numPr>
              <w:spacing w:before="120" w:after="60"/>
              <w:jc w:val="both"/>
              <w:rPr>
                <w:rFonts w:ascii="Times New Roman" w:hAnsi="Times New Roman"/>
                <w:b/>
                <w:bCs/>
                <w:spacing w:val="4"/>
                <w:sz w:val="20"/>
                <w:szCs w:val="20"/>
              </w:rPr>
            </w:pPr>
            <w:r w:rsidRPr="000C5603">
              <w:rPr>
                <w:rFonts w:ascii="Times New Roman" w:hAnsi="Times New Roman"/>
                <w:b/>
                <w:bCs/>
                <w:spacing w:val="4"/>
                <w:sz w:val="20"/>
                <w:szCs w:val="20"/>
              </w:rPr>
              <w:lastRenderedPageBreak/>
              <w:t xml:space="preserve">Badania przy kwalifikacji do leczenia </w:t>
            </w:r>
          </w:p>
          <w:p w14:paraId="364CCF0F"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ocena stopnia nasilenia choroby przy wykorzystaniu kwestionariusza MG-ADL wraz z określeniem wartości w punkcie początkowym;</w:t>
            </w:r>
          </w:p>
          <w:p w14:paraId="3BB040E6"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w przypadku braku wcześniejszego wyniku oznaczenie statusu serologicznego miastenii;</w:t>
            </w:r>
          </w:p>
          <w:p w14:paraId="3EFA3598"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stężenia aminotransferazy alaninowej;</w:t>
            </w:r>
          </w:p>
          <w:p w14:paraId="1FE6EA4D"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oznaczenie stężenia aminotransferazy </w:t>
            </w:r>
            <w:proofErr w:type="spellStart"/>
            <w:r w:rsidRPr="000C5603">
              <w:rPr>
                <w:rFonts w:ascii="Times New Roman" w:hAnsi="Times New Roman"/>
                <w:sz w:val="20"/>
                <w:szCs w:val="20"/>
              </w:rPr>
              <w:t>asparaginianowej</w:t>
            </w:r>
            <w:proofErr w:type="spellEnd"/>
            <w:r w:rsidRPr="000C5603">
              <w:rPr>
                <w:rFonts w:ascii="Times New Roman" w:hAnsi="Times New Roman"/>
                <w:sz w:val="20"/>
                <w:szCs w:val="20"/>
              </w:rPr>
              <w:t>;</w:t>
            </w:r>
          </w:p>
          <w:p w14:paraId="78B75CE4"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morfologia krwi z rozmazem;</w:t>
            </w:r>
          </w:p>
          <w:p w14:paraId="2D739DA0"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stężenia kreatyniny;</w:t>
            </w:r>
          </w:p>
          <w:p w14:paraId="4772D446"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test ciążowy u kobiet w wieku rozrodczym;</w:t>
            </w:r>
          </w:p>
          <w:p w14:paraId="1B465068" w14:textId="77777777" w:rsidR="000C5603" w:rsidRPr="000C5603" w:rsidRDefault="000C5603" w:rsidP="000C5603">
            <w:pPr>
              <w:spacing w:after="60"/>
              <w:ind w:left="227"/>
              <w:jc w:val="both"/>
              <w:rPr>
                <w:rFonts w:ascii="Times New Roman" w:hAnsi="Times New Roman"/>
                <w:sz w:val="20"/>
                <w:szCs w:val="20"/>
                <w:u w:val="single"/>
              </w:rPr>
            </w:pPr>
            <w:r w:rsidRPr="000C5603">
              <w:rPr>
                <w:rFonts w:ascii="Times New Roman" w:hAnsi="Times New Roman"/>
                <w:sz w:val="20"/>
                <w:szCs w:val="20"/>
                <w:u w:val="single"/>
              </w:rPr>
              <w:t xml:space="preserve">dotyczy terapii </w:t>
            </w:r>
            <w:proofErr w:type="spellStart"/>
            <w:r w:rsidRPr="000C5603">
              <w:rPr>
                <w:rFonts w:ascii="Times New Roman" w:hAnsi="Times New Roman"/>
                <w:sz w:val="20"/>
                <w:szCs w:val="20"/>
                <w:u w:val="single"/>
              </w:rPr>
              <w:t>rytuksymabem</w:t>
            </w:r>
            <w:proofErr w:type="spellEnd"/>
            <w:r w:rsidRPr="000C5603">
              <w:rPr>
                <w:rFonts w:ascii="Times New Roman" w:hAnsi="Times New Roman"/>
                <w:sz w:val="20"/>
                <w:szCs w:val="20"/>
                <w:u w:val="single"/>
              </w:rPr>
              <w:t>:</w:t>
            </w:r>
          </w:p>
          <w:p w14:paraId="60B3ECF4" w14:textId="6415BF50" w:rsidR="00F700A0" w:rsidRDefault="00F700A0"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oznaczenie stężenia immunoglobulin </w:t>
            </w:r>
            <w:proofErr w:type="spellStart"/>
            <w:r w:rsidRPr="000C5603">
              <w:rPr>
                <w:rFonts w:ascii="Times New Roman" w:hAnsi="Times New Roman"/>
                <w:sz w:val="20"/>
                <w:szCs w:val="20"/>
              </w:rPr>
              <w:t>IgG</w:t>
            </w:r>
            <w:proofErr w:type="spellEnd"/>
            <w:r w:rsidRPr="000C5603">
              <w:rPr>
                <w:rFonts w:ascii="Times New Roman" w:hAnsi="Times New Roman"/>
                <w:sz w:val="20"/>
                <w:szCs w:val="20"/>
              </w:rPr>
              <w:t xml:space="preserve">, </w:t>
            </w:r>
            <w:proofErr w:type="spellStart"/>
            <w:r w:rsidRPr="000C5603">
              <w:rPr>
                <w:rFonts w:ascii="Times New Roman" w:hAnsi="Times New Roman"/>
                <w:sz w:val="20"/>
                <w:szCs w:val="20"/>
              </w:rPr>
              <w:t>IgM</w:t>
            </w:r>
            <w:proofErr w:type="spellEnd"/>
            <w:r w:rsidRPr="000C5603">
              <w:rPr>
                <w:rFonts w:ascii="Times New Roman" w:hAnsi="Times New Roman"/>
                <w:sz w:val="20"/>
                <w:szCs w:val="20"/>
              </w:rPr>
              <w:t>;</w:t>
            </w:r>
          </w:p>
          <w:p w14:paraId="73876A7D" w14:textId="215F5105"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poziomu limfocytów B CD19/CD20;</w:t>
            </w:r>
          </w:p>
          <w:p w14:paraId="2D0D2CE8"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badanie CRP;</w:t>
            </w:r>
          </w:p>
          <w:p w14:paraId="6D807E8B"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test na obecność </w:t>
            </w:r>
            <w:proofErr w:type="spellStart"/>
            <w:r w:rsidRPr="000C5603">
              <w:rPr>
                <w:rFonts w:ascii="Times New Roman" w:hAnsi="Times New Roman"/>
                <w:sz w:val="20"/>
                <w:szCs w:val="20"/>
              </w:rPr>
              <w:t>HBsAg</w:t>
            </w:r>
            <w:proofErr w:type="spellEnd"/>
            <w:r w:rsidRPr="000C5603">
              <w:rPr>
                <w:rFonts w:ascii="Times New Roman" w:hAnsi="Times New Roman"/>
                <w:sz w:val="20"/>
                <w:szCs w:val="20"/>
              </w:rPr>
              <w:t>;</w:t>
            </w:r>
          </w:p>
          <w:p w14:paraId="75839886"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poziomu przeciwciał anty-</w:t>
            </w:r>
            <w:proofErr w:type="spellStart"/>
            <w:r w:rsidRPr="000C5603">
              <w:rPr>
                <w:rFonts w:ascii="Times New Roman" w:hAnsi="Times New Roman"/>
                <w:sz w:val="20"/>
                <w:szCs w:val="20"/>
              </w:rPr>
              <w:t>HBs</w:t>
            </w:r>
            <w:proofErr w:type="spellEnd"/>
            <w:r w:rsidRPr="000C5603">
              <w:rPr>
                <w:rFonts w:ascii="Times New Roman" w:hAnsi="Times New Roman"/>
                <w:sz w:val="20"/>
                <w:szCs w:val="20"/>
              </w:rPr>
              <w:t>, anty-</w:t>
            </w:r>
            <w:proofErr w:type="spellStart"/>
            <w:r w:rsidRPr="000C5603">
              <w:rPr>
                <w:rFonts w:ascii="Times New Roman" w:hAnsi="Times New Roman"/>
                <w:sz w:val="20"/>
                <w:szCs w:val="20"/>
              </w:rPr>
              <w:t>HBc</w:t>
            </w:r>
            <w:proofErr w:type="spellEnd"/>
            <w:r w:rsidRPr="000C5603">
              <w:rPr>
                <w:rFonts w:ascii="Times New Roman" w:hAnsi="Times New Roman"/>
                <w:sz w:val="20"/>
                <w:szCs w:val="20"/>
              </w:rPr>
              <w:t>, anty-HCV;</w:t>
            </w:r>
          </w:p>
          <w:p w14:paraId="547F3A99"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badanie ogólne moczu;</w:t>
            </w:r>
          </w:p>
          <w:p w14:paraId="2FF7EB68"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test </w:t>
            </w:r>
            <w:proofErr w:type="spellStart"/>
            <w:r w:rsidRPr="000C5603">
              <w:rPr>
                <w:rFonts w:ascii="Times New Roman" w:hAnsi="Times New Roman"/>
                <w:sz w:val="20"/>
                <w:szCs w:val="20"/>
              </w:rPr>
              <w:t>Quantiferon</w:t>
            </w:r>
            <w:proofErr w:type="spellEnd"/>
            <w:r w:rsidRPr="000C5603">
              <w:rPr>
                <w:rFonts w:ascii="Times New Roman" w:hAnsi="Times New Roman"/>
                <w:sz w:val="20"/>
                <w:szCs w:val="20"/>
              </w:rPr>
              <w:t>;</w:t>
            </w:r>
          </w:p>
          <w:p w14:paraId="550EB6DE"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lastRenderedPageBreak/>
              <w:t>badanie EKG;</w:t>
            </w:r>
          </w:p>
          <w:p w14:paraId="72D3340B" w14:textId="2E5C3BD7" w:rsidR="000C5603" w:rsidRPr="00F700A0" w:rsidRDefault="000C5603" w:rsidP="00F700A0">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w przypadku pozytywnego wyniku testu na obecność </w:t>
            </w:r>
            <w:proofErr w:type="spellStart"/>
            <w:r w:rsidRPr="000C5603">
              <w:rPr>
                <w:rFonts w:ascii="Times New Roman" w:hAnsi="Times New Roman"/>
                <w:sz w:val="20"/>
                <w:szCs w:val="20"/>
              </w:rPr>
              <w:t>HBsAg</w:t>
            </w:r>
            <w:proofErr w:type="spellEnd"/>
            <w:r w:rsidRPr="000C5603">
              <w:rPr>
                <w:rFonts w:ascii="Times New Roman" w:hAnsi="Times New Roman"/>
                <w:sz w:val="20"/>
                <w:szCs w:val="20"/>
              </w:rPr>
              <w:t>, anty-</w:t>
            </w:r>
            <w:proofErr w:type="spellStart"/>
            <w:r w:rsidRPr="000C5603">
              <w:rPr>
                <w:rFonts w:ascii="Times New Roman" w:hAnsi="Times New Roman"/>
                <w:sz w:val="20"/>
                <w:szCs w:val="20"/>
              </w:rPr>
              <w:t>HBc</w:t>
            </w:r>
            <w:proofErr w:type="spellEnd"/>
            <w:r w:rsidRPr="000C5603">
              <w:rPr>
                <w:rFonts w:ascii="Times New Roman" w:hAnsi="Times New Roman"/>
                <w:sz w:val="20"/>
                <w:szCs w:val="20"/>
              </w:rPr>
              <w:t xml:space="preserve">, anty-HCV, </w:t>
            </w:r>
            <w:proofErr w:type="spellStart"/>
            <w:r w:rsidRPr="000C5603">
              <w:rPr>
                <w:rFonts w:ascii="Times New Roman" w:hAnsi="Times New Roman"/>
                <w:sz w:val="20"/>
                <w:szCs w:val="20"/>
              </w:rPr>
              <w:t>Quantiferon</w:t>
            </w:r>
            <w:proofErr w:type="spellEnd"/>
            <w:r w:rsidRPr="000C5603">
              <w:rPr>
                <w:rFonts w:ascii="Times New Roman" w:hAnsi="Times New Roman"/>
                <w:sz w:val="20"/>
                <w:szCs w:val="20"/>
              </w:rPr>
              <w:t xml:space="preserve"> konsultacja u specjalisty chorób zakaźnych;</w:t>
            </w:r>
          </w:p>
          <w:p w14:paraId="2B8090CB" w14:textId="77777777" w:rsidR="000C5603" w:rsidRPr="000C5603" w:rsidRDefault="000C5603" w:rsidP="000C5603">
            <w:pPr>
              <w:widowControl w:val="0"/>
              <w:spacing w:after="60"/>
              <w:jc w:val="both"/>
              <w:rPr>
                <w:rFonts w:ascii="Times New Roman" w:eastAsia="Times New Roman" w:hAnsi="Times New Roman"/>
                <w:sz w:val="20"/>
                <w:szCs w:val="20"/>
                <w:lang w:eastAsia="pl-PL"/>
              </w:rPr>
            </w:pPr>
          </w:p>
          <w:p w14:paraId="7E3F8CE4" w14:textId="77777777" w:rsidR="000C5603" w:rsidRPr="000C5603" w:rsidRDefault="000C5603" w:rsidP="000C5603">
            <w:pPr>
              <w:widowControl w:val="0"/>
              <w:numPr>
                <w:ilvl w:val="0"/>
                <w:numId w:val="19"/>
              </w:numPr>
              <w:spacing w:after="60"/>
              <w:jc w:val="both"/>
              <w:rPr>
                <w:rFonts w:ascii="Times New Roman" w:eastAsia="Times New Roman" w:hAnsi="Times New Roman"/>
                <w:b/>
                <w:sz w:val="20"/>
                <w:szCs w:val="20"/>
                <w:lang w:eastAsia="pl-PL"/>
              </w:rPr>
            </w:pPr>
            <w:r w:rsidRPr="000C5603">
              <w:rPr>
                <w:rFonts w:ascii="Times New Roman" w:eastAsia="Times New Roman" w:hAnsi="Times New Roman"/>
                <w:b/>
                <w:sz w:val="20"/>
                <w:szCs w:val="20"/>
                <w:lang w:eastAsia="pl-PL"/>
              </w:rPr>
              <w:t>Monitorowanie leczenia</w:t>
            </w:r>
          </w:p>
          <w:p w14:paraId="670CFC2A" w14:textId="77777777" w:rsidR="000C5603" w:rsidRPr="000C5603" w:rsidRDefault="000C5603" w:rsidP="000C5603">
            <w:pPr>
              <w:widowControl w:val="0"/>
              <w:numPr>
                <w:ilvl w:val="1"/>
                <w:numId w:val="19"/>
              </w:numPr>
              <w:spacing w:after="60"/>
              <w:jc w:val="both"/>
              <w:rPr>
                <w:rFonts w:ascii="Times New Roman" w:eastAsia="Times New Roman" w:hAnsi="Times New Roman"/>
                <w:b/>
                <w:sz w:val="20"/>
                <w:szCs w:val="20"/>
                <w:lang w:eastAsia="pl-PL"/>
              </w:rPr>
            </w:pPr>
            <w:r w:rsidRPr="000C5603">
              <w:rPr>
                <w:rFonts w:ascii="Times New Roman" w:eastAsia="Times New Roman" w:hAnsi="Times New Roman"/>
                <w:bCs/>
                <w:sz w:val="20"/>
                <w:szCs w:val="20"/>
                <w:lang w:eastAsia="pl-PL"/>
              </w:rPr>
              <w:t xml:space="preserve">Każdorazowo </w:t>
            </w:r>
            <w:r w:rsidRPr="000C5603">
              <w:rPr>
                <w:rFonts w:ascii="Times New Roman" w:hAnsi="Times New Roman"/>
                <w:bCs/>
                <w:sz w:val="20"/>
                <w:szCs w:val="20"/>
              </w:rPr>
              <w:t>przed</w:t>
            </w:r>
            <w:r w:rsidRPr="000C5603">
              <w:rPr>
                <w:rFonts w:ascii="Times New Roman" w:hAnsi="Times New Roman"/>
                <w:sz w:val="20"/>
                <w:szCs w:val="20"/>
              </w:rPr>
              <w:t xml:space="preserve"> podaniem </w:t>
            </w:r>
            <w:proofErr w:type="spellStart"/>
            <w:r w:rsidRPr="000C5603">
              <w:rPr>
                <w:rFonts w:ascii="Times New Roman" w:hAnsi="Times New Roman"/>
                <w:sz w:val="20"/>
                <w:szCs w:val="20"/>
              </w:rPr>
              <w:t>rytuksymabu</w:t>
            </w:r>
            <w:proofErr w:type="spellEnd"/>
            <w:r w:rsidRPr="000C5603">
              <w:rPr>
                <w:rFonts w:ascii="Times New Roman" w:hAnsi="Times New Roman"/>
                <w:sz w:val="20"/>
                <w:szCs w:val="20"/>
              </w:rPr>
              <w:t xml:space="preserve"> należy wykonać:</w:t>
            </w:r>
          </w:p>
          <w:p w14:paraId="7832C27A"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oznaczenie stężenia immunoglobulin </w:t>
            </w:r>
            <w:proofErr w:type="spellStart"/>
            <w:r w:rsidRPr="000C5603">
              <w:rPr>
                <w:rFonts w:ascii="Times New Roman" w:hAnsi="Times New Roman"/>
                <w:sz w:val="20"/>
                <w:szCs w:val="20"/>
              </w:rPr>
              <w:t>IgG</w:t>
            </w:r>
            <w:proofErr w:type="spellEnd"/>
            <w:r w:rsidRPr="000C5603">
              <w:rPr>
                <w:rFonts w:ascii="Times New Roman" w:hAnsi="Times New Roman"/>
                <w:sz w:val="20"/>
                <w:szCs w:val="20"/>
              </w:rPr>
              <w:t xml:space="preserve">, </w:t>
            </w:r>
            <w:proofErr w:type="spellStart"/>
            <w:r w:rsidRPr="000C5603">
              <w:rPr>
                <w:rFonts w:ascii="Times New Roman" w:hAnsi="Times New Roman"/>
                <w:sz w:val="20"/>
                <w:szCs w:val="20"/>
              </w:rPr>
              <w:t>IgM</w:t>
            </w:r>
            <w:proofErr w:type="spellEnd"/>
            <w:r w:rsidRPr="000C5603">
              <w:rPr>
                <w:rFonts w:ascii="Times New Roman" w:hAnsi="Times New Roman"/>
                <w:sz w:val="20"/>
                <w:szCs w:val="20"/>
              </w:rPr>
              <w:t>;</w:t>
            </w:r>
          </w:p>
          <w:p w14:paraId="4E5BBFC0"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stężenia aminotransferazy alaninowej;</w:t>
            </w:r>
          </w:p>
          <w:p w14:paraId="30D8054A"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oznaczenie stężenia aminotransferazy </w:t>
            </w:r>
            <w:proofErr w:type="spellStart"/>
            <w:r w:rsidRPr="000C5603">
              <w:rPr>
                <w:rFonts w:ascii="Times New Roman" w:hAnsi="Times New Roman"/>
                <w:sz w:val="20"/>
                <w:szCs w:val="20"/>
              </w:rPr>
              <w:t>asparaginianowej</w:t>
            </w:r>
            <w:proofErr w:type="spellEnd"/>
            <w:r w:rsidRPr="000C5603">
              <w:rPr>
                <w:rFonts w:ascii="Times New Roman" w:hAnsi="Times New Roman"/>
                <w:sz w:val="20"/>
                <w:szCs w:val="20"/>
              </w:rPr>
              <w:t>;</w:t>
            </w:r>
          </w:p>
          <w:p w14:paraId="6A4FA7DF"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morfologia krwi z rozmazem;</w:t>
            </w:r>
          </w:p>
          <w:p w14:paraId="0CE7F480"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poziomu limfocytów B CD19/CD20;</w:t>
            </w:r>
          </w:p>
          <w:p w14:paraId="399B87DA"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badanie CRP;</w:t>
            </w:r>
          </w:p>
          <w:p w14:paraId="1EB77643"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test na obecność </w:t>
            </w:r>
            <w:proofErr w:type="spellStart"/>
            <w:r w:rsidRPr="000C5603">
              <w:rPr>
                <w:rFonts w:ascii="Times New Roman" w:hAnsi="Times New Roman"/>
                <w:sz w:val="20"/>
                <w:szCs w:val="20"/>
              </w:rPr>
              <w:t>HBsAg</w:t>
            </w:r>
            <w:proofErr w:type="spellEnd"/>
            <w:r w:rsidRPr="000C5603">
              <w:rPr>
                <w:rFonts w:ascii="Times New Roman" w:hAnsi="Times New Roman"/>
                <w:sz w:val="20"/>
                <w:szCs w:val="20"/>
              </w:rPr>
              <w:t>;</w:t>
            </w:r>
          </w:p>
          <w:p w14:paraId="7F40A76D"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poziomu przeciwciał anty-</w:t>
            </w:r>
            <w:proofErr w:type="spellStart"/>
            <w:r w:rsidRPr="000C5603">
              <w:rPr>
                <w:rFonts w:ascii="Times New Roman" w:hAnsi="Times New Roman"/>
                <w:sz w:val="20"/>
                <w:szCs w:val="20"/>
              </w:rPr>
              <w:t>HBs</w:t>
            </w:r>
            <w:proofErr w:type="spellEnd"/>
            <w:r w:rsidRPr="000C5603">
              <w:rPr>
                <w:rFonts w:ascii="Times New Roman" w:hAnsi="Times New Roman"/>
                <w:sz w:val="20"/>
                <w:szCs w:val="20"/>
              </w:rPr>
              <w:t>, anty-</w:t>
            </w:r>
            <w:proofErr w:type="spellStart"/>
            <w:r w:rsidRPr="000C5603">
              <w:rPr>
                <w:rFonts w:ascii="Times New Roman" w:hAnsi="Times New Roman"/>
                <w:sz w:val="20"/>
                <w:szCs w:val="20"/>
              </w:rPr>
              <w:t>HBc</w:t>
            </w:r>
            <w:proofErr w:type="spellEnd"/>
            <w:r w:rsidRPr="000C5603">
              <w:rPr>
                <w:rFonts w:ascii="Times New Roman" w:hAnsi="Times New Roman"/>
                <w:sz w:val="20"/>
                <w:szCs w:val="20"/>
              </w:rPr>
              <w:t>, anty-HCV;</w:t>
            </w:r>
          </w:p>
          <w:p w14:paraId="6E63FE8D"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badanie ogólne moczu;</w:t>
            </w:r>
          </w:p>
          <w:p w14:paraId="0D294E1A"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test ciążowy;</w:t>
            </w:r>
          </w:p>
          <w:p w14:paraId="04A5FE0F"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badanie EKG;</w:t>
            </w:r>
          </w:p>
          <w:p w14:paraId="6F104B48"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w przypadku pozytywnego wyniku testu na obecność </w:t>
            </w:r>
            <w:proofErr w:type="spellStart"/>
            <w:r w:rsidRPr="000C5603">
              <w:rPr>
                <w:rFonts w:ascii="Times New Roman" w:hAnsi="Times New Roman"/>
                <w:sz w:val="20"/>
                <w:szCs w:val="20"/>
              </w:rPr>
              <w:t>HBsAg</w:t>
            </w:r>
            <w:proofErr w:type="spellEnd"/>
            <w:r w:rsidRPr="000C5603">
              <w:rPr>
                <w:rFonts w:ascii="Times New Roman" w:hAnsi="Times New Roman"/>
                <w:sz w:val="20"/>
                <w:szCs w:val="20"/>
              </w:rPr>
              <w:t>, anty-</w:t>
            </w:r>
            <w:proofErr w:type="spellStart"/>
            <w:r w:rsidRPr="000C5603">
              <w:rPr>
                <w:rFonts w:ascii="Times New Roman" w:hAnsi="Times New Roman"/>
                <w:sz w:val="20"/>
                <w:szCs w:val="20"/>
              </w:rPr>
              <w:t>HBc</w:t>
            </w:r>
            <w:proofErr w:type="spellEnd"/>
            <w:r w:rsidRPr="000C5603">
              <w:rPr>
                <w:rFonts w:ascii="Times New Roman" w:hAnsi="Times New Roman"/>
                <w:sz w:val="20"/>
                <w:szCs w:val="20"/>
              </w:rPr>
              <w:t>, anty-HCV konsultacja u specjalisty chorób zakaźnych.</w:t>
            </w:r>
          </w:p>
          <w:p w14:paraId="5F24EE15" w14:textId="77777777" w:rsidR="000C5603" w:rsidRPr="000C5603" w:rsidRDefault="000C5603" w:rsidP="000C5603">
            <w:pPr>
              <w:spacing w:after="60"/>
              <w:jc w:val="both"/>
              <w:rPr>
                <w:rFonts w:ascii="Times New Roman" w:eastAsia="Times New Roman" w:hAnsi="Times New Roman"/>
                <w:bCs/>
                <w:sz w:val="20"/>
                <w:szCs w:val="20"/>
                <w:lang w:eastAsia="pl-PL"/>
              </w:rPr>
            </w:pPr>
          </w:p>
          <w:p w14:paraId="26CE8F3F" w14:textId="77777777" w:rsidR="000C5603" w:rsidRPr="000C5603" w:rsidRDefault="000C5603" w:rsidP="000C5603">
            <w:pPr>
              <w:spacing w:after="60"/>
              <w:jc w:val="both"/>
              <w:rPr>
                <w:rFonts w:ascii="Times New Roman" w:eastAsia="Times New Roman" w:hAnsi="Times New Roman"/>
                <w:bCs/>
                <w:sz w:val="20"/>
                <w:szCs w:val="20"/>
                <w:lang w:eastAsia="pl-PL"/>
              </w:rPr>
            </w:pPr>
            <w:r w:rsidRPr="000C5603">
              <w:rPr>
                <w:rFonts w:ascii="Times New Roman" w:eastAsia="Times New Roman" w:hAnsi="Times New Roman"/>
                <w:bCs/>
                <w:sz w:val="20"/>
                <w:szCs w:val="20"/>
                <w:lang w:eastAsia="pl-PL"/>
              </w:rPr>
              <w:t>Ocenę skuteczności na podstawie redukcji stopnia nasilenia choroby przy wykorzystaniu kwestionariusza MG-ADL wykonuje się co 3 miesiące w pierwszym roku leczenia, a następnie co 6 miesięcy.</w:t>
            </w:r>
          </w:p>
          <w:p w14:paraId="5D5A21C7" w14:textId="77777777" w:rsidR="000C5603" w:rsidRPr="000C5603" w:rsidRDefault="000C5603" w:rsidP="000C5603">
            <w:pPr>
              <w:widowControl w:val="0"/>
              <w:spacing w:after="60"/>
              <w:jc w:val="both"/>
              <w:rPr>
                <w:rFonts w:ascii="Times New Roman" w:eastAsia="Times New Roman" w:hAnsi="Times New Roman"/>
                <w:sz w:val="20"/>
                <w:szCs w:val="20"/>
                <w:lang w:eastAsia="pl-PL"/>
              </w:rPr>
            </w:pPr>
          </w:p>
          <w:p w14:paraId="65CEAA7B" w14:textId="77777777" w:rsidR="000C5603" w:rsidRPr="000C5603" w:rsidRDefault="000C5603" w:rsidP="000C5603">
            <w:pPr>
              <w:widowControl w:val="0"/>
              <w:numPr>
                <w:ilvl w:val="1"/>
                <w:numId w:val="19"/>
              </w:numPr>
              <w:spacing w:after="60"/>
              <w:jc w:val="both"/>
              <w:rPr>
                <w:rFonts w:ascii="Times New Roman" w:eastAsia="Times New Roman" w:hAnsi="Times New Roman"/>
                <w:bCs/>
                <w:sz w:val="20"/>
                <w:szCs w:val="20"/>
                <w:lang w:eastAsia="pl-PL"/>
              </w:rPr>
            </w:pPr>
            <w:r w:rsidRPr="000C5603">
              <w:rPr>
                <w:rFonts w:ascii="Times New Roman" w:eastAsia="Times New Roman" w:hAnsi="Times New Roman"/>
                <w:bCs/>
                <w:sz w:val="20"/>
                <w:szCs w:val="20"/>
                <w:lang w:eastAsia="pl-PL"/>
              </w:rPr>
              <w:t xml:space="preserve">Przed rozpoczęciem cyklu leczenia </w:t>
            </w:r>
            <w:proofErr w:type="spellStart"/>
            <w:r w:rsidRPr="000C5603">
              <w:rPr>
                <w:rFonts w:ascii="Times New Roman" w:eastAsia="Times New Roman" w:hAnsi="Times New Roman"/>
                <w:bCs/>
                <w:sz w:val="20"/>
                <w:szCs w:val="20"/>
                <w:lang w:eastAsia="pl-PL"/>
              </w:rPr>
              <w:t>efgartigimodem</w:t>
            </w:r>
            <w:proofErr w:type="spellEnd"/>
            <w:r w:rsidRPr="000C5603">
              <w:rPr>
                <w:rFonts w:ascii="Times New Roman" w:eastAsia="Times New Roman" w:hAnsi="Times New Roman"/>
                <w:bCs/>
                <w:sz w:val="20"/>
                <w:szCs w:val="20"/>
                <w:lang w:eastAsia="pl-PL"/>
              </w:rPr>
              <w:t xml:space="preserve"> alfa należy </w:t>
            </w:r>
            <w:r w:rsidRPr="000C5603">
              <w:rPr>
                <w:rFonts w:ascii="Times New Roman" w:eastAsia="Times New Roman" w:hAnsi="Times New Roman"/>
                <w:bCs/>
                <w:sz w:val="20"/>
                <w:szCs w:val="20"/>
                <w:lang w:eastAsia="pl-PL"/>
              </w:rPr>
              <w:lastRenderedPageBreak/>
              <w:t>wykonać:</w:t>
            </w:r>
          </w:p>
          <w:p w14:paraId="446F0CB2"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stężenia aminotransferazy alaninowej;</w:t>
            </w:r>
          </w:p>
          <w:p w14:paraId="7346E499"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oznaczenie stężenia aminotransferazy </w:t>
            </w:r>
            <w:proofErr w:type="spellStart"/>
            <w:r w:rsidRPr="000C5603">
              <w:rPr>
                <w:rFonts w:ascii="Times New Roman" w:hAnsi="Times New Roman"/>
                <w:sz w:val="20"/>
                <w:szCs w:val="20"/>
              </w:rPr>
              <w:t>asparaginianowej</w:t>
            </w:r>
            <w:proofErr w:type="spellEnd"/>
            <w:r w:rsidRPr="000C5603">
              <w:rPr>
                <w:rFonts w:ascii="Times New Roman" w:hAnsi="Times New Roman"/>
                <w:sz w:val="20"/>
                <w:szCs w:val="20"/>
              </w:rPr>
              <w:t>;</w:t>
            </w:r>
          </w:p>
          <w:p w14:paraId="01BCBCEB"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stężenia kreatyniny;</w:t>
            </w:r>
          </w:p>
          <w:p w14:paraId="40A8363F"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morfologię krwi z rozmazem.</w:t>
            </w:r>
          </w:p>
          <w:p w14:paraId="1035F58B" w14:textId="77777777" w:rsidR="000C5603" w:rsidRPr="000C5603" w:rsidRDefault="000C5603" w:rsidP="000C5603">
            <w:pPr>
              <w:spacing w:after="60"/>
              <w:jc w:val="both"/>
              <w:rPr>
                <w:rFonts w:ascii="Times New Roman" w:hAnsi="Times New Roman"/>
                <w:sz w:val="20"/>
                <w:szCs w:val="20"/>
              </w:rPr>
            </w:pPr>
          </w:p>
          <w:p w14:paraId="01199A22"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Maksymalnie 12 tygodni po rozpoczęciu pierwszego cyklu leczenia konsultacja neurologiczna z oceną konieczności podania drugiego cyklu leczenia.</w:t>
            </w:r>
          </w:p>
          <w:p w14:paraId="4E3ACC83"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Oceny skuteczności leczenia na podstawie redukcji stopnia nasilenia choroby przy wykorzystaniu kwestionariusza MG-ADL dokonuje się po drugim i każdym kolejnym cyklu leczenia.</w:t>
            </w:r>
          </w:p>
          <w:p w14:paraId="40C4A657" w14:textId="77777777"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Ocenę skuteczności leczenia należy wykonać po co najmniej 8 tygodniach od rozpoczęcia cyklu leczenia jednak nie później niż po 12 tygodniach.</w:t>
            </w:r>
          </w:p>
          <w:p w14:paraId="532E3A5C" w14:textId="77777777" w:rsidR="000C5603" w:rsidRPr="000C5603" w:rsidRDefault="000C5603" w:rsidP="000C5603">
            <w:pPr>
              <w:spacing w:after="60"/>
              <w:jc w:val="both"/>
              <w:rPr>
                <w:rFonts w:ascii="Times New Roman" w:hAnsi="Times New Roman"/>
                <w:sz w:val="20"/>
                <w:szCs w:val="20"/>
              </w:rPr>
            </w:pPr>
          </w:p>
          <w:p w14:paraId="2F81C4B3" w14:textId="77777777" w:rsidR="000C5603" w:rsidRPr="000C5603" w:rsidRDefault="000C5603" w:rsidP="000C5603">
            <w:pPr>
              <w:widowControl w:val="0"/>
              <w:numPr>
                <w:ilvl w:val="1"/>
                <w:numId w:val="19"/>
              </w:numPr>
              <w:spacing w:after="60"/>
              <w:jc w:val="both"/>
              <w:rPr>
                <w:rFonts w:ascii="Times New Roman" w:eastAsia="Times New Roman" w:hAnsi="Times New Roman"/>
                <w:bCs/>
                <w:sz w:val="20"/>
                <w:szCs w:val="20"/>
                <w:lang w:eastAsia="pl-PL"/>
              </w:rPr>
            </w:pPr>
            <w:r w:rsidRPr="000C5603">
              <w:rPr>
                <w:rFonts w:ascii="Times New Roman" w:eastAsia="Times New Roman" w:hAnsi="Times New Roman"/>
                <w:bCs/>
                <w:sz w:val="20"/>
                <w:szCs w:val="20"/>
                <w:lang w:eastAsia="pl-PL"/>
              </w:rPr>
              <w:t xml:space="preserve">Przed podaniem </w:t>
            </w:r>
            <w:proofErr w:type="spellStart"/>
            <w:r w:rsidRPr="000C5603">
              <w:rPr>
                <w:rFonts w:ascii="Times New Roman" w:eastAsia="Times New Roman" w:hAnsi="Times New Roman"/>
                <w:bCs/>
                <w:sz w:val="20"/>
                <w:szCs w:val="20"/>
                <w:lang w:eastAsia="pl-PL"/>
              </w:rPr>
              <w:t>rawulizumabu</w:t>
            </w:r>
            <w:proofErr w:type="spellEnd"/>
            <w:r w:rsidRPr="000C5603">
              <w:rPr>
                <w:rFonts w:ascii="Times New Roman" w:eastAsia="Times New Roman" w:hAnsi="Times New Roman"/>
                <w:bCs/>
                <w:sz w:val="20"/>
                <w:szCs w:val="20"/>
                <w:lang w:eastAsia="pl-PL"/>
              </w:rPr>
              <w:t xml:space="preserve"> należy wykonać następujące badania:</w:t>
            </w:r>
          </w:p>
          <w:p w14:paraId="0DE0DD31" w14:textId="77777777" w:rsidR="00F700A0" w:rsidRPr="000C5603" w:rsidRDefault="00F700A0" w:rsidP="00F700A0">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stężenia aminotransferazy alaninowej;</w:t>
            </w:r>
          </w:p>
          <w:p w14:paraId="39897901" w14:textId="77777777" w:rsidR="00F700A0" w:rsidRPr="000C5603" w:rsidRDefault="00F700A0" w:rsidP="00F700A0">
            <w:pPr>
              <w:numPr>
                <w:ilvl w:val="3"/>
                <w:numId w:val="19"/>
              </w:numPr>
              <w:spacing w:after="60"/>
              <w:jc w:val="both"/>
              <w:rPr>
                <w:rFonts w:ascii="Times New Roman" w:hAnsi="Times New Roman"/>
                <w:sz w:val="20"/>
                <w:szCs w:val="20"/>
              </w:rPr>
            </w:pPr>
            <w:r w:rsidRPr="000C5603">
              <w:rPr>
                <w:rFonts w:ascii="Times New Roman" w:hAnsi="Times New Roman"/>
                <w:sz w:val="20"/>
                <w:szCs w:val="20"/>
              </w:rPr>
              <w:t xml:space="preserve">oznaczenie stężenia aminotransferazy </w:t>
            </w:r>
            <w:proofErr w:type="spellStart"/>
            <w:r w:rsidRPr="000C5603">
              <w:rPr>
                <w:rFonts w:ascii="Times New Roman" w:hAnsi="Times New Roman"/>
                <w:sz w:val="20"/>
                <w:szCs w:val="20"/>
              </w:rPr>
              <w:t>asparaginianowej</w:t>
            </w:r>
            <w:proofErr w:type="spellEnd"/>
            <w:r w:rsidRPr="000C5603">
              <w:rPr>
                <w:rFonts w:ascii="Times New Roman" w:hAnsi="Times New Roman"/>
                <w:sz w:val="20"/>
                <w:szCs w:val="20"/>
              </w:rPr>
              <w:t>;</w:t>
            </w:r>
          </w:p>
          <w:p w14:paraId="4F37FBE1" w14:textId="77777777" w:rsidR="00F700A0" w:rsidRPr="000C5603" w:rsidRDefault="00F700A0" w:rsidP="00F700A0">
            <w:pPr>
              <w:numPr>
                <w:ilvl w:val="3"/>
                <w:numId w:val="19"/>
              </w:numPr>
              <w:spacing w:after="60"/>
              <w:jc w:val="both"/>
              <w:rPr>
                <w:rFonts w:ascii="Times New Roman" w:hAnsi="Times New Roman"/>
                <w:sz w:val="20"/>
                <w:szCs w:val="20"/>
              </w:rPr>
            </w:pPr>
            <w:r w:rsidRPr="000C5603">
              <w:rPr>
                <w:rFonts w:ascii="Times New Roman" w:hAnsi="Times New Roman"/>
                <w:sz w:val="20"/>
                <w:szCs w:val="20"/>
              </w:rPr>
              <w:t>oznaczenie stężenia kreatyniny;</w:t>
            </w:r>
          </w:p>
          <w:p w14:paraId="2063C25F" w14:textId="343DB841"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morfologia krwi z rozmazem</w:t>
            </w:r>
            <w:r w:rsidR="00F700A0">
              <w:rPr>
                <w:rFonts w:ascii="Times New Roman" w:hAnsi="Times New Roman"/>
                <w:sz w:val="20"/>
                <w:szCs w:val="20"/>
              </w:rPr>
              <w:t>.</w:t>
            </w:r>
          </w:p>
          <w:p w14:paraId="50D28F97" w14:textId="77777777" w:rsidR="000C5603" w:rsidRPr="000C5603" w:rsidRDefault="000C5603" w:rsidP="000C5603">
            <w:pPr>
              <w:spacing w:after="60"/>
              <w:ind w:left="227"/>
              <w:jc w:val="both"/>
              <w:rPr>
                <w:rFonts w:ascii="Times New Roman" w:hAnsi="Times New Roman"/>
                <w:sz w:val="20"/>
                <w:szCs w:val="20"/>
              </w:rPr>
            </w:pPr>
          </w:p>
          <w:p w14:paraId="38DB660D" w14:textId="26D18BEE" w:rsidR="000C5603" w:rsidRPr="000C5603" w:rsidRDefault="000C5603" w:rsidP="000C5603">
            <w:pPr>
              <w:spacing w:after="60"/>
              <w:jc w:val="both"/>
              <w:rPr>
                <w:rFonts w:ascii="Times New Roman" w:hAnsi="Times New Roman"/>
                <w:sz w:val="20"/>
                <w:szCs w:val="20"/>
              </w:rPr>
            </w:pPr>
            <w:r w:rsidRPr="000C5603">
              <w:rPr>
                <w:rFonts w:ascii="Times New Roman" w:hAnsi="Times New Roman"/>
                <w:sz w:val="20"/>
                <w:szCs w:val="20"/>
              </w:rPr>
              <w:t xml:space="preserve">Ocenę skuteczności na podstawie redukcji stopnia nasilenia choroby przy wykorzystaniu kwestionariusza MG-ADL należy wykonać co </w:t>
            </w:r>
            <w:r w:rsidR="00F700A0">
              <w:rPr>
                <w:rFonts w:ascii="Times New Roman" w:hAnsi="Times New Roman"/>
                <w:sz w:val="20"/>
                <w:szCs w:val="20"/>
              </w:rPr>
              <w:t>4</w:t>
            </w:r>
            <w:r w:rsidRPr="000C5603">
              <w:rPr>
                <w:rFonts w:ascii="Times New Roman" w:hAnsi="Times New Roman"/>
                <w:sz w:val="20"/>
                <w:szCs w:val="20"/>
              </w:rPr>
              <w:t xml:space="preserve"> miesiące w pierwszym roku leczenia a następnie co 6 miesięcy.</w:t>
            </w:r>
          </w:p>
          <w:p w14:paraId="53E6E487" w14:textId="77777777" w:rsidR="000C5603" w:rsidRPr="000C5603" w:rsidRDefault="000C5603" w:rsidP="000C5603">
            <w:pPr>
              <w:widowControl w:val="0"/>
              <w:spacing w:after="60"/>
              <w:jc w:val="both"/>
              <w:rPr>
                <w:rFonts w:ascii="Times New Roman" w:eastAsia="Times New Roman" w:hAnsi="Times New Roman"/>
                <w:sz w:val="20"/>
                <w:szCs w:val="20"/>
                <w:lang w:eastAsia="pl-PL"/>
              </w:rPr>
            </w:pPr>
          </w:p>
          <w:p w14:paraId="5BD9E6C8" w14:textId="77777777" w:rsidR="000C5603" w:rsidRPr="000C5603" w:rsidRDefault="000C5603" w:rsidP="000C5603">
            <w:pPr>
              <w:widowControl w:val="0"/>
              <w:numPr>
                <w:ilvl w:val="0"/>
                <w:numId w:val="19"/>
              </w:numPr>
              <w:spacing w:after="60"/>
              <w:jc w:val="both"/>
              <w:rPr>
                <w:rFonts w:ascii="Times New Roman" w:hAnsi="Times New Roman"/>
                <w:b/>
                <w:sz w:val="20"/>
                <w:szCs w:val="20"/>
              </w:rPr>
            </w:pPr>
            <w:r w:rsidRPr="000C5603">
              <w:rPr>
                <w:rFonts w:ascii="Times New Roman" w:hAnsi="Times New Roman"/>
                <w:b/>
                <w:sz w:val="20"/>
                <w:szCs w:val="20"/>
              </w:rPr>
              <w:t>Monitorowanie programu</w:t>
            </w:r>
          </w:p>
          <w:p w14:paraId="51777B65"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ocena skuteczności:</w:t>
            </w:r>
          </w:p>
          <w:p w14:paraId="6FC5AB61" w14:textId="77777777" w:rsidR="000C5603" w:rsidRPr="000C5603" w:rsidRDefault="000C5603" w:rsidP="000C5603">
            <w:pPr>
              <w:numPr>
                <w:ilvl w:val="3"/>
                <w:numId w:val="38"/>
              </w:numPr>
              <w:spacing w:after="60"/>
              <w:jc w:val="both"/>
              <w:rPr>
                <w:rFonts w:ascii="Times New Roman" w:hAnsi="Times New Roman"/>
                <w:sz w:val="20"/>
                <w:szCs w:val="20"/>
              </w:rPr>
            </w:pPr>
            <w:r w:rsidRPr="000C5603">
              <w:rPr>
                <w:rFonts w:ascii="Times New Roman" w:hAnsi="Times New Roman"/>
                <w:sz w:val="20"/>
                <w:szCs w:val="20"/>
              </w:rPr>
              <w:lastRenderedPageBreak/>
              <w:t>wskaźniki efektywności:</w:t>
            </w:r>
          </w:p>
          <w:p w14:paraId="0D4C9257" w14:textId="77777777" w:rsidR="000C5603" w:rsidRPr="000C5603" w:rsidRDefault="000C5603" w:rsidP="000C5603">
            <w:pPr>
              <w:numPr>
                <w:ilvl w:val="3"/>
                <w:numId w:val="41"/>
              </w:numPr>
              <w:spacing w:after="60"/>
              <w:ind w:hanging="103"/>
              <w:jc w:val="both"/>
              <w:rPr>
                <w:rFonts w:ascii="Times New Roman" w:hAnsi="Times New Roman"/>
                <w:sz w:val="20"/>
                <w:szCs w:val="20"/>
              </w:rPr>
            </w:pPr>
            <w:r w:rsidRPr="000C5603">
              <w:rPr>
                <w:rFonts w:ascii="Times New Roman" w:hAnsi="Times New Roman"/>
                <w:sz w:val="20"/>
                <w:szCs w:val="20"/>
              </w:rPr>
              <w:t>zmiana wyniku w skali MG-ADL w stosunku do wartości w punkcie początkowym;</w:t>
            </w:r>
          </w:p>
          <w:p w14:paraId="4D96CEE0"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ocena bezpieczeństwa</w:t>
            </w:r>
          </w:p>
          <w:p w14:paraId="2D8B34DA" w14:textId="77777777" w:rsidR="000C5603" w:rsidRPr="000C5603" w:rsidRDefault="000C5603" w:rsidP="000C5603">
            <w:pPr>
              <w:numPr>
                <w:ilvl w:val="3"/>
                <w:numId w:val="39"/>
              </w:numPr>
              <w:spacing w:after="60"/>
              <w:jc w:val="both"/>
              <w:rPr>
                <w:rFonts w:ascii="Times New Roman" w:hAnsi="Times New Roman"/>
                <w:sz w:val="20"/>
                <w:szCs w:val="20"/>
              </w:rPr>
            </w:pPr>
            <w:r w:rsidRPr="000C5603">
              <w:rPr>
                <w:rFonts w:ascii="Times New Roman" w:hAnsi="Times New Roman"/>
                <w:sz w:val="20"/>
                <w:szCs w:val="20"/>
              </w:rPr>
              <w:t>monitorowanie działań  niepożądanych;</w:t>
            </w:r>
          </w:p>
          <w:p w14:paraId="507761FE"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gromadzenie w dokumentacji medycznej pacjenta danych dotyczących monitorowania leczenia i każdorazowe ich przedstawianie na żądanie kontrolerów Narodowego Funduszu Zdrowia;</w:t>
            </w:r>
          </w:p>
          <w:p w14:paraId="0EF71C1A"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uzupełnienie danych zawartych w elektronicznym systemie monitorowania programów lekowych dostępnym za pomocą aplikacji internetowej udostępnionej przez OW NFZ, z częstotliwością zgodną z opisem programu oraz na zakończenie leczenia; w tym przekazywanie danych dotyczących wskaźników efektywności:</w:t>
            </w:r>
          </w:p>
          <w:p w14:paraId="38FDC838" w14:textId="77777777" w:rsidR="000C5603" w:rsidRPr="000C5603" w:rsidRDefault="000C5603" w:rsidP="000C5603">
            <w:pPr>
              <w:numPr>
                <w:ilvl w:val="3"/>
                <w:numId w:val="42"/>
              </w:numPr>
              <w:spacing w:after="60"/>
              <w:jc w:val="both"/>
              <w:rPr>
                <w:rFonts w:ascii="Times New Roman" w:hAnsi="Times New Roman"/>
                <w:sz w:val="20"/>
                <w:szCs w:val="20"/>
              </w:rPr>
            </w:pPr>
            <w:r w:rsidRPr="000C5603">
              <w:rPr>
                <w:rFonts w:ascii="Times New Roman" w:hAnsi="Times New Roman"/>
                <w:sz w:val="20"/>
                <w:szCs w:val="20"/>
              </w:rPr>
              <w:t>wynik w skali MG-ADL w punkcie początkowym,</w:t>
            </w:r>
          </w:p>
          <w:p w14:paraId="7AF6DDB6" w14:textId="77777777" w:rsidR="000C5603" w:rsidRPr="000C5603" w:rsidRDefault="000C5603" w:rsidP="000C5603">
            <w:pPr>
              <w:numPr>
                <w:ilvl w:val="3"/>
                <w:numId w:val="42"/>
              </w:numPr>
              <w:spacing w:after="60"/>
              <w:jc w:val="both"/>
              <w:rPr>
                <w:rFonts w:ascii="Times New Roman" w:hAnsi="Times New Roman"/>
                <w:sz w:val="20"/>
                <w:szCs w:val="20"/>
              </w:rPr>
            </w:pPr>
            <w:r w:rsidRPr="000C5603">
              <w:rPr>
                <w:rFonts w:ascii="Times New Roman" w:hAnsi="Times New Roman"/>
                <w:sz w:val="20"/>
                <w:szCs w:val="20"/>
              </w:rPr>
              <w:t>wynik w skali MG-ADL podczas oceny skuteczności;</w:t>
            </w:r>
          </w:p>
          <w:p w14:paraId="6BA4995C" w14:textId="77777777" w:rsidR="000C5603" w:rsidRPr="000C5603" w:rsidRDefault="000C5603" w:rsidP="000C5603">
            <w:pPr>
              <w:numPr>
                <w:ilvl w:val="3"/>
                <w:numId w:val="19"/>
              </w:numPr>
              <w:spacing w:after="60"/>
              <w:jc w:val="both"/>
              <w:rPr>
                <w:rFonts w:ascii="Times New Roman" w:hAnsi="Times New Roman"/>
                <w:sz w:val="20"/>
                <w:szCs w:val="20"/>
              </w:rPr>
            </w:pPr>
            <w:r w:rsidRPr="000C5603">
              <w:rPr>
                <w:rFonts w:ascii="Times New Roman" w:hAnsi="Times New Roman"/>
                <w:sz w:val="20"/>
                <w:szCs w:val="20"/>
              </w:rPr>
              <w:t>przekazywanie informacji sprawozdawczo-rozliczeniowych do NFZ: informacje przekazuje się do NFZ w formie papierowej lub w formie elektronicznej, zgodnie z wymaganiami opublikowanymi przez Narodowy Fundusz Zdrowia.</w:t>
            </w:r>
          </w:p>
        </w:tc>
      </w:tr>
    </w:tbl>
    <w:p w14:paraId="243DBD4E" w14:textId="77777777" w:rsidR="006B10AF" w:rsidRPr="000C36A9" w:rsidRDefault="006B10AF" w:rsidP="000C36A9">
      <w:pPr>
        <w:pStyle w:val="pismamz"/>
        <w:tabs>
          <w:tab w:val="left" w:pos="5400"/>
        </w:tabs>
        <w:spacing w:before="1120"/>
      </w:pPr>
    </w:p>
    <w:sectPr w:rsidR="006B10AF" w:rsidRPr="000C36A9" w:rsidSect="00D341FF">
      <w:footerReference w:type="first" r:id="rId8"/>
      <w:pgSz w:w="16838" w:h="11906" w:orient="landscape" w:code="9"/>
      <w:pgMar w:top="1588" w:right="720" w:bottom="1418"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1E82F" w14:textId="77777777" w:rsidR="00816080" w:rsidRDefault="00816080">
      <w:pPr>
        <w:spacing w:after="0" w:line="240" w:lineRule="auto"/>
      </w:pPr>
      <w:r>
        <w:separator/>
      </w:r>
    </w:p>
  </w:endnote>
  <w:endnote w:type="continuationSeparator" w:id="0">
    <w:p w14:paraId="7B6DDD79" w14:textId="77777777" w:rsidR="00816080" w:rsidRDefault="0081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bel">
    <w:charset w:val="00"/>
    <w:family w:val="auto"/>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4582D" w14:textId="30DE2FEE" w:rsidR="001F7188" w:rsidRDefault="001F7188" w:rsidP="001F7188">
    <w:pPr>
      <w:pStyle w:val="Stopka"/>
      <w:jc w:val="center"/>
    </w:pPr>
    <w:r w:rsidRPr="00237FAA">
      <w:rPr>
        <w:rFonts w:ascii="Abel" w:hAnsi="Abel"/>
        <w:noProof/>
        <w:color w:val="FFFFFF" w:themeColor="background1"/>
        <w:sz w:val="20"/>
        <w:szCs w:val="20"/>
        <w:lang w:val="en-US"/>
      </w:rPr>
      <w:drawing>
        <wp:anchor distT="0" distB="0" distL="114300" distR="114300" simplePos="0" relativeHeight="251663360" behindDoc="1" locked="0" layoutInCell="1" allowOverlap="1" wp14:anchorId="0DFAFBC9" wp14:editId="7099FC2C">
          <wp:simplePos x="0" y="0"/>
          <wp:positionH relativeFrom="margin">
            <wp:posOffset>36830</wp:posOffset>
          </wp:positionH>
          <wp:positionV relativeFrom="page">
            <wp:posOffset>9571355</wp:posOffset>
          </wp:positionV>
          <wp:extent cx="5400040" cy="36195"/>
          <wp:effectExtent l="0" t="0" r="0" b="1905"/>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ka.wmf"/>
                  <pic:cNvPicPr/>
                </pic:nvPicPr>
                <pic:blipFill>
                  <a:blip r:embed="rId1">
                    <a:extLst>
                      <a:ext uri="{28A0092B-C50C-407E-A947-70E740481C1C}">
                        <a14:useLocalDpi xmlns:a14="http://schemas.microsoft.com/office/drawing/2010/main" val="0"/>
                      </a:ext>
                    </a:extLst>
                  </a:blip>
                  <a:stretch>
                    <a:fillRect/>
                  </a:stretch>
                </pic:blipFill>
                <pic:spPr>
                  <a:xfrm>
                    <a:off x="0" y="0"/>
                    <a:ext cx="5400040" cy="361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90FD5" w14:textId="77777777" w:rsidR="00816080" w:rsidRDefault="00816080">
      <w:pPr>
        <w:spacing w:after="0" w:line="240" w:lineRule="auto"/>
      </w:pPr>
      <w:r>
        <w:separator/>
      </w:r>
    </w:p>
  </w:footnote>
  <w:footnote w:type="continuationSeparator" w:id="0">
    <w:p w14:paraId="787D9761" w14:textId="77777777" w:rsidR="00816080" w:rsidRDefault="00816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8E0"/>
    <w:multiLevelType w:val="hybridMultilevel"/>
    <w:tmpl w:val="BDF86940"/>
    <w:lvl w:ilvl="0" w:tplc="FFFFFFF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1149F9"/>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 w15:restartNumberingAfterBreak="0">
    <w:nsid w:val="042114BC"/>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 w15:restartNumberingAfterBreak="0">
    <w:nsid w:val="06D4316F"/>
    <w:multiLevelType w:val="hybridMultilevel"/>
    <w:tmpl w:val="68784016"/>
    <w:lvl w:ilvl="0" w:tplc="6706E802">
      <w:start w:val="1"/>
      <w:numFmt w:val="decimal"/>
      <w:suff w:val="space"/>
      <w:lvlText w:val="%1)"/>
      <w:lvlJc w:val="left"/>
      <w:pPr>
        <w:ind w:left="720" w:hanging="493"/>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F842CD"/>
    <w:multiLevelType w:val="hybridMultilevel"/>
    <w:tmpl w:val="1340F29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21C63F6"/>
    <w:multiLevelType w:val="multilevel"/>
    <w:tmpl w:val="2766D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67" w:hanging="227"/>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6" w15:restartNumberingAfterBreak="0">
    <w:nsid w:val="15BF62A4"/>
    <w:multiLevelType w:val="multilevel"/>
    <w:tmpl w:val="2766D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67" w:hanging="227"/>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7" w15:restartNumberingAfterBreak="0">
    <w:nsid w:val="18773013"/>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8" w15:restartNumberingAfterBreak="0">
    <w:nsid w:val="18F53351"/>
    <w:multiLevelType w:val="hybridMultilevel"/>
    <w:tmpl w:val="BDF86940"/>
    <w:lvl w:ilvl="0" w:tplc="04150011">
      <w:start w:val="1"/>
      <w:numFmt w:val="decimal"/>
      <w:lvlText w:val="%1)"/>
      <w:lvlJc w:val="left"/>
      <w:pPr>
        <w:ind w:left="720" w:hanging="360"/>
      </w:pPr>
      <w:rPr>
        <w:rFonts w:hint="default"/>
        <w:color w:val="auto"/>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D414CE"/>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0" w15:restartNumberingAfterBreak="0">
    <w:nsid w:val="1FD275E0"/>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1" w15:restartNumberingAfterBreak="0">
    <w:nsid w:val="20424205"/>
    <w:multiLevelType w:val="multilevel"/>
    <w:tmpl w:val="26AE3F1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87" w:hanging="360"/>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2" w15:restartNumberingAfterBreak="0">
    <w:nsid w:val="21A73316"/>
    <w:multiLevelType w:val="multilevel"/>
    <w:tmpl w:val="9B94F14C"/>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87" w:hanging="360"/>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3" w15:restartNumberingAfterBreak="0">
    <w:nsid w:val="23117181"/>
    <w:multiLevelType w:val="multilevel"/>
    <w:tmpl w:val="789A400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4" w15:restartNumberingAfterBreak="0">
    <w:nsid w:val="24CD0E6F"/>
    <w:multiLevelType w:val="multilevel"/>
    <w:tmpl w:val="26AE3F1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87" w:hanging="360"/>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5" w15:restartNumberingAfterBreak="0">
    <w:nsid w:val="27040C97"/>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6" w15:restartNumberingAfterBreak="0">
    <w:nsid w:val="291D09C4"/>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7" w15:restartNumberingAfterBreak="0">
    <w:nsid w:val="2ACE55CA"/>
    <w:multiLevelType w:val="multilevel"/>
    <w:tmpl w:val="8F0060A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lvlText w:val="%4)"/>
      <w:lvlJc w:val="left"/>
      <w:pPr>
        <w:ind w:left="587" w:hanging="360"/>
      </w:p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8" w15:restartNumberingAfterBreak="0">
    <w:nsid w:val="2D252377"/>
    <w:multiLevelType w:val="multilevel"/>
    <w:tmpl w:val="912A668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none"/>
      <w:suff w:val="space"/>
      <w:lvlText w:val="-"/>
      <w:lvlJc w:val="left"/>
      <w:pPr>
        <w:ind w:left="567" w:hanging="227"/>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9" w15:restartNumberingAfterBreak="0">
    <w:nsid w:val="2D3B677D"/>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0" w15:restartNumberingAfterBreak="0">
    <w:nsid w:val="303D460E"/>
    <w:multiLevelType w:val="multilevel"/>
    <w:tmpl w:val="8F0060A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lvlText w:val="%4)"/>
      <w:lvlJc w:val="left"/>
      <w:pPr>
        <w:ind w:left="587" w:hanging="360"/>
      </w:p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1" w15:restartNumberingAfterBreak="0">
    <w:nsid w:val="36EC3DA2"/>
    <w:multiLevelType w:val="multilevel"/>
    <w:tmpl w:val="2766D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67" w:hanging="227"/>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2" w15:restartNumberingAfterBreak="0">
    <w:nsid w:val="45E64EF5"/>
    <w:multiLevelType w:val="multilevel"/>
    <w:tmpl w:val="8F0060A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lvlText w:val="%4)"/>
      <w:lvlJc w:val="left"/>
      <w:pPr>
        <w:ind w:left="587" w:hanging="360"/>
      </w:p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3" w15:restartNumberingAfterBreak="0">
    <w:nsid w:val="475B3FF4"/>
    <w:multiLevelType w:val="hybridMultilevel"/>
    <w:tmpl w:val="1340F29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8F80464"/>
    <w:multiLevelType w:val="multilevel"/>
    <w:tmpl w:val="8F0060A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lvlText w:val="%4)"/>
      <w:lvlJc w:val="left"/>
      <w:pPr>
        <w:ind w:left="587" w:hanging="360"/>
      </w:p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5" w15:restartNumberingAfterBreak="0">
    <w:nsid w:val="49E355E4"/>
    <w:multiLevelType w:val="hybridMultilevel"/>
    <w:tmpl w:val="1340F29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C1A432D"/>
    <w:multiLevelType w:val="multilevel"/>
    <w:tmpl w:val="8F0060A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lvlText w:val="%4)"/>
      <w:lvlJc w:val="left"/>
      <w:pPr>
        <w:ind w:left="587" w:hanging="360"/>
      </w:p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7" w15:restartNumberingAfterBreak="0">
    <w:nsid w:val="4DFF728B"/>
    <w:multiLevelType w:val="multilevel"/>
    <w:tmpl w:val="2766D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67" w:hanging="227"/>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8" w15:restartNumberingAfterBreak="0">
    <w:nsid w:val="4E7659C2"/>
    <w:multiLevelType w:val="multilevel"/>
    <w:tmpl w:val="955EB10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9" w15:restartNumberingAfterBreak="0">
    <w:nsid w:val="4FB51B2B"/>
    <w:multiLevelType w:val="hybridMultilevel"/>
    <w:tmpl w:val="1340F29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0" w15:restartNumberingAfterBreak="0">
    <w:nsid w:val="506D34E4"/>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1" w15:restartNumberingAfterBreak="0">
    <w:nsid w:val="54B276FB"/>
    <w:multiLevelType w:val="hybridMultilevel"/>
    <w:tmpl w:val="86F27126"/>
    <w:lvl w:ilvl="0" w:tplc="0415001B">
      <w:start w:val="1"/>
      <w:numFmt w:val="lowerRoman"/>
      <w:lvlText w:val="%1."/>
      <w:lvlJc w:val="righ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15:restartNumberingAfterBreak="0">
    <w:nsid w:val="56EC61C4"/>
    <w:multiLevelType w:val="hybridMultilevel"/>
    <w:tmpl w:val="5616DA5A"/>
    <w:lvl w:ilvl="0" w:tplc="FFFFFFF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0B7444"/>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4" w15:restartNumberingAfterBreak="0">
    <w:nsid w:val="58F15BA7"/>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5" w15:restartNumberingAfterBreak="0">
    <w:nsid w:val="592F1F07"/>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6" w15:restartNumberingAfterBreak="0">
    <w:nsid w:val="5A664A5D"/>
    <w:multiLevelType w:val="hybridMultilevel"/>
    <w:tmpl w:val="06569380"/>
    <w:lvl w:ilvl="0" w:tplc="0415001B">
      <w:start w:val="1"/>
      <w:numFmt w:val="lowerRoman"/>
      <w:lvlText w:val="%1."/>
      <w:lvlJc w:val="right"/>
      <w:pPr>
        <w:ind w:left="947" w:hanging="360"/>
      </w:pPr>
    </w:lvl>
    <w:lvl w:ilvl="1" w:tplc="04150019" w:tentative="1">
      <w:start w:val="1"/>
      <w:numFmt w:val="lowerLetter"/>
      <w:lvlText w:val="%2."/>
      <w:lvlJc w:val="left"/>
      <w:pPr>
        <w:ind w:left="1667" w:hanging="360"/>
      </w:pPr>
    </w:lvl>
    <w:lvl w:ilvl="2" w:tplc="0415001B" w:tentative="1">
      <w:start w:val="1"/>
      <w:numFmt w:val="lowerRoman"/>
      <w:lvlText w:val="%3."/>
      <w:lvlJc w:val="right"/>
      <w:pPr>
        <w:ind w:left="2387" w:hanging="180"/>
      </w:pPr>
    </w:lvl>
    <w:lvl w:ilvl="3" w:tplc="0415000F" w:tentative="1">
      <w:start w:val="1"/>
      <w:numFmt w:val="decimal"/>
      <w:lvlText w:val="%4."/>
      <w:lvlJc w:val="left"/>
      <w:pPr>
        <w:ind w:left="3107" w:hanging="360"/>
      </w:pPr>
    </w:lvl>
    <w:lvl w:ilvl="4" w:tplc="04150019" w:tentative="1">
      <w:start w:val="1"/>
      <w:numFmt w:val="lowerLetter"/>
      <w:lvlText w:val="%5."/>
      <w:lvlJc w:val="left"/>
      <w:pPr>
        <w:ind w:left="3827" w:hanging="360"/>
      </w:pPr>
    </w:lvl>
    <w:lvl w:ilvl="5" w:tplc="0415001B" w:tentative="1">
      <w:start w:val="1"/>
      <w:numFmt w:val="lowerRoman"/>
      <w:lvlText w:val="%6."/>
      <w:lvlJc w:val="right"/>
      <w:pPr>
        <w:ind w:left="4547" w:hanging="180"/>
      </w:pPr>
    </w:lvl>
    <w:lvl w:ilvl="6" w:tplc="0415000F" w:tentative="1">
      <w:start w:val="1"/>
      <w:numFmt w:val="decimal"/>
      <w:lvlText w:val="%7."/>
      <w:lvlJc w:val="left"/>
      <w:pPr>
        <w:ind w:left="5267" w:hanging="360"/>
      </w:pPr>
    </w:lvl>
    <w:lvl w:ilvl="7" w:tplc="04150019" w:tentative="1">
      <w:start w:val="1"/>
      <w:numFmt w:val="lowerLetter"/>
      <w:lvlText w:val="%8."/>
      <w:lvlJc w:val="left"/>
      <w:pPr>
        <w:ind w:left="5987" w:hanging="360"/>
      </w:pPr>
    </w:lvl>
    <w:lvl w:ilvl="8" w:tplc="0415001B" w:tentative="1">
      <w:start w:val="1"/>
      <w:numFmt w:val="lowerRoman"/>
      <w:lvlText w:val="%9."/>
      <w:lvlJc w:val="right"/>
      <w:pPr>
        <w:ind w:left="6707" w:hanging="180"/>
      </w:pPr>
    </w:lvl>
  </w:abstractNum>
  <w:abstractNum w:abstractNumId="37" w15:restartNumberingAfterBreak="0">
    <w:nsid w:val="5B0A5939"/>
    <w:multiLevelType w:val="hybridMultilevel"/>
    <w:tmpl w:val="5616DA5A"/>
    <w:lvl w:ilvl="0" w:tplc="FFFFFFF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BC72DB4"/>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9" w15:restartNumberingAfterBreak="0">
    <w:nsid w:val="5CAF7195"/>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0" w15:restartNumberingAfterBreak="0">
    <w:nsid w:val="5CBF4D33"/>
    <w:multiLevelType w:val="multilevel"/>
    <w:tmpl w:val="4B8A4E5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1" w15:restartNumberingAfterBreak="0">
    <w:nsid w:val="5DD73E8D"/>
    <w:multiLevelType w:val="hybridMultilevel"/>
    <w:tmpl w:val="8B5A9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F7F586E"/>
    <w:multiLevelType w:val="multilevel"/>
    <w:tmpl w:val="2766D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67" w:hanging="227"/>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3" w15:restartNumberingAfterBreak="0">
    <w:nsid w:val="65390D72"/>
    <w:multiLevelType w:val="hybridMultilevel"/>
    <w:tmpl w:val="5616DA5A"/>
    <w:lvl w:ilvl="0" w:tplc="FFFFFFF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61C08D5"/>
    <w:multiLevelType w:val="multilevel"/>
    <w:tmpl w:val="2766D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67" w:hanging="227"/>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5" w15:restartNumberingAfterBreak="0">
    <w:nsid w:val="68B94E5A"/>
    <w:multiLevelType w:val="hybridMultilevel"/>
    <w:tmpl w:val="680AB10A"/>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D2C6FC1"/>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7" w15:restartNumberingAfterBreak="0">
    <w:nsid w:val="70496086"/>
    <w:multiLevelType w:val="multilevel"/>
    <w:tmpl w:val="955EB10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8" w15:restartNumberingAfterBreak="0">
    <w:nsid w:val="709730F5"/>
    <w:multiLevelType w:val="hybridMultilevel"/>
    <w:tmpl w:val="BF1654C4"/>
    <w:lvl w:ilvl="0" w:tplc="AE8E10BC">
      <w:start w:val="1"/>
      <w:numFmt w:val="decimal"/>
      <w:suff w:val="space"/>
      <w:lvlText w:val="%1."/>
      <w:lvlJc w:val="left"/>
      <w:pPr>
        <w:ind w:left="720" w:hanging="720"/>
      </w:pPr>
      <w:rPr>
        <w:rFonts w:hint="default"/>
      </w:rPr>
    </w:lvl>
    <w:lvl w:ilvl="1" w:tplc="496C2CBE" w:tentative="1">
      <w:start w:val="1"/>
      <w:numFmt w:val="lowerLetter"/>
      <w:lvlText w:val="%2."/>
      <w:lvlJc w:val="left"/>
      <w:pPr>
        <w:ind w:left="1440" w:hanging="360"/>
      </w:pPr>
    </w:lvl>
    <w:lvl w:ilvl="2" w:tplc="00565B60" w:tentative="1">
      <w:start w:val="1"/>
      <w:numFmt w:val="lowerRoman"/>
      <w:lvlText w:val="%3."/>
      <w:lvlJc w:val="right"/>
      <w:pPr>
        <w:ind w:left="2160" w:hanging="180"/>
      </w:pPr>
    </w:lvl>
    <w:lvl w:ilvl="3" w:tplc="F0941984" w:tentative="1">
      <w:start w:val="1"/>
      <w:numFmt w:val="decimal"/>
      <w:lvlText w:val="%4."/>
      <w:lvlJc w:val="left"/>
      <w:pPr>
        <w:ind w:left="2880" w:hanging="360"/>
      </w:pPr>
    </w:lvl>
    <w:lvl w:ilvl="4" w:tplc="5EDA4EC0" w:tentative="1">
      <w:start w:val="1"/>
      <w:numFmt w:val="lowerLetter"/>
      <w:lvlText w:val="%5."/>
      <w:lvlJc w:val="left"/>
      <w:pPr>
        <w:ind w:left="3600" w:hanging="360"/>
      </w:pPr>
    </w:lvl>
    <w:lvl w:ilvl="5" w:tplc="96CEF190" w:tentative="1">
      <w:start w:val="1"/>
      <w:numFmt w:val="lowerRoman"/>
      <w:lvlText w:val="%6."/>
      <w:lvlJc w:val="right"/>
      <w:pPr>
        <w:ind w:left="4320" w:hanging="180"/>
      </w:pPr>
    </w:lvl>
    <w:lvl w:ilvl="6" w:tplc="ABC2CE00" w:tentative="1">
      <w:start w:val="1"/>
      <w:numFmt w:val="decimal"/>
      <w:lvlText w:val="%7."/>
      <w:lvlJc w:val="left"/>
      <w:pPr>
        <w:ind w:left="5040" w:hanging="360"/>
      </w:pPr>
    </w:lvl>
    <w:lvl w:ilvl="7" w:tplc="7C622E30" w:tentative="1">
      <w:start w:val="1"/>
      <w:numFmt w:val="lowerLetter"/>
      <w:lvlText w:val="%8."/>
      <w:lvlJc w:val="left"/>
      <w:pPr>
        <w:ind w:left="5760" w:hanging="360"/>
      </w:pPr>
    </w:lvl>
    <w:lvl w:ilvl="8" w:tplc="3A1EF246" w:tentative="1">
      <w:start w:val="1"/>
      <w:numFmt w:val="lowerRoman"/>
      <w:lvlText w:val="%9."/>
      <w:lvlJc w:val="right"/>
      <w:pPr>
        <w:ind w:left="6480" w:hanging="180"/>
      </w:pPr>
    </w:lvl>
  </w:abstractNum>
  <w:abstractNum w:abstractNumId="49" w15:restartNumberingAfterBreak="0">
    <w:nsid w:val="740831D7"/>
    <w:multiLevelType w:val="multilevel"/>
    <w:tmpl w:val="2766D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suff w:val="space"/>
      <w:lvlText w:val="%4)"/>
      <w:lvlJc w:val="left"/>
      <w:pPr>
        <w:ind w:left="567" w:hanging="227"/>
      </w:pPr>
      <w:rPr>
        <w:rFonts w:hint="default"/>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0" w15:restartNumberingAfterBreak="0">
    <w:nsid w:val="798A6D7A"/>
    <w:multiLevelType w:val="multilevel"/>
    <w:tmpl w:val="8F0060A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lowerLetter"/>
      <w:lvlText w:val="%4)"/>
      <w:lvlJc w:val="left"/>
      <w:pPr>
        <w:ind w:left="587" w:hanging="360"/>
      </w:p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1" w15:restartNumberingAfterBreak="0">
    <w:nsid w:val="7D754B39"/>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num w:numId="1" w16cid:durableId="1315766926">
    <w:abstractNumId w:val="9"/>
  </w:num>
  <w:num w:numId="2" w16cid:durableId="1540169073">
    <w:abstractNumId w:val="39"/>
  </w:num>
  <w:num w:numId="3" w16cid:durableId="188878434">
    <w:abstractNumId w:val="46"/>
  </w:num>
  <w:num w:numId="4" w16cid:durableId="1166747458">
    <w:abstractNumId w:val="48"/>
  </w:num>
  <w:num w:numId="5" w16cid:durableId="391732244">
    <w:abstractNumId w:val="7"/>
  </w:num>
  <w:num w:numId="6" w16cid:durableId="620308439">
    <w:abstractNumId w:val="51"/>
  </w:num>
  <w:num w:numId="7" w16cid:durableId="658509536">
    <w:abstractNumId w:val="2"/>
  </w:num>
  <w:num w:numId="8" w16cid:durableId="1337608102">
    <w:abstractNumId w:val="38"/>
  </w:num>
  <w:num w:numId="9" w16cid:durableId="1575041948">
    <w:abstractNumId w:val="16"/>
  </w:num>
  <w:num w:numId="10" w16cid:durableId="766464483">
    <w:abstractNumId w:val="8"/>
  </w:num>
  <w:num w:numId="11" w16cid:durableId="1215311813">
    <w:abstractNumId w:val="21"/>
  </w:num>
  <w:num w:numId="12" w16cid:durableId="594636538">
    <w:abstractNumId w:val="26"/>
  </w:num>
  <w:num w:numId="13" w16cid:durableId="1556165756">
    <w:abstractNumId w:val="0"/>
  </w:num>
  <w:num w:numId="14" w16cid:durableId="494537841">
    <w:abstractNumId w:val="33"/>
  </w:num>
  <w:num w:numId="15" w16cid:durableId="439229368">
    <w:abstractNumId w:val="35"/>
  </w:num>
  <w:num w:numId="16" w16cid:durableId="336809635">
    <w:abstractNumId w:val="15"/>
  </w:num>
  <w:num w:numId="17" w16cid:durableId="742872521">
    <w:abstractNumId w:val="40"/>
  </w:num>
  <w:num w:numId="18" w16cid:durableId="310135870">
    <w:abstractNumId w:val="43"/>
  </w:num>
  <w:num w:numId="19" w16cid:durableId="1301040235">
    <w:abstractNumId w:val="19"/>
  </w:num>
  <w:num w:numId="20" w16cid:durableId="63451939">
    <w:abstractNumId w:val="37"/>
  </w:num>
  <w:num w:numId="21" w16cid:durableId="576287049">
    <w:abstractNumId w:val="29"/>
  </w:num>
  <w:num w:numId="22" w16cid:durableId="1482118112">
    <w:abstractNumId w:val="31"/>
  </w:num>
  <w:num w:numId="23" w16cid:durableId="1901016342">
    <w:abstractNumId w:val="32"/>
  </w:num>
  <w:num w:numId="24" w16cid:durableId="863205648">
    <w:abstractNumId w:val="25"/>
  </w:num>
  <w:num w:numId="25" w16cid:durableId="58864049">
    <w:abstractNumId w:val="4"/>
  </w:num>
  <w:num w:numId="26" w16cid:durableId="238292399">
    <w:abstractNumId w:val="23"/>
  </w:num>
  <w:num w:numId="27" w16cid:durableId="1688363185">
    <w:abstractNumId w:val="50"/>
  </w:num>
  <w:num w:numId="28" w16cid:durableId="858275547">
    <w:abstractNumId w:val="14"/>
  </w:num>
  <w:num w:numId="29" w16cid:durableId="1422094785">
    <w:abstractNumId w:val="17"/>
  </w:num>
  <w:num w:numId="30" w16cid:durableId="30885986">
    <w:abstractNumId w:val="22"/>
  </w:num>
  <w:num w:numId="31" w16cid:durableId="1648900116">
    <w:abstractNumId w:val="36"/>
  </w:num>
  <w:num w:numId="32" w16cid:durableId="1988169052">
    <w:abstractNumId w:val="24"/>
  </w:num>
  <w:num w:numId="33" w16cid:durableId="1904755483">
    <w:abstractNumId w:val="20"/>
  </w:num>
  <w:num w:numId="34" w16cid:durableId="661159366">
    <w:abstractNumId w:val="41"/>
  </w:num>
  <w:num w:numId="35" w16cid:durableId="612439539">
    <w:abstractNumId w:val="45"/>
  </w:num>
  <w:num w:numId="36" w16cid:durableId="1967350321">
    <w:abstractNumId w:val="27"/>
  </w:num>
  <w:num w:numId="37" w16cid:durableId="235435182">
    <w:abstractNumId w:val="10"/>
  </w:num>
  <w:num w:numId="38" w16cid:durableId="824007110">
    <w:abstractNumId w:val="42"/>
  </w:num>
  <w:num w:numId="39" w16cid:durableId="1326324228">
    <w:abstractNumId w:val="5"/>
  </w:num>
  <w:num w:numId="40" w16cid:durableId="1249996766">
    <w:abstractNumId w:val="42"/>
    <w:lvlOverride w:ilvl="0">
      <w:lvl w:ilvl="0">
        <w:start w:val="1"/>
        <w:numFmt w:val="decimal"/>
        <w:suff w:val="space"/>
        <w:lvlText w:val="%1."/>
        <w:lvlJc w:val="left"/>
        <w:pPr>
          <w:ind w:left="227" w:hanging="227"/>
        </w:pPr>
        <w:rPr>
          <w:rFonts w:hint="default"/>
          <w:b/>
        </w:rPr>
      </w:lvl>
    </w:lvlOverride>
    <w:lvlOverride w:ilvl="1">
      <w:lvl w:ilvl="1">
        <w:start w:val="1"/>
        <w:numFmt w:val="decimal"/>
        <w:suff w:val="space"/>
        <w:lvlText w:val="%1.%2."/>
        <w:lvlJc w:val="left"/>
        <w:pPr>
          <w:ind w:left="227" w:hanging="227"/>
        </w:pPr>
        <w:rPr>
          <w:rFonts w:hint="default"/>
          <w:b/>
          <w:bCs/>
        </w:rPr>
      </w:lvl>
    </w:lvlOverride>
    <w:lvlOverride w:ilvl="2">
      <w:lvl w:ilvl="2">
        <w:start w:val="1"/>
        <w:numFmt w:val="decimal"/>
        <w:suff w:val="space"/>
        <w:lvlText w:val="%1.%2.%3."/>
        <w:lvlJc w:val="left"/>
        <w:pPr>
          <w:ind w:left="227" w:hanging="227"/>
        </w:pPr>
        <w:rPr>
          <w:rFonts w:hint="default"/>
          <w:b/>
          <w:bCs/>
          <w:i w:val="0"/>
        </w:rPr>
      </w:lvl>
    </w:lvlOverride>
    <w:lvlOverride w:ilvl="3">
      <w:lvl w:ilvl="3">
        <w:start w:val="1"/>
        <w:numFmt w:val="lowerRoman"/>
        <w:suff w:val="space"/>
        <w:lvlText w:val="%4)"/>
        <w:lvlJc w:val="left"/>
        <w:pPr>
          <w:ind w:left="567" w:hanging="227"/>
        </w:pPr>
        <w:rPr>
          <w:rFonts w:hint="default"/>
        </w:rPr>
      </w:lvl>
    </w:lvlOverride>
    <w:lvlOverride w:ilvl="4">
      <w:lvl w:ilvl="4">
        <w:start w:val="1"/>
        <w:numFmt w:val="lowerLetter"/>
        <w:suff w:val="space"/>
        <w:lvlText w:val="%5)"/>
        <w:lvlJc w:val="left"/>
        <w:pPr>
          <w:ind w:left="680" w:hanging="226"/>
        </w:pPr>
        <w:rPr>
          <w:rFonts w:hint="default"/>
          <w:b w:val="0"/>
          <w:bCs/>
        </w:rPr>
      </w:lvl>
    </w:lvlOverride>
    <w:lvlOverride w:ilvl="5">
      <w:lvl w:ilvl="5">
        <w:start w:val="1"/>
        <w:numFmt w:val="bullet"/>
        <w:lvlText w:val=""/>
        <w:lvlJc w:val="left"/>
        <w:pPr>
          <w:ind w:left="907" w:hanging="227"/>
        </w:pPr>
        <w:rPr>
          <w:rFonts w:ascii="Symbol" w:hAnsi="Symbol" w:hint="default"/>
        </w:rPr>
      </w:lvl>
    </w:lvlOverride>
    <w:lvlOverride w:ilvl="6">
      <w:lvl w:ilvl="6">
        <w:start w:val="1"/>
        <w:numFmt w:val="lowerRoman"/>
        <w:lvlText w:val="%7."/>
        <w:lvlJc w:val="left"/>
        <w:pPr>
          <w:ind w:left="1134" w:hanging="227"/>
        </w:pPr>
        <w:rPr>
          <w:rFonts w:hint="default"/>
        </w:rPr>
      </w:lvl>
    </w:lvlOverride>
    <w:lvlOverride w:ilvl="7">
      <w:lvl w:ilvl="7">
        <w:start w:val="1"/>
        <w:numFmt w:val="decimal"/>
        <w:lvlText w:val="%1.%2.%3.%4.%5.%6.%7.%8."/>
        <w:lvlJc w:val="left"/>
        <w:pPr>
          <w:ind w:left="3950" w:hanging="1224"/>
        </w:pPr>
        <w:rPr>
          <w:rFonts w:hint="default"/>
        </w:rPr>
      </w:lvl>
    </w:lvlOverride>
    <w:lvlOverride w:ilvl="8">
      <w:lvl w:ilvl="8">
        <w:start w:val="1"/>
        <w:numFmt w:val="decimal"/>
        <w:lvlText w:val="%1.%2.%3.%4.%5.%6.%7.%8.%9."/>
        <w:lvlJc w:val="left"/>
        <w:pPr>
          <w:ind w:left="4526" w:hanging="1440"/>
        </w:pPr>
        <w:rPr>
          <w:rFonts w:hint="default"/>
        </w:rPr>
      </w:lvl>
    </w:lvlOverride>
  </w:num>
  <w:num w:numId="41" w16cid:durableId="1856455889">
    <w:abstractNumId w:val="18"/>
  </w:num>
  <w:num w:numId="42" w16cid:durableId="671954738">
    <w:abstractNumId w:val="44"/>
  </w:num>
  <w:num w:numId="43" w16cid:durableId="923294427">
    <w:abstractNumId w:val="1"/>
  </w:num>
  <w:num w:numId="44" w16cid:durableId="1217668586">
    <w:abstractNumId w:val="34"/>
  </w:num>
  <w:num w:numId="45" w16cid:durableId="240676362">
    <w:abstractNumId w:val="6"/>
  </w:num>
  <w:num w:numId="46" w16cid:durableId="1698507880">
    <w:abstractNumId w:val="49"/>
  </w:num>
  <w:num w:numId="47" w16cid:durableId="1383865989">
    <w:abstractNumId w:val="30"/>
  </w:num>
  <w:num w:numId="48" w16cid:durableId="248541521">
    <w:abstractNumId w:val="11"/>
  </w:num>
  <w:num w:numId="49" w16cid:durableId="2049136134">
    <w:abstractNumId w:val="47"/>
  </w:num>
  <w:num w:numId="50" w16cid:durableId="878055352">
    <w:abstractNumId w:val="28"/>
  </w:num>
  <w:num w:numId="51" w16cid:durableId="139539019">
    <w:abstractNumId w:val="13"/>
  </w:num>
  <w:num w:numId="52" w16cid:durableId="450630559">
    <w:abstractNumId w:val="12"/>
  </w:num>
  <w:num w:numId="53" w16cid:durableId="996155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forms"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4C7"/>
    <w:rsid w:val="0000255A"/>
    <w:rsid w:val="00003CC8"/>
    <w:rsid w:val="00041DA8"/>
    <w:rsid w:val="00047D48"/>
    <w:rsid w:val="00054A12"/>
    <w:rsid w:val="0006736B"/>
    <w:rsid w:val="00071C39"/>
    <w:rsid w:val="00074C78"/>
    <w:rsid w:val="00082A62"/>
    <w:rsid w:val="00091C59"/>
    <w:rsid w:val="000A591A"/>
    <w:rsid w:val="000B18A7"/>
    <w:rsid w:val="000B6F3C"/>
    <w:rsid w:val="000C36A9"/>
    <w:rsid w:val="000C5603"/>
    <w:rsid w:val="000E41F5"/>
    <w:rsid w:val="00107C96"/>
    <w:rsid w:val="00111E7A"/>
    <w:rsid w:val="00112A8A"/>
    <w:rsid w:val="0011428E"/>
    <w:rsid w:val="00114641"/>
    <w:rsid w:val="00135FB1"/>
    <w:rsid w:val="001456B6"/>
    <w:rsid w:val="001641AC"/>
    <w:rsid w:val="001729B3"/>
    <w:rsid w:val="00184816"/>
    <w:rsid w:val="00197890"/>
    <w:rsid w:val="001A4BE2"/>
    <w:rsid w:val="001B49D7"/>
    <w:rsid w:val="001C379C"/>
    <w:rsid w:val="001D2AF7"/>
    <w:rsid w:val="001E7FBF"/>
    <w:rsid w:val="001F0F51"/>
    <w:rsid w:val="001F7188"/>
    <w:rsid w:val="00217038"/>
    <w:rsid w:val="00217233"/>
    <w:rsid w:val="00220852"/>
    <w:rsid w:val="002454DA"/>
    <w:rsid w:val="002622AD"/>
    <w:rsid w:val="002962A0"/>
    <w:rsid w:val="002A6A79"/>
    <w:rsid w:val="002C482D"/>
    <w:rsid w:val="002D781E"/>
    <w:rsid w:val="002E6107"/>
    <w:rsid w:val="002F0C63"/>
    <w:rsid w:val="002F59E5"/>
    <w:rsid w:val="003227DD"/>
    <w:rsid w:val="003454ED"/>
    <w:rsid w:val="003519B1"/>
    <w:rsid w:val="00362C36"/>
    <w:rsid w:val="0037328F"/>
    <w:rsid w:val="00382681"/>
    <w:rsid w:val="00383C02"/>
    <w:rsid w:val="003D4EB3"/>
    <w:rsid w:val="003D4F1C"/>
    <w:rsid w:val="003E0DF7"/>
    <w:rsid w:val="003E367A"/>
    <w:rsid w:val="003F4E9E"/>
    <w:rsid w:val="003F5CBF"/>
    <w:rsid w:val="00412835"/>
    <w:rsid w:val="00413330"/>
    <w:rsid w:val="00413AA1"/>
    <w:rsid w:val="0042724D"/>
    <w:rsid w:val="00453A7E"/>
    <w:rsid w:val="0047380E"/>
    <w:rsid w:val="004740D0"/>
    <w:rsid w:val="00486AC4"/>
    <w:rsid w:val="004A378E"/>
    <w:rsid w:val="004C03B1"/>
    <w:rsid w:val="004C54C7"/>
    <w:rsid w:val="004F3068"/>
    <w:rsid w:val="00521303"/>
    <w:rsid w:val="0053612E"/>
    <w:rsid w:val="00562ED9"/>
    <w:rsid w:val="00565C92"/>
    <w:rsid w:val="00573125"/>
    <w:rsid w:val="00596E54"/>
    <w:rsid w:val="005A0A39"/>
    <w:rsid w:val="005A3434"/>
    <w:rsid w:val="005B4C7F"/>
    <w:rsid w:val="005D183E"/>
    <w:rsid w:val="005D3C1F"/>
    <w:rsid w:val="005E1D18"/>
    <w:rsid w:val="005E5C99"/>
    <w:rsid w:val="00612DDC"/>
    <w:rsid w:val="00613923"/>
    <w:rsid w:val="00624580"/>
    <w:rsid w:val="00634FB4"/>
    <w:rsid w:val="006362FD"/>
    <w:rsid w:val="00642C7C"/>
    <w:rsid w:val="00643D11"/>
    <w:rsid w:val="0066795A"/>
    <w:rsid w:val="00676231"/>
    <w:rsid w:val="00682FFE"/>
    <w:rsid w:val="00696B4A"/>
    <w:rsid w:val="006A1CEF"/>
    <w:rsid w:val="006A4380"/>
    <w:rsid w:val="006A56DF"/>
    <w:rsid w:val="006A6B69"/>
    <w:rsid w:val="006B10AF"/>
    <w:rsid w:val="006C2285"/>
    <w:rsid w:val="006C3056"/>
    <w:rsid w:val="006D03AE"/>
    <w:rsid w:val="006F101E"/>
    <w:rsid w:val="0071795B"/>
    <w:rsid w:val="00731966"/>
    <w:rsid w:val="00735037"/>
    <w:rsid w:val="0075495D"/>
    <w:rsid w:val="00785966"/>
    <w:rsid w:val="007871D5"/>
    <w:rsid w:val="00793BC4"/>
    <w:rsid w:val="007A6B6C"/>
    <w:rsid w:val="007C5485"/>
    <w:rsid w:val="007C607E"/>
    <w:rsid w:val="007D642F"/>
    <w:rsid w:val="00815140"/>
    <w:rsid w:val="00816080"/>
    <w:rsid w:val="0083665B"/>
    <w:rsid w:val="00844D17"/>
    <w:rsid w:val="0086340F"/>
    <w:rsid w:val="0086526A"/>
    <w:rsid w:val="008962A6"/>
    <w:rsid w:val="008A2816"/>
    <w:rsid w:val="008B20E1"/>
    <w:rsid w:val="008E7D47"/>
    <w:rsid w:val="008F27F3"/>
    <w:rsid w:val="008F6146"/>
    <w:rsid w:val="008F66AC"/>
    <w:rsid w:val="00904224"/>
    <w:rsid w:val="00914E1C"/>
    <w:rsid w:val="00915DA4"/>
    <w:rsid w:val="009236F1"/>
    <w:rsid w:val="009258F6"/>
    <w:rsid w:val="00925F9F"/>
    <w:rsid w:val="00967DAA"/>
    <w:rsid w:val="00994CFA"/>
    <w:rsid w:val="009A3B9C"/>
    <w:rsid w:val="009A7907"/>
    <w:rsid w:val="009C44DE"/>
    <w:rsid w:val="009C5DE5"/>
    <w:rsid w:val="009C74D0"/>
    <w:rsid w:val="009D6FA8"/>
    <w:rsid w:val="009F5724"/>
    <w:rsid w:val="00A01B1F"/>
    <w:rsid w:val="00A2204B"/>
    <w:rsid w:val="00A405F4"/>
    <w:rsid w:val="00A45C46"/>
    <w:rsid w:val="00A734D2"/>
    <w:rsid w:val="00A802BF"/>
    <w:rsid w:val="00A8639F"/>
    <w:rsid w:val="00A94DE5"/>
    <w:rsid w:val="00A970F7"/>
    <w:rsid w:val="00AA4C4E"/>
    <w:rsid w:val="00AA5353"/>
    <w:rsid w:val="00AB319A"/>
    <w:rsid w:val="00AB5BE9"/>
    <w:rsid w:val="00AC5733"/>
    <w:rsid w:val="00AD70D0"/>
    <w:rsid w:val="00AE3745"/>
    <w:rsid w:val="00AF25E8"/>
    <w:rsid w:val="00B12B4E"/>
    <w:rsid w:val="00B16B40"/>
    <w:rsid w:val="00B269CD"/>
    <w:rsid w:val="00B363F4"/>
    <w:rsid w:val="00B505ED"/>
    <w:rsid w:val="00BB1C89"/>
    <w:rsid w:val="00BB7F37"/>
    <w:rsid w:val="00BC7E82"/>
    <w:rsid w:val="00BD3D8B"/>
    <w:rsid w:val="00BD551E"/>
    <w:rsid w:val="00BD7FF7"/>
    <w:rsid w:val="00BE1160"/>
    <w:rsid w:val="00BF050A"/>
    <w:rsid w:val="00BF72B5"/>
    <w:rsid w:val="00BF73CF"/>
    <w:rsid w:val="00C03F82"/>
    <w:rsid w:val="00C21A71"/>
    <w:rsid w:val="00C27729"/>
    <w:rsid w:val="00C375E6"/>
    <w:rsid w:val="00C45ADF"/>
    <w:rsid w:val="00C96194"/>
    <w:rsid w:val="00CA489E"/>
    <w:rsid w:val="00CA67A5"/>
    <w:rsid w:val="00CB1C1F"/>
    <w:rsid w:val="00CB6838"/>
    <w:rsid w:val="00CC3F69"/>
    <w:rsid w:val="00CC40F3"/>
    <w:rsid w:val="00CE2451"/>
    <w:rsid w:val="00CF0C15"/>
    <w:rsid w:val="00CF1F79"/>
    <w:rsid w:val="00CF5F4D"/>
    <w:rsid w:val="00D006A6"/>
    <w:rsid w:val="00D16A76"/>
    <w:rsid w:val="00D257EC"/>
    <w:rsid w:val="00D321FA"/>
    <w:rsid w:val="00D341FF"/>
    <w:rsid w:val="00D50B53"/>
    <w:rsid w:val="00D57440"/>
    <w:rsid w:val="00D668FD"/>
    <w:rsid w:val="00D869CA"/>
    <w:rsid w:val="00DA0444"/>
    <w:rsid w:val="00DA7189"/>
    <w:rsid w:val="00DC1948"/>
    <w:rsid w:val="00DC24B8"/>
    <w:rsid w:val="00DD3642"/>
    <w:rsid w:val="00DE1F52"/>
    <w:rsid w:val="00DE2275"/>
    <w:rsid w:val="00DF7E92"/>
    <w:rsid w:val="00E04C3D"/>
    <w:rsid w:val="00E136B9"/>
    <w:rsid w:val="00E13A9B"/>
    <w:rsid w:val="00E244B2"/>
    <w:rsid w:val="00E805AA"/>
    <w:rsid w:val="00E8199B"/>
    <w:rsid w:val="00E81F7B"/>
    <w:rsid w:val="00E82973"/>
    <w:rsid w:val="00E856A9"/>
    <w:rsid w:val="00E90C3F"/>
    <w:rsid w:val="00EA5D34"/>
    <w:rsid w:val="00EB3910"/>
    <w:rsid w:val="00EC22AF"/>
    <w:rsid w:val="00ED5872"/>
    <w:rsid w:val="00EE2AAC"/>
    <w:rsid w:val="00EE3107"/>
    <w:rsid w:val="00EE3881"/>
    <w:rsid w:val="00EE4266"/>
    <w:rsid w:val="00F03C48"/>
    <w:rsid w:val="00F15889"/>
    <w:rsid w:val="00F20864"/>
    <w:rsid w:val="00F30F23"/>
    <w:rsid w:val="00F436EA"/>
    <w:rsid w:val="00F44CAD"/>
    <w:rsid w:val="00F555B3"/>
    <w:rsid w:val="00F65F96"/>
    <w:rsid w:val="00F700A0"/>
    <w:rsid w:val="00F82F12"/>
    <w:rsid w:val="00F85CDE"/>
    <w:rsid w:val="00F938B5"/>
    <w:rsid w:val="00F95D10"/>
    <w:rsid w:val="00F96FCA"/>
    <w:rsid w:val="00FA5A1B"/>
    <w:rsid w:val="00FC37D8"/>
    <w:rsid w:val="00FC5764"/>
    <w:rsid w:val="00FC76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D6D24"/>
  <w15:docId w15:val="{EBAF993C-2C47-45CC-B5D3-4A6523A6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5AFC"/>
    <w:pPr>
      <w:spacing w:after="200" w:line="276" w:lineRule="auto"/>
    </w:pPr>
    <w:rPr>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27BE3"/>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827BE3"/>
    <w:rPr>
      <w:rFonts w:ascii="Tahoma" w:hAnsi="Tahoma" w:cs="Tahoma"/>
      <w:sz w:val="16"/>
      <w:szCs w:val="16"/>
    </w:rPr>
  </w:style>
  <w:style w:type="character" w:styleId="Tekstzastpczy">
    <w:name w:val="Placeholder Text"/>
    <w:uiPriority w:val="99"/>
    <w:semiHidden/>
    <w:rsid w:val="002C05F4"/>
    <w:rPr>
      <w:color w:val="808080"/>
    </w:rPr>
  </w:style>
  <w:style w:type="paragraph" w:customStyle="1" w:styleId="adresat">
    <w:name w:val="adresat"/>
    <w:basedOn w:val="Normalny"/>
    <w:link w:val="adresatZnak"/>
    <w:rsid w:val="00E441AC"/>
    <w:pPr>
      <w:spacing w:after="120" w:line="360" w:lineRule="auto"/>
    </w:pPr>
  </w:style>
  <w:style w:type="paragraph" w:customStyle="1" w:styleId="pismamz">
    <w:name w:val="pisma_mz"/>
    <w:basedOn w:val="Normalny"/>
    <w:link w:val="pismamzZnak"/>
    <w:qFormat/>
    <w:rsid w:val="003F4345"/>
    <w:pPr>
      <w:spacing w:after="0" w:line="360" w:lineRule="auto"/>
      <w:contextualSpacing/>
      <w:jc w:val="both"/>
    </w:pPr>
    <w:rPr>
      <w:rFonts w:ascii="Arial" w:hAnsi="Arial"/>
    </w:rPr>
  </w:style>
  <w:style w:type="character" w:customStyle="1" w:styleId="adresatZnak">
    <w:name w:val="adresat Znak"/>
    <w:basedOn w:val="Domylnaczcionkaakapitu"/>
    <w:link w:val="adresat"/>
    <w:rsid w:val="00E441AC"/>
  </w:style>
  <w:style w:type="character" w:customStyle="1" w:styleId="pismamzZnak">
    <w:name w:val="pisma_mz Znak"/>
    <w:link w:val="pismamz"/>
    <w:rsid w:val="003F4345"/>
    <w:rPr>
      <w:rFonts w:ascii="Arial" w:hAnsi="Arial"/>
    </w:rPr>
  </w:style>
  <w:style w:type="paragraph" w:styleId="Nagwek">
    <w:name w:val="header"/>
    <w:basedOn w:val="Normalny"/>
    <w:link w:val="NagwekZnak"/>
    <w:uiPriority w:val="99"/>
    <w:unhideWhenUsed/>
    <w:rsid w:val="0051793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17930"/>
  </w:style>
  <w:style w:type="paragraph" w:styleId="Stopka">
    <w:name w:val="footer"/>
    <w:basedOn w:val="Normalny"/>
    <w:link w:val="StopkaZnak"/>
    <w:uiPriority w:val="99"/>
    <w:unhideWhenUsed/>
    <w:rsid w:val="0051793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17930"/>
  </w:style>
  <w:style w:type="table" w:styleId="Tabela-Siatka">
    <w:name w:val="Table Grid"/>
    <w:basedOn w:val="Standardowy"/>
    <w:uiPriority w:val="59"/>
    <w:rsid w:val="00E67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E67601"/>
    <w:rPr>
      <w:color w:val="0563C1" w:themeColor="hyperlink"/>
      <w:u w:val="single"/>
    </w:rPr>
  </w:style>
  <w:style w:type="paragraph" w:styleId="Akapitzlist">
    <w:name w:val="List Paragraph"/>
    <w:basedOn w:val="Normalny"/>
    <w:uiPriority w:val="34"/>
    <w:qFormat/>
    <w:rsid w:val="006B10AF"/>
    <w:pPr>
      <w:ind w:left="720"/>
      <w:contextualSpacing/>
    </w:pPr>
    <w:rPr>
      <w:rFonts w:asciiTheme="minorHAnsi" w:eastAsiaTheme="minorHAnsi" w:hAnsiTheme="minorHAnsi" w:cstheme="minorBidi"/>
    </w:rPr>
  </w:style>
  <w:style w:type="paragraph" w:styleId="Tekstpodstawowy">
    <w:name w:val="Body Text"/>
    <w:aliases w:val="Body Text Char Char,Body Text Char Char Char Char,Body Text Char Char Char Char Char Char,Body Text Char1,Body Text Char1 Char Char,Body Text Char1 Char Char Char Char,Body Text Char1 Char Char Char Char Char Char"/>
    <w:basedOn w:val="Normalny"/>
    <w:link w:val="TekstpodstawowyZnak"/>
    <w:rsid w:val="006B10AF"/>
    <w:pPr>
      <w:spacing w:after="0" w:line="240" w:lineRule="auto"/>
      <w:jc w:val="both"/>
    </w:pPr>
    <w:rPr>
      <w:rFonts w:ascii="Times New Roman" w:eastAsia="Times New Roman" w:hAnsi="Times New Roman"/>
      <w:sz w:val="24"/>
      <w:szCs w:val="24"/>
      <w:lang w:val="en-US" w:eastAsia="pl-PL"/>
    </w:rPr>
  </w:style>
  <w:style w:type="character" w:customStyle="1" w:styleId="TekstpodstawowyZnak">
    <w:name w:val="Tekst podstawowy Znak"/>
    <w:aliases w:val="Body Text Char Char Znak,Body Text Char Char Char Char Znak,Body Text Char Char Char Char Char Char Znak,Body Text Char1 Znak,Body Text Char1 Char Char Znak,Body Text Char1 Char Char Char Char Znak"/>
    <w:basedOn w:val="Domylnaczcionkaakapitu"/>
    <w:link w:val="Tekstpodstawowy"/>
    <w:rsid w:val="006B10AF"/>
    <w:rPr>
      <w:rFonts w:ascii="Times New Roman" w:eastAsia="Times New Roman" w:hAnsi="Times New Roman"/>
      <w:sz w:val="24"/>
      <w:szCs w:val="24"/>
      <w:lang w:val="en-US"/>
    </w:rPr>
  </w:style>
  <w:style w:type="paragraph" w:customStyle="1" w:styleId="ColorfulList-Accent11">
    <w:name w:val="Colorful List - Accent 11"/>
    <w:basedOn w:val="Normalny"/>
    <w:uiPriority w:val="34"/>
    <w:qFormat/>
    <w:rsid w:val="006B10AF"/>
    <w:pPr>
      <w:spacing w:before="60" w:after="60" w:line="240" w:lineRule="auto"/>
      <w:ind w:left="720"/>
      <w:contextualSpacing/>
      <w:jc w:val="both"/>
    </w:pPr>
    <w:rPr>
      <w:lang w:val="en-US"/>
    </w:rPr>
  </w:style>
  <w:style w:type="paragraph" w:styleId="Poprawka">
    <w:name w:val="Revision"/>
    <w:hidden/>
    <w:uiPriority w:val="99"/>
    <w:semiHidden/>
    <w:rsid w:val="0066795A"/>
    <w:rPr>
      <w:sz w:val="22"/>
      <w:szCs w:val="22"/>
      <w:lang w:eastAsia="en-US"/>
    </w:rPr>
  </w:style>
  <w:style w:type="character" w:styleId="Odwoaniedokomentarza">
    <w:name w:val="annotation reference"/>
    <w:basedOn w:val="Domylnaczcionkaakapitu"/>
    <w:uiPriority w:val="99"/>
    <w:semiHidden/>
    <w:unhideWhenUsed/>
    <w:rsid w:val="0066795A"/>
    <w:rPr>
      <w:sz w:val="16"/>
      <w:szCs w:val="16"/>
    </w:rPr>
  </w:style>
  <w:style w:type="paragraph" w:styleId="Tekstkomentarza">
    <w:name w:val="annotation text"/>
    <w:basedOn w:val="Normalny"/>
    <w:link w:val="TekstkomentarzaZnak"/>
    <w:uiPriority w:val="99"/>
    <w:unhideWhenUsed/>
    <w:rsid w:val="0066795A"/>
    <w:pPr>
      <w:spacing w:line="240" w:lineRule="auto"/>
    </w:pPr>
    <w:rPr>
      <w:sz w:val="20"/>
      <w:szCs w:val="20"/>
    </w:rPr>
  </w:style>
  <w:style w:type="character" w:customStyle="1" w:styleId="TekstkomentarzaZnak">
    <w:name w:val="Tekst komentarza Znak"/>
    <w:basedOn w:val="Domylnaczcionkaakapitu"/>
    <w:link w:val="Tekstkomentarza"/>
    <w:uiPriority w:val="99"/>
    <w:rsid w:val="0066795A"/>
    <w:rPr>
      <w:lang w:eastAsia="en-US"/>
    </w:rPr>
  </w:style>
  <w:style w:type="paragraph" w:styleId="Tematkomentarza">
    <w:name w:val="annotation subject"/>
    <w:basedOn w:val="Tekstkomentarza"/>
    <w:next w:val="Tekstkomentarza"/>
    <w:link w:val="TematkomentarzaZnak"/>
    <w:uiPriority w:val="99"/>
    <w:semiHidden/>
    <w:unhideWhenUsed/>
    <w:rsid w:val="0066795A"/>
    <w:rPr>
      <w:b/>
      <w:bCs/>
    </w:rPr>
  </w:style>
  <w:style w:type="character" w:customStyle="1" w:styleId="TematkomentarzaZnak">
    <w:name w:val="Temat komentarza Znak"/>
    <w:basedOn w:val="TekstkomentarzaZnak"/>
    <w:link w:val="Tematkomentarza"/>
    <w:uiPriority w:val="99"/>
    <w:semiHidden/>
    <w:rsid w:val="0066795A"/>
    <w:rPr>
      <w:b/>
      <w:bCs/>
      <w:lang w:eastAsia="en-US"/>
    </w:rPr>
  </w:style>
  <w:style w:type="paragraph" w:customStyle="1" w:styleId="pf0">
    <w:name w:val="pf0"/>
    <w:basedOn w:val="Normalny"/>
    <w:rsid w:val="00521303"/>
    <w:pPr>
      <w:spacing w:before="100" w:beforeAutospacing="1" w:after="100" w:afterAutospacing="1" w:line="240" w:lineRule="auto"/>
    </w:pPr>
    <w:rPr>
      <w:rFonts w:ascii="Times New Roman" w:eastAsia="Times New Roman" w:hAnsi="Times New Roman"/>
      <w:sz w:val="24"/>
      <w:szCs w:val="24"/>
      <w:lang w:eastAsia="pl-PL"/>
    </w:rPr>
  </w:style>
  <w:style w:type="character" w:customStyle="1" w:styleId="cf01">
    <w:name w:val="cf01"/>
    <w:basedOn w:val="Domylnaczcionkaakapitu"/>
    <w:rsid w:val="00521303"/>
    <w:rPr>
      <w:rFonts w:ascii="Segoe UI" w:hAnsi="Segoe UI" w:cs="Segoe UI" w:hint="default"/>
      <w:sz w:val="18"/>
      <w:szCs w:val="18"/>
    </w:rPr>
  </w:style>
  <w:style w:type="character" w:customStyle="1" w:styleId="cf11">
    <w:name w:val="cf11"/>
    <w:basedOn w:val="Domylnaczcionkaakapitu"/>
    <w:rsid w:val="002F59E5"/>
    <w:rPr>
      <w:rFonts w:ascii="Segoe UI" w:hAnsi="Segoe UI" w:cs="Segoe UI" w:hint="default"/>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9891">
      <w:bodyDiv w:val="1"/>
      <w:marLeft w:val="0"/>
      <w:marRight w:val="0"/>
      <w:marTop w:val="0"/>
      <w:marBottom w:val="0"/>
      <w:divBdr>
        <w:top w:val="none" w:sz="0" w:space="0" w:color="auto"/>
        <w:left w:val="none" w:sz="0" w:space="0" w:color="auto"/>
        <w:bottom w:val="none" w:sz="0" w:space="0" w:color="auto"/>
        <w:right w:val="none" w:sz="0" w:space="0" w:color="auto"/>
      </w:divBdr>
    </w:div>
    <w:div w:id="571158696">
      <w:bodyDiv w:val="1"/>
      <w:marLeft w:val="0"/>
      <w:marRight w:val="0"/>
      <w:marTop w:val="0"/>
      <w:marBottom w:val="0"/>
      <w:divBdr>
        <w:top w:val="none" w:sz="0" w:space="0" w:color="auto"/>
        <w:left w:val="none" w:sz="0" w:space="0" w:color="auto"/>
        <w:bottom w:val="none" w:sz="0" w:space="0" w:color="auto"/>
        <w:right w:val="none" w:sz="0" w:space="0" w:color="auto"/>
      </w:divBdr>
    </w:div>
    <w:div w:id="121269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C0DBD6-4E6F-4531-919F-4FE6B5A7C123}">
  <ds:schemaRefs>
    <ds:schemaRef ds:uri="http://schemas.openxmlformats.org/officeDocument/2006/bibliography"/>
  </ds:schemaRefs>
</ds:datastoreItem>
</file>

<file path=docMetadata/LabelInfo.xml><?xml version="1.0" encoding="utf-8"?>
<clbl:labelList xmlns:clbl="http://schemas.microsoft.com/office/2020/mipLabelMetadata">
  <clbl:label id="{397cd41d-f0df-44e5-aea8-cb12e7ea80cd}" enabled="0" method="" siteId="{397cd41d-f0df-44e5-aea8-cb12e7ea80cd}" removed="1"/>
</clbl:labelList>
</file>

<file path=docProps/app.xml><?xml version="1.0" encoding="utf-8"?>
<Properties xmlns="http://schemas.openxmlformats.org/officeDocument/2006/extended-properties" xmlns:vt="http://schemas.openxmlformats.org/officeDocument/2006/docPropsVTypes">
  <Template>Normal</Template>
  <TotalTime>11</TotalTime>
  <Pages>7</Pages>
  <Words>1883</Words>
  <Characters>11301</Characters>
  <Application>Microsoft Office Word</Application>
  <DocSecurity>0</DocSecurity>
  <Lines>94</Lines>
  <Paragraphs>26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Barycki Sebastian</dc:creator>
  <cp:lastModifiedBy>Wilk Justyna</cp:lastModifiedBy>
  <cp:revision>4</cp:revision>
  <cp:lastPrinted>2014-08-04T19:00:00Z</cp:lastPrinted>
  <dcterms:created xsi:type="dcterms:W3CDTF">2024-12-10T16:22:00Z</dcterms:created>
  <dcterms:modified xsi:type="dcterms:W3CDTF">2024-12-12T15:20:00Z</dcterms:modified>
</cp:coreProperties>
</file>