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7736" w14:textId="13F0BC13" w:rsidR="009C3DBC" w:rsidRPr="009C3DBC" w:rsidRDefault="009C3DBC" w:rsidP="009C3D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C3DB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Załącznik B. 1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60</w:t>
      </w:r>
      <w:r w:rsidRPr="009C3DB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1871E72" w14:textId="77777777" w:rsidR="009C3DBC" w:rsidRPr="009C3DBC" w:rsidRDefault="009C3DBC" w:rsidP="009C3D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4E5F79B5" w14:textId="3FCD00CD" w:rsidR="009C3DBC" w:rsidRPr="009C3DBC" w:rsidRDefault="00576896" w:rsidP="00576896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3DBC">
        <w:rPr>
          <w:rFonts w:ascii="Times New Roman" w:hAnsi="Times New Roman" w:cs="Times New Roman"/>
          <w:b/>
          <w:bCs/>
          <w:sz w:val="28"/>
          <w:szCs w:val="28"/>
        </w:rPr>
        <w:t>LECZENIE PACJENTEK Z CIĘŻKĄ POSTACIĄ OSTEOPOROZY POMENOPAUZALNEJ (ICD-10: M80.0)</w:t>
      </w:r>
    </w:p>
    <w:tbl>
      <w:tblPr>
        <w:tblStyle w:val="Tabela-Siatka"/>
        <w:tblW w:w="1538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576896" w:rsidRPr="00377887" w14:paraId="1C06B4A1" w14:textId="77777777" w:rsidTr="009C3DBC">
        <w:trPr>
          <w:trHeight w:val="567"/>
        </w:trPr>
        <w:tc>
          <w:tcPr>
            <w:tcW w:w="15388" w:type="dxa"/>
            <w:gridSpan w:val="3"/>
            <w:shd w:val="clear" w:color="auto" w:fill="auto"/>
            <w:vAlign w:val="center"/>
          </w:tcPr>
          <w:p w14:paraId="39E83359" w14:textId="77777777" w:rsidR="00576896" w:rsidRPr="00377887" w:rsidRDefault="00576896" w:rsidP="009C3DBC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7887">
              <w:rPr>
                <w:rFonts w:ascii="Times New Roman" w:hAnsi="Times New Roman"/>
                <w:b/>
              </w:rPr>
              <w:t>ZAKRES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ŚWIADCZENIA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GWARANTOWANEGO</w:t>
            </w:r>
          </w:p>
        </w:tc>
      </w:tr>
      <w:tr w:rsidR="00576896" w:rsidRPr="00377887" w14:paraId="642A2152" w14:textId="77777777" w:rsidTr="009C3DBC">
        <w:trPr>
          <w:trHeight w:val="567"/>
        </w:trPr>
        <w:tc>
          <w:tcPr>
            <w:tcW w:w="5129" w:type="dxa"/>
            <w:shd w:val="clear" w:color="auto" w:fill="auto"/>
            <w:vAlign w:val="center"/>
          </w:tcPr>
          <w:p w14:paraId="484C400E" w14:textId="77777777" w:rsidR="00576896" w:rsidRPr="00377887" w:rsidRDefault="00576896" w:rsidP="009C3DBC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7887">
              <w:rPr>
                <w:rFonts w:ascii="Times New Roman" w:hAnsi="Times New Roman"/>
                <w:b/>
              </w:rPr>
              <w:t>ŚWIADCZENIOBIORCY</w:t>
            </w:r>
          </w:p>
        </w:tc>
        <w:tc>
          <w:tcPr>
            <w:tcW w:w="5129" w:type="dxa"/>
            <w:shd w:val="clear" w:color="auto" w:fill="auto"/>
            <w:vAlign w:val="center"/>
          </w:tcPr>
          <w:p w14:paraId="30424270" w14:textId="77777777" w:rsidR="00576896" w:rsidRPr="00377887" w:rsidRDefault="00576896" w:rsidP="009C3DBC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7887">
              <w:rPr>
                <w:rFonts w:ascii="Times New Roman" w:hAnsi="Times New Roman"/>
                <w:b/>
              </w:rPr>
              <w:t>SCHEMAT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DAWKOWANIA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LEKU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br/>
              <w:t>W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PROGRAMIE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8FB84FF" w14:textId="77777777" w:rsidR="00576896" w:rsidRPr="00377887" w:rsidRDefault="00576896" w:rsidP="009C3DBC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7887">
              <w:rPr>
                <w:rFonts w:ascii="Times New Roman" w:hAnsi="Times New Roman"/>
                <w:b/>
              </w:rPr>
              <w:t>BADANIA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DIAGNOSTYCZNE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WYKONYWANE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W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RAMACH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77887">
              <w:rPr>
                <w:rFonts w:ascii="Times New Roman" w:hAnsi="Times New Roman"/>
                <w:b/>
              </w:rPr>
              <w:t>PROGRAMU</w:t>
            </w:r>
          </w:p>
        </w:tc>
      </w:tr>
      <w:tr w:rsidR="00576896" w:rsidRPr="00A45772" w14:paraId="6D7CFB16" w14:textId="77777777" w:rsidTr="009C3DBC">
        <w:trPr>
          <w:trHeight w:val="20"/>
        </w:trPr>
        <w:tc>
          <w:tcPr>
            <w:tcW w:w="5129" w:type="dxa"/>
          </w:tcPr>
          <w:p w14:paraId="3F4D3C34" w14:textId="77777777" w:rsidR="00576896" w:rsidRPr="00A45772" w:rsidRDefault="00576896" w:rsidP="009C3DBC">
            <w:pPr>
              <w:pStyle w:val="TableParagraph"/>
              <w:tabs>
                <w:tab w:val="left" w:pos="487"/>
                <w:tab w:val="left" w:pos="5460"/>
              </w:tabs>
              <w:spacing w:before="120" w:after="60" w:line="276" w:lineRule="auto"/>
              <w:ind w:left="0"/>
              <w:jc w:val="both"/>
              <w:rPr>
                <w:bCs/>
                <w:lang w:val="pl-PL"/>
              </w:rPr>
            </w:pPr>
            <w:r w:rsidRPr="00A45772">
              <w:rPr>
                <w:bCs/>
                <w:lang w:val="pl-PL"/>
              </w:rPr>
              <w:t>W ramach programu lekowego udostępnia się terapie:</w:t>
            </w:r>
          </w:p>
          <w:p w14:paraId="110B6292" w14:textId="77777777" w:rsidR="00576896" w:rsidRPr="00A45772" w:rsidRDefault="00576896" w:rsidP="009C3DBC">
            <w:pPr>
              <w:pStyle w:val="TableParagraph"/>
              <w:numPr>
                <w:ilvl w:val="3"/>
                <w:numId w:val="1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lang w:val="pl-PL"/>
              </w:rPr>
            </w:pPr>
            <w:proofErr w:type="spellStart"/>
            <w:r w:rsidRPr="00A45772">
              <w:rPr>
                <w:bCs/>
                <w:i/>
                <w:iCs/>
                <w:lang w:val="pl-PL"/>
              </w:rPr>
              <w:t>romosozumabem</w:t>
            </w:r>
            <w:proofErr w:type="spellEnd"/>
            <w:r w:rsidRPr="00A45772">
              <w:rPr>
                <w:bCs/>
                <w:lang w:val="pl-PL"/>
              </w:rPr>
              <w:t>,</w:t>
            </w:r>
          </w:p>
          <w:p w14:paraId="3D2793A1" w14:textId="0D8F4C61" w:rsidR="00576896" w:rsidRDefault="00576896" w:rsidP="009C3DBC">
            <w:pPr>
              <w:pStyle w:val="TableParagraph"/>
              <w:tabs>
                <w:tab w:val="left" w:pos="487"/>
                <w:tab w:val="left" w:pos="5460"/>
              </w:tabs>
              <w:spacing w:after="60" w:line="276" w:lineRule="auto"/>
              <w:ind w:left="0"/>
              <w:jc w:val="both"/>
              <w:rPr>
                <w:bCs/>
                <w:lang w:val="pl-PL"/>
              </w:rPr>
            </w:pPr>
            <w:r w:rsidRPr="00A45772">
              <w:rPr>
                <w:bCs/>
                <w:u w:val="single"/>
                <w:lang w:val="pl-PL"/>
              </w:rPr>
              <w:t>zgodnie ze wskazanymi w opisie programu warunkami i kryteriami</w:t>
            </w:r>
            <w:r w:rsidRPr="00A45772">
              <w:rPr>
                <w:bCs/>
                <w:lang w:val="pl-PL"/>
              </w:rPr>
              <w:t>.</w:t>
            </w:r>
          </w:p>
          <w:p w14:paraId="42875A34" w14:textId="77777777" w:rsidR="009C3DBC" w:rsidRPr="00A45772" w:rsidRDefault="009C3DBC" w:rsidP="009C3DBC">
            <w:pPr>
              <w:pStyle w:val="TableParagraph"/>
              <w:tabs>
                <w:tab w:val="left" w:pos="487"/>
                <w:tab w:val="left" w:pos="5460"/>
              </w:tabs>
              <w:spacing w:after="60" w:line="276" w:lineRule="auto"/>
              <w:ind w:left="0"/>
              <w:jc w:val="both"/>
              <w:rPr>
                <w:b/>
                <w:lang w:val="pl-PL"/>
              </w:rPr>
            </w:pPr>
          </w:p>
          <w:p w14:paraId="325757D0" w14:textId="4CF0474C" w:rsidR="00576896" w:rsidRPr="005B3294" w:rsidRDefault="00576896" w:rsidP="009C3DBC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/>
                <w:lang w:val="pl-PL"/>
              </w:rPr>
            </w:pPr>
            <w:r w:rsidRPr="005B3294">
              <w:rPr>
                <w:b/>
                <w:spacing w:val="-2"/>
                <w:w w:val="105"/>
                <w:lang w:val="pl-PL"/>
              </w:rPr>
              <w:t>Kryteria</w:t>
            </w:r>
            <w:r w:rsidR="005B3294" w:rsidRPr="005B3294">
              <w:rPr>
                <w:b/>
                <w:spacing w:val="-2"/>
                <w:w w:val="105"/>
                <w:lang w:val="pl-PL"/>
              </w:rPr>
              <w:t xml:space="preserve"> </w:t>
            </w:r>
            <w:r w:rsidRPr="005B3294">
              <w:rPr>
                <w:b/>
                <w:w w:val="105"/>
                <w:lang w:val="pl-PL"/>
              </w:rPr>
              <w:t>kwalifikacji</w:t>
            </w:r>
          </w:p>
          <w:p w14:paraId="3C92C731" w14:textId="77777777" w:rsidR="005B3294" w:rsidRPr="00A45772" w:rsidRDefault="005B3294" w:rsidP="005B3294">
            <w:pPr>
              <w:pStyle w:val="TableParagraph"/>
              <w:tabs>
                <w:tab w:val="left" w:pos="5460"/>
              </w:tabs>
              <w:spacing w:after="60" w:line="276" w:lineRule="auto"/>
              <w:ind w:left="0"/>
              <w:jc w:val="both"/>
              <w:rPr>
                <w:w w:val="105"/>
                <w:lang w:val="pl-PL"/>
              </w:rPr>
            </w:pPr>
            <w:r w:rsidRPr="00A45772">
              <w:rPr>
                <w:w w:val="105"/>
                <w:lang w:val="pl-PL"/>
              </w:rPr>
              <w:t xml:space="preserve">Do programu kwalifikowane są kobiety ze zdiagnozowaną </w:t>
            </w:r>
            <w:proofErr w:type="spellStart"/>
            <w:r w:rsidRPr="00A45772">
              <w:rPr>
                <w:w w:val="105"/>
                <w:lang w:val="pl-PL"/>
              </w:rPr>
              <w:t>pomenopauzalną</w:t>
            </w:r>
            <w:proofErr w:type="spellEnd"/>
            <w:r w:rsidRPr="00A45772">
              <w:rPr>
                <w:w w:val="105"/>
                <w:lang w:val="pl-PL"/>
              </w:rPr>
              <w:t xml:space="preserve"> osteoporozą pierwotną spełniające wszystkie kryteria ogólne (1.1) oraz jedno z kryteriów szczegółowych (1.2).</w:t>
            </w:r>
          </w:p>
          <w:p w14:paraId="6C0873B6" w14:textId="77777777" w:rsidR="00576896" w:rsidRPr="00A45772" w:rsidRDefault="00576896" w:rsidP="009C3DBC">
            <w:pPr>
              <w:pStyle w:val="Akapitzlist"/>
              <w:widowControl w:val="0"/>
              <w:numPr>
                <w:ilvl w:val="1"/>
                <w:numId w:val="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A45772">
              <w:rPr>
                <w:rFonts w:ascii="Times New Roman" w:hAnsi="Times New Roman"/>
                <w:b/>
                <w:bCs/>
              </w:rPr>
              <w:t>Ogólne kryteria kwalifikacji</w:t>
            </w:r>
          </w:p>
          <w:p w14:paraId="1B4BF87E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wiek </w:t>
            </w:r>
            <w:r w:rsidRPr="00A45772">
              <w:rPr>
                <w:rFonts w:ascii="Times New Roman" w:hAnsi="Times New Roman"/>
              </w:rPr>
              <w:t>≥</w:t>
            </w:r>
            <w:r w:rsidRPr="00A45772">
              <w:rPr>
                <w:rFonts w:ascii="Times New Roman" w:eastAsia="Times New Roman" w:hAnsi="Times New Roman"/>
                <w:color w:val="000000" w:themeColor="text1"/>
              </w:rPr>
              <w:t>60 lat;</w:t>
            </w:r>
          </w:p>
          <w:p w14:paraId="4C88B87D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adekwatna wydolność narządowa określona na podstawie wyników badań laboratoryjnych umożliwiająca bezpieczne rozpoczęcie terapii;</w:t>
            </w:r>
          </w:p>
          <w:p w14:paraId="341A6E86" w14:textId="77777777" w:rsidR="00576896" w:rsidRPr="00720A37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nieobecność istotnych schorzeń współistniejących</w:t>
            </w:r>
            <w:r>
              <w:rPr>
                <w:rFonts w:ascii="Times New Roman" w:eastAsia="Times New Roman" w:hAnsi="Times New Roman"/>
                <w:color w:val="000000" w:themeColor="text1"/>
              </w:rPr>
              <w:t xml:space="preserve"> lub stanów klinicznych</w:t>
            </w:r>
            <w:r w:rsidRPr="00A45772">
              <w:rPr>
                <w:rFonts w:ascii="Times New Roman" w:eastAsia="Times New Roman" w:hAnsi="Times New Roman"/>
                <w:color w:val="000000" w:themeColor="text1"/>
              </w:rPr>
              <w:t>, stanowiących przeciwskazanie w oparciu o aktualną ChPL</w:t>
            </w:r>
            <w:r>
              <w:rPr>
                <w:rFonts w:ascii="Times New Roman" w:eastAsia="Times New Roman" w:hAnsi="Times New Roman"/>
                <w:color w:val="000000" w:themeColor="text1"/>
              </w:rPr>
              <w:t>;</w:t>
            </w:r>
          </w:p>
          <w:p w14:paraId="750EDFB8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720A37">
              <w:rPr>
                <w:rFonts w:ascii="Times New Roman" w:eastAsia="Times New Roman" w:hAnsi="Times New Roman"/>
                <w:color w:val="000000" w:themeColor="text1"/>
              </w:rPr>
              <w:t xml:space="preserve">wykluczenie nadwrażliwości na </w:t>
            </w:r>
            <w:r w:rsidRPr="00720A37">
              <w:rPr>
                <w:rFonts w:ascii="Times New Roman" w:eastAsia="Times New Roman" w:hAnsi="Times New Roman"/>
                <w:i/>
                <w:iCs/>
                <w:color w:val="000000" w:themeColor="text1"/>
              </w:rPr>
              <w:t>romosozumab</w:t>
            </w:r>
            <w:r w:rsidRPr="00720A37">
              <w:rPr>
                <w:rFonts w:ascii="Times New Roman" w:eastAsia="Times New Roman" w:hAnsi="Times New Roman"/>
                <w:color w:val="000000" w:themeColor="text1"/>
              </w:rPr>
              <w:t xml:space="preserve"> lub którąkolwiek substancję pomocniczą</w:t>
            </w:r>
            <w:r>
              <w:rPr>
                <w:rFonts w:ascii="Times New Roman" w:eastAsia="Times New Roman" w:hAnsi="Times New Roman"/>
                <w:color w:val="000000" w:themeColor="text1"/>
              </w:rPr>
              <w:t>.</w:t>
            </w:r>
          </w:p>
          <w:p w14:paraId="56A99C44" w14:textId="77777777" w:rsidR="00576896" w:rsidRPr="00A45772" w:rsidRDefault="00576896" w:rsidP="009C3DBC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43DCB172" w14:textId="77777777" w:rsidR="00576896" w:rsidRPr="00A45772" w:rsidRDefault="00576896" w:rsidP="009C3DBC">
            <w:pPr>
              <w:pStyle w:val="Akapitzlist"/>
              <w:widowControl w:val="0"/>
              <w:numPr>
                <w:ilvl w:val="1"/>
                <w:numId w:val="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A45772">
              <w:rPr>
                <w:rFonts w:ascii="Times New Roman" w:hAnsi="Times New Roman"/>
                <w:b/>
                <w:bCs/>
              </w:rPr>
              <w:lastRenderedPageBreak/>
              <w:t>Szczegółowe kryteria kwalifikacji</w:t>
            </w:r>
          </w:p>
          <w:p w14:paraId="04904CF7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udokumentowany T-</w:t>
            </w:r>
            <w:proofErr w:type="spellStart"/>
            <w:r w:rsidRPr="00A45772">
              <w:rPr>
                <w:rFonts w:ascii="Times New Roman" w:eastAsia="Times New Roman" w:hAnsi="Times New Roman"/>
                <w:color w:val="000000" w:themeColor="text1"/>
              </w:rPr>
              <w:t>score</w:t>
            </w:r>
            <w:proofErr w:type="spellEnd"/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 ≤ -3,0 (pomiar bliższego końca kości udowej lub części lędźwiowej kręgosłupa) oraz udokumentowane przynajmniej jedno wcześniejsze złamanie niskoenergetyczne w wywiadzie w lokalizacji głównej;</w:t>
            </w:r>
          </w:p>
          <w:p w14:paraId="2EE55E72" w14:textId="77777777" w:rsidR="00576896" w:rsidRPr="00720A37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</w:rPr>
            </w:pPr>
            <w:r w:rsidRPr="00A45772">
              <w:rPr>
                <w:rFonts w:ascii="Times New Roman" w:eastAsia="Times New Roman" w:hAnsi="Times New Roman"/>
              </w:rPr>
              <w:t>T-</w:t>
            </w:r>
            <w:proofErr w:type="spellStart"/>
            <w:r w:rsidRPr="00A45772">
              <w:rPr>
                <w:rFonts w:ascii="Times New Roman" w:eastAsia="Times New Roman" w:hAnsi="Times New Roman"/>
              </w:rPr>
              <w:t>score</w:t>
            </w:r>
            <w:proofErr w:type="spellEnd"/>
            <w:r w:rsidRPr="00A45772">
              <w:rPr>
                <w:rFonts w:ascii="Times New Roman" w:eastAsia="Times New Roman" w:hAnsi="Times New Roman"/>
              </w:rPr>
              <w:t xml:space="preserve"> ≤ -2,5 (pomiar bliższego końca kości udowej lub części lędźwiowej kręgosłupa) oraz udokumentowane złamanie, które nastąpiło w ciągu ostatnich 12 miesięcy w bliższym końcu kości udowej lub kręgów oraz udokumentowane przynajmniej jedno wcześniejsze złamanie niskoenergetyczne w wywiadzie w lokalizacji głównej.</w:t>
            </w:r>
          </w:p>
          <w:p w14:paraId="3E57BD2A" w14:textId="77777777" w:rsidR="005B3294" w:rsidRDefault="005B3294" w:rsidP="009C3DBC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/>
                <w:w w:val="105"/>
              </w:rPr>
            </w:pPr>
          </w:p>
          <w:p w14:paraId="30651687" w14:textId="3169AE7D" w:rsidR="00576896" w:rsidRDefault="00576896" w:rsidP="009C3DBC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/>
                <w:w w:val="105"/>
              </w:rPr>
            </w:pPr>
            <w:r w:rsidRPr="00A45772">
              <w:rPr>
                <w:rFonts w:ascii="Times New Roman" w:eastAsia="Times New Roman" w:hAnsi="Times New Roman"/>
                <w:w w:val="105"/>
              </w:rPr>
              <w:t>Ponadto do programu lekowego kwalifikowane są również pacjentki wymagające kontynuacji leczenia, które były leczone substancjami czynnymi finansowanymi w programie lekowym w ramach innego sposobu finansowania terapii (za wyjątkiem trwających badań klinicznych tych leków), pod warunkiem, że w chwili rozpoczęcia leczenia spełniały kryteria kwalifikacji do programu lekowego.</w:t>
            </w:r>
          </w:p>
          <w:p w14:paraId="02DB9EAF" w14:textId="77777777" w:rsidR="005B3294" w:rsidRPr="00A45772" w:rsidRDefault="005B3294" w:rsidP="009C3DBC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/>
                <w:w w:val="105"/>
              </w:rPr>
            </w:pPr>
          </w:p>
          <w:p w14:paraId="311E0E16" w14:textId="4D71DB1C" w:rsidR="00576896" w:rsidRDefault="00576896" w:rsidP="009C3DBC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/>
                <w:w w:val="105"/>
              </w:rPr>
            </w:pPr>
            <w:r w:rsidRPr="00A45772">
              <w:rPr>
                <w:rFonts w:ascii="Times New Roman" w:eastAsia="Times New Roman" w:hAnsi="Times New Roman"/>
                <w:w w:val="105"/>
              </w:rPr>
              <w:t xml:space="preserve">Ponadto do programu lekowego kwalifikowane są również pacjentki ze złamaniami </w:t>
            </w:r>
            <w:proofErr w:type="spellStart"/>
            <w:r w:rsidRPr="00A45772">
              <w:rPr>
                <w:rFonts w:ascii="Times New Roman" w:eastAsia="Times New Roman" w:hAnsi="Times New Roman"/>
                <w:w w:val="105"/>
              </w:rPr>
              <w:t>osteoporotycznymi</w:t>
            </w:r>
            <w:proofErr w:type="spellEnd"/>
            <w:r w:rsidRPr="00A45772">
              <w:rPr>
                <w:rFonts w:ascii="Times New Roman" w:eastAsia="Times New Roman" w:hAnsi="Times New Roman"/>
                <w:w w:val="105"/>
              </w:rPr>
              <w:t>, u których (w oparciu o opinię lekarza prowadzącego</w:t>
            </w:r>
            <w:r w:rsidR="00DB0428">
              <w:rPr>
                <w:rFonts w:ascii="Times New Roman" w:eastAsia="Times New Roman" w:hAnsi="Times New Roman"/>
                <w:w w:val="105"/>
              </w:rPr>
              <w:t xml:space="preserve">) </w:t>
            </w:r>
            <w:r w:rsidRPr="00A45772">
              <w:rPr>
                <w:rFonts w:ascii="Times New Roman" w:eastAsia="Times New Roman" w:hAnsi="Times New Roman"/>
                <w:w w:val="105"/>
              </w:rPr>
              <w:t>ze względu na stan kliniczny, brak jest możliwości wyznaczenia T-</w:t>
            </w:r>
            <w:proofErr w:type="spellStart"/>
            <w:r w:rsidRPr="00A45772">
              <w:rPr>
                <w:rFonts w:ascii="Times New Roman" w:eastAsia="Times New Roman" w:hAnsi="Times New Roman"/>
                <w:w w:val="105"/>
              </w:rPr>
              <w:t>score</w:t>
            </w:r>
            <w:proofErr w:type="spellEnd"/>
            <w:r w:rsidRPr="00A45772">
              <w:rPr>
                <w:rFonts w:ascii="Times New Roman" w:eastAsia="Times New Roman" w:hAnsi="Times New Roman"/>
                <w:w w:val="105"/>
              </w:rPr>
              <w:t xml:space="preserve"> lub interpretacji wyniku. </w:t>
            </w:r>
          </w:p>
          <w:p w14:paraId="685F771E" w14:textId="77777777" w:rsidR="005B3294" w:rsidRPr="006E7A79" w:rsidRDefault="005B3294" w:rsidP="009C3DBC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/>
                <w:w w:val="105"/>
              </w:rPr>
            </w:pPr>
          </w:p>
          <w:p w14:paraId="690F420C" w14:textId="77777777" w:rsidR="00576896" w:rsidRPr="00A45772" w:rsidRDefault="00576896" w:rsidP="009C3DBC">
            <w:pPr>
              <w:pStyle w:val="Akapitzlist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b/>
                <w:color w:val="000000" w:themeColor="text1"/>
              </w:rPr>
              <w:t>Określenie czasu leczenia w programie</w:t>
            </w:r>
          </w:p>
          <w:p w14:paraId="0965C152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leczenie </w:t>
            </w:r>
            <w:proofErr w:type="spellStart"/>
            <w:r w:rsidRPr="00603FFD">
              <w:rPr>
                <w:rFonts w:ascii="Times New Roman" w:eastAsia="Times New Roman" w:hAnsi="Times New Roman"/>
                <w:i/>
                <w:iCs/>
                <w:color w:val="000000" w:themeColor="text1"/>
              </w:rPr>
              <w:t>romosumabem</w:t>
            </w:r>
            <w:proofErr w:type="spellEnd"/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 może trwać maksymalnie 12 </w:t>
            </w:r>
            <w:r w:rsidRPr="00A45772">
              <w:rPr>
                <w:rFonts w:ascii="Times New Roman" w:eastAsia="Times New Roman" w:hAnsi="Times New Roman"/>
                <w:color w:val="000000" w:themeColor="text1"/>
              </w:rPr>
              <w:lastRenderedPageBreak/>
              <w:t>miesięcy</w:t>
            </w:r>
            <w:r w:rsidRPr="00A45772">
              <w:rPr>
                <w:rFonts w:ascii="Times New Roman" w:eastAsia="Times New Roman" w:hAnsi="Times New Roman"/>
                <w:bCs/>
                <w:color w:val="000000" w:themeColor="text1"/>
              </w:rPr>
              <w:t>;</w:t>
            </w:r>
          </w:p>
          <w:p w14:paraId="1FB61D0A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lekarz prowadzący może w każdym momencie przerwać bądź zakończyć leczenie zgodnie ze swoją wiedzą medyczną</w:t>
            </w:r>
            <w:r>
              <w:rPr>
                <w:rFonts w:ascii="Times New Roman" w:eastAsia="Times New Roman" w:hAnsi="Times New Roman"/>
                <w:color w:val="000000" w:themeColor="text1"/>
              </w:rPr>
              <w:t>;</w:t>
            </w:r>
          </w:p>
          <w:p w14:paraId="2884CF97" w14:textId="23EFB204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hAnsi="Times New Roman"/>
                <w:color w:val="000000" w:themeColor="text1"/>
              </w:rPr>
              <w:t xml:space="preserve">do programu może być ponownie włączona pacjentka, u której przerwano podawania substancji czynnej wymienionej w programie i zastosowanej zgodnie z jego treścią, </w:t>
            </w:r>
            <w:r>
              <w:rPr>
                <w:rFonts w:ascii="Times New Roman" w:hAnsi="Times New Roman"/>
                <w:color w:val="000000" w:themeColor="text1"/>
              </w:rPr>
              <w:t>z</w:t>
            </w:r>
            <w:r w:rsidRPr="00A45772">
              <w:rPr>
                <w:rFonts w:ascii="Times New Roman" w:hAnsi="Times New Roman"/>
                <w:color w:val="000000" w:themeColor="text1"/>
              </w:rPr>
              <w:t xml:space="preserve"> uzasadnionych i udokumentowanych przez lekarza prowadzącego przyczyn i w opinii </w:t>
            </w:r>
            <w:r w:rsidR="00C45542">
              <w:rPr>
                <w:rFonts w:ascii="Times New Roman" w:hAnsi="Times New Roman"/>
                <w:color w:val="000000" w:themeColor="text1"/>
              </w:rPr>
              <w:t xml:space="preserve">lekarza prowadzącego </w:t>
            </w:r>
            <w:r w:rsidRPr="00A45772">
              <w:rPr>
                <w:rFonts w:ascii="Times New Roman" w:hAnsi="Times New Roman"/>
                <w:color w:val="000000" w:themeColor="text1"/>
              </w:rPr>
              <w:t>powrót do terapii tą samą substancją czynną jest uzasadnion</w:t>
            </w:r>
            <w:r>
              <w:rPr>
                <w:rFonts w:ascii="Times New Roman" w:hAnsi="Times New Roman"/>
                <w:color w:val="000000" w:themeColor="text1"/>
              </w:rPr>
              <w:t>y</w:t>
            </w:r>
            <w:r w:rsidRPr="00A45772">
              <w:rPr>
                <w:rFonts w:ascii="Times New Roman" w:hAnsi="Times New Roman"/>
                <w:color w:val="000000" w:themeColor="text1"/>
              </w:rPr>
              <w:t xml:space="preserve">. Maksymalny czas przerwania leczenia wynosi 1 miesiąc. Leczenie </w:t>
            </w:r>
            <w:proofErr w:type="spellStart"/>
            <w:r w:rsidRPr="00603FFD">
              <w:rPr>
                <w:rFonts w:ascii="Times New Roman" w:hAnsi="Times New Roman"/>
                <w:i/>
                <w:iCs/>
                <w:color w:val="000000" w:themeColor="text1"/>
              </w:rPr>
              <w:t>romosozumabem</w:t>
            </w:r>
            <w:proofErr w:type="spellEnd"/>
            <w:r w:rsidRPr="00A45772">
              <w:rPr>
                <w:rFonts w:ascii="Times New Roman" w:hAnsi="Times New Roman"/>
                <w:color w:val="000000" w:themeColor="text1"/>
              </w:rPr>
              <w:t xml:space="preserve"> w ramach programu lekowego zostanie wydłużone o ten czas.</w:t>
            </w:r>
          </w:p>
          <w:p w14:paraId="0A1CAE39" w14:textId="77777777" w:rsidR="00576896" w:rsidRPr="00A45772" w:rsidRDefault="00576896" w:rsidP="009C3DBC">
            <w:pPr>
              <w:pStyle w:val="TableParagraph"/>
              <w:tabs>
                <w:tab w:val="left" w:pos="487"/>
                <w:tab w:val="left" w:pos="488"/>
                <w:tab w:val="left" w:pos="5460"/>
              </w:tabs>
              <w:spacing w:after="60" w:line="276" w:lineRule="auto"/>
              <w:ind w:left="0"/>
              <w:jc w:val="both"/>
              <w:rPr>
                <w:lang w:val="pl-PL"/>
              </w:rPr>
            </w:pPr>
          </w:p>
          <w:p w14:paraId="0954766F" w14:textId="77777777" w:rsidR="00576896" w:rsidRPr="00A45772" w:rsidRDefault="00576896" w:rsidP="009C3DBC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lang w:val="pl-PL"/>
              </w:rPr>
            </w:pPr>
            <w:r w:rsidRPr="00A45772">
              <w:rPr>
                <w:b/>
                <w:spacing w:val="-2"/>
                <w:w w:val="105"/>
                <w:lang w:val="pl-PL"/>
              </w:rPr>
              <w:t xml:space="preserve">Kryteria </w:t>
            </w:r>
            <w:r w:rsidRPr="00A45772">
              <w:rPr>
                <w:b/>
                <w:spacing w:val="-3"/>
                <w:w w:val="105"/>
                <w:lang w:val="pl-PL"/>
              </w:rPr>
              <w:t xml:space="preserve">wyłączenia </w:t>
            </w:r>
            <w:r w:rsidRPr="00A45772">
              <w:rPr>
                <w:b/>
                <w:w w:val="105"/>
                <w:lang w:val="pl-PL"/>
              </w:rPr>
              <w:t>z</w:t>
            </w:r>
            <w:r w:rsidRPr="00A45772">
              <w:rPr>
                <w:b/>
                <w:spacing w:val="-18"/>
                <w:w w:val="105"/>
                <w:lang w:val="pl-PL"/>
              </w:rPr>
              <w:t xml:space="preserve"> </w:t>
            </w:r>
            <w:r w:rsidRPr="00A45772">
              <w:rPr>
                <w:b/>
                <w:spacing w:val="-5"/>
                <w:w w:val="105"/>
                <w:lang w:val="pl-PL"/>
              </w:rPr>
              <w:t xml:space="preserve">programu </w:t>
            </w:r>
          </w:p>
          <w:p w14:paraId="08503CDF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hAnsi="Times New Roman"/>
                <w:color w:val="000000" w:themeColor="text1"/>
              </w:rPr>
              <w:t xml:space="preserve">brak </w:t>
            </w:r>
            <w:r w:rsidRPr="00A45772">
              <w:rPr>
                <w:rFonts w:ascii="Times New Roman" w:eastAsia="Times New Roman" w:hAnsi="Times New Roman"/>
                <w:color w:val="000000" w:themeColor="text1"/>
              </w:rPr>
              <w:t>skuteczności ocenianej zgodnie z harmonogramem monitorowania skuteczności leczenia pacjenta rozumianej jako:</w:t>
            </w:r>
          </w:p>
          <w:p w14:paraId="093BE180" w14:textId="1CD99B97" w:rsidR="00576896" w:rsidRPr="00A45772" w:rsidRDefault="00576896" w:rsidP="005B3294">
            <w:pPr>
              <w:pStyle w:val="Akapitzlist"/>
              <w:widowControl w:val="0"/>
              <w:numPr>
                <w:ilvl w:val="4"/>
                <w:numId w:val="5"/>
              </w:numPr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hAnsi="Times New Roman"/>
                <w:color w:val="000000" w:themeColor="text1"/>
              </w:rPr>
              <w:t xml:space="preserve">spadek BMD o 4,4% dla kręgów, 5,2% dla szyjki kości udowej po 6 miesiącach od rozpoczęcia terapii, </w:t>
            </w:r>
            <w:r w:rsidRPr="00A45772" w:rsidDel="005F51F3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A45772">
              <w:rPr>
                <w:rFonts w:ascii="Times New Roman" w:hAnsi="Times New Roman"/>
                <w:color w:val="000000" w:themeColor="text1"/>
              </w:rPr>
              <w:t>w porównaniu z wynikami przed leczeniem;</w:t>
            </w:r>
          </w:p>
          <w:p w14:paraId="59469E9A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wystąpienie chorób lub stanów, które uniemożliwiają dalsze prowadzenie leczenia;</w:t>
            </w:r>
          </w:p>
          <w:p w14:paraId="053F4F25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wystąpienie działań niepożądanych uniemożliwiających kontynuację leczenia</w:t>
            </w:r>
            <w:r>
              <w:rPr>
                <w:rFonts w:ascii="Times New Roman" w:eastAsia="Times New Roman" w:hAnsi="Times New Roman"/>
                <w:color w:val="000000" w:themeColor="text1"/>
              </w:rPr>
              <w:t>;</w:t>
            </w:r>
          </w:p>
          <w:p w14:paraId="68CBDFB5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wystąpienie nadwrażliwości na lek lub substancję pomocniczą bądź toksyczności uniemożliwiające kontynuację leczenia;</w:t>
            </w:r>
          </w:p>
          <w:p w14:paraId="1AB849EA" w14:textId="77777777" w:rsidR="00576896" w:rsidRPr="005B3294" w:rsidRDefault="00576896" w:rsidP="009C3DBC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brak współpracy lub nieprzestrzeganie zaleceń lekarskich ze strony świadczeniobiorcy, w tym </w:t>
            </w:r>
            <w:r w:rsidRPr="00A45772">
              <w:rPr>
                <w:rFonts w:ascii="Times New Roman" w:eastAsia="Times New Roman" w:hAnsi="Times New Roman"/>
                <w:color w:val="000000" w:themeColor="text1"/>
              </w:rPr>
              <w:lastRenderedPageBreak/>
              <w:t>zwłaszcza dotyczących okresowych badań kontrolnych oceniających skuteczność i bezpieczeństwo leczenia ze strony świadczeniobiorcy.</w:t>
            </w:r>
          </w:p>
          <w:p w14:paraId="70521577" w14:textId="77777777" w:rsidR="005B3294" w:rsidRPr="005B3294" w:rsidRDefault="005B3294" w:rsidP="005B3294">
            <w:pPr>
              <w:widowControl w:val="0"/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hAnsi="Times New Roman"/>
              </w:rPr>
            </w:pPr>
          </w:p>
        </w:tc>
        <w:tc>
          <w:tcPr>
            <w:tcW w:w="5129" w:type="dxa"/>
          </w:tcPr>
          <w:p w14:paraId="180E79F5" w14:textId="77777777" w:rsidR="00576896" w:rsidRPr="00A45772" w:rsidRDefault="00576896" w:rsidP="005B3294">
            <w:pPr>
              <w:pStyle w:val="Akapitzlist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A45772">
              <w:rPr>
                <w:rFonts w:ascii="Times New Roman" w:hAnsi="Times New Roman"/>
                <w:b/>
                <w:bCs/>
              </w:rPr>
              <w:lastRenderedPageBreak/>
              <w:t>Dawkowanie</w:t>
            </w:r>
          </w:p>
          <w:p w14:paraId="7E696C10" w14:textId="77777777" w:rsidR="00576896" w:rsidRPr="00A45772" w:rsidRDefault="00576896" w:rsidP="005B3294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hAnsi="Times New Roman"/>
                <w:color w:val="000000" w:themeColor="text1"/>
              </w:rPr>
              <w:t xml:space="preserve">Zalecana dawka </w:t>
            </w:r>
            <w:r w:rsidRPr="00A45772">
              <w:rPr>
                <w:rFonts w:ascii="Times New Roman" w:hAnsi="Times New Roman"/>
                <w:i/>
                <w:iCs/>
                <w:color w:val="000000" w:themeColor="text1"/>
              </w:rPr>
              <w:t>romosozumabu</w:t>
            </w:r>
            <w:r w:rsidRPr="00A45772">
              <w:rPr>
                <w:rFonts w:ascii="Times New Roman" w:hAnsi="Times New Roman"/>
                <w:color w:val="000000" w:themeColor="text1"/>
              </w:rPr>
              <w:t xml:space="preserve"> wynosi 210 mg raz w miesiącu przez 12 miesięcy.</w:t>
            </w:r>
          </w:p>
          <w:p w14:paraId="2D63ADA1" w14:textId="77777777" w:rsidR="00576896" w:rsidRPr="00A45772" w:rsidRDefault="00576896" w:rsidP="005B3294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A45772">
              <w:rPr>
                <w:rFonts w:ascii="Times New Roman" w:hAnsi="Times New Roman"/>
                <w:color w:val="000000" w:themeColor="text1"/>
              </w:rPr>
              <w:t xml:space="preserve">Szczegóły dotyczące sposobu podawania, ewentualnego czasowego wstrzymania leczenia oraz ewentualnego zmniejszania dawki leku zgodnie z aktualną Charakterystyką Produktu Leczniczego (ChPL). </w:t>
            </w:r>
          </w:p>
          <w:p w14:paraId="6408D13A" w14:textId="77777777" w:rsidR="00576896" w:rsidRPr="00A45772" w:rsidRDefault="00576896" w:rsidP="009C3DBC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pacing w:val="4"/>
                <w:w w:val="105"/>
              </w:rPr>
            </w:pPr>
          </w:p>
        </w:tc>
        <w:tc>
          <w:tcPr>
            <w:tcW w:w="5130" w:type="dxa"/>
          </w:tcPr>
          <w:p w14:paraId="414F92CF" w14:textId="77777777" w:rsidR="00576896" w:rsidRPr="00A45772" w:rsidRDefault="00576896" w:rsidP="005B3294">
            <w:pPr>
              <w:pStyle w:val="TableParagraph"/>
              <w:numPr>
                <w:ilvl w:val="0"/>
                <w:numId w:val="4"/>
              </w:numPr>
              <w:spacing w:before="120" w:after="60" w:line="276" w:lineRule="auto"/>
              <w:jc w:val="both"/>
              <w:rPr>
                <w:b/>
                <w:lang w:val="pl-PL"/>
              </w:rPr>
            </w:pPr>
            <w:r w:rsidRPr="00A45772">
              <w:rPr>
                <w:b/>
                <w:lang w:val="pl-PL"/>
              </w:rPr>
              <w:t xml:space="preserve">Badania przy kwalifikacji do leczenia </w:t>
            </w:r>
          </w:p>
          <w:p w14:paraId="24BFE8E4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</w:rPr>
            </w:pPr>
            <w:r w:rsidRPr="00A45772">
              <w:rPr>
                <w:rFonts w:ascii="Times New Roman" w:eastAsia="Times New Roman" w:hAnsi="Times New Roman"/>
              </w:rPr>
              <w:t>badanie densytometryczne zlecone przez lekarza kwalifikującego;</w:t>
            </w:r>
          </w:p>
          <w:p w14:paraId="71563690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badanie RTG w wywiadzie potwierdzające złamania opisane w pkt. 1.2.1) i 1.2.2). kryteriów kwalifikacji, na podstawie którego lekarz prowadzący potwierdza charakter i lokalizację złamania;</w:t>
            </w:r>
          </w:p>
          <w:p w14:paraId="137813F2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stężenie wapnia i fosforu w surowicy;</w:t>
            </w:r>
          </w:p>
          <w:p w14:paraId="00A1F878" w14:textId="77777777" w:rsidR="00576896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oznaczenie stężenia 25-hydroksy witaminy D w surowicy;</w:t>
            </w:r>
          </w:p>
          <w:p w14:paraId="6B86ACDF" w14:textId="4F067CE2" w:rsidR="00DB0428" w:rsidRDefault="00DB0428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stężenie PTH w surowicy;</w:t>
            </w:r>
          </w:p>
          <w:p w14:paraId="4DCD58F0" w14:textId="539BBF05" w:rsidR="00DB0428" w:rsidRPr="00A45772" w:rsidRDefault="00DB0428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stężenie albuminy w surowicy;</w:t>
            </w:r>
          </w:p>
          <w:p w14:paraId="60C5C6FE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morfologia krwi;</w:t>
            </w:r>
          </w:p>
          <w:p w14:paraId="1E6FEF58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odczyn Biernackiego (OB);</w:t>
            </w:r>
          </w:p>
          <w:p w14:paraId="473DC594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aminotransferaza </w:t>
            </w:r>
            <w:proofErr w:type="spellStart"/>
            <w:r w:rsidRPr="00A45772">
              <w:rPr>
                <w:rFonts w:ascii="Times New Roman" w:eastAsia="Times New Roman" w:hAnsi="Times New Roman"/>
                <w:color w:val="000000" w:themeColor="text1"/>
              </w:rPr>
              <w:t>asparaginianowa</w:t>
            </w:r>
            <w:proofErr w:type="spellEnd"/>
            <w:r w:rsidRPr="00A45772">
              <w:rPr>
                <w:rFonts w:ascii="Times New Roman" w:eastAsia="Times New Roman" w:hAnsi="Times New Roman"/>
                <w:color w:val="000000" w:themeColor="text1"/>
              </w:rPr>
              <w:t xml:space="preserve"> (</w:t>
            </w:r>
            <w:proofErr w:type="spellStart"/>
            <w:r w:rsidRPr="00A45772">
              <w:rPr>
                <w:rFonts w:ascii="Times New Roman" w:eastAsia="Times New Roman" w:hAnsi="Times New Roman"/>
                <w:color w:val="000000" w:themeColor="text1"/>
              </w:rPr>
              <w:t>AspAT</w:t>
            </w:r>
            <w:proofErr w:type="spellEnd"/>
            <w:r w:rsidRPr="00A45772">
              <w:rPr>
                <w:rFonts w:ascii="Times New Roman" w:eastAsia="Times New Roman" w:hAnsi="Times New Roman"/>
                <w:color w:val="000000" w:themeColor="text1"/>
              </w:rPr>
              <w:t>);</w:t>
            </w:r>
          </w:p>
          <w:p w14:paraId="27D1AAF7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aminotransferaza alaninowa (AlAT);</w:t>
            </w:r>
          </w:p>
          <w:p w14:paraId="3198844C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stężenie kreatyniny;</w:t>
            </w:r>
          </w:p>
          <w:p w14:paraId="431824C9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badanie ogólne moczu.</w:t>
            </w:r>
          </w:p>
          <w:p w14:paraId="1048104F" w14:textId="77777777" w:rsidR="00576896" w:rsidRPr="00A45772" w:rsidRDefault="00576896" w:rsidP="009C3DBC">
            <w:pPr>
              <w:widowControl w:val="0"/>
              <w:spacing w:after="60"/>
              <w:jc w:val="both"/>
              <w:rPr>
                <w:rFonts w:ascii="Times New Roman" w:hAnsi="Times New Roman"/>
              </w:rPr>
            </w:pPr>
          </w:p>
          <w:p w14:paraId="37A65FA5" w14:textId="77777777" w:rsidR="00576896" w:rsidRPr="00A45772" w:rsidRDefault="00576896" w:rsidP="009C3DBC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spacing w:after="60" w:line="276" w:lineRule="auto"/>
              <w:jc w:val="both"/>
            </w:pPr>
            <w:r w:rsidRPr="00A45772">
              <w:rPr>
                <w:b/>
                <w:spacing w:val="-4"/>
                <w:w w:val="105"/>
                <w:lang w:val="pl-PL"/>
              </w:rPr>
              <w:t>Monitorowanie</w:t>
            </w:r>
            <w:r w:rsidRPr="00A45772">
              <w:rPr>
                <w:b/>
                <w:spacing w:val="25"/>
                <w:w w:val="105"/>
                <w:lang w:val="pl-PL"/>
              </w:rPr>
              <w:t xml:space="preserve"> </w:t>
            </w:r>
            <w:r w:rsidRPr="00A45772">
              <w:rPr>
                <w:b/>
                <w:w w:val="105"/>
                <w:lang w:val="pl-PL"/>
              </w:rPr>
              <w:t>leczenia</w:t>
            </w:r>
          </w:p>
          <w:p w14:paraId="04B01895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co 3 miesiące lub wg wskazań klinicznych:</w:t>
            </w:r>
          </w:p>
          <w:p w14:paraId="72ABC539" w14:textId="77777777" w:rsidR="00576896" w:rsidRPr="00A45772" w:rsidRDefault="00576896" w:rsidP="009C3DBC">
            <w:pPr>
              <w:pStyle w:val="Akapitzlist"/>
              <w:widowControl w:val="0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lastRenderedPageBreak/>
              <w:t>stężenie wapnia w surowicy;</w:t>
            </w:r>
          </w:p>
          <w:p w14:paraId="42BA0548" w14:textId="77777777" w:rsidR="00576896" w:rsidRPr="00A45772" w:rsidRDefault="00576896" w:rsidP="009C3DBC">
            <w:pPr>
              <w:pStyle w:val="Akapitzlist"/>
              <w:widowControl w:val="0"/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W przypadku objawów wskazujących na hipokalcemię oraz u chorych z czynnikami sprzyjającymi wystąpieniu hipokalcemii zalecane są dodatkowe pomiary wapnia oraz uzupełnienie jego niedoborów</w:t>
            </w:r>
            <w:r>
              <w:rPr>
                <w:rFonts w:ascii="Times New Roman" w:eastAsia="Times New Roman" w:hAnsi="Times New Roman"/>
                <w:color w:val="000000" w:themeColor="text1"/>
              </w:rPr>
              <w:t>;</w:t>
            </w:r>
          </w:p>
          <w:p w14:paraId="75697272" w14:textId="77777777" w:rsidR="00576896" w:rsidRPr="00A45772" w:rsidRDefault="00576896" w:rsidP="009C3DBC">
            <w:pPr>
              <w:pStyle w:val="Akapitzlist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</w:rPr>
              <w:t xml:space="preserve">w 6 i </w:t>
            </w:r>
            <w:r w:rsidRPr="00A45772">
              <w:rPr>
                <w:rFonts w:ascii="Times New Roman" w:eastAsia="Times New Roman" w:hAnsi="Times New Roman"/>
                <w:color w:val="000000" w:themeColor="text1"/>
              </w:rPr>
              <w:t>12 miesiącu od rozpoczęcia terapii:</w:t>
            </w:r>
          </w:p>
          <w:p w14:paraId="695870B4" w14:textId="77777777" w:rsidR="00576896" w:rsidRPr="00A45772" w:rsidRDefault="00576896" w:rsidP="009C3DBC">
            <w:pPr>
              <w:pStyle w:val="Akapitzlist"/>
              <w:widowControl w:val="0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badanie densytometryczne i ocena T-</w:t>
            </w:r>
            <w:proofErr w:type="spellStart"/>
            <w:r w:rsidRPr="00A45772">
              <w:rPr>
                <w:rFonts w:ascii="Times New Roman" w:eastAsia="Times New Roman" w:hAnsi="Times New Roman"/>
                <w:color w:val="000000" w:themeColor="text1"/>
              </w:rPr>
              <w:t>score</w:t>
            </w:r>
            <w:proofErr w:type="spellEnd"/>
            <w:r w:rsidRPr="00A45772">
              <w:rPr>
                <w:rFonts w:ascii="Times New Roman" w:eastAsia="Times New Roman" w:hAnsi="Times New Roman"/>
                <w:color w:val="000000" w:themeColor="text1"/>
              </w:rPr>
              <w:t>,</w:t>
            </w:r>
          </w:p>
          <w:p w14:paraId="00E89BCF" w14:textId="77777777" w:rsidR="00576896" w:rsidRDefault="00576896" w:rsidP="009C3DBC">
            <w:pPr>
              <w:pStyle w:val="Akapitzlist"/>
              <w:widowControl w:val="0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 w:themeColor="text1"/>
              </w:rPr>
            </w:pPr>
            <w:r w:rsidRPr="00A45772">
              <w:rPr>
                <w:rFonts w:ascii="Times New Roman" w:eastAsia="Times New Roman" w:hAnsi="Times New Roman"/>
                <w:color w:val="000000" w:themeColor="text1"/>
              </w:rPr>
              <w:t>wywiad w kierunku występowania złamań.</w:t>
            </w:r>
          </w:p>
          <w:p w14:paraId="76AE15AF" w14:textId="77777777" w:rsidR="00576896" w:rsidRPr="00A45772" w:rsidRDefault="00576896" w:rsidP="009C3DBC">
            <w:pPr>
              <w:pStyle w:val="TableParagraph"/>
              <w:spacing w:after="60" w:line="276" w:lineRule="auto"/>
              <w:ind w:left="0"/>
              <w:jc w:val="both"/>
              <w:rPr>
                <w:lang w:val="pl-PL"/>
              </w:rPr>
            </w:pPr>
          </w:p>
          <w:p w14:paraId="0F82D157" w14:textId="77777777" w:rsidR="00576896" w:rsidRPr="00A45772" w:rsidRDefault="00576896" w:rsidP="009C3DBC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spacing w:val="-5"/>
                <w:w w:val="105"/>
                <w:lang w:val="pl-PL"/>
              </w:rPr>
            </w:pPr>
            <w:r w:rsidRPr="00A45772">
              <w:rPr>
                <w:b/>
                <w:spacing w:val="-4"/>
                <w:w w:val="105"/>
                <w:lang w:val="pl-PL"/>
              </w:rPr>
              <w:t>Monitorowanie</w:t>
            </w:r>
            <w:r w:rsidRPr="00A45772">
              <w:rPr>
                <w:b/>
                <w:spacing w:val="24"/>
                <w:w w:val="105"/>
                <w:lang w:val="pl-PL"/>
              </w:rPr>
              <w:t xml:space="preserve"> </w:t>
            </w:r>
            <w:r w:rsidRPr="00A45772">
              <w:rPr>
                <w:b/>
                <w:spacing w:val="-5"/>
                <w:w w:val="105"/>
                <w:lang w:val="pl-PL"/>
              </w:rPr>
              <w:t>programu</w:t>
            </w:r>
          </w:p>
          <w:p w14:paraId="28A5B1E0" w14:textId="77777777" w:rsidR="00576896" w:rsidRPr="00A45772" w:rsidRDefault="00576896" w:rsidP="009C3DBC">
            <w:pPr>
              <w:pStyle w:val="TableParagraph"/>
              <w:numPr>
                <w:ilvl w:val="3"/>
                <w:numId w:val="4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lang w:val="pl-PL"/>
              </w:rPr>
            </w:pPr>
            <w:r w:rsidRPr="00A45772">
              <w:rPr>
                <w:spacing w:val="-4"/>
                <w:w w:val="105"/>
                <w:lang w:val="pl-PL"/>
              </w:rPr>
              <w:t xml:space="preserve">gromadzenie </w:t>
            </w:r>
            <w:r w:rsidRPr="00A45772">
              <w:rPr>
                <w:w w:val="105"/>
                <w:lang w:val="pl-PL"/>
              </w:rPr>
              <w:t xml:space="preserve">w dokumentacji medycznej </w:t>
            </w:r>
            <w:r w:rsidRPr="00A45772">
              <w:rPr>
                <w:spacing w:val="2"/>
                <w:w w:val="105"/>
                <w:lang w:val="pl-PL"/>
              </w:rPr>
              <w:t xml:space="preserve">pacjenta </w:t>
            </w:r>
            <w:r w:rsidRPr="00A45772">
              <w:rPr>
                <w:spacing w:val="4"/>
                <w:w w:val="105"/>
                <w:lang w:val="pl-PL"/>
              </w:rPr>
              <w:t xml:space="preserve">danych </w:t>
            </w:r>
            <w:r w:rsidRPr="00A45772">
              <w:rPr>
                <w:spacing w:val="3"/>
                <w:w w:val="105"/>
                <w:lang w:val="pl-PL"/>
              </w:rPr>
              <w:t xml:space="preserve">dotyczących </w:t>
            </w:r>
            <w:r w:rsidRPr="00A45772">
              <w:rPr>
                <w:w w:val="105"/>
                <w:lang w:val="pl-PL"/>
              </w:rPr>
              <w:t xml:space="preserve">monitorowania leczenia i każdorazowe </w:t>
            </w:r>
            <w:r w:rsidRPr="00A45772">
              <w:rPr>
                <w:spacing w:val="-3"/>
                <w:w w:val="105"/>
                <w:lang w:val="pl-PL"/>
              </w:rPr>
              <w:t xml:space="preserve">ich </w:t>
            </w:r>
            <w:r w:rsidRPr="00A45772">
              <w:rPr>
                <w:w w:val="105"/>
                <w:lang w:val="pl-PL"/>
              </w:rPr>
              <w:t xml:space="preserve">przedstawianie </w:t>
            </w:r>
            <w:r w:rsidRPr="00A45772">
              <w:rPr>
                <w:spacing w:val="3"/>
                <w:w w:val="105"/>
                <w:lang w:val="pl-PL"/>
              </w:rPr>
              <w:t xml:space="preserve">na </w:t>
            </w:r>
            <w:r w:rsidRPr="00A45772">
              <w:rPr>
                <w:w w:val="105"/>
                <w:lang w:val="pl-PL"/>
              </w:rPr>
              <w:t xml:space="preserve">żądanie kontrolerów Narodowego </w:t>
            </w:r>
            <w:r w:rsidRPr="00A45772">
              <w:rPr>
                <w:spacing w:val="3"/>
                <w:w w:val="105"/>
                <w:lang w:val="pl-PL"/>
              </w:rPr>
              <w:t>Funduszu</w:t>
            </w:r>
            <w:r w:rsidRPr="00A45772">
              <w:rPr>
                <w:spacing w:val="7"/>
                <w:w w:val="105"/>
                <w:lang w:val="pl-PL"/>
              </w:rPr>
              <w:t xml:space="preserve"> </w:t>
            </w:r>
            <w:r w:rsidRPr="00A45772">
              <w:rPr>
                <w:w w:val="105"/>
                <w:lang w:val="pl-PL"/>
              </w:rPr>
              <w:t>Zdrowia (NFZ);</w:t>
            </w:r>
          </w:p>
          <w:p w14:paraId="77A5ABD9" w14:textId="77777777" w:rsidR="00576896" w:rsidRPr="00A45772" w:rsidRDefault="00576896" w:rsidP="009C3DBC">
            <w:pPr>
              <w:pStyle w:val="TableParagraph"/>
              <w:numPr>
                <w:ilvl w:val="3"/>
                <w:numId w:val="4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lang w:val="pl-PL"/>
              </w:rPr>
            </w:pPr>
            <w:r w:rsidRPr="00A45772">
              <w:rPr>
                <w:w w:val="105"/>
                <w:lang w:val="pl-PL"/>
              </w:rPr>
              <w:t xml:space="preserve">uzupełnienie </w:t>
            </w:r>
            <w:r w:rsidRPr="00A45772">
              <w:rPr>
                <w:spacing w:val="4"/>
                <w:w w:val="105"/>
                <w:lang w:val="pl-PL"/>
              </w:rPr>
              <w:t xml:space="preserve">danych </w:t>
            </w:r>
            <w:r w:rsidRPr="00A45772">
              <w:rPr>
                <w:w w:val="105"/>
                <w:lang w:val="pl-PL"/>
              </w:rPr>
              <w:t xml:space="preserve">zawartych w elektronicznym systemie monitorowania programów lekowych dostępnych za pomocą </w:t>
            </w:r>
            <w:r w:rsidRPr="00A45772">
              <w:rPr>
                <w:color w:val="000000" w:themeColor="text1"/>
                <w:lang w:val="pl-PL"/>
              </w:rPr>
              <w:t xml:space="preserve">aplikacji internetowej udostępnionej przez OW NFZ z częstotliwością zgodną z opisem programu, w tym przekazywanie danych dotyczących wskaźników skuteczności terapii zawartych </w:t>
            </w:r>
            <w:r w:rsidRPr="00A45772">
              <w:rPr>
                <w:color w:val="000000" w:themeColor="text1"/>
                <w:lang w:val="pl-PL"/>
              </w:rPr>
              <w:br/>
              <w:t>w punkcie 2.2.;</w:t>
            </w:r>
          </w:p>
          <w:p w14:paraId="29BE9CFE" w14:textId="77777777" w:rsidR="00576896" w:rsidRPr="00A45772" w:rsidRDefault="00576896" w:rsidP="009C3DBC">
            <w:pPr>
              <w:pStyle w:val="TableParagraph"/>
              <w:numPr>
                <w:ilvl w:val="3"/>
                <w:numId w:val="4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lang w:val="pl-PL"/>
              </w:rPr>
            </w:pPr>
            <w:r w:rsidRPr="00A45772">
              <w:rPr>
                <w:lang w:val="pl-PL"/>
              </w:rPr>
              <w:t>przekazywanie informacji sprawozdawczo-rozliczeniowych do NFZ: informacje przekazuje się do NFZ w formie papierowej lub w formie elektronicznej, zgodnie z wymaganiami opublikowanymi przez NFZ</w:t>
            </w:r>
            <w:r w:rsidRPr="00A45772">
              <w:rPr>
                <w:w w:val="105"/>
                <w:lang w:val="pl-PL"/>
              </w:rPr>
              <w:t>.</w:t>
            </w:r>
          </w:p>
          <w:p w14:paraId="10998B2D" w14:textId="77777777" w:rsidR="00576896" w:rsidRPr="00A45772" w:rsidRDefault="00576896" w:rsidP="009C3DBC">
            <w:pPr>
              <w:pStyle w:val="Akapitzlist"/>
              <w:widowControl w:val="0"/>
              <w:spacing w:after="60"/>
              <w:ind w:left="397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</w:tbl>
    <w:p w14:paraId="08581A4A" w14:textId="77777777" w:rsidR="00576896" w:rsidRPr="00F30E39" w:rsidRDefault="00576896">
      <w:pPr>
        <w:rPr>
          <w:rFonts w:ascii="Lato" w:hAnsi="Lato"/>
        </w:rPr>
      </w:pPr>
    </w:p>
    <w:sectPr w:rsidR="00576896" w:rsidRPr="00F30E39" w:rsidSect="009C3DBC">
      <w:pgSz w:w="16840" w:h="11907" w:orient="landscape" w:code="9"/>
      <w:pgMar w:top="1588" w:right="720" w:bottom="1418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1C76" w14:textId="77777777" w:rsidR="00301A4E" w:rsidRDefault="00301A4E" w:rsidP="00576896">
      <w:pPr>
        <w:spacing w:after="0" w:line="240" w:lineRule="auto"/>
      </w:pPr>
      <w:r>
        <w:separator/>
      </w:r>
    </w:p>
  </w:endnote>
  <w:endnote w:type="continuationSeparator" w:id="0">
    <w:p w14:paraId="5A8F8E54" w14:textId="77777777" w:rsidR="00301A4E" w:rsidRDefault="00301A4E" w:rsidP="0057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EE63" w14:textId="77777777" w:rsidR="00301A4E" w:rsidRDefault="00301A4E" w:rsidP="00576896">
      <w:pPr>
        <w:spacing w:after="0" w:line="240" w:lineRule="auto"/>
      </w:pPr>
      <w:r>
        <w:separator/>
      </w:r>
    </w:p>
  </w:footnote>
  <w:footnote w:type="continuationSeparator" w:id="0">
    <w:p w14:paraId="467BA944" w14:textId="77777777" w:rsidR="00301A4E" w:rsidRDefault="00301A4E" w:rsidP="0057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B62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237C01F0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67B72B1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3B0976FC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41A179E4"/>
    <w:multiLevelType w:val="hybridMultilevel"/>
    <w:tmpl w:val="2D78DE82"/>
    <w:lvl w:ilvl="0" w:tplc="04150017">
      <w:start w:val="1"/>
      <w:numFmt w:val="lowerLetter"/>
      <w:lvlText w:val="%1)"/>
      <w:lvlJc w:val="left"/>
      <w:pPr>
        <w:ind w:left="1400" w:hanging="360"/>
      </w:pPr>
    </w:lvl>
    <w:lvl w:ilvl="1" w:tplc="04150019" w:tentative="1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359ABF50">
      <w:start w:val="1"/>
      <w:numFmt w:val="lowerLetter"/>
      <w:suff w:val="space"/>
      <w:lvlText w:val="%5)"/>
      <w:lvlJc w:val="left"/>
      <w:pPr>
        <w:ind w:left="454" w:firstLine="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515532710">
    <w:abstractNumId w:val="1"/>
  </w:num>
  <w:num w:numId="2" w16cid:durableId="2026784541">
    <w:abstractNumId w:val="2"/>
  </w:num>
  <w:num w:numId="3" w16cid:durableId="1499274760">
    <w:abstractNumId w:val="3"/>
  </w:num>
  <w:num w:numId="4" w16cid:durableId="1268543362">
    <w:abstractNumId w:val="0"/>
  </w:num>
  <w:num w:numId="5" w16cid:durableId="1109156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6"/>
    <w:rsid w:val="00301A4E"/>
    <w:rsid w:val="00345594"/>
    <w:rsid w:val="004A2DD1"/>
    <w:rsid w:val="004D291F"/>
    <w:rsid w:val="00576896"/>
    <w:rsid w:val="005B3294"/>
    <w:rsid w:val="007510F2"/>
    <w:rsid w:val="00826C22"/>
    <w:rsid w:val="008A5F30"/>
    <w:rsid w:val="008F7607"/>
    <w:rsid w:val="009A574B"/>
    <w:rsid w:val="009C3DBC"/>
    <w:rsid w:val="00A86148"/>
    <w:rsid w:val="00AA5E03"/>
    <w:rsid w:val="00BC06BF"/>
    <w:rsid w:val="00C45542"/>
    <w:rsid w:val="00CE413B"/>
    <w:rsid w:val="00D83853"/>
    <w:rsid w:val="00DB0428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3CEB"/>
  <w15:chartTrackingRefBased/>
  <w15:docId w15:val="{6BE2049C-D36B-433C-8274-E13B1408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7689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Bullet1,Styl moj,aotm_załączniki,Akapit z listą11,Table Legend,Bullet List,Bullet 1,Akapit z listą1,List Paragraph1,BulletPoints,podpunkt ankietyy,5 - W tabeli,Dot pt,F5 List Paragraph,No Spacing1,List Paragraph Char Char Char"/>
    <w:basedOn w:val="Normalny"/>
    <w:link w:val="AkapitzlistZnak"/>
    <w:uiPriority w:val="99"/>
    <w:qFormat/>
    <w:rsid w:val="00576896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paragraph" w:customStyle="1" w:styleId="TableParagraph">
    <w:name w:val="Table Paragraph"/>
    <w:basedOn w:val="Normalny"/>
    <w:uiPriority w:val="1"/>
    <w:qFormat/>
    <w:rsid w:val="00576896"/>
    <w:pPr>
      <w:widowControl w:val="0"/>
      <w:autoSpaceDE w:val="0"/>
      <w:autoSpaceDN w:val="0"/>
      <w:spacing w:after="0" w:line="240" w:lineRule="auto"/>
      <w:ind w:left="488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AkapitzlistZnak">
    <w:name w:val="Akapit z listą Znak"/>
    <w:aliases w:val="Bullet1 Znak,Styl moj Znak,aotm_załączniki Znak,Akapit z listą11 Znak,Table Legend Znak,Bullet List Znak,Bullet 1 Znak,Akapit z listą1 Znak,List Paragraph1 Znak,BulletPoints Znak,podpunkt ankietyy Znak,5 - W tabeli Znak,Dot pt Znak"/>
    <w:link w:val="Akapitzlist"/>
    <w:uiPriority w:val="99"/>
    <w:locked/>
    <w:rsid w:val="00576896"/>
    <w:rPr>
      <w:rFonts w:ascii="Calibri" w:eastAsia="Calibri" w:hAnsi="Calibri" w:cs="Times New Roman"/>
      <w:kern w:val="0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576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6896"/>
  </w:style>
  <w:style w:type="paragraph" w:styleId="Stopka">
    <w:name w:val="footer"/>
    <w:basedOn w:val="Normalny"/>
    <w:link w:val="StopkaZnak"/>
    <w:uiPriority w:val="99"/>
    <w:unhideWhenUsed/>
    <w:rsid w:val="00576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896"/>
  </w:style>
  <w:style w:type="paragraph" w:styleId="Poprawka">
    <w:name w:val="Revision"/>
    <w:hidden/>
    <w:uiPriority w:val="99"/>
    <w:semiHidden/>
    <w:rsid w:val="00DB0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797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Wilk Justyna</cp:lastModifiedBy>
  <cp:revision>5</cp:revision>
  <dcterms:created xsi:type="dcterms:W3CDTF">2024-06-03T07:41:00Z</dcterms:created>
  <dcterms:modified xsi:type="dcterms:W3CDTF">2024-06-03T08:52:00Z</dcterms:modified>
</cp:coreProperties>
</file>