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1D69" w14:textId="52A3AAE7" w:rsidR="00BA6EB0" w:rsidRPr="00BA6EB0" w:rsidRDefault="00BA6EB0" w:rsidP="00BA6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BA6EB0">
        <w:rPr>
          <w:rFonts w:ascii="Times New Roman" w:eastAsia="Calibri" w:hAnsi="Times New Roman" w:cs="Times New Roman"/>
          <w:color w:val="000000"/>
        </w:rPr>
        <w:t>Załącznik B.16</w:t>
      </w:r>
      <w:r>
        <w:rPr>
          <w:rFonts w:ascii="Times New Roman" w:eastAsia="Calibri" w:hAnsi="Times New Roman" w:cs="Times New Roman"/>
          <w:color w:val="000000"/>
        </w:rPr>
        <w:t>3</w:t>
      </w:r>
      <w:r w:rsidRPr="00BA6EB0">
        <w:rPr>
          <w:rFonts w:ascii="Times New Roman" w:eastAsia="Calibri" w:hAnsi="Times New Roman" w:cs="Times New Roman"/>
          <w:color w:val="000000"/>
        </w:rPr>
        <w:t>.</w:t>
      </w:r>
      <w:r>
        <w:rPr>
          <w:rFonts w:ascii="Times New Roman" w:eastAsia="Calibri" w:hAnsi="Times New Roman" w:cs="Times New Roman"/>
          <w:color w:val="000000"/>
        </w:rPr>
        <w:t>FM.</w:t>
      </w:r>
    </w:p>
    <w:p w14:paraId="518D026F" w14:textId="77777777" w:rsidR="00BA6EB0" w:rsidRPr="00BA6EB0" w:rsidRDefault="00BA6EB0" w:rsidP="00BA6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4B8181EA" w14:textId="05A20BC7" w:rsidR="00225901" w:rsidRPr="00736E5D" w:rsidRDefault="00BA6EB0" w:rsidP="00225901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736E5D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LECZENIE CHORYCH NA CZERNIAKA BŁONY NACZYNIOWEJ OKA </w:t>
      </w:r>
      <w:r w:rsidR="00225901" w:rsidRPr="00736E5D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(ICD-10: C69, C69.3, C69.4)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1"/>
        <w:gridCol w:w="4679"/>
        <w:gridCol w:w="5042"/>
      </w:tblGrid>
      <w:tr w:rsidR="00225901" w:rsidRPr="00736E5D" w14:paraId="3D36B641" w14:textId="77777777" w:rsidTr="00F76449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61CE5E" w14:textId="77777777" w:rsidR="00225901" w:rsidRPr="00736E5D" w:rsidRDefault="00225901" w:rsidP="002259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 ŚWIADCZENIA GWARANTOWANEGO</w:t>
            </w:r>
          </w:p>
        </w:tc>
      </w:tr>
      <w:tr w:rsidR="00225901" w:rsidRPr="00736E5D" w14:paraId="29E6F1A2" w14:textId="77777777" w:rsidTr="00F76449">
        <w:trPr>
          <w:trHeight w:val="567"/>
        </w:trPr>
        <w:tc>
          <w:tcPr>
            <w:tcW w:w="1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FAA7BD" w14:textId="77777777" w:rsidR="00225901" w:rsidRPr="00736E5D" w:rsidRDefault="00225901" w:rsidP="002259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1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01EC7C" w14:textId="77777777" w:rsidR="00225901" w:rsidRPr="00736E5D" w:rsidRDefault="00225901" w:rsidP="002259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SCHEMAT DAWKOWANIA LEKÓW </w:t>
            </w:r>
            <w:r w:rsidRPr="00736E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  <w:t>W PROGRAMIE</w:t>
            </w:r>
          </w:p>
        </w:tc>
        <w:tc>
          <w:tcPr>
            <w:tcW w:w="1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9F70A" w14:textId="77777777" w:rsidR="00225901" w:rsidRPr="00736E5D" w:rsidRDefault="00225901" w:rsidP="002259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BADANIA DIAGNOSTYCZNE WYKONYWANE </w:t>
            </w:r>
            <w:r w:rsidRPr="00736E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  <w:t>W RAMACH PROGRAMU</w:t>
            </w:r>
          </w:p>
        </w:tc>
      </w:tr>
      <w:tr w:rsidR="00225901" w:rsidRPr="00225901" w14:paraId="23A1474A" w14:textId="77777777" w:rsidTr="00736E5D">
        <w:trPr>
          <w:trHeight w:val="552"/>
        </w:trPr>
        <w:tc>
          <w:tcPr>
            <w:tcW w:w="1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093C5" w14:textId="77777777" w:rsidR="00225901" w:rsidRPr="00736E5D" w:rsidRDefault="00225901" w:rsidP="00BA6EB0">
            <w:pPr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Kwalifikacja świadczeniobiorców do programu przeprowadzana jest przez Zespół Koordynacyjny ds. Leczenia Czerniaka Błony Naczyniowej Oka, powoływany przez Prezesa Narodowego Funduszu Zdrowia.</w:t>
            </w:r>
          </w:p>
          <w:p w14:paraId="2BC19DB9" w14:textId="77777777" w:rsidR="00225901" w:rsidRPr="00736E5D" w:rsidRDefault="00225901" w:rsidP="00BA6EB0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DCC7BAD" w14:textId="77777777" w:rsidR="00225901" w:rsidRPr="00736E5D" w:rsidRDefault="00225901" w:rsidP="00BA6EB0">
            <w:pPr>
              <w:numPr>
                <w:ilvl w:val="0"/>
                <w:numId w:val="10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Kryteria kwalifikacji do leczenia </w:t>
            </w:r>
            <w:proofErr w:type="spellStart"/>
            <w:r w:rsidRPr="00736E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tebentafuspem</w:t>
            </w:r>
            <w:proofErr w:type="spellEnd"/>
          </w:p>
          <w:p w14:paraId="68B181E6" w14:textId="77777777" w:rsidR="00225901" w:rsidRPr="00736E5D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wzrost lub zagrożenie rozwoju guza poza gałkę oczną i brak możliwości postępowania terapeutycznego po zastosowaniu dostępnych metod leczenia miejscowego (dopuszczalna jest wcześniejsza resekcja chirurgiczna choroby </w:t>
            </w:r>
            <w:proofErr w:type="spellStart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oligometastatycznej</w:t>
            </w:r>
            <w:proofErr w:type="spellEnd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);</w:t>
            </w:r>
          </w:p>
          <w:p w14:paraId="7CD13D87" w14:textId="77777777" w:rsidR="00225901" w:rsidRPr="00736E5D" w:rsidRDefault="00225901" w:rsidP="00BA6EB0">
            <w:pPr>
              <w:spacing w:after="60" w:line="276" w:lineRule="auto"/>
              <w:ind w:left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</w:p>
          <w:p w14:paraId="0232503E" w14:textId="77777777" w:rsidR="00225901" w:rsidRPr="00BA6EB0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obecność przerzutów czerniaka błony naczyniowej stwierdzana w badaniach obrazowych wymienionych w punkcie „badania przy kwalifikacji do leczenia”;</w:t>
            </w:r>
          </w:p>
          <w:p w14:paraId="5F3D1916" w14:textId="0D8C1738" w:rsidR="00225901" w:rsidRPr="00736E5D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histologiczne lub cytologiczne potwierdzenie czerniaka błony naczyniowej oka;</w:t>
            </w:r>
          </w:p>
          <w:p w14:paraId="45F85489" w14:textId="77777777" w:rsidR="00225901" w:rsidRPr="00736E5D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potwierdzona obecność antygenu </w:t>
            </w:r>
            <w:proofErr w:type="spellStart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leukocytarnego</w:t>
            </w:r>
            <w:proofErr w:type="spellEnd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(HLA)-A*02:01;</w:t>
            </w:r>
          </w:p>
          <w:p w14:paraId="62CFD9B1" w14:textId="77777777" w:rsidR="00225901" w:rsidRPr="00736E5D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wiek 18 lat i powyżej;</w:t>
            </w:r>
          </w:p>
          <w:p w14:paraId="5ADF57E8" w14:textId="77777777" w:rsidR="00225901" w:rsidRPr="00736E5D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stopień sprawności 0 lub 1 według skali ECOG;</w:t>
            </w:r>
          </w:p>
          <w:p w14:paraId="29F50527" w14:textId="58589D42" w:rsidR="00DB0E6F" w:rsidRPr="00736E5D" w:rsidRDefault="00DB0E6F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odstęp </w:t>
            </w:r>
            <w:proofErr w:type="spellStart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QTc</w:t>
            </w:r>
            <w:proofErr w:type="spellEnd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≤ 500 ms;</w:t>
            </w:r>
          </w:p>
          <w:p w14:paraId="453C3BBE" w14:textId="77777777" w:rsidR="00225901" w:rsidRPr="00736E5D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 xml:space="preserve">brak wcześniejszej terapii systemowej czerniaka błony naczyniowej oka (nie dotyczy terapii </w:t>
            </w:r>
            <w:proofErr w:type="spellStart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neoadjuwantowej</w:t>
            </w:r>
            <w:proofErr w:type="spellEnd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adjuwantowej</w:t>
            </w:r>
            <w:proofErr w:type="spellEnd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stosowanej w leczeniu radykalnym pacjentów z chorobą miejscową);</w:t>
            </w:r>
          </w:p>
          <w:p w14:paraId="32CCC769" w14:textId="77777777" w:rsidR="00225901" w:rsidRPr="00736E5D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A6E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 przypadku współistnienia innych aktywnych nowotworów kwalifikacja do leczenia musi uwzględniać rokowanie związane ze współistniejącym nowotworem;</w:t>
            </w:r>
          </w:p>
          <w:p w14:paraId="750AC362" w14:textId="77777777" w:rsidR="00225901" w:rsidRPr="00736E5D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wykluczenie ciąży i okresu karmienia piersią;</w:t>
            </w:r>
          </w:p>
          <w:p w14:paraId="38F6884E" w14:textId="77777777" w:rsidR="00225901" w:rsidRPr="00BA6EB0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A6E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adekwatna wydolność narządowa określona na podstawie wyników badań laboratoryjnych krwi zgodnie z zapisami aktualnej Charakterystyki Produktu Leczniczego (zwanej dalej </w:t>
            </w:r>
            <w:proofErr w:type="spellStart"/>
            <w:r w:rsidRPr="00BA6E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BA6E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);</w:t>
            </w:r>
          </w:p>
          <w:p w14:paraId="64D7DBFF" w14:textId="77777777" w:rsidR="00225901" w:rsidRPr="00BA6EB0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A6E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nieobecność istotnych schorzeń współistniejących i stanów klinicznych stanowiących przeciwwskazanie do terapii, stwierdzonych przez lekarza prowadzącego w oparciu o aktualną </w:t>
            </w:r>
            <w:proofErr w:type="spellStart"/>
            <w:r w:rsidRPr="00BA6E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BA6E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lub wiedzę medyczną;</w:t>
            </w:r>
          </w:p>
          <w:p w14:paraId="481FA04D" w14:textId="77777777" w:rsidR="00225901" w:rsidRPr="00736E5D" w:rsidRDefault="00225901" w:rsidP="00BA6EB0">
            <w:pPr>
              <w:numPr>
                <w:ilvl w:val="2"/>
                <w:numId w:val="2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zgoda pacjenta na prowadzenie antykoncepcji zgodnie z aktualną </w:t>
            </w:r>
            <w:proofErr w:type="spellStart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0557B93" w14:textId="77777777" w:rsidR="00225901" w:rsidRPr="00736E5D" w:rsidRDefault="00225901" w:rsidP="00BA6EB0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A726275" w14:textId="77777777" w:rsidR="00225901" w:rsidRPr="00736E5D" w:rsidRDefault="00225901" w:rsidP="00BA6EB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Powyższe kryteria kwalifikacji muszą być spełnione łącznie.</w:t>
            </w:r>
          </w:p>
          <w:p w14:paraId="41381B37" w14:textId="77777777" w:rsidR="00225901" w:rsidRPr="00736E5D" w:rsidRDefault="00225901" w:rsidP="00BA6EB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Ponadto do programu lekowego kwalifikowani są również pacjenci wymagający kontynuacji leczenia, którzy byli leczeni dotychczas w ramach innego sposobu finansowania terapii, za wyjątkiem trwających badań klinicznych tego leku, pod warunkiem, że w chwili rozpoczęcia leczenia spełniali kryteria kwalifikacji do programu lekowego.</w:t>
            </w:r>
          </w:p>
          <w:p w14:paraId="2078E6BF" w14:textId="77777777" w:rsidR="00225901" w:rsidRPr="00736E5D" w:rsidRDefault="00225901" w:rsidP="00BA6EB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938F817" w14:textId="77777777" w:rsidR="00225901" w:rsidRPr="00736E5D" w:rsidRDefault="00225901" w:rsidP="009F6D9F">
            <w:pPr>
              <w:numPr>
                <w:ilvl w:val="0"/>
                <w:numId w:val="10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 czasu leczenia w programie</w:t>
            </w:r>
          </w:p>
          <w:p w14:paraId="799267DD" w14:textId="77777777" w:rsidR="00225901" w:rsidRPr="00736E5D" w:rsidRDefault="00225901" w:rsidP="00BA6EB0">
            <w:pPr>
              <w:autoSpaceDE w:val="0"/>
              <w:autoSpaceDN w:val="0"/>
              <w:adjustRightInd w:val="0"/>
              <w:spacing w:beforeLines="40" w:before="96"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 trwa do czasu podjęcia przez Zespół Koordynacyjny ds. Leczenia Czerniaka Błony Naczyniowej Oka</w:t>
            </w:r>
            <w:r w:rsidRPr="00736E5D" w:rsidDel="00A75CA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lub lekarza </w:t>
            </w: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prowadzącego decyzji o wyłączeniu świadczeniobiorcy z programu, zgodnie z kryteriami wyłączenia.</w:t>
            </w:r>
          </w:p>
          <w:p w14:paraId="00A77D81" w14:textId="77777777" w:rsidR="00225901" w:rsidRPr="00736E5D" w:rsidRDefault="00225901" w:rsidP="00BA6EB0">
            <w:pPr>
              <w:autoSpaceDE w:val="0"/>
              <w:autoSpaceDN w:val="0"/>
              <w:adjustRightInd w:val="0"/>
              <w:spacing w:beforeLines="40" w:before="96"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48666DA" w14:textId="77777777" w:rsidR="00225901" w:rsidRPr="00736E5D" w:rsidRDefault="00225901" w:rsidP="009F6D9F">
            <w:pPr>
              <w:numPr>
                <w:ilvl w:val="0"/>
                <w:numId w:val="10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 wyłączenia z programu</w:t>
            </w:r>
          </w:p>
          <w:p w14:paraId="4977E7FE" w14:textId="77777777" w:rsidR="00225901" w:rsidRPr="00736E5D" w:rsidRDefault="00225901" w:rsidP="009F6D9F">
            <w:pPr>
              <w:numPr>
                <w:ilvl w:val="2"/>
                <w:numId w:val="17"/>
              </w:numPr>
              <w:tabs>
                <w:tab w:val="left" w:pos="-4253"/>
              </w:tabs>
              <w:suppressAutoHyphens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progresja choroby ocenianej zgodnie z aktualnie obowiązującymi  kryteriami RECIST;</w:t>
            </w:r>
          </w:p>
          <w:p w14:paraId="47595CB1" w14:textId="77777777" w:rsidR="00941297" w:rsidRPr="00736E5D" w:rsidRDefault="00941297" w:rsidP="00BA6EB0">
            <w:pPr>
              <w:tabs>
                <w:tab w:val="left" w:pos="-4253"/>
              </w:tabs>
              <w:suppressAutoHyphens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Dopuszcza się możliwość kontynuacji leczenia w programie u chorych z progresją choroby w przypadku:</w:t>
            </w:r>
          </w:p>
          <w:p w14:paraId="7184A075" w14:textId="77777777" w:rsidR="00941297" w:rsidRPr="00736E5D" w:rsidRDefault="00941297" w:rsidP="00BA6EB0">
            <w:pPr>
              <w:pStyle w:val="Akapitzlist"/>
              <w:numPr>
                <w:ilvl w:val="0"/>
                <w:numId w:val="15"/>
              </w:numPr>
              <w:tabs>
                <w:tab w:val="left" w:pos="-4253"/>
              </w:tabs>
              <w:suppressAutoHyphens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braku klinicznych objawów progresji,</w:t>
            </w:r>
          </w:p>
          <w:p w14:paraId="3A4B1824" w14:textId="77777777" w:rsidR="00941297" w:rsidRPr="00736E5D" w:rsidRDefault="00941297" w:rsidP="00BA6EB0">
            <w:pPr>
              <w:pStyle w:val="Akapitzlist"/>
              <w:numPr>
                <w:ilvl w:val="0"/>
                <w:numId w:val="15"/>
              </w:numPr>
              <w:tabs>
                <w:tab w:val="left" w:pos="-4253"/>
              </w:tabs>
              <w:suppressAutoHyphens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braku pogorszenia stanu sprawności według kryteriów ECOG,</w:t>
            </w:r>
          </w:p>
          <w:p w14:paraId="4BA09F0E" w14:textId="77777777" w:rsidR="00941297" w:rsidRPr="00736E5D" w:rsidRDefault="00941297" w:rsidP="00BA6EB0">
            <w:pPr>
              <w:pStyle w:val="Akapitzlist"/>
              <w:numPr>
                <w:ilvl w:val="0"/>
                <w:numId w:val="15"/>
              </w:numPr>
              <w:tabs>
                <w:tab w:val="left" w:pos="-4253"/>
              </w:tabs>
              <w:suppressAutoHyphens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braku zagrożenia niewydolnością narządów.</w:t>
            </w:r>
          </w:p>
          <w:p w14:paraId="465DE4D3" w14:textId="77777777" w:rsidR="00941297" w:rsidRPr="00736E5D" w:rsidRDefault="00941297" w:rsidP="00BA6EB0">
            <w:pPr>
              <w:tabs>
                <w:tab w:val="left" w:pos="-4253"/>
              </w:tabs>
              <w:suppressAutoHyphens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 przerwać leczenie, które było kontynuowane po progresji, gdy stwierdza się co najmniej jedno z poniższych:</w:t>
            </w:r>
          </w:p>
          <w:p w14:paraId="2C40744A" w14:textId="078EA5B0" w:rsidR="00941297" w:rsidRPr="00736E5D" w:rsidRDefault="00941297" w:rsidP="009F6D9F">
            <w:pPr>
              <w:pStyle w:val="Akapitzlist"/>
              <w:numPr>
                <w:ilvl w:val="0"/>
                <w:numId w:val="12"/>
              </w:numPr>
              <w:tabs>
                <w:tab w:val="left" w:pos="-4253"/>
              </w:tabs>
              <w:suppressAutoHyphens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ponowny wzrost sumy wymiarów ocenianych zmian (z uwzględnieniem nowych zmian mierzalnych) o co najmniej 20% z jednoczesnym wzrostem tej sumy o co najmniej 5 mm</w:t>
            </w:r>
            <w:r w:rsid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5EDDF5AF" w14:textId="1F2D8577" w:rsidR="00941297" w:rsidRPr="00736E5D" w:rsidRDefault="00941297" w:rsidP="009F6D9F">
            <w:pPr>
              <w:pStyle w:val="Akapitzlist"/>
              <w:numPr>
                <w:ilvl w:val="0"/>
                <w:numId w:val="12"/>
              </w:numPr>
              <w:tabs>
                <w:tab w:val="left" w:pos="-4253"/>
              </w:tabs>
              <w:suppressAutoHyphens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jednoznaczna progresja zmian pozostałych</w:t>
            </w:r>
            <w:r w:rsid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2AAD185A" w14:textId="77777777" w:rsidR="00941297" w:rsidRPr="00736E5D" w:rsidRDefault="00941297" w:rsidP="009F6D9F">
            <w:pPr>
              <w:pStyle w:val="Akapitzlist"/>
              <w:numPr>
                <w:ilvl w:val="0"/>
                <w:numId w:val="12"/>
              </w:numPr>
              <w:tabs>
                <w:tab w:val="left" w:pos="-4253"/>
              </w:tabs>
              <w:suppressAutoHyphens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nowa zmiana.</w:t>
            </w:r>
          </w:p>
          <w:p w14:paraId="180BCA10" w14:textId="77777777" w:rsidR="00225901" w:rsidRPr="00736E5D" w:rsidRDefault="00225901" w:rsidP="009F6D9F">
            <w:pPr>
              <w:numPr>
                <w:ilvl w:val="2"/>
                <w:numId w:val="17"/>
              </w:numPr>
              <w:tabs>
                <w:tab w:val="left" w:pos="-4253"/>
              </w:tabs>
              <w:suppressAutoHyphens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 nadwrażliwości na lek lub na którąkolwiek substancję pomocniczą;</w:t>
            </w:r>
          </w:p>
          <w:p w14:paraId="17538E3F" w14:textId="77777777" w:rsidR="00225901" w:rsidRPr="00736E5D" w:rsidRDefault="00225901" w:rsidP="009F6D9F">
            <w:pPr>
              <w:numPr>
                <w:ilvl w:val="2"/>
                <w:numId w:val="17"/>
              </w:numPr>
              <w:tabs>
                <w:tab w:val="left" w:pos="-4253"/>
              </w:tabs>
              <w:suppressAutoHyphens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 działań niepożądanych związanych z lekiem uniemożliwiających jego dalsze stosowanie;</w:t>
            </w:r>
          </w:p>
          <w:p w14:paraId="7B84D6D5" w14:textId="77777777" w:rsidR="00225901" w:rsidRPr="00736E5D" w:rsidRDefault="00225901" w:rsidP="009F6D9F">
            <w:pPr>
              <w:numPr>
                <w:ilvl w:val="2"/>
                <w:numId w:val="17"/>
              </w:numPr>
              <w:tabs>
                <w:tab w:val="left" w:pos="-4253"/>
              </w:tabs>
              <w:suppressAutoHyphens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 nieakceptowalnej lub zagrażającej życiu toksyczności, pomimo zastosowania adekwatnego postępowania;</w:t>
            </w:r>
          </w:p>
          <w:p w14:paraId="3232A250" w14:textId="77777777" w:rsidR="00225901" w:rsidRPr="00736E5D" w:rsidRDefault="00225901" w:rsidP="009F6D9F">
            <w:pPr>
              <w:numPr>
                <w:ilvl w:val="2"/>
                <w:numId w:val="17"/>
              </w:numPr>
              <w:tabs>
                <w:tab w:val="left" w:pos="-4253"/>
              </w:tabs>
              <w:suppressAutoHyphens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wystąpienie chorób lub stanów, które w opinii Zespołu Koordynacyjnego ds. Leczenia Czerniaka Błony Naczyniowej </w:t>
            </w: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Oka lub lekarza prowadzącego uniemożliwiają dalsze prowadzenie leczenia;</w:t>
            </w:r>
          </w:p>
          <w:p w14:paraId="5B89B77E" w14:textId="77777777" w:rsidR="00225901" w:rsidRPr="00736E5D" w:rsidRDefault="00225901" w:rsidP="009F6D9F">
            <w:pPr>
              <w:numPr>
                <w:ilvl w:val="2"/>
                <w:numId w:val="17"/>
              </w:numPr>
              <w:tabs>
                <w:tab w:val="left" w:pos="-4253"/>
              </w:tabs>
              <w:suppressAutoHyphens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pogorszenie stanu sprawności o 1 lub 2 stopnie, w zależności od wartości przy kwalifikacji, ale maksymalnie do wartości 3 wg skali ECOG;</w:t>
            </w:r>
          </w:p>
          <w:p w14:paraId="4D515435" w14:textId="77777777" w:rsidR="00225901" w:rsidRPr="00736E5D" w:rsidRDefault="00225901" w:rsidP="009F6D9F">
            <w:pPr>
              <w:numPr>
                <w:ilvl w:val="2"/>
                <w:numId w:val="17"/>
              </w:numPr>
              <w:tabs>
                <w:tab w:val="left" w:pos="-4253"/>
              </w:tabs>
              <w:suppressAutoHyphens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 ciąży lub karmienia piersią;</w:t>
            </w:r>
          </w:p>
          <w:p w14:paraId="441863A0" w14:textId="77777777" w:rsidR="00225901" w:rsidRPr="009F6D9F" w:rsidRDefault="00225901" w:rsidP="009F6D9F">
            <w:pPr>
              <w:numPr>
                <w:ilvl w:val="2"/>
                <w:numId w:val="17"/>
              </w:numPr>
              <w:tabs>
                <w:tab w:val="left" w:pos="-4253"/>
              </w:tabs>
              <w:suppressAutoHyphens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 współpracy lub nieprzestrzeganie zaleceń lekarskich, w tym zwłaszcza dotyczących okresowych badań kontrolnych oceniających skuteczność i bezpieczeństwo leczenia ze strony świadczeniobiorcy lub opiekuna prawnego.</w:t>
            </w:r>
          </w:p>
          <w:p w14:paraId="76B2B9F4" w14:textId="77777777" w:rsidR="00225901" w:rsidRPr="00736E5D" w:rsidRDefault="00225901" w:rsidP="00225901">
            <w:pPr>
              <w:autoSpaceDE w:val="0"/>
              <w:autoSpaceDN w:val="0"/>
              <w:adjustRightInd w:val="0"/>
              <w:spacing w:before="40" w:after="6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4B4C2" w14:textId="77777777" w:rsidR="00225901" w:rsidRPr="00736E5D" w:rsidRDefault="00225901" w:rsidP="009F6D9F">
            <w:pPr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Sposób podawania oraz ewentualne czasowe wstrzymania leczenia, prowadzone zgodnie z aktualną Charakterystyką Produktu Leczniczego (</w:t>
            </w:r>
            <w:proofErr w:type="spellStart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).</w:t>
            </w:r>
          </w:p>
          <w:p w14:paraId="4728EC44" w14:textId="77777777" w:rsidR="00225901" w:rsidRPr="00736E5D" w:rsidRDefault="00225901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07FCD47C" w14:textId="77777777" w:rsidR="00225901" w:rsidRPr="00736E5D" w:rsidRDefault="00225901" w:rsidP="009F6D9F">
            <w:pPr>
              <w:numPr>
                <w:ilvl w:val="0"/>
                <w:numId w:val="16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Dawkowanie</w:t>
            </w:r>
          </w:p>
          <w:p w14:paraId="09704795" w14:textId="77777777" w:rsidR="00225901" w:rsidRPr="00736E5D" w:rsidRDefault="00225901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Maksymalne dawki </w:t>
            </w:r>
            <w:proofErr w:type="spellStart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tabentafuspu</w:t>
            </w:r>
            <w:proofErr w:type="spellEnd"/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3376CAE3" w14:textId="77777777" w:rsidR="00225901" w:rsidRPr="009F6D9F" w:rsidRDefault="00225901" w:rsidP="009F6D9F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 µg – 1. dnia;</w:t>
            </w:r>
          </w:p>
          <w:p w14:paraId="6F52434C" w14:textId="77777777" w:rsidR="00225901" w:rsidRPr="009F6D9F" w:rsidRDefault="00225901" w:rsidP="009F6D9F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30 µg – 8. dnia;</w:t>
            </w:r>
          </w:p>
          <w:p w14:paraId="41ECBCD6" w14:textId="77777777" w:rsidR="00225901" w:rsidRPr="009F6D9F" w:rsidRDefault="00225901" w:rsidP="009F6D9F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68 µg– 15. dnia;</w:t>
            </w:r>
          </w:p>
          <w:p w14:paraId="621EC952" w14:textId="77777777" w:rsidR="00225901" w:rsidRDefault="00225901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36E5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następnie 68 µg co tydzień.</w:t>
            </w:r>
          </w:p>
          <w:p w14:paraId="7141B4F9" w14:textId="585476D5" w:rsidR="009F6D9F" w:rsidRPr="00736E5D" w:rsidRDefault="009F6D9F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AAEC" w14:textId="77777777" w:rsidR="00225901" w:rsidRPr="009F6D9F" w:rsidRDefault="00225901" w:rsidP="009F6D9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 przy kwalifikacji do leczenia</w:t>
            </w:r>
          </w:p>
          <w:p w14:paraId="2D51D9F5" w14:textId="7777777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test do </w:t>
            </w:r>
            <w:proofErr w:type="spellStart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genotypowania</w:t>
            </w:r>
            <w:proofErr w:type="spellEnd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HLA w celu potwierdzenia występowania u pacjenta genotypu HLA-A*02:01;</w:t>
            </w:r>
          </w:p>
          <w:p w14:paraId="382344A7" w14:textId="7777777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 histologiczne lub cytologiczne w celu potwierdzenia czerniaka błony naczyniowej oka;</w:t>
            </w:r>
          </w:p>
          <w:p w14:paraId="3C0D85EF" w14:textId="7777777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 krwi z rozmazem;</w:t>
            </w:r>
          </w:p>
          <w:p w14:paraId="6DD7FA16" w14:textId="7777777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bilirubiny we krwi;</w:t>
            </w:r>
          </w:p>
          <w:p w14:paraId="11A21D26" w14:textId="7777777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kreatyniny we krwi;</w:t>
            </w:r>
          </w:p>
          <w:p w14:paraId="1344F7B9" w14:textId="7777777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aminotransferazy alaninowej we krwi;</w:t>
            </w:r>
          </w:p>
          <w:p w14:paraId="57E04188" w14:textId="7777777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aktywności aminotransferazy </w:t>
            </w:r>
            <w:proofErr w:type="spellStart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asparaginianowej</w:t>
            </w:r>
            <w:proofErr w:type="spellEnd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we krwi;</w:t>
            </w:r>
          </w:p>
          <w:p w14:paraId="513EE9A1" w14:textId="7777777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fosfatazy zasadowej we krwi;</w:t>
            </w:r>
          </w:p>
          <w:p w14:paraId="1E2DE97F" w14:textId="6FE78622" w:rsidR="00941297" w:rsidRPr="009F6D9F" w:rsidRDefault="00941297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dehydrogenazy mleczanowej we krwi;</w:t>
            </w:r>
          </w:p>
          <w:p w14:paraId="1ACCEFBB" w14:textId="654FE577" w:rsidR="00DB0E6F" w:rsidRPr="009F6D9F" w:rsidRDefault="00DB0E6F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elektrolitów we krwi (sód i potas);</w:t>
            </w:r>
          </w:p>
          <w:p w14:paraId="75959C8D" w14:textId="44492146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 ultrasonograficzne gałki ocznej w celu oceny wielkości guza</w:t>
            </w:r>
            <w:r w:rsidR="00941297"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(w przypadku choroby pierwotnej)</w:t>
            </w: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7A3CFFA" w14:textId="7777777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 obrazowe potwierdzające obecność przerzutów:</w:t>
            </w:r>
          </w:p>
          <w:p w14:paraId="4008DB42" w14:textId="5FE16077" w:rsidR="00DB0E6F" w:rsidRPr="009F6D9F" w:rsidRDefault="00DB0E6F" w:rsidP="009F6D9F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badanie tomografii komputerowej lub rezonans magnetyczny mózgu</w:t>
            </w:r>
            <w:r w:rsid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7DA4D6E9" w14:textId="5095E51B" w:rsidR="00DB0E6F" w:rsidRPr="009F6D9F" w:rsidRDefault="00DB0E6F" w:rsidP="009F6D9F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 tomografii komputerowej klatki piersiowej, jamy brzusznej i miednicy</w:t>
            </w:r>
            <w:r w:rsid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6FFA1AF5" w14:textId="77F58099" w:rsidR="00DB0E6F" w:rsidRPr="009F6D9F" w:rsidRDefault="00DB0E6F" w:rsidP="009F6D9F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 tomografii komputerowej lub inne badania obrazowe w zależności od sytuacji klinicznej</w:t>
            </w:r>
            <w:r w:rsid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57ECA6F" w14:textId="5F55C9B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elektrokardiogram (EKG)</w:t>
            </w:r>
            <w:r w:rsidR="00DB0E6F"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 oceną odstępu </w:t>
            </w:r>
            <w:proofErr w:type="spellStart"/>
            <w:r w:rsidR="00DB0E6F"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QTc</w:t>
            </w:r>
            <w:proofErr w:type="spellEnd"/>
            <w:r w:rsidR="00DB0E6F"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(w przypadkach wątpliwych – konsultacja kardiologiczna)</w:t>
            </w: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C28E91B" w14:textId="7777777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test ciążowy u kobiet w wieku rozrodczym;</w:t>
            </w:r>
          </w:p>
          <w:p w14:paraId="53E2B918" w14:textId="646FFB70" w:rsidR="00DB0E6F" w:rsidRPr="009F6D9F" w:rsidRDefault="00DB0E6F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pełne badanie przedmiotowe z oceną całej skóry;</w:t>
            </w:r>
          </w:p>
          <w:p w14:paraId="3883700D" w14:textId="77777777" w:rsidR="00225901" w:rsidRPr="009F6D9F" w:rsidRDefault="00225901" w:rsidP="009F6D9F">
            <w:pPr>
              <w:numPr>
                <w:ilvl w:val="2"/>
                <w:numId w:val="1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inne badania laboratoryjne i obrazowe w razie wskazań klinicznych.</w:t>
            </w:r>
          </w:p>
          <w:p w14:paraId="256E61E4" w14:textId="77777777" w:rsidR="00225901" w:rsidRPr="009F6D9F" w:rsidRDefault="00225901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16AE2007" w14:textId="77777777" w:rsidR="00225901" w:rsidRDefault="00225901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Wstępne badania obrazowe muszą umożliwić późniejszą obiektywną ocenę odpowiedzi na leczenie wg aktualnych kryteriów RECIST.</w:t>
            </w:r>
          </w:p>
          <w:p w14:paraId="4226CEC0" w14:textId="77777777" w:rsidR="009F6D9F" w:rsidRPr="009F6D9F" w:rsidRDefault="009F6D9F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10F68DD" w14:textId="77777777" w:rsidR="00225901" w:rsidRPr="009F6D9F" w:rsidRDefault="00225901" w:rsidP="009F6D9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Monitorowanie leczenia</w:t>
            </w:r>
          </w:p>
          <w:p w14:paraId="3736A23B" w14:textId="77777777" w:rsidR="00225901" w:rsidRPr="009F6D9F" w:rsidRDefault="00225901" w:rsidP="009F6D9F">
            <w:pPr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Monitorowanie bezpieczeństwa leczenia</w:t>
            </w:r>
          </w:p>
          <w:p w14:paraId="45FA70E6" w14:textId="77777777" w:rsidR="00225901" w:rsidRPr="009F6D9F" w:rsidRDefault="00225901" w:rsidP="009F6D9F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 krwi z rozmazem;</w:t>
            </w:r>
          </w:p>
          <w:p w14:paraId="33C9FBA0" w14:textId="77777777" w:rsidR="00225901" w:rsidRPr="009F6D9F" w:rsidRDefault="00225901" w:rsidP="009F6D9F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bilirubiny we krwi;</w:t>
            </w:r>
          </w:p>
          <w:p w14:paraId="66C6FB52" w14:textId="77777777" w:rsidR="00225901" w:rsidRPr="009F6D9F" w:rsidRDefault="00225901" w:rsidP="009F6D9F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kreatyniny we krwi;</w:t>
            </w:r>
          </w:p>
          <w:p w14:paraId="7AA45C97" w14:textId="77777777" w:rsidR="00225901" w:rsidRPr="009F6D9F" w:rsidRDefault="00225901" w:rsidP="009F6D9F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aminotransferazy alaninowej we krwi;</w:t>
            </w:r>
          </w:p>
          <w:p w14:paraId="0E810AF7" w14:textId="77777777" w:rsidR="00225901" w:rsidRPr="009F6D9F" w:rsidRDefault="00225901" w:rsidP="009F6D9F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aktywności aminotransferazy </w:t>
            </w:r>
            <w:proofErr w:type="spellStart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asparaginianowej</w:t>
            </w:r>
            <w:proofErr w:type="spellEnd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we krwi;</w:t>
            </w:r>
          </w:p>
          <w:p w14:paraId="078E4DD2" w14:textId="77777777" w:rsidR="00225901" w:rsidRPr="009F6D9F" w:rsidRDefault="00225901" w:rsidP="009F6D9F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fosfatazy zasadowej we krwi;</w:t>
            </w:r>
          </w:p>
          <w:p w14:paraId="263258FC" w14:textId="2B51212B" w:rsidR="00DB0E6F" w:rsidRPr="009F6D9F" w:rsidRDefault="00DB0E6F" w:rsidP="009F6D9F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dehydrogenazy mleczanowej we krwi;</w:t>
            </w:r>
          </w:p>
          <w:p w14:paraId="259629C1" w14:textId="57875CAA" w:rsidR="00BA42B4" w:rsidRPr="009F6D9F" w:rsidRDefault="00BA42B4" w:rsidP="009F6D9F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oznaczenie stężenia elektrolitów we krwi (sód i potas);</w:t>
            </w:r>
          </w:p>
          <w:p w14:paraId="780A7A6B" w14:textId="2C74AA36" w:rsidR="00BA42B4" w:rsidRPr="009F6D9F" w:rsidRDefault="00BA42B4" w:rsidP="009F6D9F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pełne badanie przedmiotowe z oceną całej skóry;</w:t>
            </w:r>
          </w:p>
          <w:p w14:paraId="794C2B95" w14:textId="77777777" w:rsidR="00225901" w:rsidRPr="009F6D9F" w:rsidRDefault="00225901" w:rsidP="009F6D9F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test ciążowy (u kobiet w wieku rozrodczym);</w:t>
            </w:r>
          </w:p>
          <w:p w14:paraId="7A30D91A" w14:textId="72F57DC1" w:rsidR="00225901" w:rsidRPr="009F6D9F" w:rsidRDefault="00225901" w:rsidP="009F6D9F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EKG </w:t>
            </w:r>
            <w:r w:rsidR="00BA42B4"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 oceną odstępu </w:t>
            </w:r>
            <w:proofErr w:type="spellStart"/>
            <w:r w:rsidR="00BA42B4"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QTc</w:t>
            </w:r>
            <w:proofErr w:type="spellEnd"/>
            <w:r w:rsidR="00BA42B4"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 razie wskazań klinicznych;</w:t>
            </w:r>
          </w:p>
          <w:p w14:paraId="3F05C2E4" w14:textId="77777777" w:rsidR="00225901" w:rsidRPr="009F6D9F" w:rsidRDefault="00225901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Badania wykonuje się co minimum 3 tygodnie (+/- 1 tydzień) </w:t>
            </w:r>
          </w:p>
          <w:p w14:paraId="6E3F070D" w14:textId="77777777" w:rsidR="00225901" w:rsidRPr="009F6D9F" w:rsidRDefault="00225901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 monitorujące bezpieczeństwo mogą być wykonywane częściej w przypadku wskazań klinicznych.</w:t>
            </w:r>
          </w:p>
          <w:p w14:paraId="02FE710B" w14:textId="77777777" w:rsidR="00225901" w:rsidRPr="009F6D9F" w:rsidRDefault="00225901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6435516" w14:textId="77777777" w:rsidR="00225901" w:rsidRPr="009F6D9F" w:rsidRDefault="00225901" w:rsidP="009F6D9F">
            <w:pPr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Monitorowanie skuteczności leczenia</w:t>
            </w:r>
          </w:p>
          <w:p w14:paraId="10241FA3" w14:textId="77777777" w:rsidR="00225901" w:rsidRPr="009F6D9F" w:rsidRDefault="00225901" w:rsidP="009F6D9F">
            <w:pPr>
              <w:numPr>
                <w:ilvl w:val="2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 kliniczna wraz z diagnostyką obrazową celem obiektywnej oceny odpowiedzi na leczenie:</w:t>
            </w:r>
          </w:p>
          <w:p w14:paraId="54DE7752" w14:textId="3A093372" w:rsidR="00225901" w:rsidRPr="009F6D9F" w:rsidRDefault="00225901" w:rsidP="009F6D9F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ultrasonografia gałki ocznej</w:t>
            </w:r>
            <w:r w:rsid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75946D16" w14:textId="77777777" w:rsidR="00225901" w:rsidRPr="009F6D9F" w:rsidRDefault="00225901" w:rsidP="009F6D9F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TK lub MR głowy, klatki piersiowej, jamy brzusznej i miednicy; </w:t>
            </w:r>
          </w:p>
          <w:p w14:paraId="5A29DF33" w14:textId="77777777" w:rsidR="00225901" w:rsidRPr="009F6D9F" w:rsidRDefault="00225901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 wykonuje się co 12 tygodni.</w:t>
            </w:r>
          </w:p>
          <w:p w14:paraId="68D4C946" w14:textId="6DD57686" w:rsidR="00941297" w:rsidRPr="009F6D9F" w:rsidRDefault="00941297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Badania obrazowe w celu ponownej oceny skuteczności leczenia po </w:t>
            </w:r>
            <w:proofErr w:type="spellStart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pseudoprogresji</w:t>
            </w:r>
            <w:proofErr w:type="spellEnd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należy wykonać w odstępie 4 tygodni od oceny, w której wykazano </w:t>
            </w:r>
            <w:proofErr w:type="spellStart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pseudoprogresję</w:t>
            </w:r>
            <w:proofErr w:type="spellEnd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4DBDD201" w14:textId="77777777" w:rsidR="00941297" w:rsidRPr="009F6D9F" w:rsidRDefault="00941297" w:rsidP="009F6D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133F33C1" w14:textId="77777777" w:rsidR="00225901" w:rsidRPr="009F6D9F" w:rsidRDefault="00225901" w:rsidP="009F6D9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 podstawie ww. badań w celu monitorowania skuteczności leczenia Zespół Koordynacyjny ds. Leczenia Czerniaka Błony Naczyniowej Oka określa dla indywidualnego pacjenta wskaźniki odpowiedzi na leczenie, w tym:</w:t>
            </w:r>
          </w:p>
          <w:p w14:paraId="7AB11F3E" w14:textId="77777777" w:rsidR="00225901" w:rsidRPr="009F6D9F" w:rsidRDefault="00225901" w:rsidP="009F6D9F">
            <w:pPr>
              <w:numPr>
                <w:ilvl w:val="2"/>
                <w:numId w:val="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całkowitą (CR) lub częściową odpowiedz (PR) na leczenie,</w:t>
            </w:r>
          </w:p>
          <w:p w14:paraId="78088D33" w14:textId="77777777" w:rsidR="00225901" w:rsidRPr="009F6D9F" w:rsidRDefault="00225901" w:rsidP="009F6D9F">
            <w:pPr>
              <w:numPr>
                <w:ilvl w:val="2"/>
                <w:numId w:val="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stabilizację (SD) lub progresję choroby (PD),</w:t>
            </w:r>
          </w:p>
          <w:p w14:paraId="7B1DCB25" w14:textId="77777777" w:rsidR="00225901" w:rsidRPr="009F6D9F" w:rsidRDefault="00225901" w:rsidP="009F6D9F">
            <w:pPr>
              <w:numPr>
                <w:ilvl w:val="2"/>
                <w:numId w:val="9"/>
              </w:num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całkowite przeżycie (OS) i czas do progresji (PFS).</w:t>
            </w:r>
          </w:p>
          <w:p w14:paraId="410740C1" w14:textId="77777777" w:rsidR="00225901" w:rsidRPr="009F6D9F" w:rsidRDefault="00225901" w:rsidP="009F6D9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4E4BFEC2" w14:textId="77777777" w:rsidR="00225901" w:rsidRPr="009F6D9F" w:rsidRDefault="00225901" w:rsidP="009F6D9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lastRenderedPageBreak/>
              <w:t>Ocena odpowiedzi na leczenie powinna być przeprowadzona zgodnie z aktualnymi kryteriami RECIST, w miarę możliwości z wykorzystaniem tego samego rodzaju badań obrazowych, które były zastosowane podczas kwalifikacji do leczenia.</w:t>
            </w:r>
          </w:p>
          <w:p w14:paraId="54793FBA" w14:textId="77777777" w:rsidR="00225901" w:rsidRPr="009F6D9F" w:rsidRDefault="00225901" w:rsidP="009F6D9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gromadzone są w elektronicznym systemie monitorowania programów lekowych i analizowane przez Zespół Koordynacyjny ds. Leczenia Czerniaka Błony Naczyniowej Oka, który podsumowuje wyniki leczenia w programie lekowym na koniec każdego roku.</w:t>
            </w:r>
          </w:p>
          <w:p w14:paraId="4A8EA7F3" w14:textId="77777777" w:rsidR="00225901" w:rsidRPr="009F6D9F" w:rsidRDefault="00225901" w:rsidP="009F6D9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DCDE5E6" w14:textId="77777777" w:rsidR="00225901" w:rsidRPr="009F6D9F" w:rsidRDefault="00225901" w:rsidP="009F6D9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Monitorowanie programu</w:t>
            </w:r>
          </w:p>
          <w:p w14:paraId="3EF9937A" w14:textId="77777777" w:rsidR="00225901" w:rsidRPr="009F6D9F" w:rsidRDefault="00225901" w:rsidP="005012CF">
            <w:pPr>
              <w:numPr>
                <w:ilvl w:val="2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gromadzenie w dokumentacji medycznej pacjenta danych dotyczących monitorowania leczenia i każdorazowe ich przedstawianie na żądanie kontrolerów Narodowego Funduszu Zdrowia;</w:t>
            </w:r>
          </w:p>
          <w:p w14:paraId="079B90E1" w14:textId="77777777" w:rsidR="00225901" w:rsidRPr="009F6D9F" w:rsidRDefault="00225901" w:rsidP="005012CF">
            <w:pPr>
              <w:numPr>
                <w:ilvl w:val="2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uzupełnienie danych zawartych w elektronicznym systemie monitorowania programów lekowych dostępnym za pomocą aplikacji internetowej udostępnionej przez OW NFZ, z częstotliwością zgodną z opisem programu oraz na zakończenie leczenia, w tym przekazywanie danych dotyczących wybranych wskaźników skuteczności terapii, dla których jest możliwe ich określenie przez lekarza prowadzącego dla indywidualnego pacjenta, spośród:</w:t>
            </w:r>
          </w:p>
          <w:p w14:paraId="7611CE3E" w14:textId="77777777" w:rsidR="00225901" w:rsidRPr="009F6D9F" w:rsidRDefault="00225901" w:rsidP="005012CF">
            <w:pPr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przeżycie całkowite (OS), tj. czas od daty podania pierwszej dawki leku do daty zgonu z jakiejkolwiek przyczyny – </w:t>
            </w:r>
            <w:r w:rsidRPr="009F6D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przeżycie całkowite z oczekiwaną medianą 21,7 miesiąca;</w:t>
            </w:r>
          </w:p>
          <w:p w14:paraId="24221DCE" w14:textId="77777777" w:rsidR="00225901" w:rsidRPr="009F6D9F" w:rsidRDefault="00225901" w:rsidP="005012CF">
            <w:pPr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przeżycie wolne od progresji (PFS), tj. czas od daty podania pierwszej dawki leku do daty pierwszej </w:t>
            </w: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 xml:space="preserve">udokumentowanej progresji choroby lub zgonu z jakiejkolwiek przyczyny – </w:t>
            </w:r>
            <w:r w:rsidRPr="009F6D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przeżycie wolne od progresji z oczekiwaną medianą 3,3 miesiąca;</w:t>
            </w:r>
          </w:p>
          <w:p w14:paraId="4BDE3649" w14:textId="77777777" w:rsidR="00225901" w:rsidRPr="009F6D9F" w:rsidRDefault="00225901" w:rsidP="005012CF">
            <w:pPr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najlepsza ogólna odpowiedź (</w:t>
            </w:r>
            <w:proofErr w:type="spellStart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BoR</w:t>
            </w:r>
            <w:proofErr w:type="spellEnd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), </w:t>
            </w:r>
            <w:r w:rsidRPr="009F6D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 oczekiwaną medianą 0,4%;</w:t>
            </w:r>
          </w:p>
          <w:p w14:paraId="26D56F2E" w14:textId="77777777" w:rsidR="00225901" w:rsidRPr="009F6D9F" w:rsidRDefault="00225901" w:rsidP="005012CF">
            <w:pPr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wskaźnik obiektywnej odpowiedzi (ORR), tj. odsetek pacjentów z odpowiedzią na leczenie w postaci pełnej odpowiedzi (CR) lub częściowej odpowiedzi (PR) – </w:t>
            </w:r>
            <w:r w:rsidRPr="009F6D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wskaźnik odpowiedzi obiektywnych na oczekiwanym poziomie 10,3%;</w:t>
            </w:r>
          </w:p>
          <w:p w14:paraId="6516F753" w14:textId="77777777" w:rsidR="00225901" w:rsidRPr="005012CF" w:rsidRDefault="00225901" w:rsidP="005012CF">
            <w:pPr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12C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czas trwania odpowiedzi na leczenie (DOR) – </w:t>
            </w:r>
            <w:r w:rsidRPr="005012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 oczekiwaną medianą 9,9 miesiąca;</w:t>
            </w:r>
          </w:p>
          <w:p w14:paraId="3D1B0D29" w14:textId="77777777" w:rsidR="00225901" w:rsidRPr="005012CF" w:rsidRDefault="00225901" w:rsidP="005012CF">
            <w:pPr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12C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czas do odpowiedzi (TTR) – </w:t>
            </w:r>
            <w:r w:rsidRPr="005012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 oczekiwaną medianą 2,9 miesiąca</w:t>
            </w:r>
            <w:r w:rsidRPr="005012C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1D4A7D9" w14:textId="77777777" w:rsidR="00225901" w:rsidRPr="009F6D9F" w:rsidRDefault="00225901" w:rsidP="005012CF">
            <w:pPr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wskaźnik kontroli choroby (DCR), tj. odsetek pacjentów, u których nastąpiła pełna odpowiedź, częściowa odpowiedź lub ustabilizowanie choroby – </w:t>
            </w:r>
            <w:r w:rsidRPr="009F6D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 oczekiwaną medianą 31%;</w:t>
            </w:r>
          </w:p>
          <w:p w14:paraId="66381462" w14:textId="77777777" w:rsidR="00225901" w:rsidRPr="009F6D9F" w:rsidRDefault="00225901" w:rsidP="005012CF">
            <w:pPr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jakość życia uwarunkowana stanem zdrowia (</w:t>
            </w:r>
            <w:proofErr w:type="spellStart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HRQoL</w:t>
            </w:r>
            <w:proofErr w:type="spellEnd"/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oceniana na podstawie stanu zdrowia pacjentów przy użyciu narzędzi EORTC QLQ-C30 oraz EQ-5D,5L) – </w:t>
            </w:r>
            <w:r w:rsidRPr="009F6D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oczekiwany jest brak obniżenia jakości życia w stosunku do stanu wyjściowego lub jego polepszenie.</w:t>
            </w:r>
          </w:p>
          <w:p w14:paraId="0D02654D" w14:textId="77777777" w:rsidR="00225901" w:rsidRDefault="00225901" w:rsidP="009F6D9F">
            <w:pPr>
              <w:numPr>
                <w:ilvl w:val="2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F6D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przekazywanie informacji sprawozdawczo-rozliczeniowych do NFZ (informacje przekazuje się do NFZ w formie papierowej lub w formie elektronicznej, zgodnie z wymaganiami opublikowanymi przez Narodowy Fundusz Zdrowia).</w:t>
            </w:r>
          </w:p>
          <w:p w14:paraId="1072EAAA" w14:textId="77777777" w:rsidR="005012CF" w:rsidRPr="00736E5D" w:rsidRDefault="005012CF" w:rsidP="005012C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7D3898F4" w14:textId="77777777" w:rsidR="00225901" w:rsidRPr="00225901" w:rsidRDefault="00225901" w:rsidP="002259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sectPr w:rsidR="00225901" w:rsidRPr="00225901" w:rsidSect="00CB7F7E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BA8"/>
    <w:multiLevelType w:val="hybridMultilevel"/>
    <w:tmpl w:val="80302F58"/>
    <w:lvl w:ilvl="0" w:tplc="85D0100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AB5"/>
    <w:multiLevelType w:val="multilevel"/>
    <w:tmpl w:val="6F0A3E24"/>
    <w:lvl w:ilvl="0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left"/>
      <w:pPr>
        <w:ind w:left="935" w:hanging="227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878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1AE21569"/>
    <w:multiLevelType w:val="multilevel"/>
    <w:tmpl w:val="B6C08398"/>
    <w:lvl w:ilvl="0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left"/>
      <w:pPr>
        <w:ind w:left="935" w:hanging="227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878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241C01A1"/>
    <w:multiLevelType w:val="multilevel"/>
    <w:tmpl w:val="8D5A1858"/>
    <w:numStyleLink w:val="Programylekowe"/>
  </w:abstractNum>
  <w:abstractNum w:abstractNumId="4" w15:restartNumberingAfterBreak="0">
    <w:nsid w:val="2EB934D3"/>
    <w:multiLevelType w:val="multilevel"/>
    <w:tmpl w:val="9D16BE64"/>
    <w:lvl w:ilvl="0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left"/>
      <w:pPr>
        <w:ind w:left="935" w:hanging="227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878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30822D4C"/>
    <w:multiLevelType w:val="hybridMultilevel"/>
    <w:tmpl w:val="998CF9BC"/>
    <w:lvl w:ilvl="0" w:tplc="83FE19A0">
      <w:start w:val="1"/>
      <w:numFmt w:val="lowerLetter"/>
      <w:suff w:val="space"/>
      <w:lvlText w:val="%1)"/>
      <w:lvlJc w:val="left"/>
      <w:pPr>
        <w:ind w:left="454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35D86CA4"/>
    <w:multiLevelType w:val="multilevel"/>
    <w:tmpl w:val="8D5A1858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left"/>
      <w:pPr>
        <w:ind w:left="935" w:hanging="227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878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43A30CA4"/>
    <w:multiLevelType w:val="multilevel"/>
    <w:tmpl w:val="8D5A1858"/>
    <w:styleLink w:val="Programylekowe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left"/>
      <w:pPr>
        <w:ind w:left="935" w:hanging="227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878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47345D82"/>
    <w:multiLevelType w:val="multilevel"/>
    <w:tmpl w:val="8D5A1858"/>
    <w:numStyleLink w:val="Programylekowe"/>
  </w:abstractNum>
  <w:abstractNum w:abstractNumId="9" w15:restartNumberingAfterBreak="0">
    <w:nsid w:val="490C26B0"/>
    <w:multiLevelType w:val="hybridMultilevel"/>
    <w:tmpl w:val="80302F58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22BFF"/>
    <w:multiLevelType w:val="multilevel"/>
    <w:tmpl w:val="3B56BCF0"/>
    <w:lvl w:ilvl="0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227" w:hanging="227"/>
      </w:pPr>
      <w:rPr>
        <w:rFonts w:ascii="Times New Roman" w:hAnsi="Times New Roman" w:hint="default"/>
        <w:b w:val="0"/>
        <w:bCs w:val="0"/>
        <w:sz w:val="20"/>
      </w:rPr>
    </w:lvl>
    <w:lvl w:ilvl="3">
      <w:start w:val="1"/>
      <w:numFmt w:val="lowerLetter"/>
      <w:suff w:val="space"/>
      <w:lvlText w:val="%4)"/>
      <w:lvlJc w:val="left"/>
      <w:pPr>
        <w:ind w:left="935" w:hanging="227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878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577D2B5F"/>
    <w:multiLevelType w:val="multilevel"/>
    <w:tmpl w:val="8D5A1858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suff w:val="space"/>
      <w:lvlText w:val="%3)"/>
      <w:lvlJc w:val="left"/>
      <w:pPr>
        <w:ind w:left="227" w:hanging="227"/>
      </w:pPr>
      <w:rPr>
        <w:rFonts w:ascii="Times New Roman" w:hAnsi="Times New Roman" w:hint="default"/>
        <w:sz w:val="20"/>
      </w:rPr>
    </w:lvl>
    <w:lvl w:ilvl="3">
      <w:start w:val="1"/>
      <w:numFmt w:val="lowerLetter"/>
      <w:suff w:val="space"/>
      <w:lvlText w:val="%4)"/>
      <w:lvlJc w:val="left"/>
      <w:pPr>
        <w:ind w:left="935" w:hanging="227"/>
      </w:pPr>
      <w:rPr>
        <w:rFonts w:ascii="Times New Roman" w:hAnsi="Times New Roman" w:hint="default"/>
        <w:sz w:val="20"/>
      </w:rPr>
    </w:lvl>
    <w:lvl w:ilvl="4">
      <w:start w:val="1"/>
      <w:numFmt w:val="bullet"/>
      <w:suff w:val="space"/>
      <w:lvlText w:val=""/>
      <w:lvlJc w:val="left"/>
      <w:pPr>
        <w:ind w:left="878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57A21FE4"/>
    <w:multiLevelType w:val="multilevel"/>
    <w:tmpl w:val="8D5A1858"/>
    <w:numStyleLink w:val="Programylekowe"/>
  </w:abstractNum>
  <w:abstractNum w:abstractNumId="13" w15:restartNumberingAfterBreak="0">
    <w:nsid w:val="64AF656B"/>
    <w:multiLevelType w:val="hybridMultilevel"/>
    <w:tmpl w:val="04A4831E"/>
    <w:lvl w:ilvl="0" w:tplc="25A205CC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64E158C1"/>
    <w:multiLevelType w:val="hybridMultilevel"/>
    <w:tmpl w:val="6A2468E8"/>
    <w:lvl w:ilvl="0" w:tplc="B06EF45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67A74"/>
    <w:multiLevelType w:val="multilevel"/>
    <w:tmpl w:val="8D5A1858"/>
    <w:numStyleLink w:val="Programylekowe"/>
  </w:abstractNum>
  <w:abstractNum w:abstractNumId="16" w15:restartNumberingAfterBreak="0">
    <w:nsid w:val="7A427B32"/>
    <w:multiLevelType w:val="hybridMultilevel"/>
    <w:tmpl w:val="25DCE86A"/>
    <w:lvl w:ilvl="0" w:tplc="E368B7CE">
      <w:start w:val="1"/>
      <w:numFmt w:val="lowerLetter"/>
      <w:suff w:val="space"/>
      <w:lvlText w:val="%1)"/>
      <w:lvlJc w:val="left"/>
      <w:pPr>
        <w:ind w:left="397" w:firstLine="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7D1A345C"/>
    <w:multiLevelType w:val="hybridMultilevel"/>
    <w:tmpl w:val="9D7AF90A"/>
    <w:lvl w:ilvl="0" w:tplc="70060422">
      <w:start w:val="1"/>
      <w:numFmt w:val="bullet"/>
      <w:suff w:val="space"/>
      <w:lvlText w:val=""/>
      <w:lvlJc w:val="left"/>
      <w:pPr>
        <w:ind w:left="0" w:firstLine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028604506">
    <w:abstractNumId w:val="7"/>
  </w:num>
  <w:num w:numId="2" w16cid:durableId="871765202">
    <w:abstractNumId w:val="3"/>
  </w:num>
  <w:num w:numId="3" w16cid:durableId="1558740852">
    <w:abstractNumId w:val="15"/>
    <w:lvlOverride w:ilvl="0">
      <w:lvl w:ilvl="0">
        <w:start w:val="1"/>
        <w:numFmt w:val="decimal"/>
        <w:suff w:val="space"/>
        <w:lvlText w:val="%1."/>
        <w:lvlJc w:val="left"/>
        <w:pPr>
          <w:ind w:left="397" w:hanging="397"/>
        </w:pPr>
        <w:rPr>
          <w:rFonts w:ascii="Times New Roman" w:eastAsia="Times New Roman" w:hAnsi="Times New Roman" w:cs="Times New Roman"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454" w:hanging="454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2">
      <w:lvl w:ilvl="2">
        <w:start w:val="1"/>
        <w:numFmt w:val="decimal"/>
        <w:suff w:val="space"/>
        <w:lvlText w:val="%3)"/>
        <w:lvlJc w:val="left"/>
        <w:pPr>
          <w:ind w:left="227" w:hanging="227"/>
        </w:pPr>
        <w:rPr>
          <w:rFonts w:ascii="Times New Roman" w:hAnsi="Times New Roman" w:hint="default"/>
          <w:sz w:val="20"/>
        </w:rPr>
      </w:lvl>
    </w:lvlOverride>
    <w:lvlOverride w:ilvl="3">
      <w:lvl w:ilvl="3">
        <w:start w:val="1"/>
        <w:numFmt w:val="lowerLetter"/>
        <w:suff w:val="space"/>
        <w:lvlText w:val="%4)"/>
        <w:lvlJc w:val="left"/>
        <w:pPr>
          <w:ind w:left="935" w:hanging="227"/>
        </w:pPr>
        <w:rPr>
          <w:rFonts w:ascii="Times New Roman" w:hAnsi="Times New Roman" w:hint="default"/>
          <w:sz w:val="20"/>
        </w:rPr>
      </w:lvl>
    </w:lvlOverride>
    <w:lvlOverride w:ilvl="4">
      <w:lvl w:ilvl="4">
        <w:start w:val="1"/>
        <w:numFmt w:val="bullet"/>
        <w:suff w:val="space"/>
        <w:lvlText w:val=""/>
        <w:lvlJc w:val="left"/>
        <w:pPr>
          <w:ind w:left="878" w:hanging="170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942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446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5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26" w:hanging="1440"/>
        </w:pPr>
        <w:rPr>
          <w:rFonts w:hint="default"/>
        </w:rPr>
      </w:lvl>
    </w:lvlOverride>
  </w:num>
  <w:num w:numId="4" w16cid:durableId="524681333">
    <w:abstractNumId w:val="8"/>
  </w:num>
  <w:num w:numId="5" w16cid:durableId="1145196440">
    <w:abstractNumId w:val="12"/>
  </w:num>
  <w:num w:numId="6" w16cid:durableId="1190099523">
    <w:abstractNumId w:val="2"/>
  </w:num>
  <w:num w:numId="7" w16cid:durableId="805583631">
    <w:abstractNumId w:val="10"/>
  </w:num>
  <w:num w:numId="8" w16cid:durableId="1841195489">
    <w:abstractNumId w:val="4"/>
  </w:num>
  <w:num w:numId="9" w16cid:durableId="645819920">
    <w:abstractNumId w:val="1"/>
  </w:num>
  <w:num w:numId="10" w16cid:durableId="990520621">
    <w:abstractNumId w:val="0"/>
  </w:num>
  <w:num w:numId="11" w16cid:durableId="1410038294">
    <w:abstractNumId w:val="13"/>
  </w:num>
  <w:num w:numId="12" w16cid:durableId="930773249">
    <w:abstractNumId w:val="16"/>
  </w:num>
  <w:num w:numId="13" w16cid:durableId="444227067">
    <w:abstractNumId w:val="5"/>
  </w:num>
  <w:num w:numId="14" w16cid:durableId="1928728266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397" w:hanging="397"/>
        </w:pPr>
        <w:rPr>
          <w:rFonts w:ascii="Times New Roman" w:eastAsia="Times New Roman" w:hAnsi="Times New Roman" w:cs="Times New Roman"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454" w:hanging="454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2">
      <w:lvl w:ilvl="2">
        <w:start w:val="1"/>
        <w:numFmt w:val="decimal"/>
        <w:suff w:val="space"/>
        <w:lvlText w:val="%3)"/>
        <w:lvlJc w:val="left"/>
        <w:pPr>
          <w:ind w:left="227" w:hanging="227"/>
        </w:pPr>
        <w:rPr>
          <w:rFonts w:ascii="Times New Roman" w:hAnsi="Times New Roman" w:hint="default"/>
          <w:sz w:val="20"/>
        </w:rPr>
      </w:lvl>
    </w:lvlOverride>
    <w:lvlOverride w:ilvl="3">
      <w:lvl w:ilvl="3">
        <w:start w:val="1"/>
        <w:numFmt w:val="lowerLetter"/>
        <w:suff w:val="space"/>
        <w:lvlText w:val="%4)"/>
        <w:lvlJc w:val="left"/>
        <w:pPr>
          <w:ind w:left="935" w:hanging="227"/>
        </w:pPr>
        <w:rPr>
          <w:rFonts w:ascii="Times New Roman" w:hAnsi="Times New Roman" w:hint="default"/>
          <w:sz w:val="20"/>
        </w:rPr>
      </w:lvl>
    </w:lvlOverride>
    <w:lvlOverride w:ilvl="4">
      <w:lvl w:ilvl="4">
        <w:start w:val="1"/>
        <w:numFmt w:val="bullet"/>
        <w:suff w:val="space"/>
        <w:lvlText w:val=""/>
        <w:lvlJc w:val="left"/>
        <w:pPr>
          <w:ind w:left="878" w:hanging="170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942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446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5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26" w:hanging="1440"/>
        </w:pPr>
        <w:rPr>
          <w:rFonts w:hint="default"/>
        </w:rPr>
      </w:lvl>
    </w:lvlOverride>
  </w:num>
  <w:num w:numId="15" w16cid:durableId="2092191237">
    <w:abstractNumId w:val="17"/>
  </w:num>
  <w:num w:numId="16" w16cid:durableId="1990471804">
    <w:abstractNumId w:val="9"/>
  </w:num>
  <w:num w:numId="17" w16cid:durableId="618074683">
    <w:abstractNumId w:val="6"/>
  </w:num>
  <w:num w:numId="18" w16cid:durableId="1860317666">
    <w:abstractNumId w:val="14"/>
  </w:num>
  <w:num w:numId="19" w16cid:durableId="273903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75"/>
    <w:rsid w:val="001C205E"/>
    <w:rsid w:val="00225901"/>
    <w:rsid w:val="002A30B4"/>
    <w:rsid w:val="004A2DD1"/>
    <w:rsid w:val="004D291F"/>
    <w:rsid w:val="005012CF"/>
    <w:rsid w:val="00736E5D"/>
    <w:rsid w:val="00826C22"/>
    <w:rsid w:val="00941297"/>
    <w:rsid w:val="009F6D9F"/>
    <w:rsid w:val="00AA5E03"/>
    <w:rsid w:val="00BA42B4"/>
    <w:rsid w:val="00BA6EB0"/>
    <w:rsid w:val="00DB0E6F"/>
    <w:rsid w:val="00E14C36"/>
    <w:rsid w:val="00E35175"/>
    <w:rsid w:val="00E501A0"/>
    <w:rsid w:val="00F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5E9F"/>
  <w15:chartTrackingRefBased/>
  <w15:docId w15:val="{F6A22E81-16A3-4551-BEA7-CFE3A999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Programylekowe">
    <w:name w:val="Programy lekowe"/>
    <w:uiPriority w:val="99"/>
    <w:rsid w:val="00225901"/>
    <w:pPr>
      <w:numPr>
        <w:numId w:val="1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sid w:val="0022590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259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25901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Poprawka">
    <w:name w:val="Revision"/>
    <w:hidden/>
    <w:uiPriority w:val="99"/>
    <w:semiHidden/>
    <w:rsid w:val="00E501A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41297"/>
    <w:pPr>
      <w:ind w:left="720"/>
      <w:contextualSpacing/>
    </w:p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41297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4129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1408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Morawiec Wioleta</dc:creator>
  <cp:keywords/>
  <dc:description/>
  <cp:lastModifiedBy>Wilk Justyna</cp:lastModifiedBy>
  <cp:revision>6</cp:revision>
  <dcterms:created xsi:type="dcterms:W3CDTF">2024-06-11T07:11:00Z</dcterms:created>
  <dcterms:modified xsi:type="dcterms:W3CDTF">2024-06-11T11:14:00Z</dcterms:modified>
</cp:coreProperties>
</file>