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5A930" w14:textId="70653E36" w:rsidR="00325634" w:rsidRPr="00325634" w:rsidRDefault="00325634" w:rsidP="00325634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2"/>
          <w:szCs w:val="28"/>
          <w:lang w:eastAsia="pl-PL"/>
        </w:rPr>
      </w:pPr>
      <w:r w:rsidRPr="00325634">
        <w:rPr>
          <w:rFonts w:ascii="Times New Roman" w:eastAsia="Times New Roman" w:hAnsi="Times New Roman" w:cs="Times New Roman"/>
          <w:sz w:val="22"/>
          <w:szCs w:val="28"/>
          <w:lang w:eastAsia="pl-PL"/>
        </w:rPr>
        <w:t xml:space="preserve">Załącznik </w:t>
      </w:r>
      <w:r>
        <w:rPr>
          <w:rFonts w:ascii="Times New Roman" w:eastAsia="Times New Roman" w:hAnsi="Times New Roman" w:cs="Times New Roman"/>
          <w:sz w:val="22"/>
          <w:szCs w:val="28"/>
          <w:lang w:eastAsia="pl-PL"/>
        </w:rPr>
        <w:t>B.167.</w:t>
      </w:r>
    </w:p>
    <w:p w14:paraId="3747CBD8" w14:textId="07170DDE" w:rsidR="00325634" w:rsidRPr="00325634" w:rsidRDefault="00325634" w:rsidP="00325634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2"/>
          <w:szCs w:val="28"/>
          <w:lang w:eastAsia="pl-PL"/>
        </w:rPr>
      </w:pPr>
    </w:p>
    <w:p w14:paraId="78E82571" w14:textId="1F6F63BD" w:rsidR="00D13745" w:rsidRPr="00325634" w:rsidRDefault="00D13745" w:rsidP="000F272E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325634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LECZENIE </w:t>
      </w:r>
      <w:r w:rsidR="002D4AB1" w:rsidRPr="00325634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CHORYCH NA</w:t>
      </w:r>
      <w:r w:rsidRPr="00325634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WRODZONĄ ŚLEPOT</w:t>
      </w:r>
      <w:r w:rsidR="00E96299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Ę</w:t>
      </w:r>
      <w:r w:rsidRPr="00325634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LEBERA (LCA) Z BIALLELICZNĄ MUTACJĄ GENU RPE65 (ICD-10: H35.5)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32"/>
        <w:gridCol w:w="4111"/>
        <w:gridCol w:w="4678"/>
      </w:tblGrid>
      <w:tr w:rsidR="00D13745" w:rsidRPr="009A3D60" w14:paraId="4951C3C0" w14:textId="77777777" w:rsidTr="00325634">
        <w:trPr>
          <w:trHeight w:val="567"/>
        </w:trPr>
        <w:tc>
          <w:tcPr>
            <w:tcW w:w="15021" w:type="dxa"/>
            <w:gridSpan w:val="3"/>
            <w:vAlign w:val="center"/>
          </w:tcPr>
          <w:p w14:paraId="747F0E3A" w14:textId="77777777" w:rsidR="00D13745" w:rsidRPr="009A3D60" w:rsidRDefault="00D13745" w:rsidP="003256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hAnsi="Times New Roman" w:cs="Times New Roman"/>
                <w:b/>
                <w:bCs/>
                <w:szCs w:val="20"/>
              </w:rPr>
              <w:t>ZAKRES ŚWIADCZENIA GWARANTOWANEGO</w:t>
            </w:r>
          </w:p>
        </w:tc>
      </w:tr>
      <w:tr w:rsidR="00D13745" w:rsidRPr="009A3D60" w14:paraId="477D9E81" w14:textId="77777777" w:rsidTr="00325634">
        <w:trPr>
          <w:trHeight w:val="567"/>
        </w:trPr>
        <w:tc>
          <w:tcPr>
            <w:tcW w:w="6232" w:type="dxa"/>
            <w:vAlign w:val="center"/>
          </w:tcPr>
          <w:p w14:paraId="60CF802E" w14:textId="77777777" w:rsidR="00D13745" w:rsidRPr="009A3D60" w:rsidRDefault="00D13745" w:rsidP="003256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hAnsi="Times New Roman" w:cs="Times New Roman"/>
                <w:b/>
                <w:bCs/>
                <w:szCs w:val="20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13753FFA" w14:textId="77777777" w:rsidR="00D13745" w:rsidRPr="009A3D60" w:rsidRDefault="00D13745" w:rsidP="003256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hAnsi="Times New Roman" w:cs="Times New Roman"/>
                <w:b/>
                <w:bCs/>
                <w:szCs w:val="20"/>
              </w:rPr>
              <w:t>SCHEMAT DAWKOWANIA LEKÓW W PROGRAMIE</w:t>
            </w:r>
          </w:p>
        </w:tc>
        <w:tc>
          <w:tcPr>
            <w:tcW w:w="4678" w:type="dxa"/>
            <w:vAlign w:val="center"/>
          </w:tcPr>
          <w:p w14:paraId="14241671" w14:textId="77777777" w:rsidR="00D13745" w:rsidRPr="009A3D60" w:rsidRDefault="00D13745" w:rsidP="003256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hAnsi="Times New Roman" w:cs="Times New Roman"/>
                <w:b/>
                <w:bCs/>
                <w:szCs w:val="20"/>
              </w:rPr>
              <w:t>BADANIA DIAGNOSTYCZNE WYKONYWANE W RAMACH PROGRAMU</w:t>
            </w:r>
          </w:p>
        </w:tc>
      </w:tr>
      <w:tr w:rsidR="00D13745" w:rsidRPr="009A3D60" w14:paraId="7DB312CA" w14:textId="77777777" w:rsidTr="00325634">
        <w:tc>
          <w:tcPr>
            <w:tcW w:w="6232" w:type="dxa"/>
          </w:tcPr>
          <w:p w14:paraId="7D4716D2" w14:textId="6030BC40" w:rsidR="00D13745" w:rsidRPr="009A3D60" w:rsidRDefault="00F457E0" w:rsidP="00325634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Kwalifikacja </w:t>
            </w:r>
            <w:r w:rsidRPr="00021FA5">
              <w:rPr>
                <w:rFonts w:ascii="Times New Roman" w:eastAsia="TimesNewRomanPSMT" w:hAnsi="Times New Roman" w:cs="Times New Roman"/>
                <w:szCs w:val="20"/>
              </w:rPr>
              <w:t>świadczeniobiorców do programu przeprowadzana jest przez Zespół Koordynacyjny ds. Leczenia Chorób Siatkówki, powoływany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przez Prezesa Narodowego Funduszu Zdrowia (dalej jako Zespół Koordynacyjny).</w:t>
            </w:r>
          </w:p>
          <w:p w14:paraId="0F8524B0" w14:textId="6B52D298" w:rsidR="00EA0F25" w:rsidRPr="009A3D60" w:rsidRDefault="00EA0F2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Kwalifikacja do programu umożliwia podanie leku do jednego oka.</w:t>
            </w:r>
          </w:p>
          <w:p w14:paraId="5C867BB0" w14:textId="53128911" w:rsidR="00EA0F25" w:rsidRPr="009A3D60" w:rsidRDefault="00EA0F2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Podanie do drugiego oka możliwe jest za zgodą Zespołu Koordynacyjnego wydaną po ocenie odpowiedzi na leczenie woretygenem neparwowek pierwszego oka</w:t>
            </w:r>
            <w:r w:rsidR="00D16F2F">
              <w:rPr>
                <w:rFonts w:ascii="Times New Roman" w:eastAsia="TimesNewRomanPSMT" w:hAnsi="Times New Roman" w:cs="Times New Roman"/>
                <w:szCs w:val="20"/>
              </w:rPr>
              <w:t xml:space="preserve"> przy jednoczesnym spełnieniu kryteriów włączenia do programu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.</w:t>
            </w:r>
          </w:p>
          <w:p w14:paraId="0BA291D1" w14:textId="4C8086A3" w:rsidR="00F457E0" w:rsidRPr="009A3D60" w:rsidRDefault="00F457E0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Kwalifikacja do programu oraz weryfikacja skuteczności leczenia odbywa się w oparciu o ocenę stanu klinicznego świadczeniobiorcy oraz ocenę efektywności zastosowanej terapii.</w:t>
            </w:r>
          </w:p>
          <w:p w14:paraId="6C403FAC" w14:textId="77777777" w:rsidR="00F457E0" w:rsidRPr="009A3D60" w:rsidRDefault="00F457E0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2B4360C4" w14:textId="2E386343" w:rsidR="00D13745" w:rsidRPr="009A3D60" w:rsidRDefault="00D13745" w:rsidP="00325634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NewRomanPSMT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b/>
                <w:bCs/>
                <w:szCs w:val="20"/>
              </w:rPr>
              <w:t>Kryteria kwalifikacji</w:t>
            </w:r>
          </w:p>
          <w:p w14:paraId="52E3F706" w14:textId="4444C9CC" w:rsidR="00D13745" w:rsidRPr="009A3D60" w:rsidRDefault="00D13745" w:rsidP="0032563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bialleliczna mutacja genu </w:t>
            </w:r>
            <w:r w:rsidRPr="009A3D60">
              <w:rPr>
                <w:rFonts w:ascii="Times New Roman" w:eastAsia="TimesNewRomanPSMT" w:hAnsi="Times New Roman" w:cs="Times New Roman"/>
                <w:i/>
                <w:iCs/>
                <w:szCs w:val="20"/>
              </w:rPr>
              <w:t xml:space="preserve">RPE65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potwierdzona badaniem genetycznym w przebiegu wrodzonej ślepoty Lebera;</w:t>
            </w:r>
          </w:p>
          <w:p w14:paraId="0E888763" w14:textId="64651351" w:rsidR="00D13745" w:rsidRPr="009A3D60" w:rsidRDefault="00D13745" w:rsidP="0032563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wiek </w:t>
            </w:r>
            <w:r w:rsidR="00432869">
              <w:rPr>
                <w:rFonts w:ascii="Times New Roman" w:eastAsia="TimesNewRomanPSMT" w:hAnsi="Times New Roman" w:cs="Times New Roman"/>
                <w:szCs w:val="20"/>
              </w:rPr>
              <w:t>od 4 do 35 lat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26BE8B27" w14:textId="141F3666" w:rsidR="00D13745" w:rsidRPr="009A3D60" w:rsidRDefault="00D13745" w:rsidP="0032563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ostrość wzroku określona według tablicy Snellena (lub odpowiednio ekwiwalent ETDRS) równa lub większa 0,05 w leczonym oku </w:t>
            </w:r>
            <w:r w:rsidR="00B524CC">
              <w:rPr>
                <w:rFonts w:ascii="Times New Roman" w:eastAsia="TimesNewRomanPSMT" w:hAnsi="Times New Roman" w:cs="Times New Roman"/>
                <w:szCs w:val="20"/>
              </w:rPr>
              <w:t>i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pole widzenia </w:t>
            </w:r>
            <w:r w:rsidR="00B524CC">
              <w:rPr>
                <w:rFonts w:ascii="Times New Roman" w:eastAsia="TimesNewRomanPSMT" w:hAnsi="Times New Roman" w:cs="Times New Roman"/>
                <w:szCs w:val="20"/>
              </w:rPr>
              <w:t>ograniczone nie więcej niż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</w:t>
            </w:r>
            <w:r w:rsidR="00B524CC">
              <w:rPr>
                <w:rFonts w:ascii="Times New Roman" w:eastAsia="TimesNewRomanPSMT" w:hAnsi="Times New Roman" w:cs="Times New Roman"/>
                <w:szCs w:val="20"/>
              </w:rPr>
              <w:t>do 3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0 stopni we wszystkich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lastRenderedPageBreak/>
              <w:t>południkach w leczonym oku</w:t>
            </w:r>
            <w:r w:rsidR="00B524CC">
              <w:rPr>
                <w:rFonts w:ascii="Times New Roman" w:eastAsia="TimesNewRomanPSMT" w:hAnsi="Times New Roman" w:cs="Times New Roman"/>
                <w:szCs w:val="20"/>
              </w:rPr>
              <w:t xml:space="preserve"> </w:t>
            </w:r>
            <w:r w:rsidR="004F4E81">
              <w:rPr>
                <w:rFonts w:ascii="Times New Roman" w:eastAsia="TimesNewRomanPSMT" w:hAnsi="Times New Roman" w:cs="Times New Roman"/>
                <w:szCs w:val="20"/>
              </w:rPr>
              <w:t>(</w:t>
            </w:r>
            <w:r w:rsidR="00B524CC">
              <w:rPr>
                <w:rFonts w:ascii="Times New Roman" w:eastAsia="TimesNewRomanPSMT" w:hAnsi="Times New Roman" w:cs="Times New Roman"/>
                <w:szCs w:val="20"/>
              </w:rPr>
              <w:t xml:space="preserve">badane perymetrem kinetycznym Goldmana znaczkiem </w:t>
            </w:r>
            <w:r w:rsidR="00B524CC" w:rsidRPr="00B524CC">
              <w:rPr>
                <w:rFonts w:ascii="Times New Roman" w:hAnsi="Times New Roman" w:cs="Times New Roman"/>
                <w:color w:val="000000"/>
              </w:rPr>
              <w:t>III4e</w:t>
            </w:r>
            <w:r w:rsidR="004F4E81">
              <w:rPr>
                <w:rFonts w:ascii="Times New Roman" w:hAnsi="Times New Roman" w:cs="Times New Roman"/>
                <w:color w:val="000000"/>
              </w:rPr>
              <w:t>)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76ED14C2" w14:textId="7634B293" w:rsidR="00D13745" w:rsidRPr="009A3D60" w:rsidRDefault="00D13745" w:rsidP="0032563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wystarczająca liczba żywych komórek siatkówki, oszacowana w optycznej koherentnej tomografii (OCT)</w:t>
            </w:r>
            <w:r w:rsidR="008A1AF4">
              <w:rPr>
                <w:rFonts w:ascii="Times New Roman" w:eastAsia="TimesNewRomanPSMT" w:hAnsi="Times New Roman" w:cs="Times New Roman"/>
                <w:szCs w:val="20"/>
              </w:rPr>
              <w:t xml:space="preserve"> opisana kryteriami jak niżej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:</w:t>
            </w:r>
          </w:p>
          <w:p w14:paraId="00423C29" w14:textId="27BFFD4C" w:rsidR="00D13745" w:rsidRPr="009A3D60" w:rsidRDefault="00D13745" w:rsidP="00325634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obszar siatkówki w obrębie tylnego bieguna &gt;100 mikronów grubości</w:t>
            </w:r>
            <w:r w:rsidR="00E41955">
              <w:rPr>
                <w:rFonts w:ascii="Times New Roman" w:eastAsia="TimesNewRomanPSMT" w:hAnsi="Times New Roman" w:cs="Times New Roman"/>
                <w:szCs w:val="20"/>
              </w:rPr>
              <w:t>,</w:t>
            </w:r>
          </w:p>
          <w:p w14:paraId="080A90BE" w14:textId="0C76B07D" w:rsidR="00D13745" w:rsidRPr="009A3D60" w:rsidRDefault="00D13745" w:rsidP="00325634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obszary siatkówki bez atrofii</w:t>
            </w:r>
            <w:r w:rsidR="00980E35"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</w:t>
            </w:r>
            <w:r w:rsidR="0093154E">
              <w:rPr>
                <w:rFonts w:ascii="Times New Roman" w:eastAsia="TimesNewRomanPSMT" w:hAnsi="Times New Roman" w:cs="Times New Roman"/>
                <w:szCs w:val="20"/>
              </w:rPr>
              <w:t>i</w:t>
            </w:r>
            <w:r w:rsidR="00980E35"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zwyrodnienia barwnikowego w obrębie tylnego bieguna</w:t>
            </w:r>
            <w:r w:rsidR="005A1B90">
              <w:rPr>
                <w:rFonts w:ascii="Times New Roman" w:eastAsia="TimesNewRomanPSMT" w:hAnsi="Times New Roman" w:cs="Times New Roman"/>
                <w:szCs w:val="20"/>
              </w:rPr>
              <w:t xml:space="preserve"> o wielkości </w:t>
            </w:r>
            <w:r w:rsidR="005A1B90" w:rsidRPr="009A3D60">
              <w:rPr>
                <w:rFonts w:ascii="Times New Roman" w:eastAsia="TimesNewRomanPSMT" w:hAnsi="Times New Roman" w:cs="Times New Roman"/>
                <w:szCs w:val="20"/>
              </w:rPr>
              <w:t>≥3</w:t>
            </w:r>
            <w:r w:rsidR="005A1B90">
              <w:rPr>
                <w:rFonts w:ascii="Times New Roman" w:eastAsia="TimesNewRomanPSMT" w:hAnsi="Times New Roman" w:cs="Times New Roman"/>
                <w:szCs w:val="20"/>
              </w:rPr>
              <w:t xml:space="preserve"> dd (wielkości tarczy nerwu wzrokowego)</w:t>
            </w:r>
            <w:r w:rsidR="00B84ABB" w:rsidRPr="009A3D60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185F8412" w14:textId="14A2E94A" w:rsidR="00D13745" w:rsidRPr="009A3D60" w:rsidRDefault="00D13745" w:rsidP="0032563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niewygaszona bioelektryczna czynność w odpowiedzi fotopowej w badaniu ERG</w:t>
            </w:r>
            <w:r w:rsidR="00021FA5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235A6D7D" w14:textId="30B5CE84" w:rsidR="00D13745" w:rsidRPr="009A3D60" w:rsidRDefault="008A1AF4" w:rsidP="0032563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>
              <w:rPr>
                <w:rFonts w:ascii="Times New Roman" w:eastAsia="TimesNewRomanPSMT" w:hAnsi="Times New Roman" w:cs="Times New Roman"/>
                <w:szCs w:val="20"/>
              </w:rPr>
              <w:t>pozytywny wynik badania progu pełnego pola</w:t>
            </w:r>
            <w:r w:rsidR="00D13745"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w badaniu FST</w:t>
            </w:r>
            <w:r>
              <w:rPr>
                <w:rFonts w:ascii="Times New Roman" w:eastAsia="TimesNewRomanPSMT" w:hAnsi="Times New Roman" w:cs="Times New Roman"/>
                <w:szCs w:val="20"/>
              </w:rPr>
              <w:t xml:space="preserve"> na barwę białą przy jednoczesnym pozytywnym badaniu progu pełnego pola w badaniu FST na barwę czerwoną i niebieską</w:t>
            </w:r>
            <w:r w:rsidR="00021FA5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67194BD6" w14:textId="22577507" w:rsidR="00980E35" w:rsidRPr="009A3D60" w:rsidRDefault="000D24FA" w:rsidP="0032563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brak innych, współistniejących mutacji biallelicznych genu RPE65 potwierdzonych badaniem genetycznym, mających wpływ na funkcje widzenia</w:t>
            </w:r>
            <w:r w:rsidR="00325634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2E5C73CF" w14:textId="59A529B7" w:rsidR="00DC3365" w:rsidRPr="009A3D60" w:rsidRDefault="00DC3365" w:rsidP="0032563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zgoda pacjenta na prowadzenie antykoncepcji zgodnie z aktualną ChPL;</w:t>
            </w:r>
          </w:p>
          <w:p w14:paraId="21BC03ED" w14:textId="6E8584DE" w:rsidR="00DC3365" w:rsidRPr="009A3D60" w:rsidRDefault="00DC3365" w:rsidP="0032563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wykluczenie ciąży i okresu karmienia piersią.</w:t>
            </w:r>
          </w:p>
          <w:p w14:paraId="43E7797F" w14:textId="77777777" w:rsidR="00DC3365" w:rsidRPr="009A3D60" w:rsidRDefault="00DC3365" w:rsidP="00325634">
            <w:pPr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5F271F86" w14:textId="53A7B8CD" w:rsidR="00D13745" w:rsidRPr="009A3D60" w:rsidRDefault="0093154E" w:rsidP="00325634">
            <w:pPr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>
              <w:rPr>
                <w:rFonts w:ascii="Times New Roman" w:eastAsia="TimesNewRomanPSMT" w:hAnsi="Times New Roman" w:cs="Times New Roman"/>
                <w:szCs w:val="20"/>
              </w:rPr>
              <w:t>Wszystkie</w:t>
            </w:r>
            <w:r w:rsidR="00980E35"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kryteria kwalifikacji muszą być spełnione łącznie.</w:t>
            </w:r>
          </w:p>
          <w:p w14:paraId="016A39E2" w14:textId="77777777" w:rsidR="004C1BB8" w:rsidRDefault="004C1BB8" w:rsidP="00325634">
            <w:pPr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39980ADD" w14:textId="5B47912D" w:rsidR="00226998" w:rsidRPr="006D04AE" w:rsidRDefault="00226998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6D04A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Ponadto do programu lekowego kwalifikowani są również pacjenci wymagający kontynuacji leczenia, którzy byli leczeni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dotychczas w r</w:t>
            </w:r>
            <w:r w:rsidRPr="006D04A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amach innego sposobu finansowania terapii (za wyjątkiem trwających badań klinicznych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tego leku</w:t>
            </w:r>
            <w:r w:rsidRPr="006D04A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), pod warunkiem, że w chwili rozpoczęcia leczenia spełniali kryteria kwalifikacji do programu lekowego.</w:t>
            </w:r>
          </w:p>
          <w:p w14:paraId="73C3CCE3" w14:textId="77777777" w:rsidR="00226998" w:rsidRPr="009A3D60" w:rsidRDefault="00226998" w:rsidP="00325634">
            <w:pPr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00CFA19A" w14:textId="7ECC6F38" w:rsidR="004C1BB8" w:rsidRPr="009A3D60" w:rsidRDefault="004C1BB8" w:rsidP="00325634">
            <w:pPr>
              <w:pStyle w:val="Akapitzlist"/>
              <w:numPr>
                <w:ilvl w:val="0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TimesNewRomanPSMT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b/>
                <w:bCs/>
                <w:szCs w:val="20"/>
              </w:rPr>
              <w:t>Określenie czasu leczenia w programie</w:t>
            </w:r>
          </w:p>
          <w:p w14:paraId="45BE973E" w14:textId="3A1DD469" w:rsidR="00073EA1" w:rsidRPr="009A3D60" w:rsidRDefault="004C1BB8" w:rsidP="00325634">
            <w:pPr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lastRenderedPageBreak/>
              <w:t>Obserwacja i monitorowanie w ramach programu lekowego trwa 12 miesięcy od podania woretygenu neparwowek do danego oka</w:t>
            </w:r>
            <w:r w:rsidR="00073EA1" w:rsidRPr="009A3D60">
              <w:rPr>
                <w:rFonts w:ascii="Times New Roman" w:eastAsia="TimesNewRomanPSMT" w:hAnsi="Times New Roman" w:cs="Times New Roman"/>
                <w:szCs w:val="20"/>
              </w:rPr>
              <w:t>.</w:t>
            </w:r>
          </w:p>
          <w:p w14:paraId="5F4F456B" w14:textId="77777777" w:rsidR="00073EA1" w:rsidRPr="009A3D60" w:rsidRDefault="00073EA1" w:rsidP="00325634">
            <w:pPr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1570D593" w14:textId="4F8C9C6C" w:rsidR="00D13745" w:rsidRPr="009A3D60" w:rsidRDefault="004C1BB8" w:rsidP="00325634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hAnsi="Times New Roman" w:cs="Times New Roman"/>
                <w:b/>
                <w:bCs/>
                <w:szCs w:val="20"/>
              </w:rPr>
              <w:t xml:space="preserve">Kryteria </w:t>
            </w:r>
            <w:r w:rsidR="00EA0F25" w:rsidRPr="009A3D60">
              <w:rPr>
                <w:rFonts w:ascii="Times New Roman" w:hAnsi="Times New Roman" w:cs="Times New Roman"/>
                <w:b/>
                <w:bCs/>
                <w:szCs w:val="20"/>
              </w:rPr>
              <w:t>uniemożliwiające włączenie do programu</w:t>
            </w:r>
          </w:p>
          <w:p w14:paraId="56BCA276" w14:textId="7B5F4D16" w:rsidR="00D13745" w:rsidRPr="009A3D60" w:rsidRDefault="0074368F" w:rsidP="00325634">
            <w:pPr>
              <w:pStyle w:val="Akapitzlist"/>
              <w:numPr>
                <w:ilvl w:val="2"/>
                <w:numId w:val="1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p</w:t>
            </w:r>
            <w:r w:rsidR="00D13745" w:rsidRPr="009A3D60">
              <w:rPr>
                <w:rFonts w:ascii="Times New Roman" w:hAnsi="Times New Roman" w:cs="Times New Roman"/>
                <w:szCs w:val="20"/>
              </w:rPr>
              <w:t xml:space="preserve">rzyjmowanie wysokich dawek związków retinoidowych (&gt;7500 jednostek retinolu [lub &gt;3300 IU] ekwiwalentnych do dziennej dawki witaminy A lub ich prekursorów w ciągu ostatnich 18 miesięcy, które potencjalnie mogłyby wpływać na aktywność biochemiczną enzymu </w:t>
            </w:r>
            <w:r w:rsidR="00D13745" w:rsidRPr="009A3D60">
              <w:rPr>
                <w:rFonts w:ascii="Times New Roman" w:hAnsi="Times New Roman" w:cs="Times New Roman"/>
                <w:i/>
                <w:iCs/>
                <w:szCs w:val="20"/>
              </w:rPr>
              <w:t>RPE65</w:t>
            </w:r>
            <w:r w:rsidR="00D13745" w:rsidRPr="009A3D60">
              <w:rPr>
                <w:rFonts w:ascii="Times New Roman" w:hAnsi="Times New Roman" w:cs="Times New Roman"/>
                <w:szCs w:val="20"/>
              </w:rPr>
              <w:t>;</w:t>
            </w:r>
          </w:p>
          <w:p w14:paraId="1DB15BD1" w14:textId="121D2BF2" w:rsidR="00D13745" w:rsidRPr="009A3D60" w:rsidRDefault="00D13745" w:rsidP="00325634">
            <w:pPr>
              <w:pStyle w:val="Akapitzlist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operacja wewnątrzgałkowa w ciągu ostatnich 6 miesięcy;</w:t>
            </w:r>
          </w:p>
          <w:p w14:paraId="381C1753" w14:textId="042BAC93" w:rsidR="00D13745" w:rsidRPr="009A3D60" w:rsidRDefault="00D13745" w:rsidP="00325634">
            <w:pPr>
              <w:pStyle w:val="Akapitzlist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nadwrażliwość na leki zaplanowane do przyjmowania w 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okresie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okołooperacyjnym;</w:t>
            </w:r>
          </w:p>
          <w:p w14:paraId="28B7A00C" w14:textId="3447AC02" w:rsidR="00D13745" w:rsidRPr="009A3D60" w:rsidRDefault="00D13745" w:rsidP="00325634">
            <w:pPr>
              <w:pStyle w:val="Akapitzlist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wcześniejsze choroby oczu lub choroby ogólnoustrojowe, które </w:t>
            </w:r>
            <w:r w:rsidR="0074368F" w:rsidRPr="009A3D60">
              <w:rPr>
                <w:rFonts w:ascii="Times New Roman" w:eastAsia="TimesNewRomanPSMT" w:hAnsi="Times New Roman" w:cs="Times New Roman"/>
                <w:szCs w:val="20"/>
              </w:rPr>
              <w:t xml:space="preserve">w opinii Zespołu Koordynacyjnego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uniemożliwiłyby planowaną operację bądź zakłóciłyby poprawną interpretację wyników badań;</w:t>
            </w:r>
          </w:p>
          <w:p w14:paraId="2783BE7C" w14:textId="3C9E9F92" w:rsidR="00D13745" w:rsidRPr="009A3D60" w:rsidRDefault="00D13745" w:rsidP="00325634">
            <w:pPr>
              <w:pStyle w:val="Akapitzlist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czynna choroba zakaźna;</w:t>
            </w:r>
          </w:p>
          <w:p w14:paraId="68DA49EB" w14:textId="6B0ADF08" w:rsidR="007D277D" w:rsidRPr="009A3D60" w:rsidRDefault="007D277D" w:rsidP="00325634">
            <w:pPr>
              <w:pStyle w:val="Akapitzlist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wystąpienie innych chorób lub stanów, które w opinii Zespołu Koordynacyjnego lub lekarza prowadzącego uniemożliwiają prowadzenie leczenia</w:t>
            </w:r>
            <w:r w:rsidR="00B84ABB" w:rsidRPr="009A3D60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042F5186" w14:textId="3BB6F6FF" w:rsidR="00D13745" w:rsidRPr="009A3D60" w:rsidRDefault="0074368F" w:rsidP="00325634">
            <w:pPr>
              <w:pStyle w:val="Akapitzlist"/>
              <w:numPr>
                <w:ilvl w:val="2"/>
                <w:numId w:val="1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okres ciąży i karmienia piersią</w:t>
            </w:r>
            <w:r w:rsidR="00EA0F25" w:rsidRPr="009A3D60">
              <w:rPr>
                <w:rFonts w:ascii="Times New Roman" w:eastAsia="TimesNewRomanPSMT" w:hAnsi="Times New Roman" w:cs="Times New Roman"/>
                <w:szCs w:val="20"/>
              </w:rPr>
              <w:t>.</w:t>
            </w:r>
          </w:p>
          <w:p w14:paraId="2657372E" w14:textId="77777777" w:rsidR="00D13745" w:rsidRPr="009A3D60" w:rsidRDefault="00D13745" w:rsidP="00325634">
            <w:pPr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2FE08351" w14:textId="71242822" w:rsidR="00D13745" w:rsidRPr="009A3D60" w:rsidRDefault="00D13745" w:rsidP="00325634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hAnsi="Times New Roman" w:cs="Times New Roman"/>
                <w:b/>
                <w:bCs/>
                <w:szCs w:val="20"/>
              </w:rPr>
              <w:t>Kryteria wystąpienia odpowiedzi na leczenie</w:t>
            </w:r>
          </w:p>
          <w:p w14:paraId="3D4217A2" w14:textId="77777777" w:rsidR="00EA0F25" w:rsidRPr="009A3D60" w:rsidRDefault="00EA0F2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Ocena odpowiedzi na leczenie odbywa si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ę </w:t>
            </w:r>
            <w:r w:rsidRPr="009A3D60">
              <w:rPr>
                <w:rFonts w:ascii="Times New Roman" w:hAnsi="Times New Roman" w:cs="Times New Roman"/>
                <w:szCs w:val="20"/>
              </w:rPr>
              <w:t>6 miesi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ę</w:t>
            </w:r>
            <w:r w:rsidRPr="009A3D60">
              <w:rPr>
                <w:rFonts w:ascii="Times New Roman" w:hAnsi="Times New Roman" w:cs="Times New Roman"/>
                <w:szCs w:val="20"/>
              </w:rPr>
              <w:t>cy od podania woretygenu neparwowek.</w:t>
            </w:r>
          </w:p>
          <w:p w14:paraId="2B91777F" w14:textId="0EDD6CEA" w:rsidR="00EA0F25" w:rsidRPr="009A3D60" w:rsidRDefault="00EA0F2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W przypadku zakwalifikowania przez Zesp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ół K</w:t>
            </w:r>
            <w:r w:rsidRPr="009A3D60">
              <w:rPr>
                <w:rFonts w:ascii="Times New Roman" w:hAnsi="Times New Roman" w:cs="Times New Roman"/>
                <w:szCs w:val="20"/>
              </w:rPr>
              <w:t>oordynacyjny wyniku leczenia jako poprawy zgodnie z poni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ż</w:t>
            </w:r>
            <w:r w:rsidRPr="009A3D60">
              <w:rPr>
                <w:rFonts w:ascii="Times New Roman" w:hAnsi="Times New Roman" w:cs="Times New Roman"/>
                <w:szCs w:val="20"/>
              </w:rPr>
              <w:t>szymi kryteriami</w:t>
            </w:r>
            <w:r w:rsidR="00073EA1" w:rsidRPr="009A3D60">
              <w:rPr>
                <w:rFonts w:ascii="Times New Roman" w:hAnsi="Times New Roman" w:cs="Times New Roman"/>
                <w:szCs w:val="20"/>
              </w:rPr>
              <w:t xml:space="preserve"> oraz gdy nie wystąpiły działania niepożądane związane z lekiem</w:t>
            </w:r>
            <w:r w:rsidR="00546927">
              <w:rPr>
                <w:rFonts w:ascii="Times New Roman" w:hAnsi="Times New Roman" w:cs="Times New Roman"/>
                <w:szCs w:val="20"/>
              </w:rPr>
              <w:t xml:space="preserve"> i powikłania witrektomii tylnej</w:t>
            </w:r>
            <w:r w:rsidR="00073EA1" w:rsidRPr="009A3D60">
              <w:rPr>
                <w:rFonts w:ascii="Times New Roman" w:hAnsi="Times New Roman" w:cs="Times New Roman"/>
                <w:szCs w:val="20"/>
              </w:rPr>
              <w:t>,</w:t>
            </w:r>
            <w:r w:rsidR="000F0B57">
              <w:rPr>
                <w:rFonts w:ascii="Times New Roman" w:hAnsi="Times New Roman" w:cs="Times New Roman"/>
                <w:szCs w:val="20"/>
              </w:rPr>
              <w:t xml:space="preserve"> które w opinii Zespołu uniemożliwiają kolejne podanie leku,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 Zesp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ół </w:t>
            </w:r>
            <w:r w:rsidRPr="009A3D60">
              <w:rPr>
                <w:rFonts w:ascii="Times New Roman" w:hAnsi="Times New Roman" w:cs="Times New Roman"/>
                <w:szCs w:val="20"/>
              </w:rPr>
              <w:t>mo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ż</w:t>
            </w:r>
            <w:r w:rsidRPr="009A3D60">
              <w:rPr>
                <w:rFonts w:ascii="Times New Roman" w:hAnsi="Times New Roman" w:cs="Times New Roman"/>
                <w:szCs w:val="20"/>
              </w:rPr>
              <w:t>e wyda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ć </w:t>
            </w:r>
            <w:r w:rsidRPr="009A3D60">
              <w:rPr>
                <w:rFonts w:ascii="Times New Roman" w:hAnsi="Times New Roman" w:cs="Times New Roman"/>
                <w:szCs w:val="20"/>
              </w:rPr>
              <w:t>zgod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ę </w:t>
            </w:r>
            <w:r w:rsidRPr="009A3D60">
              <w:rPr>
                <w:rFonts w:ascii="Times New Roman" w:hAnsi="Times New Roman" w:cs="Times New Roman"/>
                <w:szCs w:val="20"/>
              </w:rPr>
              <w:t>na podj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ęcie leczenia drugiego oka.</w:t>
            </w:r>
          </w:p>
          <w:p w14:paraId="06A20E38" w14:textId="77777777" w:rsidR="00EA0F25" w:rsidRPr="009A3D60" w:rsidRDefault="00EA0F2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lastRenderedPageBreak/>
              <w:t>Do podjęcia decyzji w niektórych przypadkach może być konieczne przeprowadzenie badania przez członków Zespołu Koordynacyjnego.</w:t>
            </w:r>
          </w:p>
          <w:p w14:paraId="12082DF9" w14:textId="77777777" w:rsidR="00EA0F25" w:rsidRPr="009A3D60" w:rsidRDefault="00EA0F2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5ED862B3" w14:textId="77777777" w:rsidR="00EA0F25" w:rsidRPr="009A3D60" w:rsidRDefault="00EA0F2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Jako odpowiedź na leczenie klasyfikowana będzie:</w:t>
            </w:r>
          </w:p>
          <w:p w14:paraId="2E4F648A" w14:textId="2E92AE58" w:rsidR="00EA0F25" w:rsidRPr="009A3D60" w:rsidRDefault="00EA0F25" w:rsidP="00325634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utrzymanie ostrości wzroku z kwalifikacji </w:t>
            </w:r>
            <w:r w:rsidR="00A722CC">
              <w:rPr>
                <w:rFonts w:ascii="Times New Roman" w:eastAsia="TimesNewRomanPSMT" w:hAnsi="Times New Roman" w:cs="Times New Roman"/>
                <w:szCs w:val="20"/>
              </w:rPr>
              <w:t xml:space="preserve">dla ostrości wzroku wyższych lub równych 0,2 wg. Snellena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lub poprawa ostrości wzroku o 15 lub więcej liter na tablicy ETDRS w stosunku do wartości wyjściowych</w:t>
            </w:r>
            <w:r w:rsidR="00A722CC">
              <w:rPr>
                <w:rFonts w:ascii="Times New Roman" w:eastAsia="TimesNewRomanPSMT" w:hAnsi="Times New Roman" w:cs="Times New Roman"/>
                <w:szCs w:val="20"/>
              </w:rPr>
              <w:t xml:space="preserve"> dla ostrości wzroku równych 0,05 </w:t>
            </w:r>
            <w:r w:rsidR="00F06A75">
              <w:rPr>
                <w:rFonts w:ascii="Times New Roman" w:eastAsia="TimesNewRomanPSMT" w:hAnsi="Times New Roman" w:cs="Times New Roman"/>
                <w:szCs w:val="20"/>
              </w:rPr>
              <w:t>i 0,1 wg. Snellena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36D0D11C" w14:textId="7AED7795" w:rsidR="00EA0F25" w:rsidRPr="009A3D60" w:rsidRDefault="00EA0F25" w:rsidP="00325634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poprawa pola widzenia o 15 stopni (wyznaczonego za pomocą̨ perymetru Goldmann a (bodziec testowy III4e)</w:t>
            </w:r>
            <w:r w:rsidR="00F06A75">
              <w:rPr>
                <w:rFonts w:ascii="Times New Roman" w:eastAsia="TimesNewRomanPSMT" w:hAnsi="Times New Roman" w:cs="Times New Roman"/>
                <w:szCs w:val="20"/>
              </w:rPr>
              <w:t xml:space="preserve"> lub utrzymanie pola widzenia  dla prawidłowego pola widzenia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03F2E3E3" w14:textId="77777777" w:rsidR="00EA0F25" w:rsidRPr="009A3D60" w:rsidRDefault="00EA0F25" w:rsidP="00325634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 xml:space="preserve">poprawa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w badaniu ERG bioelektrycznej czynności w </w:t>
            </w:r>
            <w:r w:rsidRPr="009A3D60">
              <w:rPr>
                <w:rFonts w:ascii="Times New Roman" w:hAnsi="Times New Roman" w:cs="Times New Roman"/>
                <w:szCs w:val="20"/>
              </w:rPr>
              <w:t>odpowiedzi fotopowej;</w:t>
            </w:r>
          </w:p>
          <w:p w14:paraId="181D1E3C" w14:textId="1650F75D" w:rsidR="00EA0F25" w:rsidRPr="009A3D60" w:rsidRDefault="00EA0F25" w:rsidP="00325634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poprawa poczucia światła o &gt; 10dB w badaniu FST</w:t>
            </w:r>
            <w:r w:rsidR="00F06A75">
              <w:rPr>
                <w:rFonts w:ascii="Times New Roman" w:eastAsia="TimesNewRomanPSMT" w:hAnsi="Times New Roman" w:cs="Times New Roman"/>
                <w:szCs w:val="20"/>
              </w:rPr>
              <w:t xml:space="preserve"> na barwę białą, czerwoną i niebieską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301DA210" w14:textId="77777777" w:rsidR="00EA0F25" w:rsidRPr="009A3D60" w:rsidRDefault="00EA0F25" w:rsidP="00325634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brak trwałych powikłań związanych z przeprowadzoną operacją podania leku.</w:t>
            </w:r>
          </w:p>
          <w:p w14:paraId="368EFD3E" w14:textId="77777777" w:rsidR="00D13745" w:rsidRPr="009A3D60" w:rsidRDefault="00D13745" w:rsidP="00325634">
            <w:pPr>
              <w:spacing w:after="60" w:line="276" w:lineRule="auto"/>
              <w:jc w:val="both"/>
              <w:rPr>
                <w:rFonts w:ascii="Times New Roman" w:hAnsi="Times New Roman" w:cs="Times New Roman"/>
                <w:szCs w:val="20"/>
              </w:rPr>
            </w:pPr>
          </w:p>
          <w:p w14:paraId="7B5BDF1D" w14:textId="77777777" w:rsidR="00EA0F25" w:rsidRDefault="00EA0F2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Wszystkie kryteria muszą być spełnione łącznie.</w:t>
            </w:r>
          </w:p>
          <w:p w14:paraId="0FE6390B" w14:textId="6338753A" w:rsidR="00325634" w:rsidRPr="009A3D60" w:rsidRDefault="00325634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</w:tc>
        <w:tc>
          <w:tcPr>
            <w:tcW w:w="4111" w:type="dxa"/>
          </w:tcPr>
          <w:p w14:paraId="0E27033C" w14:textId="132497CA" w:rsidR="00D13745" w:rsidRPr="009A3D60" w:rsidRDefault="00D13745" w:rsidP="00325634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NewRomanPSMT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b/>
                <w:bCs/>
                <w:szCs w:val="20"/>
              </w:rPr>
              <w:lastRenderedPageBreak/>
              <w:t>Dawkowanie</w:t>
            </w:r>
          </w:p>
          <w:p w14:paraId="54333347" w14:textId="3DC0F228" w:rsidR="00E0031F" w:rsidRPr="009A3D60" w:rsidRDefault="00E0031F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Podawanie leku prowadzone </w:t>
            </w:r>
            <w:r w:rsidR="00F524D5">
              <w:rPr>
                <w:rFonts w:ascii="Times New Roman" w:eastAsia="TimesNewRomanPSMT" w:hAnsi="Times New Roman" w:cs="Times New Roman"/>
                <w:szCs w:val="20"/>
              </w:rPr>
              <w:t xml:space="preserve">oraz leczenie immunomodulujące należy prowadzić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zgodnie z aktualną Charakterystyką Produktu Leczniczego (ChPL</w:t>
            </w:r>
            <w:r w:rsidR="00E41955">
              <w:rPr>
                <w:rFonts w:ascii="Times New Roman" w:eastAsia="TimesNewRomanPSMT" w:hAnsi="Times New Roman" w:cs="Times New Roman"/>
                <w:szCs w:val="20"/>
              </w:rPr>
              <w:t>).</w:t>
            </w:r>
          </w:p>
        </w:tc>
        <w:tc>
          <w:tcPr>
            <w:tcW w:w="4678" w:type="dxa"/>
          </w:tcPr>
          <w:p w14:paraId="4B430D8C" w14:textId="7A6BBBDC" w:rsidR="00D13745" w:rsidRPr="009A3D60" w:rsidRDefault="00DC3365" w:rsidP="00325634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hAnsi="Times New Roman" w:cs="Times New Roman"/>
                <w:b/>
                <w:bCs/>
                <w:szCs w:val="20"/>
              </w:rPr>
              <w:t>Ba</w:t>
            </w:r>
            <w:r w:rsidR="00D13745" w:rsidRPr="009A3D60">
              <w:rPr>
                <w:rFonts w:ascii="Times New Roman" w:hAnsi="Times New Roman" w:cs="Times New Roman"/>
                <w:b/>
                <w:bCs/>
                <w:szCs w:val="20"/>
              </w:rPr>
              <w:t>dania przy kwalifikacji do leczenia</w:t>
            </w:r>
          </w:p>
          <w:p w14:paraId="195CBCE1" w14:textId="42DB740F" w:rsidR="00DC3365" w:rsidRPr="009A3D60" w:rsidRDefault="00DC3365" w:rsidP="00325634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potwierdzenie biallelicznej mutacji genu RPE65;</w:t>
            </w:r>
          </w:p>
          <w:p w14:paraId="666B9D22" w14:textId="06F4DD3D" w:rsidR="00D13745" w:rsidRPr="009A3D60" w:rsidRDefault="00D13745" w:rsidP="00325634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badanie okulistyczne z oceną ostrości wzroku według </w:t>
            </w:r>
            <w:r w:rsidRPr="009A3D60">
              <w:rPr>
                <w:rFonts w:ascii="Times New Roman" w:hAnsi="Times New Roman" w:cs="Times New Roman"/>
                <w:szCs w:val="20"/>
              </w:rPr>
              <w:t>tablicy ETDRS</w:t>
            </w:r>
            <w:r w:rsidR="00432869">
              <w:rPr>
                <w:rFonts w:ascii="Times New Roman" w:hAnsi="Times New Roman" w:cs="Times New Roman"/>
                <w:szCs w:val="20"/>
              </w:rPr>
              <w:t>;</w:t>
            </w:r>
            <w:r w:rsidR="00DC3365" w:rsidRPr="009A3D60">
              <w:rPr>
                <w:rFonts w:ascii="Times New Roman" w:eastAsia="TimesNewRomanPSMT" w:hAnsi="Times New Roman" w:cs="Times New Roman"/>
                <w:szCs w:val="20"/>
              </w:rPr>
              <w:t>– u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pacjentów, u których niemożliwe jest badanie przy użyciu tablicy </w:t>
            </w:r>
            <w:r w:rsidR="00DC3365" w:rsidRPr="009A3D60">
              <w:rPr>
                <w:rFonts w:ascii="Times New Roman" w:eastAsia="TimesNewRomanPSMT" w:hAnsi="Times New Roman" w:cs="Times New Roman"/>
                <w:szCs w:val="20"/>
              </w:rPr>
              <w:t xml:space="preserve">ETDRS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badanie przeprowadza się </w:t>
            </w:r>
            <w:r w:rsidRPr="009A3D60">
              <w:rPr>
                <w:rFonts w:ascii="Times New Roman" w:hAnsi="Times New Roman" w:cs="Times New Roman"/>
                <w:szCs w:val="20"/>
              </w:rPr>
              <w:t>przy zastosowaniu skali:</w:t>
            </w:r>
          </w:p>
          <w:p w14:paraId="4978030F" w14:textId="2ED9F1E0" w:rsidR="00D13745" w:rsidRPr="009A3D60" w:rsidRDefault="00D13745" w:rsidP="00325634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908" w:hanging="454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brak poczucia światła (bpś),</w:t>
            </w:r>
          </w:p>
          <w:p w14:paraId="1C1A2AE5" w14:textId="5B472586" w:rsidR="00D13745" w:rsidRPr="009A3D60" w:rsidRDefault="00D13745" w:rsidP="00325634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908" w:hanging="454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poczucie światła (pś),</w:t>
            </w:r>
          </w:p>
          <w:p w14:paraId="32EC61DE" w14:textId="2A388DB5" w:rsidR="00D13745" w:rsidRPr="009A3D60" w:rsidRDefault="00D13745" w:rsidP="00325634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908" w:hanging="454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ruchy ręki przed okiem (rrpo),</w:t>
            </w:r>
          </w:p>
          <w:p w14:paraId="317350D9" w14:textId="56A12840" w:rsidR="00D13745" w:rsidRPr="009A3D60" w:rsidRDefault="00D13745" w:rsidP="00325634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908" w:hanging="454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liczy palce przed okiem (lppo);</w:t>
            </w:r>
          </w:p>
          <w:p w14:paraId="2FF16E73" w14:textId="625CEA0C" w:rsidR="00D13745" w:rsidRPr="009A3D60" w:rsidRDefault="00D13745" w:rsidP="00325634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badanie pola widzeni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>a metodą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 perymetri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>i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 kinetyczn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>ej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Goldmana lub perymetri</w:t>
            </w:r>
            <w:r w:rsidR="00DC3365" w:rsidRPr="009A3D60">
              <w:rPr>
                <w:rFonts w:ascii="Times New Roman" w:eastAsia="TimesNewRomanPSMT" w:hAnsi="Times New Roman" w:cs="Times New Roman"/>
                <w:szCs w:val="20"/>
              </w:rPr>
              <w:t>i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komputerow</w:t>
            </w:r>
            <w:r w:rsidR="00DC3365" w:rsidRPr="009A3D60">
              <w:rPr>
                <w:rFonts w:ascii="Times New Roman" w:eastAsia="TimesNewRomanPSMT" w:hAnsi="Times New Roman" w:cs="Times New Roman"/>
                <w:szCs w:val="20"/>
              </w:rPr>
              <w:t>ej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 Humphrey’</w:t>
            </w:r>
            <w:r w:rsidRPr="009A3D60">
              <w:rPr>
                <w:rFonts w:ascii="Times New Roman" w:hAnsi="Times New Roman" w:cs="Times New Roman"/>
                <w:szCs w:val="20"/>
              </w:rPr>
              <w:t>a;</w:t>
            </w:r>
          </w:p>
          <w:p w14:paraId="5C26EE8B" w14:textId="27921CB7" w:rsidR="00D13745" w:rsidRPr="009A3D60" w:rsidRDefault="00D13745" w:rsidP="00325634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oszacowanie liczby żywych komórek siatkówki 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z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użyciem </w:t>
            </w:r>
            <w:r w:rsidRPr="009A3D60">
              <w:rPr>
                <w:rFonts w:ascii="Times New Roman" w:hAnsi="Times New Roman" w:cs="Times New Roman"/>
                <w:szCs w:val="20"/>
              </w:rPr>
              <w:t>optycznej tomografii koherencyjnej (OCT);</w:t>
            </w:r>
          </w:p>
          <w:p w14:paraId="5C9A303F" w14:textId="17D6B2D9" w:rsidR="00D13745" w:rsidRPr="009A3D60" w:rsidRDefault="00D13745" w:rsidP="00325634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 xml:space="preserve">badanie FST 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 xml:space="preserve">– badanie progu czułości na światło </w:t>
            </w:r>
            <w:r w:rsidR="006C45D1">
              <w:rPr>
                <w:rFonts w:ascii="Times New Roman" w:eastAsia="TimesNewRomanPSMT" w:hAnsi="Times New Roman" w:cs="Times New Roman"/>
                <w:szCs w:val="20"/>
              </w:rPr>
              <w:t>białe, czerwone i niebieskie</w:t>
            </w:r>
            <w:r w:rsidRPr="009A3D60">
              <w:rPr>
                <w:rFonts w:ascii="Times New Roman" w:eastAsia="TimesNewRomanPSMT" w:hAnsi="Times New Roman" w:cs="Times New Roman"/>
                <w:szCs w:val="20"/>
              </w:rPr>
              <w:t>;</w:t>
            </w:r>
          </w:p>
          <w:p w14:paraId="2239D45A" w14:textId="47E87A83" w:rsidR="00D13745" w:rsidRPr="009A3D60" w:rsidRDefault="00D13745" w:rsidP="00325634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badanie ERG siatkówki;</w:t>
            </w:r>
          </w:p>
          <w:p w14:paraId="1F945704" w14:textId="2579D3C0" w:rsidR="00D13745" w:rsidRPr="009A3D60" w:rsidRDefault="00D13745" w:rsidP="00325634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lastRenderedPageBreak/>
              <w:t xml:space="preserve">test ciążowy </w:t>
            </w:r>
            <w:r w:rsidR="00DC3365" w:rsidRPr="009A3D60">
              <w:rPr>
                <w:rFonts w:ascii="Times New Roman" w:eastAsia="TimesNewRomanPSMT" w:hAnsi="Times New Roman" w:cs="Times New Roman"/>
                <w:szCs w:val="20"/>
              </w:rPr>
              <w:t>(u kobiet w wieku rozrodczym).</w:t>
            </w:r>
          </w:p>
          <w:p w14:paraId="18DAF186" w14:textId="77777777" w:rsidR="00D13745" w:rsidRPr="009A3D60" w:rsidRDefault="00D1374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Cs w:val="20"/>
              </w:rPr>
            </w:pPr>
          </w:p>
          <w:p w14:paraId="6D6AE270" w14:textId="699CC206" w:rsidR="00B84ABB" w:rsidRPr="00E41955" w:rsidRDefault="00D13745" w:rsidP="00325634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E41955">
              <w:rPr>
                <w:rFonts w:ascii="Times New Roman" w:hAnsi="Times New Roman" w:cs="Times New Roman"/>
                <w:b/>
                <w:bCs/>
                <w:szCs w:val="20"/>
              </w:rPr>
              <w:t>Monitorowanie leczenia</w:t>
            </w:r>
          </w:p>
          <w:p w14:paraId="6861783D" w14:textId="30E0C5D3" w:rsidR="00DC3365" w:rsidRPr="00E41955" w:rsidRDefault="00DC3365" w:rsidP="00E41955">
            <w:pPr>
              <w:pStyle w:val="Akapitzlist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E41955">
              <w:rPr>
                <w:rFonts w:ascii="Times New Roman" w:hAnsi="Times New Roman" w:cs="Times New Roman"/>
                <w:b/>
                <w:bCs/>
                <w:szCs w:val="20"/>
              </w:rPr>
              <w:t xml:space="preserve">Monitorowanie bezpieczeństwa </w:t>
            </w:r>
            <w:r w:rsidR="00977ECD" w:rsidRPr="00E41955">
              <w:rPr>
                <w:rFonts w:ascii="Times New Roman" w:hAnsi="Times New Roman" w:cs="Times New Roman"/>
                <w:b/>
                <w:bCs/>
                <w:szCs w:val="20"/>
              </w:rPr>
              <w:t>wykonania witrektomii tylnej</w:t>
            </w:r>
          </w:p>
          <w:p w14:paraId="27CF2CD1" w14:textId="6D04EB0F" w:rsidR="00DC3365" w:rsidRPr="00E41955" w:rsidRDefault="00D13745" w:rsidP="00E41955">
            <w:pPr>
              <w:pStyle w:val="Akapitzlist"/>
              <w:numPr>
                <w:ilvl w:val="2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E41955">
              <w:rPr>
                <w:rFonts w:ascii="Times New Roman" w:hAnsi="Times New Roman" w:cs="Times New Roman"/>
                <w:szCs w:val="20"/>
              </w:rPr>
              <w:t xml:space="preserve">rutynowe badanie okulistyczne </w:t>
            </w:r>
            <w:r w:rsidRPr="00E41955">
              <w:rPr>
                <w:rFonts w:ascii="Times New Roman" w:eastAsia="TimesNewRomanPSMT" w:hAnsi="Times New Roman" w:cs="Times New Roman"/>
                <w:szCs w:val="20"/>
              </w:rPr>
              <w:t xml:space="preserve">oceniające </w:t>
            </w:r>
            <w:r w:rsidR="00977ECD" w:rsidRPr="00E41955">
              <w:rPr>
                <w:rFonts w:ascii="Times New Roman" w:eastAsia="TimesNewRomanPSMT" w:hAnsi="Times New Roman" w:cs="Times New Roman"/>
                <w:szCs w:val="20"/>
              </w:rPr>
              <w:t xml:space="preserve">ostrość wzroku, </w:t>
            </w:r>
            <w:r w:rsidRPr="00E41955">
              <w:rPr>
                <w:rFonts w:ascii="Times New Roman" w:eastAsia="TimesNewRomanPSMT" w:hAnsi="Times New Roman" w:cs="Times New Roman"/>
                <w:szCs w:val="20"/>
              </w:rPr>
              <w:t xml:space="preserve">przedni i tylny odcinek </w:t>
            </w:r>
            <w:r w:rsidR="00DC3365" w:rsidRPr="00E41955">
              <w:rPr>
                <w:rFonts w:ascii="Times New Roman" w:eastAsia="TimesNewRomanPSMT" w:hAnsi="Times New Roman" w:cs="Times New Roman"/>
                <w:szCs w:val="20"/>
              </w:rPr>
              <w:t>oka;</w:t>
            </w:r>
          </w:p>
          <w:p w14:paraId="4AB64EBF" w14:textId="7E844DF9" w:rsidR="00D13745" w:rsidRPr="00E41955" w:rsidRDefault="00D13745" w:rsidP="00E41955">
            <w:pPr>
              <w:pStyle w:val="Akapitzlist"/>
              <w:numPr>
                <w:ilvl w:val="2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E41955">
              <w:rPr>
                <w:rFonts w:ascii="Times New Roman" w:eastAsia="TimesNewRomanPSMT" w:hAnsi="Times New Roman" w:cs="Times New Roman"/>
                <w:szCs w:val="20"/>
              </w:rPr>
              <w:t>pomiar ciśnienia wewnątrzgałkowego</w:t>
            </w:r>
            <w:r w:rsidR="00DC3365" w:rsidRPr="00E41955">
              <w:rPr>
                <w:rFonts w:ascii="Times New Roman" w:eastAsia="TimesNewRomanPSMT" w:hAnsi="Times New Roman" w:cs="Times New Roman"/>
                <w:szCs w:val="20"/>
              </w:rPr>
              <w:t>.</w:t>
            </w:r>
          </w:p>
          <w:p w14:paraId="73441887" w14:textId="77777777" w:rsidR="0015005A" w:rsidRPr="00E41955" w:rsidRDefault="0015005A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4A4AA639" w14:textId="5A3262F6" w:rsidR="00DC3365" w:rsidRPr="00E41955" w:rsidRDefault="0015005A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E41955">
              <w:rPr>
                <w:rFonts w:ascii="Times New Roman" w:eastAsia="TimesNewRomanPSMT" w:hAnsi="Times New Roman" w:cs="Times New Roman"/>
                <w:szCs w:val="20"/>
              </w:rPr>
              <w:t>Badania przeprowadza się w okresie pooperacyjnym w 1, 7 i 14 dniu po zabiegu.</w:t>
            </w:r>
          </w:p>
          <w:p w14:paraId="28180315" w14:textId="77777777" w:rsidR="0015005A" w:rsidRPr="00E41955" w:rsidRDefault="0015005A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1E7C84DE" w14:textId="0263CF1B" w:rsidR="00DC3365" w:rsidRPr="00E41955" w:rsidRDefault="00DC3365" w:rsidP="00E41955">
            <w:pPr>
              <w:pStyle w:val="Akapitzlist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E41955">
              <w:rPr>
                <w:rFonts w:ascii="Times New Roman" w:hAnsi="Times New Roman" w:cs="Times New Roman"/>
                <w:b/>
                <w:bCs/>
                <w:szCs w:val="20"/>
              </w:rPr>
              <w:t>Monitorowanie skuteczności leczenia</w:t>
            </w:r>
            <w:r w:rsidR="00977ECD" w:rsidRPr="00E41955">
              <w:rPr>
                <w:rFonts w:ascii="Times New Roman" w:hAnsi="Times New Roman" w:cs="Times New Roman"/>
                <w:b/>
                <w:bCs/>
                <w:szCs w:val="20"/>
              </w:rPr>
              <w:t xml:space="preserve"> woretygenem neparwowek</w:t>
            </w:r>
          </w:p>
          <w:p w14:paraId="1388193D" w14:textId="6A471832" w:rsidR="00D13745" w:rsidRPr="009A3D60" w:rsidRDefault="00D13745" w:rsidP="00E41955">
            <w:pPr>
              <w:pStyle w:val="Akapitzlist"/>
              <w:numPr>
                <w:ilvl w:val="2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badanie okulistyczne z oceną ostrości wzroku według tablicy ETDRS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 xml:space="preserve"> – u 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pacjentów, u których niemożliwe jest badanie przy użyciu tablicy 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 xml:space="preserve">ETDRS </w:t>
            </w:r>
            <w:r w:rsidRPr="009A3D60">
              <w:rPr>
                <w:rFonts w:ascii="Times New Roman" w:hAnsi="Times New Roman" w:cs="Times New Roman"/>
                <w:szCs w:val="20"/>
              </w:rPr>
              <w:t>badanie przeprowadza się przy zastosowaniu skali:</w:t>
            </w:r>
          </w:p>
          <w:p w14:paraId="673CE85D" w14:textId="447818EB" w:rsidR="00D13745" w:rsidRPr="009A3D60" w:rsidRDefault="00D13745" w:rsidP="00E41955">
            <w:pPr>
              <w:pStyle w:val="Akapitzlist"/>
              <w:numPr>
                <w:ilvl w:val="3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brak poczucia światła (bpś),</w:t>
            </w:r>
          </w:p>
          <w:p w14:paraId="26AB2243" w14:textId="4E60D8A5" w:rsidR="00D13745" w:rsidRPr="009A3D60" w:rsidRDefault="00D13745" w:rsidP="00E41955">
            <w:pPr>
              <w:pStyle w:val="Akapitzlist"/>
              <w:numPr>
                <w:ilvl w:val="3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poczucie światła (pś),</w:t>
            </w:r>
          </w:p>
          <w:p w14:paraId="0E4E1C17" w14:textId="746413A5" w:rsidR="00D13745" w:rsidRPr="009A3D60" w:rsidRDefault="00D13745" w:rsidP="00E41955">
            <w:pPr>
              <w:pStyle w:val="Akapitzlist"/>
              <w:numPr>
                <w:ilvl w:val="3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ruchy ręki przed okiem (rrpo),</w:t>
            </w:r>
          </w:p>
          <w:p w14:paraId="65985739" w14:textId="3E529BC0" w:rsidR="00D13745" w:rsidRPr="009A3D60" w:rsidRDefault="00D13745" w:rsidP="00E41955">
            <w:pPr>
              <w:pStyle w:val="Akapitzlist"/>
              <w:numPr>
                <w:ilvl w:val="3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liczy palce przed okiem (lppo);</w:t>
            </w:r>
          </w:p>
          <w:p w14:paraId="205720BE" w14:textId="357D7BAB" w:rsidR="00D13745" w:rsidRPr="009A3D60" w:rsidRDefault="00DC3365" w:rsidP="00E41955">
            <w:pPr>
              <w:pStyle w:val="Akapitzlist"/>
              <w:numPr>
                <w:ilvl w:val="2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 xml:space="preserve">pomiar </w:t>
            </w:r>
            <w:r w:rsidR="00D13745" w:rsidRPr="009A3D60">
              <w:rPr>
                <w:rFonts w:ascii="Times New Roman" w:hAnsi="Times New Roman" w:cs="Times New Roman"/>
                <w:szCs w:val="20"/>
              </w:rPr>
              <w:t>ciśnieni</w:t>
            </w:r>
            <w:r w:rsidRPr="009A3D60">
              <w:rPr>
                <w:rFonts w:ascii="Times New Roman" w:hAnsi="Times New Roman" w:cs="Times New Roman"/>
                <w:szCs w:val="20"/>
              </w:rPr>
              <w:t>a</w:t>
            </w:r>
            <w:r w:rsidR="00D13745" w:rsidRPr="009A3D60">
              <w:rPr>
                <w:rFonts w:ascii="Times New Roman" w:hAnsi="Times New Roman" w:cs="Times New Roman"/>
                <w:szCs w:val="20"/>
              </w:rPr>
              <w:t xml:space="preserve"> wewnątrzgałkowe</w:t>
            </w:r>
            <w:r w:rsidRPr="009A3D60">
              <w:rPr>
                <w:rFonts w:ascii="Times New Roman" w:hAnsi="Times New Roman" w:cs="Times New Roman"/>
                <w:szCs w:val="20"/>
              </w:rPr>
              <w:t>go</w:t>
            </w:r>
            <w:r w:rsidR="00D13745" w:rsidRPr="009A3D60">
              <w:rPr>
                <w:rFonts w:ascii="Times New Roman" w:hAnsi="Times New Roman" w:cs="Times New Roman"/>
                <w:szCs w:val="20"/>
              </w:rPr>
              <w:t>;</w:t>
            </w:r>
          </w:p>
          <w:p w14:paraId="498FD63D" w14:textId="3CA7A675" w:rsidR="00D13745" w:rsidRPr="009A3D60" w:rsidRDefault="00D13745" w:rsidP="00E41955">
            <w:pPr>
              <w:pStyle w:val="Akapitzlist"/>
              <w:numPr>
                <w:ilvl w:val="2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badanie pola widzenia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 xml:space="preserve"> metodą </w:t>
            </w:r>
            <w:r w:rsidRPr="009A3D60">
              <w:rPr>
                <w:rFonts w:ascii="Times New Roman" w:hAnsi="Times New Roman" w:cs="Times New Roman"/>
                <w:szCs w:val="20"/>
              </w:rPr>
              <w:t>perymetri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>i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 kinetyczn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>ej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 Goldmana lub perymetri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>i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 komputerow</w:t>
            </w:r>
            <w:r w:rsidR="00DC3365" w:rsidRPr="009A3D60">
              <w:rPr>
                <w:rFonts w:ascii="Times New Roman" w:hAnsi="Times New Roman" w:cs="Times New Roman"/>
                <w:szCs w:val="20"/>
              </w:rPr>
              <w:t>ej</w:t>
            </w:r>
            <w:r w:rsidRPr="009A3D60">
              <w:rPr>
                <w:rFonts w:ascii="Times New Roman" w:hAnsi="Times New Roman" w:cs="Times New Roman"/>
                <w:szCs w:val="20"/>
              </w:rPr>
              <w:t xml:space="preserve"> Humphrey’a;</w:t>
            </w:r>
          </w:p>
          <w:p w14:paraId="2E1ACB5C" w14:textId="3FBF5001" w:rsidR="00D13745" w:rsidRPr="009A3D60" w:rsidRDefault="00D13745" w:rsidP="00E41955">
            <w:pPr>
              <w:pStyle w:val="Akapitzlist"/>
              <w:numPr>
                <w:ilvl w:val="2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 xml:space="preserve">badanie FST - badanie progu czułości na światło </w:t>
            </w:r>
            <w:r w:rsidR="006C45D1">
              <w:rPr>
                <w:rFonts w:ascii="Times New Roman" w:hAnsi="Times New Roman" w:cs="Times New Roman"/>
                <w:szCs w:val="20"/>
              </w:rPr>
              <w:t>białe, czerwone i niebieskie</w:t>
            </w:r>
            <w:r w:rsidRPr="009A3D60">
              <w:rPr>
                <w:rFonts w:ascii="Times New Roman" w:hAnsi="Times New Roman" w:cs="Times New Roman"/>
                <w:szCs w:val="20"/>
              </w:rPr>
              <w:t>;</w:t>
            </w:r>
          </w:p>
          <w:p w14:paraId="54F86329" w14:textId="37352DC3" w:rsidR="00D13745" w:rsidRPr="009A3D60" w:rsidRDefault="00D13745" w:rsidP="00E41955">
            <w:pPr>
              <w:pStyle w:val="Akapitzlist"/>
              <w:numPr>
                <w:ilvl w:val="2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lastRenderedPageBreak/>
              <w:t>badanie ERG siatkówki.</w:t>
            </w:r>
          </w:p>
          <w:p w14:paraId="6A63560F" w14:textId="77777777" w:rsidR="0015005A" w:rsidRPr="009A3D60" w:rsidRDefault="0015005A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1BC15BE1" w14:textId="607A0CEC" w:rsidR="0015005A" w:rsidRPr="009A3D60" w:rsidRDefault="0015005A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szCs w:val="20"/>
              </w:rPr>
              <w:t>Badania przeprowadza się po 1, 3, 6 i 12 miesiącach od podania woretygenu neparwowek</w:t>
            </w:r>
            <w:r w:rsidR="007516DE" w:rsidRPr="009A3D60">
              <w:rPr>
                <w:rFonts w:ascii="Times New Roman" w:eastAsia="TimesNewRomanPSMT" w:hAnsi="Times New Roman" w:cs="Times New Roman"/>
                <w:szCs w:val="20"/>
              </w:rPr>
              <w:t>.</w:t>
            </w:r>
          </w:p>
          <w:p w14:paraId="5800F475" w14:textId="77777777" w:rsidR="00D13745" w:rsidRPr="009A3D60" w:rsidRDefault="00D13745" w:rsidP="0032563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NewRomanPSMT" w:hAnsi="Times New Roman" w:cs="Times New Roman"/>
                <w:szCs w:val="20"/>
              </w:rPr>
            </w:pPr>
          </w:p>
          <w:p w14:paraId="3DC0F23E" w14:textId="668C0BC7" w:rsidR="0015005A" w:rsidRPr="009A3D60" w:rsidRDefault="0015005A" w:rsidP="00325634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NewRomanPSMT" w:hAnsi="Times New Roman" w:cs="Times New Roman"/>
                <w:b/>
                <w:bCs/>
                <w:szCs w:val="20"/>
              </w:rPr>
            </w:pPr>
            <w:r w:rsidRPr="009A3D60">
              <w:rPr>
                <w:rFonts w:ascii="Times New Roman" w:eastAsia="TimesNewRomanPSMT" w:hAnsi="Times New Roman" w:cs="Times New Roman"/>
                <w:b/>
                <w:bCs/>
                <w:szCs w:val="20"/>
              </w:rPr>
              <w:t>Monitorowanie programu</w:t>
            </w:r>
          </w:p>
          <w:p w14:paraId="2E1A194E" w14:textId="39698A05" w:rsidR="0015005A" w:rsidRPr="009A3D60" w:rsidRDefault="0015005A" w:rsidP="00E41955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gromadzenie w dokumentacji medycznej danych dotyczących monitorowania leczenia i każdorazowe ich przedstawianie na żądanie kontrolerów Narodowego Funduszu Zdrowia;</w:t>
            </w:r>
          </w:p>
          <w:p w14:paraId="0C5B0745" w14:textId="64BBD366" w:rsidR="007516DE" w:rsidRPr="009A3D60" w:rsidRDefault="0015005A" w:rsidP="00E41955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uzupełnianie danych zawartych w elektronicznym systemie monitorowania programów lekowych, w tym przekazywanie danych dotyczących wskaźników skuteczności terapii zawartych w pkt. 3 dostępnym za pomocą aplikacji internetowej udostępnionej przez OW NFZ, z częstotliwością zgodną z opisem programu oraz na zakończenie leczenia;</w:t>
            </w:r>
          </w:p>
          <w:p w14:paraId="20CD43E9" w14:textId="12421601" w:rsidR="00D13745" w:rsidRPr="009A3D60" w:rsidRDefault="007516DE" w:rsidP="00E41955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9A3D60">
              <w:rPr>
                <w:rFonts w:ascii="Times New Roman" w:hAnsi="Times New Roman" w:cs="Times New Roman"/>
                <w:szCs w:val="20"/>
              </w:rPr>
              <w:t>przekazywanie informacji sprawozdawczo-rozliczeniowych do NFZ (informacje przekazuje się do NFZ w formie papierowej lub w formie elektronicznej zgodnie z wymaganiami opublikowanymi przez NFZ).</w:t>
            </w:r>
          </w:p>
        </w:tc>
      </w:tr>
    </w:tbl>
    <w:p w14:paraId="7AE969D2" w14:textId="77777777" w:rsidR="00D13745" w:rsidRPr="00F75CAA" w:rsidRDefault="00D13745" w:rsidP="00D13745">
      <w:pPr>
        <w:rPr>
          <w:rFonts w:ascii="Times New Roman" w:hAnsi="Times New Roman" w:cs="Times New Roman"/>
          <w:b/>
          <w:bCs/>
          <w:sz w:val="16"/>
          <w:szCs w:val="18"/>
        </w:rPr>
      </w:pPr>
    </w:p>
    <w:sectPr w:rsidR="00D13745" w:rsidRPr="00F75CAA" w:rsidSect="001B09D8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2E675" w14:textId="77777777" w:rsidR="00AA01E2" w:rsidRDefault="00AA01E2" w:rsidP="00D13745">
      <w:pPr>
        <w:spacing w:line="240" w:lineRule="auto"/>
      </w:pPr>
      <w:r>
        <w:separator/>
      </w:r>
    </w:p>
  </w:endnote>
  <w:endnote w:type="continuationSeparator" w:id="0">
    <w:p w14:paraId="289E616C" w14:textId="77777777" w:rsidR="00AA01E2" w:rsidRDefault="00AA01E2" w:rsidP="00D13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681B3" w14:textId="77777777" w:rsidR="00AA01E2" w:rsidRDefault="00AA01E2" w:rsidP="00D13745">
      <w:pPr>
        <w:spacing w:line="240" w:lineRule="auto"/>
      </w:pPr>
      <w:r>
        <w:separator/>
      </w:r>
    </w:p>
  </w:footnote>
  <w:footnote w:type="continuationSeparator" w:id="0">
    <w:p w14:paraId="07F26CC0" w14:textId="77777777" w:rsidR="00AA01E2" w:rsidRDefault="00AA01E2" w:rsidP="00D137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0D51"/>
    <w:multiLevelType w:val="multilevel"/>
    <w:tmpl w:val="1D22EF90"/>
    <w:numStyleLink w:val="Styl1"/>
  </w:abstractNum>
  <w:abstractNum w:abstractNumId="1" w15:restartNumberingAfterBreak="0">
    <w:nsid w:val="033839EC"/>
    <w:multiLevelType w:val="hybridMultilevel"/>
    <w:tmpl w:val="854293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A6CE8"/>
    <w:multiLevelType w:val="multilevel"/>
    <w:tmpl w:val="1D22EF90"/>
    <w:numStyleLink w:val="Styl1"/>
  </w:abstractNum>
  <w:abstractNum w:abstractNumId="3" w15:restartNumberingAfterBreak="0">
    <w:nsid w:val="0B904887"/>
    <w:multiLevelType w:val="multilevel"/>
    <w:tmpl w:val="1D22EF90"/>
    <w:numStyleLink w:val="Styl1"/>
  </w:abstractNum>
  <w:abstractNum w:abstractNumId="4" w15:restartNumberingAfterBreak="0">
    <w:nsid w:val="13DF1048"/>
    <w:multiLevelType w:val="multilevel"/>
    <w:tmpl w:val="1D22EF90"/>
    <w:numStyleLink w:val="Styl1"/>
  </w:abstractNum>
  <w:abstractNum w:abstractNumId="5" w15:restartNumberingAfterBreak="0">
    <w:nsid w:val="147E6BD8"/>
    <w:multiLevelType w:val="multilevel"/>
    <w:tmpl w:val="FAD8F55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16"/>
        <w:szCs w:val="16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189B2A5C"/>
    <w:multiLevelType w:val="multilevel"/>
    <w:tmpl w:val="1D22EF90"/>
    <w:numStyleLink w:val="Styl1"/>
  </w:abstractNum>
  <w:abstractNum w:abstractNumId="7" w15:restartNumberingAfterBreak="0">
    <w:nsid w:val="1B037FB5"/>
    <w:multiLevelType w:val="multilevel"/>
    <w:tmpl w:val="1D22EF90"/>
    <w:numStyleLink w:val="Styl1"/>
  </w:abstractNum>
  <w:abstractNum w:abstractNumId="8" w15:restartNumberingAfterBreak="0">
    <w:nsid w:val="1C453698"/>
    <w:multiLevelType w:val="multilevel"/>
    <w:tmpl w:val="1D22EF90"/>
    <w:name w:val="Programy lekowe"/>
    <w:numStyleLink w:val="Styl1"/>
  </w:abstractNum>
  <w:abstractNum w:abstractNumId="9" w15:restartNumberingAfterBreak="0">
    <w:nsid w:val="1CF64711"/>
    <w:multiLevelType w:val="multilevel"/>
    <w:tmpl w:val="1D22EF90"/>
    <w:numStyleLink w:val="Styl1"/>
  </w:abstractNum>
  <w:abstractNum w:abstractNumId="10" w15:restartNumberingAfterBreak="0">
    <w:nsid w:val="1E487674"/>
    <w:multiLevelType w:val="multilevel"/>
    <w:tmpl w:val="FAD8F55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16"/>
        <w:szCs w:val="16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24157013"/>
    <w:multiLevelType w:val="multilevel"/>
    <w:tmpl w:val="1D22EF90"/>
    <w:numStyleLink w:val="Styl1"/>
  </w:abstractNum>
  <w:abstractNum w:abstractNumId="12" w15:restartNumberingAfterBreak="0">
    <w:nsid w:val="24EA57AB"/>
    <w:multiLevelType w:val="multilevel"/>
    <w:tmpl w:val="1D22EF90"/>
    <w:numStyleLink w:val="Styl1"/>
  </w:abstractNum>
  <w:abstractNum w:abstractNumId="13" w15:restartNumberingAfterBreak="0">
    <w:nsid w:val="2DAA15EB"/>
    <w:multiLevelType w:val="multilevel"/>
    <w:tmpl w:val="FAD8F55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16"/>
        <w:szCs w:val="16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2F6B5A9D"/>
    <w:multiLevelType w:val="multilevel"/>
    <w:tmpl w:val="B3267090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33061DD6"/>
    <w:multiLevelType w:val="multilevel"/>
    <w:tmpl w:val="1D22EF90"/>
    <w:numStyleLink w:val="Styl1"/>
  </w:abstractNum>
  <w:abstractNum w:abstractNumId="16" w15:restartNumberingAfterBreak="0">
    <w:nsid w:val="34D21A8A"/>
    <w:multiLevelType w:val="multilevel"/>
    <w:tmpl w:val="FAD8F55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16"/>
        <w:szCs w:val="16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3FD92EAB"/>
    <w:multiLevelType w:val="multilevel"/>
    <w:tmpl w:val="1D22EF90"/>
    <w:numStyleLink w:val="Styl1"/>
  </w:abstractNum>
  <w:abstractNum w:abstractNumId="18" w15:restartNumberingAfterBreak="0">
    <w:nsid w:val="43C111C0"/>
    <w:multiLevelType w:val="multilevel"/>
    <w:tmpl w:val="FAD8F55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16"/>
        <w:szCs w:val="16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4AA97286"/>
    <w:multiLevelType w:val="multilevel"/>
    <w:tmpl w:val="1D22EF90"/>
    <w:numStyleLink w:val="Styl1"/>
  </w:abstractNum>
  <w:abstractNum w:abstractNumId="20" w15:restartNumberingAfterBreak="0">
    <w:nsid w:val="4B2B6825"/>
    <w:multiLevelType w:val="multilevel"/>
    <w:tmpl w:val="1D22EF90"/>
    <w:numStyleLink w:val="Styl1"/>
  </w:abstractNum>
  <w:abstractNum w:abstractNumId="21" w15:restartNumberingAfterBreak="0">
    <w:nsid w:val="4CF934EB"/>
    <w:multiLevelType w:val="multilevel"/>
    <w:tmpl w:val="1D22EF90"/>
    <w:numStyleLink w:val="Styl1"/>
  </w:abstractNum>
  <w:abstractNum w:abstractNumId="22" w15:restartNumberingAfterBreak="0">
    <w:nsid w:val="4EB005DD"/>
    <w:multiLevelType w:val="multilevel"/>
    <w:tmpl w:val="FAD8F55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16"/>
        <w:szCs w:val="16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23" w15:restartNumberingAfterBreak="0">
    <w:nsid w:val="56111871"/>
    <w:multiLevelType w:val="multilevel"/>
    <w:tmpl w:val="1D22EF90"/>
    <w:numStyleLink w:val="Styl1"/>
  </w:abstractNum>
  <w:abstractNum w:abstractNumId="24" w15:restartNumberingAfterBreak="0">
    <w:nsid w:val="56A6700F"/>
    <w:multiLevelType w:val="multilevel"/>
    <w:tmpl w:val="FAD8F55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16"/>
        <w:szCs w:val="16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25" w15:restartNumberingAfterBreak="0">
    <w:nsid w:val="57356332"/>
    <w:multiLevelType w:val="multilevel"/>
    <w:tmpl w:val="1D22EF90"/>
    <w:numStyleLink w:val="Styl1"/>
  </w:abstractNum>
  <w:abstractNum w:abstractNumId="26" w15:restartNumberingAfterBreak="0">
    <w:nsid w:val="57885659"/>
    <w:multiLevelType w:val="multilevel"/>
    <w:tmpl w:val="1D22EF90"/>
    <w:styleLink w:val="Styl1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27" w15:restartNumberingAfterBreak="0">
    <w:nsid w:val="5D3914A2"/>
    <w:multiLevelType w:val="multilevel"/>
    <w:tmpl w:val="1D22EF90"/>
    <w:numStyleLink w:val="Styl1"/>
  </w:abstractNum>
  <w:abstractNum w:abstractNumId="28" w15:restartNumberingAfterBreak="0">
    <w:nsid w:val="5FD11B55"/>
    <w:multiLevelType w:val="multilevel"/>
    <w:tmpl w:val="FAD8F55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16"/>
        <w:szCs w:val="16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29" w15:restartNumberingAfterBreak="0">
    <w:nsid w:val="632852DF"/>
    <w:multiLevelType w:val="multilevel"/>
    <w:tmpl w:val="96420CDA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66D0119C"/>
    <w:multiLevelType w:val="multilevel"/>
    <w:tmpl w:val="F1B0850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31" w15:restartNumberingAfterBreak="0">
    <w:nsid w:val="6E760668"/>
    <w:multiLevelType w:val="multilevel"/>
    <w:tmpl w:val="FAD8F552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</w:rPr>
    </w:lvl>
    <w:lvl w:ilvl="1">
      <w:start w:val="1"/>
      <w:numFmt w:val="decimal"/>
      <w:lvlRestart w:val="0"/>
      <w:suff w:val="space"/>
      <w:lvlText w:val="%1.%2."/>
      <w:lvlJc w:val="left"/>
      <w:pPr>
        <w:ind w:left="113" w:hanging="113"/>
      </w:pPr>
      <w:rPr>
        <w:rFonts w:ascii="Times New Roman" w:hAnsi="Times New Roman" w:hint="default"/>
        <w:b/>
        <w:sz w:val="16"/>
      </w:rPr>
    </w:lvl>
    <w:lvl w:ilvl="2">
      <w:start w:val="1"/>
      <w:numFmt w:val="decimal"/>
      <w:suff w:val="space"/>
      <w:lvlText w:val="%3)"/>
      <w:lvlJc w:val="left"/>
      <w:pPr>
        <w:ind w:left="227" w:hanging="114"/>
      </w:pPr>
      <w:rPr>
        <w:rFonts w:hint="default"/>
        <w:sz w:val="16"/>
        <w:szCs w:val="16"/>
      </w:rPr>
    </w:lvl>
    <w:lvl w:ilvl="3">
      <w:start w:val="1"/>
      <w:numFmt w:val="lowerLetter"/>
      <w:suff w:val="space"/>
      <w:lvlText w:val="%4)"/>
      <w:lvlJc w:val="left"/>
      <w:pPr>
        <w:ind w:left="510" w:hanging="113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040" w:hanging="113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32" w15:restartNumberingAfterBreak="0">
    <w:nsid w:val="7A985D44"/>
    <w:multiLevelType w:val="multilevel"/>
    <w:tmpl w:val="1D22EF90"/>
    <w:numStyleLink w:val="Styl1"/>
  </w:abstractNum>
  <w:abstractNum w:abstractNumId="33" w15:restartNumberingAfterBreak="0">
    <w:nsid w:val="7F1F279B"/>
    <w:multiLevelType w:val="multilevel"/>
    <w:tmpl w:val="1D22EF90"/>
    <w:numStyleLink w:val="Styl1"/>
  </w:abstractNum>
  <w:num w:numId="1" w16cid:durableId="387801232">
    <w:abstractNumId w:val="1"/>
  </w:num>
  <w:num w:numId="2" w16cid:durableId="1996058715">
    <w:abstractNumId w:val="8"/>
  </w:num>
  <w:num w:numId="3" w16cid:durableId="1412971080">
    <w:abstractNumId w:val="26"/>
  </w:num>
  <w:num w:numId="4" w16cid:durableId="1595750514">
    <w:abstractNumId w:val="11"/>
  </w:num>
  <w:num w:numId="5" w16cid:durableId="919101886">
    <w:abstractNumId w:val="4"/>
  </w:num>
  <w:num w:numId="6" w16cid:durableId="340090829">
    <w:abstractNumId w:val="0"/>
  </w:num>
  <w:num w:numId="7" w16cid:durableId="528763431">
    <w:abstractNumId w:val="3"/>
  </w:num>
  <w:num w:numId="8" w16cid:durableId="580220048">
    <w:abstractNumId w:val="32"/>
  </w:num>
  <w:num w:numId="9" w16cid:durableId="1034889585">
    <w:abstractNumId w:val="6"/>
  </w:num>
  <w:num w:numId="10" w16cid:durableId="1629507279">
    <w:abstractNumId w:val="15"/>
  </w:num>
  <w:num w:numId="11" w16cid:durableId="129252162">
    <w:abstractNumId w:val="7"/>
  </w:num>
  <w:num w:numId="12" w16cid:durableId="1282035625">
    <w:abstractNumId w:val="23"/>
  </w:num>
  <w:num w:numId="13" w16cid:durableId="1591037296">
    <w:abstractNumId w:val="33"/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113" w:hanging="113"/>
        </w:pPr>
        <w:rPr>
          <w:rFonts w:ascii="Times New Roman" w:hAnsi="Times New Roman" w:hint="default"/>
          <w:b/>
          <w:sz w:val="20"/>
          <w:szCs w:val="20"/>
        </w:rPr>
      </w:lvl>
    </w:lvlOverride>
  </w:num>
  <w:num w:numId="14" w16cid:durableId="555749092">
    <w:abstractNumId w:val="2"/>
  </w:num>
  <w:num w:numId="15" w16cid:durableId="379322705">
    <w:abstractNumId w:val="17"/>
  </w:num>
  <w:num w:numId="16" w16cid:durableId="8608719">
    <w:abstractNumId w:val="21"/>
  </w:num>
  <w:num w:numId="17" w16cid:durableId="61998227">
    <w:abstractNumId w:val="12"/>
  </w:num>
  <w:num w:numId="18" w16cid:durableId="769155680">
    <w:abstractNumId w:val="20"/>
  </w:num>
  <w:num w:numId="19" w16cid:durableId="276832933">
    <w:abstractNumId w:val="25"/>
  </w:num>
  <w:num w:numId="20" w16cid:durableId="372310675">
    <w:abstractNumId w:val="27"/>
  </w:num>
  <w:num w:numId="21" w16cid:durableId="1886596080">
    <w:abstractNumId w:val="19"/>
  </w:num>
  <w:num w:numId="22" w16cid:durableId="803349199">
    <w:abstractNumId w:val="9"/>
  </w:num>
  <w:num w:numId="23" w16cid:durableId="1236814570">
    <w:abstractNumId w:val="13"/>
  </w:num>
  <w:num w:numId="24" w16cid:durableId="2058162968">
    <w:abstractNumId w:val="16"/>
  </w:num>
  <w:num w:numId="25" w16cid:durableId="54663318">
    <w:abstractNumId w:val="24"/>
  </w:num>
  <w:num w:numId="26" w16cid:durableId="404188022">
    <w:abstractNumId w:val="31"/>
  </w:num>
  <w:num w:numId="27" w16cid:durableId="1192300221">
    <w:abstractNumId w:val="10"/>
  </w:num>
  <w:num w:numId="28" w16cid:durableId="1823736290">
    <w:abstractNumId w:val="28"/>
  </w:num>
  <w:num w:numId="29" w16cid:durableId="2120486717">
    <w:abstractNumId w:val="18"/>
  </w:num>
  <w:num w:numId="30" w16cid:durableId="2103791349">
    <w:abstractNumId w:val="22"/>
  </w:num>
  <w:num w:numId="31" w16cid:durableId="636834805">
    <w:abstractNumId w:val="5"/>
  </w:num>
  <w:num w:numId="32" w16cid:durableId="1061949206">
    <w:abstractNumId w:val="29"/>
  </w:num>
  <w:num w:numId="33" w16cid:durableId="1197037471">
    <w:abstractNumId w:val="14"/>
  </w:num>
  <w:num w:numId="34" w16cid:durableId="12899701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45"/>
    <w:rsid w:val="00012D2F"/>
    <w:rsid w:val="00021FA5"/>
    <w:rsid w:val="00073EA1"/>
    <w:rsid w:val="00092BD2"/>
    <w:rsid w:val="000D24FA"/>
    <w:rsid w:val="000D6D10"/>
    <w:rsid w:val="000F0B57"/>
    <w:rsid w:val="000F272E"/>
    <w:rsid w:val="0015005A"/>
    <w:rsid w:val="00191F20"/>
    <w:rsid w:val="001B09D8"/>
    <w:rsid w:val="001E3244"/>
    <w:rsid w:val="00215A26"/>
    <w:rsid w:val="00226998"/>
    <w:rsid w:val="00287182"/>
    <w:rsid w:val="002A320C"/>
    <w:rsid w:val="002D4AB1"/>
    <w:rsid w:val="002F0C63"/>
    <w:rsid w:val="00325634"/>
    <w:rsid w:val="0035024B"/>
    <w:rsid w:val="00396B33"/>
    <w:rsid w:val="003D09E7"/>
    <w:rsid w:val="00432869"/>
    <w:rsid w:val="0044277E"/>
    <w:rsid w:val="004B2F5E"/>
    <w:rsid w:val="004C1BB8"/>
    <w:rsid w:val="004F4E81"/>
    <w:rsid w:val="00546927"/>
    <w:rsid w:val="005A1B90"/>
    <w:rsid w:val="005A3078"/>
    <w:rsid w:val="00657424"/>
    <w:rsid w:val="006C45D1"/>
    <w:rsid w:val="0072456A"/>
    <w:rsid w:val="0074368F"/>
    <w:rsid w:val="007516DE"/>
    <w:rsid w:val="00774A55"/>
    <w:rsid w:val="007D277D"/>
    <w:rsid w:val="007F699E"/>
    <w:rsid w:val="008458B8"/>
    <w:rsid w:val="008A1AF4"/>
    <w:rsid w:val="008D3A78"/>
    <w:rsid w:val="008E125B"/>
    <w:rsid w:val="0092206D"/>
    <w:rsid w:val="0093154E"/>
    <w:rsid w:val="00962760"/>
    <w:rsid w:val="00965D0A"/>
    <w:rsid w:val="00977ECD"/>
    <w:rsid w:val="00980E35"/>
    <w:rsid w:val="009A3D60"/>
    <w:rsid w:val="00A722CC"/>
    <w:rsid w:val="00AA01E2"/>
    <w:rsid w:val="00B170B8"/>
    <w:rsid w:val="00B524CC"/>
    <w:rsid w:val="00B84ABB"/>
    <w:rsid w:val="00CA2496"/>
    <w:rsid w:val="00D13745"/>
    <w:rsid w:val="00D16F2F"/>
    <w:rsid w:val="00D65810"/>
    <w:rsid w:val="00DA6D91"/>
    <w:rsid w:val="00DB158F"/>
    <w:rsid w:val="00DC3365"/>
    <w:rsid w:val="00DF0068"/>
    <w:rsid w:val="00E0031F"/>
    <w:rsid w:val="00E11FEB"/>
    <w:rsid w:val="00E41955"/>
    <w:rsid w:val="00E96299"/>
    <w:rsid w:val="00EA0F25"/>
    <w:rsid w:val="00F06A75"/>
    <w:rsid w:val="00F457E0"/>
    <w:rsid w:val="00F524D5"/>
    <w:rsid w:val="00F75CAA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76CE"/>
  <w15:chartTrackingRefBased/>
  <w15:docId w15:val="{D1BD1A7B-E708-4E24-9766-4517314B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13745"/>
    <w:pPr>
      <w:spacing w:after="0" w:line="360" w:lineRule="auto"/>
    </w:pPr>
    <w:rPr>
      <w:rFonts w:ascii="Lato" w:hAnsi="Lato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smamz">
    <w:name w:val="pisma_mz"/>
    <w:basedOn w:val="Normalny"/>
    <w:link w:val="pismamzZnak"/>
    <w:qFormat/>
    <w:rsid w:val="00012D2F"/>
    <w:pPr>
      <w:contextualSpacing/>
    </w:pPr>
    <w:rPr>
      <w:rFonts w:eastAsia="Calibri" w:cs="Times New Roman"/>
    </w:rPr>
  </w:style>
  <w:style w:type="character" w:customStyle="1" w:styleId="pismamzZnak">
    <w:name w:val="pisma_mz Znak"/>
    <w:link w:val="pismamz"/>
    <w:rsid w:val="00012D2F"/>
    <w:rPr>
      <w:rFonts w:ascii="Lato" w:eastAsia="Calibri" w:hAnsi="Lato" w:cs="Times New Roman"/>
      <w:sz w:val="20"/>
    </w:rPr>
  </w:style>
  <w:style w:type="table" w:styleId="Tabela-Siatka">
    <w:name w:val="Table Grid"/>
    <w:basedOn w:val="Standardowy"/>
    <w:uiPriority w:val="39"/>
    <w:rsid w:val="00D1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1374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745"/>
    <w:rPr>
      <w:rFonts w:ascii="Lato" w:hAnsi="Lato"/>
      <w:sz w:val="20"/>
    </w:rPr>
  </w:style>
  <w:style w:type="paragraph" w:styleId="Stopka">
    <w:name w:val="footer"/>
    <w:basedOn w:val="Normalny"/>
    <w:link w:val="StopkaZnak"/>
    <w:uiPriority w:val="99"/>
    <w:unhideWhenUsed/>
    <w:rsid w:val="00D1374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745"/>
    <w:rPr>
      <w:rFonts w:ascii="Lato" w:hAnsi="Lato"/>
      <w:sz w:val="20"/>
    </w:rPr>
  </w:style>
  <w:style w:type="paragraph" w:styleId="Poprawka">
    <w:name w:val="Revision"/>
    <w:hidden/>
    <w:uiPriority w:val="99"/>
    <w:semiHidden/>
    <w:rsid w:val="00980E35"/>
    <w:pPr>
      <w:spacing w:after="0" w:line="240" w:lineRule="auto"/>
    </w:pPr>
    <w:rPr>
      <w:rFonts w:ascii="Lato" w:hAnsi="Lato"/>
      <w:sz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80E3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80E35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80E35"/>
    <w:rPr>
      <w:rFonts w:ascii="Lato" w:hAnsi="Lato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E3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E35"/>
    <w:rPr>
      <w:rFonts w:ascii="Lato" w:hAnsi="Lato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DC3365"/>
    <w:pPr>
      <w:ind w:left="720"/>
      <w:contextualSpacing/>
    </w:pPr>
  </w:style>
  <w:style w:type="numbering" w:customStyle="1" w:styleId="Styl1">
    <w:name w:val="Styl1"/>
    <w:uiPriority w:val="99"/>
    <w:rsid w:val="007516D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1065</Words>
  <Characters>6396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Biernat Ewa</dc:creator>
  <cp:keywords/>
  <dc:description/>
  <cp:lastModifiedBy>Molendowska-Sojka Diana</cp:lastModifiedBy>
  <cp:revision>5</cp:revision>
  <dcterms:created xsi:type="dcterms:W3CDTF">2024-12-12T17:21:00Z</dcterms:created>
  <dcterms:modified xsi:type="dcterms:W3CDTF">2024-12-17T19:52:00Z</dcterms:modified>
</cp:coreProperties>
</file>