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4B95F" w14:textId="493513BC" w:rsidR="00536162" w:rsidRPr="00301033" w:rsidRDefault="00A75002" w:rsidP="00536162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>
        <w:rPr>
          <w:rFonts w:ascii="Times New Roman" w:eastAsia="Times New Roman" w:hAnsi="Times New Roman"/>
          <w:lang w:eastAsia="pl-PL"/>
        </w:rPr>
        <w:t xml:space="preserve">Załącznik </w:t>
      </w:r>
      <w:r w:rsidR="00A545CD">
        <w:rPr>
          <w:rFonts w:ascii="Times New Roman" w:eastAsia="Times New Roman" w:hAnsi="Times New Roman"/>
          <w:lang w:eastAsia="pl-PL"/>
        </w:rPr>
        <w:t>B.168.</w:t>
      </w:r>
    </w:p>
    <w:p w14:paraId="27083D6A" w14:textId="77777777" w:rsidR="00536162" w:rsidRPr="00301033" w:rsidRDefault="00536162" w:rsidP="00536162">
      <w:pPr>
        <w:spacing w:after="0" w:line="240" w:lineRule="auto"/>
        <w:jc w:val="both"/>
        <w:rPr>
          <w:rFonts w:ascii="Times New Roman" w:eastAsia="Times New Roman" w:hAnsi="Times New Roman"/>
          <w:lang w:eastAsia="pl-PL"/>
        </w:rPr>
      </w:pPr>
    </w:p>
    <w:p w14:paraId="04B2CD42" w14:textId="2CFC2754" w:rsidR="00536162" w:rsidRPr="00301033" w:rsidRDefault="00301033" w:rsidP="00536162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bookmarkStart w:id="0" w:name="_Hlk167091700"/>
      <w:r w:rsidRPr="00301033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LECZENIE </w:t>
      </w:r>
      <w:r w:rsidR="00E318C5">
        <w:rPr>
          <w:rFonts w:ascii="Times New Roman" w:eastAsia="Times New Roman" w:hAnsi="Times New Roman"/>
          <w:b/>
          <w:sz w:val="28"/>
          <w:szCs w:val="28"/>
          <w:lang w:eastAsia="pl-PL"/>
        </w:rPr>
        <w:t>PACJENTÓW Z NIEREAGUJĄCYM LUB OPORNYM NA LECZ</w:t>
      </w:r>
      <w:r w:rsidR="005010B6">
        <w:rPr>
          <w:rFonts w:ascii="Times New Roman" w:eastAsia="Times New Roman" w:hAnsi="Times New Roman"/>
          <w:b/>
          <w:sz w:val="28"/>
          <w:szCs w:val="28"/>
          <w:lang w:eastAsia="pl-PL"/>
        </w:rPr>
        <w:t>E</w:t>
      </w:r>
      <w:r w:rsidR="00E318C5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NIE </w:t>
      </w:r>
      <w:r w:rsidRPr="00301033">
        <w:rPr>
          <w:rFonts w:ascii="Times New Roman" w:eastAsia="Times New Roman" w:hAnsi="Times New Roman"/>
          <w:b/>
          <w:sz w:val="28"/>
          <w:szCs w:val="28"/>
          <w:lang w:eastAsia="pl-PL"/>
        </w:rPr>
        <w:t>ZAKAŻENI</w:t>
      </w:r>
      <w:r w:rsidR="00E318C5">
        <w:rPr>
          <w:rFonts w:ascii="Times New Roman" w:eastAsia="Times New Roman" w:hAnsi="Times New Roman"/>
          <w:b/>
          <w:sz w:val="28"/>
          <w:szCs w:val="28"/>
          <w:lang w:eastAsia="pl-PL"/>
        </w:rPr>
        <w:t>EM</w:t>
      </w:r>
      <w:r w:rsidRPr="00301033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WIRUSEM CYTOMEGALII (CMV) (ICD-10: B25.0, B25.1, </w:t>
      </w:r>
      <w:r w:rsidR="005010B6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B25.2, </w:t>
      </w:r>
      <w:r w:rsidRPr="00301033">
        <w:rPr>
          <w:rFonts w:ascii="Times New Roman" w:eastAsia="Times New Roman" w:hAnsi="Times New Roman"/>
          <w:b/>
          <w:sz w:val="28"/>
          <w:szCs w:val="28"/>
          <w:lang w:eastAsia="pl-PL"/>
        </w:rPr>
        <w:t>B25.8, B25.9)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186535" w:rsidRPr="00301033" w14:paraId="6EE74ECC" w14:textId="77777777" w:rsidTr="00536162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03EC" w14:textId="6E4F0F6C" w:rsidR="00186535" w:rsidRPr="00301033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301033">
              <w:rPr>
                <w:rFonts w:ascii="Times New Roman" w:hAnsi="Times New Roman"/>
                <w:b/>
              </w:rPr>
              <w:t>ZAKRES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ŚWIADCZENIA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GWARANTOWANEGO</w:t>
            </w:r>
          </w:p>
        </w:tc>
      </w:tr>
      <w:tr w:rsidR="00BA46F2" w:rsidRPr="00301033" w14:paraId="21D189B6" w14:textId="77777777" w:rsidTr="00BA46F2">
        <w:trPr>
          <w:trHeight w:val="567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CEB0" w14:textId="77777777" w:rsidR="00186535" w:rsidRPr="00301033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01033">
              <w:rPr>
                <w:rFonts w:ascii="Times New Roman" w:hAnsi="Times New Roman"/>
                <w:b/>
              </w:rPr>
              <w:t>ŚWIADCZENIOBIORCY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40309" w14:textId="57F91D54" w:rsidR="00186535" w:rsidRPr="00301033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01033">
              <w:rPr>
                <w:rFonts w:ascii="Times New Roman" w:hAnsi="Times New Roman"/>
                <w:b/>
              </w:rPr>
              <w:t>SCHEMAT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DAWKOWANIA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LEKU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="00BA46F2" w:rsidRPr="00301033">
              <w:rPr>
                <w:rFonts w:ascii="Times New Roman" w:hAnsi="Times New Roman"/>
                <w:b/>
              </w:rPr>
              <w:br/>
            </w:r>
            <w:r w:rsidRPr="00301033">
              <w:rPr>
                <w:rFonts w:ascii="Times New Roman" w:hAnsi="Times New Roman"/>
                <w:b/>
              </w:rPr>
              <w:t>W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PROGRAMIE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6CF3" w14:textId="0AE702B9" w:rsidR="00186535" w:rsidRPr="00301033" w:rsidRDefault="00186535" w:rsidP="0053616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01033">
              <w:rPr>
                <w:rFonts w:ascii="Times New Roman" w:hAnsi="Times New Roman"/>
                <w:b/>
              </w:rPr>
              <w:t>BADANIA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DIAGNOSTYCZNE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WYKONYWANE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="00BA46F2" w:rsidRPr="00301033">
              <w:rPr>
                <w:rFonts w:ascii="Times New Roman" w:hAnsi="Times New Roman"/>
                <w:b/>
              </w:rPr>
              <w:br/>
            </w:r>
            <w:r w:rsidRPr="00301033">
              <w:rPr>
                <w:rFonts w:ascii="Times New Roman" w:hAnsi="Times New Roman"/>
                <w:b/>
              </w:rPr>
              <w:t>W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RAMACH</w:t>
            </w:r>
            <w:r w:rsidR="00BA46F2" w:rsidRPr="00301033">
              <w:rPr>
                <w:rFonts w:ascii="Times New Roman" w:hAnsi="Times New Roman"/>
                <w:b/>
              </w:rPr>
              <w:t xml:space="preserve"> </w:t>
            </w:r>
            <w:r w:rsidRPr="00301033">
              <w:rPr>
                <w:rFonts w:ascii="Times New Roman" w:hAnsi="Times New Roman"/>
                <w:b/>
              </w:rPr>
              <w:t>PROGRAMU</w:t>
            </w:r>
          </w:p>
        </w:tc>
      </w:tr>
      <w:tr w:rsidR="00186535" w:rsidRPr="00301033" w14:paraId="71EC71BD" w14:textId="77777777" w:rsidTr="00BA46F2">
        <w:trPr>
          <w:trHeight w:val="2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54DA" w14:textId="64DD263C" w:rsidR="005629CB" w:rsidRDefault="00301033" w:rsidP="00D4031E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</w:rPr>
            </w:pPr>
            <w:r w:rsidRPr="00301033">
              <w:rPr>
                <w:rFonts w:ascii="Times New Roman" w:hAnsi="Times New Roman"/>
              </w:rPr>
              <w:t>Kwalifikacj</w:t>
            </w:r>
            <w:r w:rsidR="00FB1F5A">
              <w:rPr>
                <w:rFonts w:ascii="Times New Roman" w:hAnsi="Times New Roman"/>
              </w:rPr>
              <w:t>i</w:t>
            </w:r>
            <w:r w:rsidRPr="00301033">
              <w:rPr>
                <w:rFonts w:ascii="Times New Roman" w:hAnsi="Times New Roman"/>
              </w:rPr>
              <w:t xml:space="preserve"> do programu oraz weryfikacj</w:t>
            </w:r>
            <w:r w:rsidR="00FB1F5A">
              <w:rPr>
                <w:rFonts w:ascii="Times New Roman" w:hAnsi="Times New Roman"/>
              </w:rPr>
              <w:t>i</w:t>
            </w:r>
            <w:r w:rsidRPr="00301033">
              <w:rPr>
                <w:rFonts w:ascii="Times New Roman" w:hAnsi="Times New Roman"/>
              </w:rPr>
              <w:t xml:space="preserve"> skuteczności leczenia </w:t>
            </w:r>
            <w:r w:rsidR="00D14C05">
              <w:rPr>
                <w:rFonts w:ascii="Times New Roman" w:hAnsi="Times New Roman"/>
              </w:rPr>
              <w:t>dokonuje</w:t>
            </w:r>
            <w:r w:rsidR="00C31ECB">
              <w:rPr>
                <w:rFonts w:ascii="Times New Roman" w:hAnsi="Times New Roman"/>
              </w:rPr>
              <w:t xml:space="preserve"> </w:t>
            </w:r>
            <w:r w:rsidR="00D14C05">
              <w:rPr>
                <w:rFonts w:ascii="Times New Roman" w:hAnsi="Times New Roman"/>
              </w:rPr>
              <w:t>lekarz prowadzący pacjenta</w:t>
            </w:r>
            <w:r w:rsidR="005629CB">
              <w:rPr>
                <w:rFonts w:ascii="Times New Roman" w:hAnsi="Times New Roman"/>
              </w:rPr>
              <w:t>, w oparciu o ocenę stanu klinicznego pacjenta oraz ocenę efektywności zastosowanej terapii.</w:t>
            </w:r>
            <w:r w:rsidR="00C31ECB">
              <w:rPr>
                <w:rFonts w:ascii="Times New Roman" w:hAnsi="Times New Roman"/>
              </w:rPr>
              <w:t xml:space="preserve"> Wizyty monitorujące odbywają się co 14 dni</w:t>
            </w:r>
            <w:r w:rsidR="00FA6ADA">
              <w:rPr>
                <w:rFonts w:ascii="Times New Roman" w:hAnsi="Times New Roman"/>
              </w:rPr>
              <w:t xml:space="preserve"> </w:t>
            </w:r>
            <w:r w:rsidR="00FA6ADA" w:rsidRPr="00667200">
              <w:rPr>
                <w:rFonts w:ascii="Times New Roman" w:hAnsi="Times New Roman"/>
                <w:bCs/>
                <w:iCs/>
              </w:rPr>
              <w:t>(</w:t>
            </w:r>
            <w:r w:rsidR="00FA6ADA" w:rsidRPr="00F220E5">
              <w:rPr>
                <w:rFonts w:ascii="Times New Roman" w:eastAsia="Malgun Gothic" w:hAnsi="Times New Roman"/>
                <w:noProof/>
              </w:rPr>
              <w:t>±2 dni)</w:t>
            </w:r>
            <w:r w:rsidR="00FA6ADA">
              <w:rPr>
                <w:rFonts w:ascii="Times New Roman" w:hAnsi="Times New Roman"/>
              </w:rPr>
              <w:t>.</w:t>
            </w:r>
          </w:p>
          <w:p w14:paraId="7B326ED2" w14:textId="77777777" w:rsidR="005010B6" w:rsidRDefault="005629CB" w:rsidP="00A545CD">
            <w:pPr>
              <w:spacing w:after="60"/>
              <w:jc w:val="both"/>
              <w:rPr>
                <w:rFonts w:ascii="Times New Roman" w:hAnsi="Times New Roman"/>
              </w:rPr>
            </w:pPr>
            <w:r w:rsidRPr="006A1D5A">
              <w:rPr>
                <w:rFonts w:ascii="Times New Roman" w:hAnsi="Times New Roman"/>
              </w:rPr>
              <w:t xml:space="preserve">W programie </w:t>
            </w:r>
            <w:r w:rsidRPr="00FB1F5A">
              <w:rPr>
                <w:rFonts w:ascii="Times New Roman" w:hAnsi="Times New Roman"/>
              </w:rPr>
              <w:t>finansuje się leczenie</w:t>
            </w:r>
            <w:r w:rsidR="005010B6">
              <w:rPr>
                <w:rFonts w:ascii="Times New Roman" w:hAnsi="Times New Roman"/>
              </w:rPr>
              <w:t>:</w:t>
            </w:r>
            <w:r w:rsidRPr="00FB1F5A">
              <w:rPr>
                <w:rFonts w:ascii="Times New Roman" w:hAnsi="Times New Roman"/>
              </w:rPr>
              <w:t xml:space="preserve"> </w:t>
            </w:r>
          </w:p>
          <w:p w14:paraId="28E7C7FE" w14:textId="7890389A" w:rsidR="005010B6" w:rsidRDefault="005629CB" w:rsidP="00A545CD">
            <w:pPr>
              <w:pStyle w:val="Akapitzlist"/>
              <w:numPr>
                <w:ilvl w:val="0"/>
                <w:numId w:val="34"/>
              </w:numPr>
              <w:spacing w:after="60"/>
              <w:ind w:left="584" w:hanging="357"/>
              <w:contextualSpacing w:val="0"/>
              <w:jc w:val="both"/>
              <w:rPr>
                <w:rFonts w:ascii="Times New Roman" w:hAnsi="Times New Roman"/>
              </w:rPr>
            </w:pPr>
            <w:proofErr w:type="spellStart"/>
            <w:r w:rsidRPr="00952848">
              <w:rPr>
                <w:rFonts w:ascii="Times New Roman" w:hAnsi="Times New Roman"/>
                <w:i/>
                <w:iCs/>
              </w:rPr>
              <w:t>maribawirem</w:t>
            </w:r>
            <w:proofErr w:type="spellEnd"/>
            <w:r w:rsidRPr="005010B6">
              <w:rPr>
                <w:rFonts w:ascii="Times New Roman" w:hAnsi="Times New Roman"/>
              </w:rPr>
              <w:t xml:space="preserve"> </w:t>
            </w:r>
            <w:r w:rsidR="00EA6406" w:rsidRPr="005010B6">
              <w:rPr>
                <w:rFonts w:ascii="Times New Roman" w:hAnsi="Times New Roman"/>
              </w:rPr>
              <w:t>w II</w:t>
            </w:r>
            <w:r w:rsidR="000B310A" w:rsidRPr="005010B6">
              <w:rPr>
                <w:rFonts w:ascii="Times New Roman" w:hAnsi="Times New Roman"/>
              </w:rPr>
              <w:t xml:space="preserve"> lub kolejnej </w:t>
            </w:r>
            <w:r w:rsidR="00EA6406" w:rsidRPr="005010B6">
              <w:rPr>
                <w:rFonts w:ascii="Times New Roman" w:hAnsi="Times New Roman"/>
              </w:rPr>
              <w:t xml:space="preserve">linii leczenia </w:t>
            </w:r>
          </w:p>
          <w:p w14:paraId="31BC2084" w14:textId="7BD03616" w:rsidR="005010B6" w:rsidRDefault="00EA6406" w:rsidP="00A545CD">
            <w:pPr>
              <w:spacing w:after="60"/>
              <w:jc w:val="both"/>
              <w:rPr>
                <w:rFonts w:ascii="Times New Roman" w:hAnsi="Times New Roman"/>
              </w:rPr>
            </w:pPr>
            <w:r w:rsidRPr="005010B6">
              <w:rPr>
                <w:rFonts w:ascii="Times New Roman" w:hAnsi="Times New Roman"/>
              </w:rPr>
              <w:t xml:space="preserve">pacjentów po przeszczepieniu krwiotwórczych komórek macierzystych lub narządu litego zakażonych wirusem cytomegalii (CMV) </w:t>
            </w:r>
            <w:r w:rsidR="005629CB" w:rsidRPr="005010B6">
              <w:rPr>
                <w:rFonts w:ascii="Times New Roman" w:hAnsi="Times New Roman"/>
              </w:rPr>
              <w:t>zgodnie ze wskazanymi w opisie programu warunkami i kryteriami</w:t>
            </w:r>
            <w:r w:rsidR="0032766F">
              <w:rPr>
                <w:rFonts w:ascii="Times New Roman" w:hAnsi="Times New Roman"/>
              </w:rPr>
              <w:t>.</w:t>
            </w:r>
          </w:p>
          <w:p w14:paraId="130DB86F" w14:textId="77777777" w:rsidR="0032766F" w:rsidRPr="005010B6" w:rsidRDefault="0032766F" w:rsidP="00A545CD">
            <w:pPr>
              <w:spacing w:after="60"/>
              <w:jc w:val="both"/>
              <w:rPr>
                <w:rFonts w:ascii="Times New Roman" w:hAnsi="Times New Roman"/>
              </w:rPr>
            </w:pPr>
          </w:p>
          <w:p w14:paraId="0DFC3D70" w14:textId="71592EA5" w:rsidR="00301033" w:rsidRPr="006A1D5A" w:rsidRDefault="00301033" w:rsidP="00A545CD">
            <w:pPr>
              <w:pStyle w:val="Akapitzlist"/>
              <w:numPr>
                <w:ilvl w:val="0"/>
                <w:numId w:val="20"/>
              </w:numPr>
              <w:spacing w:after="60"/>
              <w:contextualSpacing w:val="0"/>
              <w:jc w:val="both"/>
              <w:rPr>
                <w:rFonts w:ascii="Times New Roman" w:hAnsi="Times New Roman"/>
              </w:rPr>
            </w:pPr>
            <w:r w:rsidRPr="006A1D5A">
              <w:rPr>
                <w:rFonts w:ascii="Times New Roman" w:hAnsi="Times New Roman"/>
                <w:b/>
                <w:bCs/>
                <w:iCs/>
              </w:rPr>
              <w:t xml:space="preserve">Kryteria kwalifikacji </w:t>
            </w:r>
          </w:p>
          <w:p w14:paraId="20CD9FD8" w14:textId="114C5F52" w:rsidR="00301033" w:rsidRPr="006A1D5A" w:rsidRDefault="005629CB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</w:t>
            </w:r>
            <w:r w:rsidR="00301033" w:rsidRPr="006A1D5A">
              <w:rPr>
                <w:rFonts w:ascii="Times New Roman" w:hAnsi="Times New Roman"/>
              </w:rPr>
              <w:t>iek 18 lat</w:t>
            </w:r>
            <w:r>
              <w:rPr>
                <w:rFonts w:ascii="Times New Roman" w:hAnsi="Times New Roman"/>
              </w:rPr>
              <w:t xml:space="preserve"> i powyżej</w:t>
            </w:r>
            <w:r w:rsidR="00301033" w:rsidRPr="006A1D5A">
              <w:rPr>
                <w:rFonts w:ascii="Times New Roman" w:hAnsi="Times New Roman"/>
              </w:rPr>
              <w:t>;</w:t>
            </w:r>
          </w:p>
          <w:p w14:paraId="0B79F71E" w14:textId="39F191B9" w:rsidR="00301033" w:rsidRPr="00301033" w:rsidRDefault="005629CB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udokumentowane </w:t>
            </w:r>
            <w:r w:rsidR="00301033" w:rsidRPr="00301033">
              <w:rPr>
                <w:rFonts w:ascii="Times New Roman" w:hAnsi="Times New Roman"/>
              </w:rPr>
              <w:t>przeszczepienie krwiotwórczych komórek macierzystych (HSCT)</w:t>
            </w:r>
            <w:r>
              <w:rPr>
                <w:rFonts w:ascii="Times New Roman" w:hAnsi="Times New Roman"/>
              </w:rPr>
              <w:t xml:space="preserve"> lub przeszczepienie narządu litego (SOT)</w:t>
            </w:r>
            <w:r w:rsidR="00301033" w:rsidRPr="00301033">
              <w:rPr>
                <w:rFonts w:ascii="Times New Roman" w:hAnsi="Times New Roman"/>
              </w:rPr>
              <w:t>;</w:t>
            </w:r>
          </w:p>
          <w:p w14:paraId="7F7B7782" w14:textId="64F1BCED" w:rsidR="00E97EF1" w:rsidRDefault="00301033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6A1D5A">
              <w:rPr>
                <w:rFonts w:ascii="Times New Roman" w:hAnsi="Times New Roman"/>
              </w:rPr>
              <w:t>zakażenie CMV</w:t>
            </w:r>
            <w:r w:rsidR="005629CB">
              <w:rPr>
                <w:rFonts w:ascii="Times New Roman" w:hAnsi="Times New Roman"/>
              </w:rPr>
              <w:t xml:space="preserve"> potwierdzone</w:t>
            </w:r>
            <w:r w:rsidRPr="006A1D5A">
              <w:rPr>
                <w:rFonts w:ascii="Times New Roman" w:hAnsi="Times New Roman"/>
              </w:rPr>
              <w:t xml:space="preserve"> w badaniu ilościowym CMV</w:t>
            </w:r>
            <w:r w:rsidR="006B21FA">
              <w:rPr>
                <w:rFonts w:ascii="Times New Roman" w:hAnsi="Times New Roman"/>
              </w:rPr>
              <w:t>-</w:t>
            </w:r>
            <w:r w:rsidRPr="006A1D5A">
              <w:rPr>
                <w:rFonts w:ascii="Times New Roman" w:hAnsi="Times New Roman"/>
              </w:rPr>
              <w:t xml:space="preserve">DNA </w:t>
            </w:r>
            <w:r w:rsidR="005629CB">
              <w:rPr>
                <w:rFonts w:ascii="Times New Roman" w:hAnsi="Times New Roman"/>
              </w:rPr>
              <w:t>(</w:t>
            </w:r>
            <w:proofErr w:type="spellStart"/>
            <w:r w:rsidRPr="006A1D5A">
              <w:rPr>
                <w:rFonts w:ascii="Times New Roman" w:hAnsi="Times New Roman"/>
              </w:rPr>
              <w:t>qPCR</w:t>
            </w:r>
            <w:proofErr w:type="spellEnd"/>
            <w:r w:rsidRPr="006A1D5A">
              <w:rPr>
                <w:rFonts w:ascii="Times New Roman" w:hAnsi="Times New Roman"/>
              </w:rPr>
              <w:t>)</w:t>
            </w:r>
            <w:r w:rsidR="00F059D7">
              <w:rPr>
                <w:rFonts w:ascii="Times New Roman" w:hAnsi="Times New Roman"/>
              </w:rPr>
              <w:t xml:space="preserve"> z poziomem wiremii CMV w momencie kwalifikacji do leczenia </w:t>
            </w:r>
            <w:proofErr w:type="spellStart"/>
            <w:r w:rsidR="00F059D7">
              <w:rPr>
                <w:rFonts w:ascii="Times New Roman" w:hAnsi="Times New Roman"/>
              </w:rPr>
              <w:t>maribiwirem</w:t>
            </w:r>
            <w:proofErr w:type="spellEnd"/>
            <w:r w:rsidR="00F059D7">
              <w:rPr>
                <w:rFonts w:ascii="Times New Roman" w:hAnsi="Times New Roman"/>
              </w:rPr>
              <w:t xml:space="preserve"> &gt; 910 IU/ml</w:t>
            </w:r>
            <w:r w:rsidR="00FB1F5A">
              <w:rPr>
                <w:rFonts w:ascii="Times New Roman" w:hAnsi="Times New Roman"/>
              </w:rPr>
              <w:t xml:space="preserve"> lub równoważnik w kopiach/ml</w:t>
            </w:r>
            <w:r w:rsidRPr="006A1D5A">
              <w:rPr>
                <w:rFonts w:ascii="Times New Roman" w:hAnsi="Times New Roman"/>
              </w:rPr>
              <w:t>;</w:t>
            </w:r>
          </w:p>
          <w:p w14:paraId="01049097" w14:textId="77777777" w:rsidR="00952848" w:rsidRDefault="002E462E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brak skuteczności wcześniejszego leczenia rozumiany jako:</w:t>
            </w:r>
          </w:p>
          <w:p w14:paraId="6280C476" w14:textId="628DB0F7" w:rsidR="00952848" w:rsidRDefault="00F059D7" w:rsidP="00A545CD">
            <w:pPr>
              <w:pStyle w:val="Akapitzlist"/>
              <w:numPr>
                <w:ilvl w:val="1"/>
                <w:numId w:val="37"/>
              </w:numPr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lastRenderedPageBreak/>
              <w:t>brak spadku wiremii</w:t>
            </w:r>
            <w:r w:rsidR="00630A7B" w:rsidRPr="00952848">
              <w:rPr>
                <w:rFonts w:ascii="Times New Roman" w:hAnsi="Times New Roman"/>
              </w:rPr>
              <w:t xml:space="preserve"> CMV</w:t>
            </w:r>
            <w:r w:rsidRPr="00952848">
              <w:rPr>
                <w:rFonts w:ascii="Times New Roman" w:hAnsi="Times New Roman"/>
              </w:rPr>
              <w:t xml:space="preserve"> </w:t>
            </w:r>
            <w:r w:rsidR="00FB1F5A" w:rsidRPr="00952848">
              <w:rPr>
                <w:rFonts w:ascii="Times New Roman" w:hAnsi="Times New Roman"/>
              </w:rPr>
              <w:t>w stosunku do wartości wyjściowej</w:t>
            </w:r>
            <w:r w:rsidR="00630A7B" w:rsidRPr="00952848">
              <w:rPr>
                <w:rFonts w:ascii="Times New Roman" w:hAnsi="Times New Roman"/>
              </w:rPr>
              <w:t xml:space="preserve"> </w:t>
            </w:r>
            <w:r w:rsidR="00D14C05" w:rsidRPr="00952848">
              <w:rPr>
                <w:rFonts w:ascii="Times New Roman" w:hAnsi="Times New Roman"/>
              </w:rPr>
              <w:t>o co najmniej 1</w:t>
            </w:r>
            <w:r w:rsidRPr="00952848">
              <w:rPr>
                <w:rFonts w:ascii="Times New Roman" w:hAnsi="Times New Roman"/>
              </w:rPr>
              <w:t xml:space="preserve"> log</w:t>
            </w:r>
            <w:r w:rsidR="00FB1F5A" w:rsidRPr="00952848">
              <w:rPr>
                <w:rFonts w:ascii="Times New Roman" w:hAnsi="Times New Roman"/>
              </w:rPr>
              <w:t xml:space="preserve"> po co najmniej 14 dniach</w:t>
            </w:r>
            <w:r w:rsidRPr="00952848">
              <w:rPr>
                <w:rFonts w:ascii="Times New Roman" w:hAnsi="Times New Roman"/>
              </w:rPr>
              <w:t xml:space="preserve"> </w:t>
            </w:r>
            <w:r w:rsidR="00EA6406" w:rsidRPr="00952848">
              <w:rPr>
                <w:rFonts w:ascii="Times New Roman" w:hAnsi="Times New Roman"/>
              </w:rPr>
              <w:t xml:space="preserve">terapii </w:t>
            </w:r>
            <w:proofErr w:type="spellStart"/>
            <w:r w:rsidR="00EA6406" w:rsidRPr="00952848">
              <w:rPr>
                <w:rFonts w:ascii="Times New Roman" w:hAnsi="Times New Roman"/>
              </w:rPr>
              <w:t>gancyklowirem</w:t>
            </w:r>
            <w:proofErr w:type="spellEnd"/>
            <w:r w:rsidR="00EA6406" w:rsidRPr="00952848">
              <w:rPr>
                <w:rFonts w:ascii="Times New Roman" w:hAnsi="Times New Roman"/>
              </w:rPr>
              <w:t xml:space="preserve"> lub </w:t>
            </w:r>
            <w:proofErr w:type="spellStart"/>
            <w:r w:rsidR="00EA6406" w:rsidRPr="00952848">
              <w:rPr>
                <w:rFonts w:ascii="Times New Roman" w:hAnsi="Times New Roman"/>
              </w:rPr>
              <w:t>walgancyklowirem</w:t>
            </w:r>
            <w:proofErr w:type="spellEnd"/>
            <w:r w:rsidR="00EA6406" w:rsidRPr="00952848">
              <w:rPr>
                <w:rFonts w:ascii="Times New Roman" w:hAnsi="Times New Roman"/>
              </w:rPr>
              <w:t xml:space="preserve"> </w:t>
            </w:r>
            <w:r w:rsidR="00D14C05" w:rsidRPr="00952848">
              <w:rPr>
                <w:rFonts w:ascii="Times New Roman" w:hAnsi="Times New Roman"/>
              </w:rPr>
              <w:t>lub</w:t>
            </w:r>
            <w:r w:rsidR="00227200" w:rsidRPr="00952848">
              <w:rPr>
                <w:rFonts w:ascii="Times New Roman" w:hAnsi="Times New Roman"/>
              </w:rPr>
              <w:t xml:space="preserve"> </w:t>
            </w:r>
            <w:proofErr w:type="spellStart"/>
            <w:r w:rsidR="00EA6406" w:rsidRPr="00952848">
              <w:rPr>
                <w:rFonts w:ascii="Times New Roman" w:hAnsi="Times New Roman"/>
              </w:rPr>
              <w:t>foskarnetem</w:t>
            </w:r>
            <w:proofErr w:type="spellEnd"/>
            <w:r w:rsidR="00EA6406" w:rsidRPr="00952848">
              <w:rPr>
                <w:rFonts w:ascii="Times New Roman" w:hAnsi="Times New Roman"/>
              </w:rPr>
              <w:t xml:space="preserve"> lub </w:t>
            </w:r>
            <w:proofErr w:type="spellStart"/>
            <w:r w:rsidR="00EA6406" w:rsidRPr="00952848">
              <w:rPr>
                <w:rFonts w:ascii="Times New Roman" w:hAnsi="Times New Roman"/>
              </w:rPr>
              <w:t>cydofowirem</w:t>
            </w:r>
            <w:proofErr w:type="spellEnd"/>
            <w:r w:rsidR="00E318C5" w:rsidRPr="00952848">
              <w:rPr>
                <w:rFonts w:ascii="Times New Roman" w:hAnsi="Times New Roman"/>
              </w:rPr>
              <w:t xml:space="preserve"> </w:t>
            </w:r>
            <w:r w:rsidR="00227200" w:rsidRPr="00952848">
              <w:rPr>
                <w:rFonts w:ascii="Times New Roman" w:hAnsi="Times New Roman"/>
              </w:rPr>
              <w:t>(w ocenianym 14 dniowym okresie dopuszcza się stosowanie sekwencyjne w/w leków)</w:t>
            </w:r>
          </w:p>
          <w:p w14:paraId="75A18B45" w14:textId="0622075A" w:rsidR="00E318C5" w:rsidRPr="00952848" w:rsidRDefault="00C31ECB" w:rsidP="00A545CD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l</w:t>
            </w:r>
            <w:r w:rsidR="00E318C5" w:rsidRPr="00952848">
              <w:rPr>
                <w:rFonts w:ascii="Times New Roman" w:hAnsi="Times New Roman"/>
              </w:rPr>
              <w:t>ub</w:t>
            </w:r>
          </w:p>
          <w:p w14:paraId="39820F45" w14:textId="316DB27E" w:rsidR="004F41E9" w:rsidRPr="00FA6ADA" w:rsidRDefault="004F41E9" w:rsidP="00A545CD">
            <w:pPr>
              <w:pStyle w:val="Akapitzlist"/>
              <w:numPr>
                <w:ilvl w:val="1"/>
                <w:numId w:val="37"/>
              </w:numPr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</w:rPr>
            </w:pPr>
            <w:r w:rsidRPr="00FA6ADA">
              <w:rPr>
                <w:rFonts w:ascii="Times New Roman" w:hAnsi="Times New Roman"/>
              </w:rPr>
              <w:t xml:space="preserve">w opinii lekarza prowadzącego brak </w:t>
            </w:r>
            <w:r w:rsidR="00921924" w:rsidRPr="00FA6ADA">
              <w:rPr>
                <w:rFonts w:ascii="Times New Roman" w:hAnsi="Times New Roman"/>
              </w:rPr>
              <w:t>poprawy lub</w:t>
            </w:r>
            <w:r w:rsidRPr="00FA6ADA">
              <w:rPr>
                <w:rFonts w:ascii="Times New Roman" w:hAnsi="Times New Roman"/>
              </w:rPr>
              <w:t xml:space="preserve"> nasileni</w:t>
            </w:r>
            <w:r w:rsidR="00921924" w:rsidRPr="00FA6ADA">
              <w:rPr>
                <w:rFonts w:ascii="Times New Roman" w:hAnsi="Times New Roman"/>
              </w:rPr>
              <w:t>e</w:t>
            </w:r>
            <w:r w:rsidRPr="00FA6ADA">
              <w:rPr>
                <w:rFonts w:ascii="Times New Roman" w:hAnsi="Times New Roman"/>
              </w:rPr>
              <w:t xml:space="preserve"> objawów narządowych u pacjentów po SOT z rozpoznaną w badaniu histologicznym narządową postacią CMV, mogącą prowadzić do utraty przeszczepionego narządu przy jednoczesnym brak</w:t>
            </w:r>
            <w:r w:rsidR="00921924" w:rsidRPr="00FA6ADA">
              <w:rPr>
                <w:rFonts w:ascii="Times New Roman" w:hAnsi="Times New Roman"/>
              </w:rPr>
              <w:t>u</w:t>
            </w:r>
            <w:r w:rsidRPr="00FA6ADA">
              <w:rPr>
                <w:rFonts w:ascii="Times New Roman" w:hAnsi="Times New Roman"/>
              </w:rPr>
              <w:t xml:space="preserve"> spadku wiremii CMV </w:t>
            </w:r>
            <w:r w:rsidR="00750DD3" w:rsidRPr="00FA6ADA">
              <w:rPr>
                <w:rFonts w:ascii="Times New Roman" w:hAnsi="Times New Roman"/>
              </w:rPr>
              <w:t>o co najmniej</w:t>
            </w:r>
            <w:r w:rsidRPr="00FA6ADA">
              <w:rPr>
                <w:rFonts w:ascii="Times New Roman" w:hAnsi="Times New Roman"/>
              </w:rPr>
              <w:t xml:space="preserve"> </w:t>
            </w:r>
            <w:r w:rsidR="00750DD3" w:rsidRPr="00FA6ADA">
              <w:rPr>
                <w:rFonts w:ascii="Times New Roman" w:hAnsi="Times New Roman"/>
              </w:rPr>
              <w:t>1</w:t>
            </w:r>
            <w:r w:rsidRPr="00FA6ADA">
              <w:rPr>
                <w:rFonts w:ascii="Times New Roman" w:hAnsi="Times New Roman"/>
              </w:rPr>
              <w:t xml:space="preserve"> log</w:t>
            </w:r>
            <w:r w:rsidR="00FB1F5A">
              <w:rPr>
                <w:rFonts w:ascii="Times New Roman" w:hAnsi="Times New Roman"/>
              </w:rPr>
              <w:t xml:space="preserve"> </w:t>
            </w:r>
            <w:r w:rsidR="00FB1F5A" w:rsidRPr="00FB1F5A">
              <w:rPr>
                <w:rFonts w:ascii="Times New Roman" w:hAnsi="Times New Roman"/>
              </w:rPr>
              <w:t>po co najmniej 21 dniach terapii</w:t>
            </w:r>
            <w:r w:rsidR="00FB1F5A">
              <w:rPr>
                <w:rFonts w:ascii="Times New Roman" w:hAnsi="Times New Roman"/>
              </w:rPr>
              <w:t xml:space="preserve"> </w:t>
            </w:r>
            <w:proofErr w:type="spellStart"/>
            <w:r w:rsidRPr="00FA6ADA">
              <w:rPr>
                <w:rFonts w:ascii="Times New Roman" w:hAnsi="Times New Roman"/>
              </w:rPr>
              <w:t>gancyklowirem</w:t>
            </w:r>
            <w:proofErr w:type="spellEnd"/>
            <w:r w:rsidRPr="00FA6ADA">
              <w:rPr>
                <w:rFonts w:ascii="Times New Roman" w:hAnsi="Times New Roman"/>
              </w:rPr>
              <w:t xml:space="preserve"> lub </w:t>
            </w:r>
            <w:proofErr w:type="spellStart"/>
            <w:r w:rsidRPr="00FA6ADA">
              <w:rPr>
                <w:rFonts w:ascii="Times New Roman" w:hAnsi="Times New Roman"/>
              </w:rPr>
              <w:t>walgancyklowirem</w:t>
            </w:r>
            <w:proofErr w:type="spellEnd"/>
            <w:r w:rsidRPr="00FA6ADA">
              <w:rPr>
                <w:rFonts w:ascii="Times New Roman" w:hAnsi="Times New Roman"/>
              </w:rPr>
              <w:t xml:space="preserve"> </w:t>
            </w:r>
            <w:r w:rsidR="00921924" w:rsidRPr="00FA6ADA">
              <w:rPr>
                <w:rFonts w:ascii="Times New Roman" w:hAnsi="Times New Roman"/>
              </w:rPr>
              <w:t>lub</w:t>
            </w:r>
            <w:r w:rsidRPr="00FA6ADA">
              <w:rPr>
                <w:rFonts w:ascii="Times New Roman" w:hAnsi="Times New Roman"/>
              </w:rPr>
              <w:t xml:space="preserve"> </w:t>
            </w:r>
            <w:proofErr w:type="spellStart"/>
            <w:r w:rsidRPr="00FA6ADA">
              <w:rPr>
                <w:rFonts w:ascii="Times New Roman" w:hAnsi="Times New Roman"/>
              </w:rPr>
              <w:t>foskarnetem</w:t>
            </w:r>
            <w:proofErr w:type="spellEnd"/>
            <w:r w:rsidRPr="00FA6ADA">
              <w:rPr>
                <w:rFonts w:ascii="Times New Roman" w:hAnsi="Times New Roman"/>
              </w:rPr>
              <w:t xml:space="preserve"> lub </w:t>
            </w:r>
            <w:proofErr w:type="spellStart"/>
            <w:r w:rsidRPr="00FA6ADA">
              <w:rPr>
                <w:rFonts w:ascii="Times New Roman" w:hAnsi="Times New Roman"/>
              </w:rPr>
              <w:t>cydofowirem</w:t>
            </w:r>
            <w:proofErr w:type="spellEnd"/>
            <w:r w:rsidR="00921924" w:rsidRPr="00FA6ADA">
              <w:rPr>
                <w:rFonts w:ascii="Times New Roman" w:hAnsi="Times New Roman"/>
              </w:rPr>
              <w:t xml:space="preserve"> (w ocenianym </w:t>
            </w:r>
            <w:r w:rsidR="00FB1F5A">
              <w:rPr>
                <w:rFonts w:ascii="Times New Roman" w:hAnsi="Times New Roman"/>
              </w:rPr>
              <w:t>21</w:t>
            </w:r>
            <w:r w:rsidR="00921924" w:rsidRPr="00FA6ADA">
              <w:rPr>
                <w:rFonts w:ascii="Times New Roman" w:hAnsi="Times New Roman"/>
              </w:rPr>
              <w:t xml:space="preserve"> </w:t>
            </w:r>
            <w:r w:rsidR="00FB1F5A">
              <w:rPr>
                <w:rFonts w:ascii="Times New Roman" w:hAnsi="Times New Roman"/>
              </w:rPr>
              <w:t xml:space="preserve">dniowym </w:t>
            </w:r>
            <w:r w:rsidR="00921924" w:rsidRPr="00FA6ADA">
              <w:rPr>
                <w:rFonts w:ascii="Times New Roman" w:hAnsi="Times New Roman"/>
              </w:rPr>
              <w:t>okresie dopuszcza się stosowanie sekwencyjne w/w leków)</w:t>
            </w:r>
            <w:r w:rsidR="00A545CD">
              <w:rPr>
                <w:rFonts w:ascii="Times New Roman" w:hAnsi="Times New Roman"/>
              </w:rPr>
              <w:t>;</w:t>
            </w:r>
          </w:p>
          <w:p w14:paraId="351B7E92" w14:textId="45A5322F" w:rsidR="00742480" w:rsidRPr="00301033" w:rsidRDefault="00742480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wykluczenie </w:t>
            </w:r>
            <w:r w:rsidRPr="00742480">
              <w:rPr>
                <w:rFonts w:ascii="Times New Roman" w:hAnsi="Times New Roman"/>
                <w:bCs/>
              </w:rPr>
              <w:t>inwazyjn</w:t>
            </w:r>
            <w:r>
              <w:rPr>
                <w:rFonts w:ascii="Times New Roman" w:hAnsi="Times New Roman"/>
                <w:bCs/>
              </w:rPr>
              <w:t>ej</w:t>
            </w:r>
            <w:r w:rsidRPr="00742480">
              <w:rPr>
                <w:rFonts w:ascii="Times New Roman" w:hAnsi="Times New Roman"/>
                <w:bCs/>
              </w:rPr>
              <w:t xml:space="preserve"> chorob</w:t>
            </w:r>
            <w:r w:rsidR="006A1D5A">
              <w:rPr>
                <w:rFonts w:ascii="Times New Roman" w:hAnsi="Times New Roman"/>
                <w:bCs/>
              </w:rPr>
              <w:t>y</w:t>
            </w:r>
            <w:r w:rsidRPr="00742480">
              <w:rPr>
                <w:rFonts w:ascii="Times New Roman" w:hAnsi="Times New Roman"/>
                <w:bCs/>
              </w:rPr>
              <w:t xml:space="preserve"> tkankow</w:t>
            </w:r>
            <w:r>
              <w:rPr>
                <w:rFonts w:ascii="Times New Roman" w:hAnsi="Times New Roman"/>
                <w:bCs/>
              </w:rPr>
              <w:t>ej</w:t>
            </w:r>
            <w:r w:rsidRPr="00742480">
              <w:rPr>
                <w:rFonts w:ascii="Times New Roman" w:hAnsi="Times New Roman"/>
                <w:bCs/>
              </w:rPr>
              <w:t xml:space="preserve"> CMV obejmując</w:t>
            </w:r>
            <w:r>
              <w:rPr>
                <w:rFonts w:ascii="Times New Roman" w:hAnsi="Times New Roman"/>
                <w:bCs/>
              </w:rPr>
              <w:t>ej</w:t>
            </w:r>
            <w:r w:rsidRPr="00742480">
              <w:rPr>
                <w:rFonts w:ascii="Times New Roman" w:hAnsi="Times New Roman"/>
                <w:bCs/>
              </w:rPr>
              <w:t xml:space="preserve"> OUN </w:t>
            </w:r>
            <w:r w:rsidR="00F669C8">
              <w:rPr>
                <w:rFonts w:ascii="Times New Roman" w:hAnsi="Times New Roman"/>
                <w:bCs/>
              </w:rPr>
              <w:t xml:space="preserve">(włączając zapalenie mózgu) </w:t>
            </w:r>
            <w:r w:rsidRPr="00742480">
              <w:rPr>
                <w:rFonts w:ascii="Times New Roman" w:hAnsi="Times New Roman"/>
                <w:bCs/>
              </w:rPr>
              <w:t>lub siatkówkę oka</w:t>
            </w:r>
            <w:r>
              <w:rPr>
                <w:rFonts w:ascii="Times New Roman" w:hAnsi="Times New Roman"/>
                <w:bCs/>
              </w:rPr>
              <w:t>;</w:t>
            </w:r>
          </w:p>
          <w:p w14:paraId="1676B761" w14:textId="77777777" w:rsidR="00750DD3" w:rsidRDefault="00F50314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F50314">
              <w:rPr>
                <w:rFonts w:ascii="Times New Roman" w:hAnsi="Times New Roman"/>
              </w:rPr>
              <w:t>adekwatna wydolność narządowa określona na podstawie wyników badań laboratoryjnych umożliwiająca w opinii lekarza prowadzącego bezpieczne rozpoczęcie terapii</w:t>
            </w:r>
            <w:r w:rsidR="006A1D5A">
              <w:rPr>
                <w:rFonts w:ascii="Times New Roman" w:hAnsi="Times New Roman"/>
              </w:rPr>
              <w:t>;</w:t>
            </w:r>
          </w:p>
          <w:p w14:paraId="1348A5D8" w14:textId="77777777" w:rsidR="00750DD3" w:rsidRDefault="00636B6D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50DD3">
              <w:rPr>
                <w:rFonts w:ascii="Times New Roman" w:hAnsi="Times New Roman"/>
              </w:rPr>
              <w:t xml:space="preserve">nieobecność istotnych schorzeń współistniejących lub stanów klinicznych </w:t>
            </w:r>
            <w:r w:rsidR="00F669C8" w:rsidRPr="00750DD3">
              <w:rPr>
                <w:rFonts w:ascii="Times New Roman" w:hAnsi="Times New Roman"/>
              </w:rPr>
              <w:t xml:space="preserve">oraz </w:t>
            </w:r>
            <w:r w:rsidR="00750DD3" w:rsidRPr="00750DD3">
              <w:rPr>
                <w:rFonts w:ascii="Times New Roman" w:hAnsi="Times New Roman"/>
              </w:rPr>
              <w:t xml:space="preserve">wykluczenie </w:t>
            </w:r>
            <w:r w:rsidR="00F669C8" w:rsidRPr="00750DD3">
              <w:rPr>
                <w:rFonts w:ascii="Times New Roman" w:hAnsi="Times New Roman"/>
              </w:rPr>
              <w:t xml:space="preserve">terapii </w:t>
            </w:r>
            <w:r w:rsidRPr="00750DD3">
              <w:rPr>
                <w:rFonts w:ascii="Times New Roman" w:hAnsi="Times New Roman"/>
              </w:rPr>
              <w:t xml:space="preserve">stanowiących przeciwskazanie do </w:t>
            </w:r>
            <w:r w:rsidR="00750DD3" w:rsidRPr="00750DD3">
              <w:rPr>
                <w:rFonts w:ascii="Times New Roman" w:hAnsi="Times New Roman"/>
              </w:rPr>
              <w:t xml:space="preserve">leczenia </w:t>
            </w:r>
            <w:proofErr w:type="spellStart"/>
            <w:r w:rsidR="00750DD3" w:rsidRPr="00750DD3">
              <w:rPr>
                <w:rFonts w:ascii="Times New Roman" w:hAnsi="Times New Roman"/>
              </w:rPr>
              <w:t>maribawirem</w:t>
            </w:r>
            <w:proofErr w:type="spellEnd"/>
            <w:r w:rsidRPr="00750DD3">
              <w:rPr>
                <w:rFonts w:ascii="Times New Roman" w:hAnsi="Times New Roman"/>
              </w:rPr>
              <w:t xml:space="preserve"> stwierdzonych przez lekarza prowadzącego w oparciu o aktualne </w:t>
            </w:r>
            <w:proofErr w:type="spellStart"/>
            <w:r w:rsidRPr="00750DD3">
              <w:rPr>
                <w:rFonts w:ascii="Times New Roman" w:hAnsi="Times New Roman"/>
              </w:rPr>
              <w:t>ChPL</w:t>
            </w:r>
            <w:proofErr w:type="spellEnd"/>
            <w:r w:rsidRPr="00750DD3">
              <w:rPr>
                <w:rFonts w:ascii="Times New Roman" w:hAnsi="Times New Roman"/>
              </w:rPr>
              <w:t>;</w:t>
            </w:r>
          </w:p>
          <w:p w14:paraId="13159DBA" w14:textId="4959C0DC" w:rsidR="00CA1AA5" w:rsidRDefault="00CA1AA5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wykluczenie ciąży i okresu karmienia piersią;</w:t>
            </w:r>
          </w:p>
          <w:p w14:paraId="73EBC669" w14:textId="38B5D0EF" w:rsidR="00F669C8" w:rsidRPr="0032766F" w:rsidRDefault="00CA1AA5" w:rsidP="00A545CD">
            <w:pPr>
              <w:pStyle w:val="Akapitzlist"/>
              <w:numPr>
                <w:ilvl w:val="0"/>
                <w:numId w:val="3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zgoda pacjenta na prowadzenie antykoncepcji zgodnie z aktualną </w:t>
            </w:r>
            <w:proofErr w:type="spellStart"/>
            <w:r>
              <w:rPr>
                <w:rFonts w:ascii="Times New Roman" w:hAnsi="Times New Roman"/>
              </w:rPr>
              <w:t>ChPL</w:t>
            </w:r>
            <w:proofErr w:type="spellEnd"/>
            <w:r w:rsidR="00D60B38">
              <w:rPr>
                <w:rFonts w:ascii="Times New Roman" w:hAnsi="Times New Roman"/>
              </w:rPr>
              <w:t>.</w:t>
            </w:r>
          </w:p>
          <w:p w14:paraId="448C7908" w14:textId="2EAB52D6" w:rsidR="00A3172B" w:rsidRDefault="00A3172B" w:rsidP="00A3172B">
            <w:pPr>
              <w:spacing w:after="60"/>
              <w:rPr>
                <w:rFonts w:ascii="Times New Roman" w:hAnsi="Times New Roman"/>
              </w:rPr>
            </w:pPr>
            <w:r w:rsidRPr="00B167A3">
              <w:rPr>
                <w:rFonts w:ascii="Times New Roman" w:hAnsi="Times New Roman"/>
              </w:rPr>
              <w:t xml:space="preserve">Kryteria </w:t>
            </w:r>
            <w:r w:rsidRPr="00A3172B">
              <w:rPr>
                <w:rFonts w:ascii="Times New Roman" w:hAnsi="Times New Roman"/>
              </w:rPr>
              <w:t>kwalifikacji</w:t>
            </w:r>
            <w:r>
              <w:rPr>
                <w:rFonts w:ascii="Times New Roman" w:hAnsi="Times New Roman"/>
              </w:rPr>
              <w:t xml:space="preserve"> </w:t>
            </w:r>
            <w:r w:rsidRPr="00B167A3">
              <w:rPr>
                <w:rFonts w:ascii="Times New Roman" w:hAnsi="Times New Roman"/>
              </w:rPr>
              <w:t>muszą być spełnione łącznie.</w:t>
            </w:r>
          </w:p>
          <w:p w14:paraId="260EEEFE" w14:textId="00E74D48" w:rsidR="00CA1AA5" w:rsidRDefault="00CA1AA5" w:rsidP="00A545CD">
            <w:pPr>
              <w:spacing w:after="60"/>
              <w:rPr>
                <w:rFonts w:ascii="Times New Roman" w:hAnsi="Times New Roman"/>
              </w:rPr>
            </w:pPr>
            <w:r w:rsidRPr="001D02D0">
              <w:rPr>
                <w:rFonts w:ascii="Times New Roman" w:hAnsi="Times New Roman"/>
              </w:rPr>
              <w:t xml:space="preserve">Ponadto do programu lekowego kwalifikowani są również pacjenci wymagający kontynuacji leczenia, którzy byli leczeni substancją czynną finansowaną w programie lekowym w ramach innego </w:t>
            </w:r>
            <w:r w:rsidRPr="001D02D0">
              <w:rPr>
                <w:rFonts w:ascii="Times New Roman" w:hAnsi="Times New Roman"/>
              </w:rPr>
              <w:lastRenderedPageBreak/>
              <w:t>sposobu finansowania terapii, za wyjątkiem trwających badań klinicznych tego leku, pod warunkiem, że w chwili rozpoczęcia leczenia spełniali kryteria kwalifikacji do programu lekowego.</w:t>
            </w:r>
          </w:p>
          <w:p w14:paraId="49496AEE" w14:textId="77777777" w:rsidR="0032766F" w:rsidRDefault="0032766F" w:rsidP="00A545CD">
            <w:pPr>
              <w:spacing w:after="60"/>
              <w:rPr>
                <w:rFonts w:ascii="Times New Roman" w:hAnsi="Times New Roman"/>
              </w:rPr>
            </w:pPr>
          </w:p>
          <w:p w14:paraId="40D7C215" w14:textId="77777777" w:rsidR="00301033" w:rsidRPr="00301033" w:rsidRDefault="00301033" w:rsidP="00A545CD">
            <w:pPr>
              <w:pStyle w:val="Akapitzlist"/>
              <w:numPr>
                <w:ilvl w:val="0"/>
                <w:numId w:val="20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301033">
              <w:rPr>
                <w:rFonts w:ascii="Times New Roman" w:hAnsi="Times New Roman"/>
                <w:b/>
              </w:rPr>
              <w:t xml:space="preserve">Określenie czasu </w:t>
            </w:r>
            <w:r w:rsidRPr="00CA1AA5">
              <w:rPr>
                <w:rFonts w:ascii="Times New Roman" w:hAnsi="Times New Roman"/>
                <w:b/>
                <w:bCs/>
                <w:iCs/>
              </w:rPr>
              <w:t>leczenia</w:t>
            </w:r>
            <w:r w:rsidRPr="00301033">
              <w:rPr>
                <w:rFonts w:ascii="Times New Roman" w:hAnsi="Times New Roman"/>
                <w:b/>
              </w:rPr>
              <w:t xml:space="preserve"> w programie</w:t>
            </w:r>
          </w:p>
          <w:p w14:paraId="459020AC" w14:textId="00EBCFC0" w:rsidR="0040522B" w:rsidRDefault="0040522B" w:rsidP="00A545CD">
            <w:pPr>
              <w:spacing w:after="60"/>
              <w:rPr>
                <w:rFonts w:ascii="Times New Roman" w:hAnsi="Times New Roman"/>
              </w:rPr>
            </w:pPr>
            <w:r w:rsidRPr="004E3DEC">
              <w:rPr>
                <w:rFonts w:ascii="Times New Roman" w:hAnsi="Times New Roman"/>
              </w:rPr>
              <w:t>Leczenie</w:t>
            </w:r>
            <w:r>
              <w:rPr>
                <w:rFonts w:ascii="Times New Roman" w:hAnsi="Times New Roman"/>
              </w:rPr>
              <w:t xml:space="preserve"> </w:t>
            </w:r>
            <w:r w:rsidRPr="004E3DEC">
              <w:rPr>
                <w:rFonts w:ascii="Times New Roman" w:hAnsi="Times New Roman"/>
              </w:rPr>
              <w:t>należy</w:t>
            </w:r>
            <w:r>
              <w:rPr>
                <w:rFonts w:ascii="Times New Roman" w:hAnsi="Times New Roman"/>
              </w:rPr>
              <w:t xml:space="preserve"> </w:t>
            </w:r>
            <w:r w:rsidRPr="004E3DEC">
              <w:rPr>
                <w:rFonts w:ascii="Times New Roman" w:hAnsi="Times New Roman"/>
              </w:rPr>
              <w:t>kontynuować</w:t>
            </w:r>
            <w:r>
              <w:rPr>
                <w:rFonts w:ascii="Times New Roman" w:hAnsi="Times New Roman"/>
              </w:rPr>
              <w:t xml:space="preserve"> </w:t>
            </w:r>
            <w:r w:rsidRPr="004E3DEC">
              <w:rPr>
                <w:rFonts w:ascii="Times New Roman" w:hAnsi="Times New Roman"/>
              </w:rPr>
              <w:t>do</w:t>
            </w:r>
            <w:r>
              <w:rPr>
                <w:rFonts w:ascii="Times New Roman" w:hAnsi="Times New Roman"/>
              </w:rPr>
              <w:t xml:space="preserve"> </w:t>
            </w:r>
            <w:r w:rsidRPr="004E3DEC">
              <w:rPr>
                <w:rFonts w:ascii="Times New Roman" w:hAnsi="Times New Roman"/>
              </w:rPr>
              <w:t>momentu</w:t>
            </w:r>
            <w:r>
              <w:rPr>
                <w:rFonts w:ascii="Times New Roman" w:hAnsi="Times New Roman"/>
              </w:rPr>
              <w:t xml:space="preserve"> </w:t>
            </w:r>
            <w:r w:rsidRPr="004E3DEC">
              <w:rPr>
                <w:rFonts w:ascii="Times New Roman" w:hAnsi="Times New Roman"/>
              </w:rPr>
              <w:t>podjęcia</w:t>
            </w:r>
            <w:r>
              <w:rPr>
                <w:rFonts w:ascii="Times New Roman" w:hAnsi="Times New Roman"/>
              </w:rPr>
              <w:t xml:space="preserve"> </w:t>
            </w:r>
            <w:r w:rsidRPr="004E3DEC">
              <w:rPr>
                <w:rFonts w:ascii="Times New Roman" w:hAnsi="Times New Roman"/>
              </w:rPr>
              <w:t>przez</w:t>
            </w:r>
            <w:r>
              <w:rPr>
                <w:rFonts w:ascii="Times New Roman" w:hAnsi="Times New Roman"/>
              </w:rPr>
              <w:t xml:space="preserve"> </w:t>
            </w:r>
            <w:r w:rsidR="00C20414">
              <w:rPr>
                <w:rFonts w:ascii="Times New Roman" w:hAnsi="Times New Roman"/>
              </w:rPr>
              <w:t xml:space="preserve">lekarza </w:t>
            </w:r>
            <w:r w:rsidR="00F83AD1">
              <w:rPr>
                <w:rFonts w:ascii="Times New Roman" w:hAnsi="Times New Roman"/>
              </w:rPr>
              <w:t xml:space="preserve">prowadzącego </w:t>
            </w:r>
            <w:r w:rsidRPr="004E3DEC">
              <w:rPr>
                <w:rFonts w:ascii="Times New Roman" w:hAnsi="Times New Roman"/>
              </w:rPr>
              <w:t>decyzji</w:t>
            </w:r>
            <w:r>
              <w:rPr>
                <w:rFonts w:ascii="Times New Roman" w:hAnsi="Times New Roman"/>
              </w:rPr>
              <w:t xml:space="preserve">  </w:t>
            </w:r>
            <w:r w:rsidRPr="004E3DEC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1D02D0">
              <w:rPr>
                <w:rFonts w:ascii="Times New Roman" w:hAnsi="Times New Roman"/>
              </w:rPr>
              <w:t>wyłączeniu świadczeniobiorcy z programu, zgodnie z kryteriami wyłączenia z programu, o których mowa w pkt</w:t>
            </w:r>
            <w:r>
              <w:rPr>
                <w:rFonts w:ascii="Times New Roman" w:hAnsi="Times New Roman"/>
              </w:rPr>
              <w:t>.</w:t>
            </w:r>
            <w:r w:rsidRPr="001D02D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</w:t>
            </w:r>
            <w:r w:rsidR="00C20414">
              <w:rPr>
                <w:rFonts w:ascii="Times New Roman" w:hAnsi="Times New Roman"/>
              </w:rPr>
              <w:t>.</w:t>
            </w:r>
          </w:p>
          <w:p w14:paraId="6101E8F2" w14:textId="39D9AEA5" w:rsidR="00852A61" w:rsidRDefault="00852A61" w:rsidP="00A545CD">
            <w:pPr>
              <w:spacing w:after="60"/>
              <w:rPr>
                <w:rFonts w:ascii="Times New Roman" w:eastAsia="Malgun Gothic" w:hAnsi="Times New Roman"/>
                <w:noProof/>
              </w:rPr>
            </w:pPr>
            <w:r>
              <w:rPr>
                <w:rFonts w:ascii="Times New Roman" w:hAnsi="Times New Roman"/>
              </w:rPr>
              <w:t xml:space="preserve">Leczenie trwa 8 tygodni </w:t>
            </w:r>
            <w:r w:rsidRPr="00667200">
              <w:rPr>
                <w:rFonts w:ascii="Times New Roman" w:hAnsi="Times New Roman"/>
                <w:bCs/>
                <w:iCs/>
              </w:rPr>
              <w:t>(</w:t>
            </w:r>
            <w:r w:rsidRPr="00F220E5">
              <w:rPr>
                <w:rFonts w:ascii="Times New Roman" w:eastAsia="Malgun Gothic" w:hAnsi="Times New Roman"/>
                <w:noProof/>
              </w:rPr>
              <w:t>±2 dni</w:t>
            </w:r>
            <w:r w:rsidR="00C20414">
              <w:rPr>
                <w:rFonts w:ascii="Times New Roman" w:eastAsia="Malgun Gothic" w:hAnsi="Times New Roman"/>
                <w:noProof/>
              </w:rPr>
              <w:t xml:space="preserve">), </w:t>
            </w:r>
            <w:r w:rsidR="00C20414" w:rsidRPr="00C20414">
              <w:rPr>
                <w:rFonts w:ascii="Times New Roman" w:eastAsia="Malgun Gothic" w:hAnsi="Times New Roman"/>
                <w:noProof/>
              </w:rPr>
              <w:t>z możliwością przedłużenia do maksymalnie 12 tygodni</w:t>
            </w:r>
            <w:r w:rsidR="0024119E">
              <w:rPr>
                <w:rFonts w:ascii="Times New Roman" w:eastAsia="Malgun Gothic" w:hAnsi="Times New Roman"/>
                <w:noProof/>
              </w:rPr>
              <w:t xml:space="preserve"> </w:t>
            </w:r>
            <w:r w:rsidR="0024119E" w:rsidRPr="00667200">
              <w:rPr>
                <w:rFonts w:ascii="Times New Roman" w:hAnsi="Times New Roman"/>
                <w:bCs/>
                <w:iCs/>
              </w:rPr>
              <w:t>(</w:t>
            </w:r>
            <w:r w:rsidR="0024119E" w:rsidRPr="00F220E5">
              <w:rPr>
                <w:rFonts w:ascii="Times New Roman" w:eastAsia="Malgun Gothic" w:hAnsi="Times New Roman"/>
                <w:noProof/>
              </w:rPr>
              <w:t>±2 dni</w:t>
            </w:r>
            <w:r w:rsidR="0024119E">
              <w:rPr>
                <w:rFonts w:ascii="Times New Roman" w:eastAsia="Malgun Gothic" w:hAnsi="Times New Roman"/>
                <w:noProof/>
              </w:rPr>
              <w:t>).</w:t>
            </w:r>
          </w:p>
          <w:p w14:paraId="05728FEA" w14:textId="77777777" w:rsidR="0032766F" w:rsidRDefault="0032766F" w:rsidP="00A545CD">
            <w:pPr>
              <w:spacing w:after="60"/>
              <w:rPr>
                <w:rFonts w:ascii="Times New Roman" w:hAnsi="Times New Roman"/>
              </w:rPr>
            </w:pPr>
          </w:p>
          <w:p w14:paraId="4318EEDE" w14:textId="53A9F3A2" w:rsidR="00301033" w:rsidRDefault="0040522B" w:rsidP="00A545CD">
            <w:pPr>
              <w:pStyle w:val="Akapitzlist"/>
              <w:numPr>
                <w:ilvl w:val="0"/>
                <w:numId w:val="20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6A1D5A">
              <w:rPr>
                <w:rFonts w:ascii="Times New Roman" w:hAnsi="Times New Roman"/>
                <w:b/>
              </w:rPr>
              <w:t>Kryteria oceny skuteczności leczenia</w:t>
            </w:r>
          </w:p>
          <w:p w14:paraId="1E3A74CE" w14:textId="4C0B33FC" w:rsidR="0040522B" w:rsidRDefault="004C5982" w:rsidP="00A545CD">
            <w:pPr>
              <w:spacing w:after="60"/>
              <w:rPr>
                <w:rFonts w:ascii="Times New Roman" w:hAnsi="Times New Roman"/>
              </w:rPr>
            </w:pPr>
            <w:r w:rsidRPr="006A1D5A">
              <w:rPr>
                <w:rFonts w:ascii="Times New Roman" w:hAnsi="Times New Roman"/>
              </w:rPr>
              <w:t>W celu potwierdzenia skuteczności leczenia pacjent musi spełni</w:t>
            </w:r>
            <w:r w:rsidR="00EA419E">
              <w:rPr>
                <w:rFonts w:ascii="Times New Roman" w:hAnsi="Times New Roman"/>
              </w:rPr>
              <w:t>ć poniższ</w:t>
            </w:r>
            <w:r w:rsidR="00C31ECB">
              <w:rPr>
                <w:rFonts w:ascii="Times New Roman" w:hAnsi="Times New Roman"/>
              </w:rPr>
              <w:t>e</w:t>
            </w:r>
            <w:r w:rsidRPr="006A1D5A">
              <w:rPr>
                <w:rFonts w:ascii="Times New Roman" w:hAnsi="Times New Roman"/>
              </w:rPr>
              <w:t>:</w:t>
            </w:r>
          </w:p>
          <w:p w14:paraId="296A07C5" w14:textId="3D4E70A1" w:rsidR="005F7CD1" w:rsidRDefault="004A1656" w:rsidP="00A545CD">
            <w:pPr>
              <w:pStyle w:val="Akapitzlist"/>
              <w:numPr>
                <w:ilvl w:val="0"/>
                <w:numId w:val="39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01033">
              <w:rPr>
                <w:rFonts w:ascii="Times New Roman" w:hAnsi="Times New Roman"/>
              </w:rPr>
              <w:t>zmniejszeni</w:t>
            </w:r>
            <w:r>
              <w:rPr>
                <w:rFonts w:ascii="Times New Roman" w:hAnsi="Times New Roman"/>
              </w:rPr>
              <w:t>e</w:t>
            </w:r>
            <w:r w:rsidRPr="00301033">
              <w:rPr>
                <w:rFonts w:ascii="Times New Roman" w:hAnsi="Times New Roman"/>
              </w:rPr>
              <w:t xml:space="preserve"> poziomu CMV</w:t>
            </w:r>
            <w:r w:rsidR="006B21FA">
              <w:rPr>
                <w:rFonts w:ascii="Times New Roman" w:hAnsi="Times New Roman"/>
              </w:rPr>
              <w:t>-</w:t>
            </w:r>
            <w:r w:rsidRPr="00301033">
              <w:rPr>
                <w:rFonts w:ascii="Times New Roman" w:hAnsi="Times New Roman"/>
              </w:rPr>
              <w:t xml:space="preserve">DNA względem wartości oznaczonej w momencie włączenia </w:t>
            </w:r>
            <w:r w:rsidR="00C31ECB" w:rsidRPr="00301033">
              <w:rPr>
                <w:rFonts w:ascii="Times New Roman" w:hAnsi="Times New Roman"/>
              </w:rPr>
              <w:t>do programu</w:t>
            </w:r>
            <w:r w:rsidR="00C31ECB">
              <w:rPr>
                <w:rFonts w:ascii="Times New Roman" w:hAnsi="Times New Roman"/>
              </w:rPr>
              <w:t xml:space="preserve"> o </w:t>
            </w:r>
            <w:r w:rsidR="00C31ECB" w:rsidRPr="00952848">
              <w:rPr>
                <w:rFonts w:ascii="Times New Roman" w:hAnsi="Times New Roman"/>
              </w:rPr>
              <w:t xml:space="preserve">co najmniej 1 log </w:t>
            </w:r>
            <w:r w:rsidRPr="00952848">
              <w:rPr>
                <w:rFonts w:ascii="Times New Roman" w:hAnsi="Times New Roman"/>
              </w:rPr>
              <w:t>na wizycie monitorującej leczenie</w:t>
            </w:r>
            <w:r w:rsidR="00E94F70" w:rsidRPr="00952848">
              <w:rPr>
                <w:rFonts w:ascii="Times New Roman" w:hAnsi="Times New Roman"/>
              </w:rPr>
              <w:t xml:space="preserve"> w 14 dniu</w:t>
            </w:r>
            <w:r w:rsidR="00E94F70">
              <w:rPr>
                <w:rFonts w:ascii="Times New Roman" w:hAnsi="Times New Roman"/>
              </w:rPr>
              <w:t xml:space="preserve"> oraz</w:t>
            </w:r>
            <w:r w:rsidR="00C31ECB">
              <w:rPr>
                <w:rFonts w:ascii="Times New Roman" w:hAnsi="Times New Roman"/>
              </w:rPr>
              <w:t xml:space="preserve"> brak wzrostu CMV-DNA</w:t>
            </w:r>
            <w:r w:rsidR="00E94F70">
              <w:rPr>
                <w:rFonts w:ascii="Times New Roman" w:hAnsi="Times New Roman"/>
              </w:rPr>
              <w:t xml:space="preserve"> na każdej kolejnej wizycie </w:t>
            </w:r>
            <w:r w:rsidR="00E94F70" w:rsidRPr="002A23BF">
              <w:rPr>
                <w:rFonts w:ascii="Times New Roman" w:hAnsi="Times New Roman"/>
              </w:rPr>
              <w:t>monitorującej</w:t>
            </w:r>
            <w:r w:rsidR="002B50D9" w:rsidRPr="002A23BF">
              <w:rPr>
                <w:rFonts w:ascii="Times New Roman" w:hAnsi="Times New Roman"/>
              </w:rPr>
              <w:t xml:space="preserve">, w odniesieniu do wartości w momencie włączenia do leczenia – </w:t>
            </w:r>
            <w:r w:rsidR="006A37E7" w:rsidRPr="002A23BF">
              <w:rPr>
                <w:rFonts w:ascii="Times New Roman" w:hAnsi="Times New Roman"/>
              </w:rPr>
              <w:t xml:space="preserve">kontynuacja leczenia pomimo </w:t>
            </w:r>
            <w:r w:rsidR="002B50D9" w:rsidRPr="002A23BF">
              <w:rPr>
                <w:rFonts w:ascii="Times New Roman" w:hAnsi="Times New Roman"/>
              </w:rPr>
              <w:t>niespełnieni</w:t>
            </w:r>
            <w:r w:rsidR="00DE3EBA">
              <w:rPr>
                <w:rFonts w:ascii="Times New Roman" w:hAnsi="Times New Roman"/>
              </w:rPr>
              <w:t>a</w:t>
            </w:r>
            <w:r w:rsidR="002B50D9" w:rsidRPr="002A23BF">
              <w:rPr>
                <w:rFonts w:ascii="Times New Roman" w:hAnsi="Times New Roman"/>
              </w:rPr>
              <w:t xml:space="preserve"> powyższego wymaga sprawozdania do SMPT</w:t>
            </w:r>
            <w:r w:rsidRPr="002A23BF">
              <w:rPr>
                <w:rFonts w:ascii="Times New Roman" w:hAnsi="Times New Roman"/>
              </w:rPr>
              <w:t>;</w:t>
            </w:r>
          </w:p>
          <w:p w14:paraId="36677F19" w14:textId="5A4CAAE7" w:rsidR="002B50D9" w:rsidRDefault="006B21FA" w:rsidP="00A545CD">
            <w:pPr>
              <w:pStyle w:val="Akapitzlist"/>
              <w:numPr>
                <w:ilvl w:val="0"/>
                <w:numId w:val="39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6B21FA">
              <w:rPr>
                <w:rFonts w:ascii="Times New Roman" w:hAnsi="Times New Roman"/>
              </w:rPr>
              <w:t xml:space="preserve">terapię uznaje się za skuteczną gdy </w:t>
            </w:r>
            <w:r w:rsidR="004419A3">
              <w:rPr>
                <w:rFonts w:ascii="Times New Roman" w:hAnsi="Times New Roman"/>
              </w:rPr>
              <w:t>poziom</w:t>
            </w:r>
            <w:r w:rsidR="005F7CD1" w:rsidRPr="006B21FA">
              <w:rPr>
                <w:rFonts w:ascii="Times New Roman" w:hAnsi="Times New Roman"/>
              </w:rPr>
              <w:t xml:space="preserve"> CMV</w:t>
            </w:r>
            <w:r>
              <w:rPr>
                <w:rFonts w:ascii="Times New Roman" w:hAnsi="Times New Roman"/>
              </w:rPr>
              <w:t>-</w:t>
            </w:r>
            <w:r w:rsidR="00C20414" w:rsidRPr="00C20414">
              <w:rPr>
                <w:rFonts w:ascii="Times New Roman" w:hAnsi="Times New Roman"/>
              </w:rPr>
              <w:t xml:space="preserve">DNA zmierzony na dwóch następujących po sobie wizytach monitorujących spadnie poniżej dolnego </w:t>
            </w:r>
            <w:r w:rsidR="00C20414" w:rsidRPr="002A23BF">
              <w:rPr>
                <w:rFonts w:ascii="Times New Roman" w:hAnsi="Times New Roman"/>
              </w:rPr>
              <w:t>progu oceny dla stosowanej metody oznaczania CMV-DNA</w:t>
            </w:r>
            <w:r w:rsidR="002B50D9" w:rsidRPr="002A23BF">
              <w:rPr>
                <w:rFonts w:ascii="Times New Roman" w:hAnsi="Times New Roman"/>
              </w:rPr>
              <w:t xml:space="preserve"> – czas trwania leczenia, po którym osiągnięto skuteczność wymaga sprawozdania do SMPT</w:t>
            </w:r>
            <w:r w:rsidR="006A37E7" w:rsidRPr="002A23BF">
              <w:rPr>
                <w:rFonts w:ascii="Times New Roman" w:hAnsi="Times New Roman"/>
              </w:rPr>
              <w:t xml:space="preserve"> w formacie [tyg. + dni]</w:t>
            </w:r>
            <w:r w:rsidR="00C20414" w:rsidRPr="002A23BF">
              <w:rPr>
                <w:rFonts w:ascii="Times New Roman" w:hAnsi="Times New Roman"/>
              </w:rPr>
              <w:t>.</w:t>
            </w:r>
            <w:r w:rsidR="00C20414" w:rsidRPr="00C20414">
              <w:rPr>
                <w:rFonts w:ascii="Times New Roman" w:hAnsi="Times New Roman"/>
              </w:rPr>
              <w:t xml:space="preserve"> </w:t>
            </w:r>
          </w:p>
          <w:p w14:paraId="5F26FDBB" w14:textId="77777777" w:rsidR="0032766F" w:rsidRPr="0032766F" w:rsidRDefault="0032766F" w:rsidP="00A545CD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</w:rPr>
            </w:pPr>
          </w:p>
          <w:p w14:paraId="75F1AE5C" w14:textId="2DC58955" w:rsidR="00BE71FB" w:rsidRDefault="00BE71FB" w:rsidP="00A545CD">
            <w:pPr>
              <w:pStyle w:val="Akapitzlist"/>
              <w:numPr>
                <w:ilvl w:val="0"/>
                <w:numId w:val="20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6A1D5A">
              <w:rPr>
                <w:rFonts w:ascii="Times New Roman" w:hAnsi="Times New Roman"/>
                <w:b/>
              </w:rPr>
              <w:t>Kryteria wyłączenia z programu</w:t>
            </w:r>
          </w:p>
          <w:p w14:paraId="3B883399" w14:textId="611AD0F0" w:rsidR="002B50D9" w:rsidRPr="00952848" w:rsidRDefault="004A1656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lastRenderedPageBreak/>
              <w:t>niewykrywalny poziom CMV DNA (poniżej dolnej granicy oznaczalności dla danego laboratorium) w dwóch kolejnych pomiarach przeprowadzonych w trakcie leczenia</w:t>
            </w:r>
            <w:r w:rsidR="002B50D9" w:rsidRPr="00952848">
              <w:rPr>
                <w:rFonts w:ascii="Times New Roman" w:hAnsi="Times New Roman"/>
              </w:rPr>
              <w:t>,</w:t>
            </w:r>
            <w:r w:rsidRPr="00952848">
              <w:rPr>
                <w:rFonts w:ascii="Times New Roman" w:hAnsi="Times New Roman"/>
              </w:rPr>
              <w:t xml:space="preserve"> </w:t>
            </w:r>
            <w:r w:rsidR="002B50D9" w:rsidRPr="00952848">
              <w:rPr>
                <w:rFonts w:ascii="Times New Roman" w:hAnsi="Times New Roman"/>
              </w:rPr>
              <w:t xml:space="preserve">stwierdzony </w:t>
            </w:r>
            <w:r w:rsidR="009E34AF" w:rsidRPr="00952848">
              <w:rPr>
                <w:rFonts w:ascii="Times New Roman" w:hAnsi="Times New Roman"/>
              </w:rPr>
              <w:t>na</w:t>
            </w:r>
            <w:r w:rsidR="002B50D9" w:rsidRPr="00952848">
              <w:rPr>
                <w:rFonts w:ascii="Times New Roman" w:hAnsi="Times New Roman"/>
              </w:rPr>
              <w:t xml:space="preserve"> dwóch następujących po sobie wizytach monitorujących</w:t>
            </w:r>
            <w:r w:rsidRPr="00952848">
              <w:rPr>
                <w:rFonts w:ascii="Times New Roman" w:hAnsi="Times New Roman"/>
              </w:rPr>
              <w:t>;</w:t>
            </w:r>
          </w:p>
          <w:p w14:paraId="1CB54001" w14:textId="1A6BFAFB" w:rsidR="00C31ECB" w:rsidRPr="00952848" w:rsidRDefault="00590F1E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kliniczne objawy nieskuteczności leczenia, w tym u pacjentów z narządową postacią choroby po SOT;</w:t>
            </w:r>
          </w:p>
          <w:p w14:paraId="76C4EA33" w14:textId="77777777" w:rsidR="00C31ECB" w:rsidRPr="00952848" w:rsidRDefault="00742480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wystąpienie infekcji CMV w OUN;</w:t>
            </w:r>
          </w:p>
          <w:p w14:paraId="0421C2EB" w14:textId="566188AB" w:rsidR="00742480" w:rsidRPr="00952848" w:rsidRDefault="00742480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 xml:space="preserve">wystąpienie zapalenia siatkówki wywołanego CMV jeśli konieczne jest podanie innego leku przeciw CMV ogólnoustrojowego lub </w:t>
            </w:r>
            <w:proofErr w:type="spellStart"/>
            <w:r w:rsidRPr="00952848">
              <w:rPr>
                <w:rFonts w:ascii="Times New Roman" w:hAnsi="Times New Roman"/>
              </w:rPr>
              <w:t>doszklistkowo</w:t>
            </w:r>
            <w:proofErr w:type="spellEnd"/>
            <w:r w:rsidRPr="00952848">
              <w:rPr>
                <w:rFonts w:ascii="Times New Roman" w:hAnsi="Times New Roman"/>
              </w:rPr>
              <w:t>;</w:t>
            </w:r>
          </w:p>
          <w:p w14:paraId="7859D4DC" w14:textId="1BEEE974" w:rsidR="00590F1E" w:rsidRPr="00952848" w:rsidRDefault="00590F1E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wystąpienie innych chorób lub stanów, które w opinii lekarza prowadzącego uniemożliwiają dalsze prowadzenie leczenia</w:t>
            </w:r>
            <w:r w:rsidR="000159F0" w:rsidRPr="00952848">
              <w:rPr>
                <w:rFonts w:ascii="Times New Roman" w:hAnsi="Times New Roman"/>
              </w:rPr>
              <w:t>;</w:t>
            </w:r>
          </w:p>
          <w:p w14:paraId="008B5E79" w14:textId="77777777" w:rsidR="00742480" w:rsidRPr="00952848" w:rsidRDefault="00742480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 xml:space="preserve">nadwrażliwość na substancję czynną lub na którąkolwiek substancję pomocniczą; </w:t>
            </w:r>
          </w:p>
          <w:p w14:paraId="5E1FEECE" w14:textId="3A26B42F" w:rsidR="00742480" w:rsidRPr="00952848" w:rsidRDefault="00742480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nieakceptowalna lub zagrażająca życiu toksyczności, pomimo zastosowania adekwatnego postępowania;</w:t>
            </w:r>
          </w:p>
          <w:p w14:paraId="07FDA98F" w14:textId="748BF947" w:rsidR="00742480" w:rsidRPr="00952848" w:rsidRDefault="00742480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okres ciąży lub karmienia piersią</w:t>
            </w:r>
            <w:r w:rsidR="000159F0" w:rsidRPr="00952848">
              <w:rPr>
                <w:rFonts w:ascii="Times New Roman" w:hAnsi="Times New Roman"/>
              </w:rPr>
              <w:t>;</w:t>
            </w:r>
          </w:p>
          <w:p w14:paraId="67962F23" w14:textId="77777777" w:rsidR="004630FC" w:rsidRPr="00A545CD" w:rsidRDefault="00742480" w:rsidP="00A545CD">
            <w:pPr>
              <w:pStyle w:val="Akapitzlist"/>
              <w:numPr>
                <w:ilvl w:val="0"/>
                <w:numId w:val="40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</w:rPr>
            </w:pPr>
            <w:r w:rsidRPr="00952848">
              <w:rPr>
                <w:rFonts w:ascii="Times New Roman" w:hAnsi="Times New Roman"/>
              </w:rPr>
              <w:t>brak współpracy lub nieprzestrzeganie zaleceń lekarskich, w tym zwłaszcza dotyczących okresowych badań kontrolnych oceniających skuteczność i bezpieczeństwo leczenia ze strony świadczeniobiorcy lub jego prawnych opiekunów</w:t>
            </w:r>
            <w:r w:rsidR="000159F0" w:rsidRPr="00952848">
              <w:rPr>
                <w:rFonts w:ascii="Times New Roman" w:hAnsi="Times New Roman"/>
              </w:rPr>
              <w:t>.</w:t>
            </w:r>
          </w:p>
          <w:p w14:paraId="66E76B95" w14:textId="6F2052A7" w:rsidR="00A545CD" w:rsidRPr="00A545CD" w:rsidRDefault="00A545CD" w:rsidP="00A545CD">
            <w:pPr>
              <w:spacing w:after="60"/>
              <w:ind w:left="227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5D02" w14:textId="633DECB1" w:rsidR="00186535" w:rsidRDefault="00C20414" w:rsidP="00952848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</w:rPr>
            </w:pPr>
            <w:r w:rsidRPr="0024119E">
              <w:rPr>
                <w:rFonts w:ascii="Times New Roman" w:hAnsi="Times New Roman"/>
              </w:rPr>
              <w:lastRenderedPageBreak/>
              <w:t>Sposób podawania</w:t>
            </w:r>
            <w:r w:rsidR="00F8763E">
              <w:rPr>
                <w:rFonts w:ascii="Times New Roman" w:hAnsi="Times New Roman"/>
              </w:rPr>
              <w:t>, modyfikacje dawki</w:t>
            </w:r>
            <w:r w:rsidR="005010B6">
              <w:rPr>
                <w:rFonts w:ascii="Times New Roman" w:hAnsi="Times New Roman"/>
              </w:rPr>
              <w:t xml:space="preserve"> oraz </w:t>
            </w:r>
            <w:r w:rsidRPr="0024119E">
              <w:rPr>
                <w:rFonts w:ascii="Times New Roman" w:hAnsi="Times New Roman"/>
              </w:rPr>
              <w:t>dostosowanie czasu trwania terapii (do maksymalnie 12 tygodni</w:t>
            </w:r>
            <w:r w:rsidR="0024119E" w:rsidRPr="0024119E">
              <w:rPr>
                <w:rFonts w:ascii="Times New Roman" w:hAnsi="Times New Roman"/>
              </w:rPr>
              <w:t xml:space="preserve"> </w:t>
            </w:r>
            <w:r w:rsidR="0024119E" w:rsidRPr="00952848">
              <w:rPr>
                <w:rFonts w:ascii="Times New Roman" w:hAnsi="Times New Roman"/>
              </w:rPr>
              <w:t>(±2 dni)</w:t>
            </w:r>
            <w:r w:rsidRPr="0024119E">
              <w:rPr>
                <w:rFonts w:ascii="Times New Roman" w:hAnsi="Times New Roman"/>
              </w:rPr>
              <w:t>) prowadzone zgodnie z aktualną Charakterystyką Produktu Leczniczego (</w:t>
            </w:r>
            <w:proofErr w:type="spellStart"/>
            <w:r w:rsidRPr="0024119E">
              <w:rPr>
                <w:rFonts w:ascii="Times New Roman" w:hAnsi="Times New Roman"/>
              </w:rPr>
              <w:t>ChPL</w:t>
            </w:r>
            <w:proofErr w:type="spellEnd"/>
            <w:r w:rsidRPr="0024119E">
              <w:rPr>
                <w:rFonts w:ascii="Times New Roman" w:hAnsi="Times New Roman"/>
              </w:rPr>
              <w:t>).</w:t>
            </w:r>
          </w:p>
          <w:p w14:paraId="7C7FD30C" w14:textId="15B8EF41" w:rsidR="005010B6" w:rsidRPr="0024119E" w:rsidRDefault="005010B6" w:rsidP="00C20414">
            <w:pPr>
              <w:rPr>
                <w:rFonts w:ascii="Times New Roman" w:hAnsi="Times New Roman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8744" w14:textId="41ADAF89" w:rsidR="00301033" w:rsidRPr="006A1D5A" w:rsidRDefault="00301033" w:rsidP="0032766F">
            <w:pPr>
              <w:pStyle w:val="Akapitzlist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</w:rPr>
            </w:pPr>
            <w:r w:rsidRPr="006A1D5A">
              <w:rPr>
                <w:rFonts w:ascii="Times New Roman" w:hAnsi="Times New Roman"/>
                <w:b/>
              </w:rPr>
              <w:t>Badania przy kwalifikacji</w:t>
            </w:r>
          </w:p>
          <w:p w14:paraId="160AEA9C" w14:textId="2402D569" w:rsidR="00301033" w:rsidRPr="00952848" w:rsidRDefault="0071014A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="00F61907" w:rsidRPr="00952848">
              <w:rPr>
                <w:rFonts w:ascii="Times New Roman" w:hAnsi="Times New Roman"/>
              </w:rPr>
              <w:t xml:space="preserve">lościowe </w:t>
            </w:r>
            <w:r w:rsidR="00950C61" w:rsidRPr="00952848">
              <w:rPr>
                <w:rFonts w:ascii="Times New Roman" w:hAnsi="Times New Roman"/>
              </w:rPr>
              <w:t xml:space="preserve">oznaczenie </w:t>
            </w:r>
            <w:r w:rsidR="00301033" w:rsidRPr="00952848">
              <w:rPr>
                <w:rFonts w:ascii="Times New Roman" w:hAnsi="Times New Roman"/>
              </w:rPr>
              <w:t xml:space="preserve"> CMV</w:t>
            </w:r>
            <w:r w:rsidR="006B21FA" w:rsidRPr="00952848">
              <w:rPr>
                <w:rFonts w:ascii="Times New Roman" w:hAnsi="Times New Roman"/>
              </w:rPr>
              <w:t>-DNA</w:t>
            </w:r>
            <w:r w:rsidR="00301033" w:rsidRPr="00952848">
              <w:rPr>
                <w:rFonts w:ascii="Times New Roman" w:hAnsi="Times New Roman"/>
              </w:rPr>
              <w:t xml:space="preserve"> z krwi pełnej lub osocza (</w:t>
            </w:r>
            <w:r w:rsidR="00950C61" w:rsidRPr="00952848">
              <w:rPr>
                <w:rFonts w:ascii="Times New Roman" w:hAnsi="Times New Roman"/>
              </w:rPr>
              <w:t xml:space="preserve">badanie ilościowe reakcji łańcuchowej polimerazy, </w:t>
            </w:r>
            <w:proofErr w:type="spellStart"/>
            <w:r w:rsidR="00301033" w:rsidRPr="00952848">
              <w:rPr>
                <w:rFonts w:ascii="Times New Roman" w:hAnsi="Times New Roman"/>
              </w:rPr>
              <w:t>qPCR</w:t>
            </w:r>
            <w:proofErr w:type="spellEnd"/>
            <w:r w:rsidR="00301033" w:rsidRPr="00952848">
              <w:rPr>
                <w:rFonts w:ascii="Times New Roman" w:hAnsi="Times New Roman"/>
              </w:rPr>
              <w:t>)</w:t>
            </w:r>
            <w:r w:rsidR="000B310A" w:rsidRPr="00952848">
              <w:rPr>
                <w:rFonts w:ascii="Times New Roman" w:hAnsi="Times New Roman"/>
              </w:rPr>
              <w:t xml:space="preserve"> – </w:t>
            </w:r>
            <w:r w:rsidR="00C20414" w:rsidRPr="00952848">
              <w:rPr>
                <w:rFonts w:ascii="Times New Roman" w:hAnsi="Times New Roman"/>
              </w:rPr>
              <w:t xml:space="preserve">badanie należy wykonać </w:t>
            </w:r>
            <w:r w:rsidR="000B310A" w:rsidRPr="00952848">
              <w:rPr>
                <w:rFonts w:ascii="Times New Roman" w:hAnsi="Times New Roman"/>
              </w:rPr>
              <w:t>nie później niż 3 dni przed włączeniem leczenia</w:t>
            </w:r>
            <w:r w:rsidR="00301033" w:rsidRPr="00952848">
              <w:rPr>
                <w:rFonts w:ascii="Times New Roman" w:hAnsi="Times New Roman"/>
              </w:rPr>
              <w:t>;</w:t>
            </w:r>
          </w:p>
          <w:p w14:paraId="3BD73146" w14:textId="7DC2D18A" w:rsidR="00301033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m</w:t>
            </w:r>
            <w:r w:rsidR="00301033" w:rsidRPr="00952848">
              <w:rPr>
                <w:rFonts w:ascii="Times New Roman" w:hAnsi="Times New Roman"/>
              </w:rPr>
              <w:t>orfologia krwi z rozmazem;</w:t>
            </w:r>
          </w:p>
          <w:p w14:paraId="28C1E6BA" w14:textId="0543A1B7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oznaczenie stężen</w:t>
            </w:r>
            <w:r w:rsidR="00DE3EBA">
              <w:rPr>
                <w:rFonts w:ascii="Times New Roman" w:hAnsi="Times New Roman"/>
              </w:rPr>
              <w:t>i</w:t>
            </w:r>
            <w:r w:rsidRPr="00952848">
              <w:rPr>
                <w:rFonts w:ascii="Times New Roman" w:hAnsi="Times New Roman"/>
              </w:rPr>
              <w:t>a bilirubiny w surowicy krwi;</w:t>
            </w:r>
          </w:p>
          <w:p w14:paraId="4F3AE43C" w14:textId="107C5A14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oznaczenie stężenia albuminy w surowicy krwi;</w:t>
            </w:r>
          </w:p>
          <w:p w14:paraId="30662A71" w14:textId="694DDD5E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 xml:space="preserve">oznaczenie czasu </w:t>
            </w:r>
            <w:proofErr w:type="spellStart"/>
            <w:r w:rsidRPr="00952848">
              <w:rPr>
                <w:rFonts w:ascii="Times New Roman" w:hAnsi="Times New Roman"/>
              </w:rPr>
              <w:t>protrombinowego</w:t>
            </w:r>
            <w:proofErr w:type="spellEnd"/>
            <w:r w:rsidRPr="00952848">
              <w:rPr>
                <w:rFonts w:ascii="Times New Roman" w:hAnsi="Times New Roman"/>
              </w:rPr>
              <w:t xml:space="preserve"> (INR);</w:t>
            </w:r>
          </w:p>
          <w:p w14:paraId="01569B3F" w14:textId="30E73C99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oznaczenie aktywności aminotransferazy alaninowej (ALT);</w:t>
            </w:r>
          </w:p>
          <w:p w14:paraId="0F7BAABE" w14:textId="78104D3D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 xml:space="preserve">oznaczenie aktywności aminotransferazy </w:t>
            </w:r>
            <w:proofErr w:type="spellStart"/>
            <w:r w:rsidRPr="00952848">
              <w:rPr>
                <w:rFonts w:ascii="Times New Roman" w:hAnsi="Times New Roman"/>
              </w:rPr>
              <w:t>asparaginianowej</w:t>
            </w:r>
            <w:proofErr w:type="spellEnd"/>
            <w:r w:rsidRPr="00952848">
              <w:rPr>
                <w:rFonts w:ascii="Times New Roman" w:hAnsi="Times New Roman"/>
              </w:rPr>
              <w:t xml:space="preserve"> (AST);</w:t>
            </w:r>
          </w:p>
          <w:p w14:paraId="0D4DC863" w14:textId="0CBDC0D3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określenie skali Child-</w:t>
            </w:r>
            <w:proofErr w:type="spellStart"/>
            <w:r w:rsidRPr="00952848">
              <w:rPr>
                <w:rFonts w:ascii="Times New Roman" w:hAnsi="Times New Roman"/>
              </w:rPr>
              <w:t>Pugh</w:t>
            </w:r>
            <w:proofErr w:type="spellEnd"/>
            <w:r w:rsidRPr="00952848">
              <w:rPr>
                <w:rFonts w:ascii="Times New Roman" w:hAnsi="Times New Roman"/>
              </w:rPr>
              <w:t xml:space="preserve"> u pacjentów po SOT</w:t>
            </w:r>
            <w:r w:rsidR="000159F0" w:rsidRPr="00952848">
              <w:rPr>
                <w:rFonts w:ascii="Times New Roman" w:hAnsi="Times New Roman"/>
              </w:rPr>
              <w:t>;</w:t>
            </w:r>
          </w:p>
          <w:p w14:paraId="7CE76879" w14:textId="700DDDB4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oznaczenie stężenia kreatyniny w surowicy krwi;</w:t>
            </w:r>
          </w:p>
          <w:p w14:paraId="5A7161CE" w14:textId="6DBE3FDB" w:rsidR="00140B49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 xml:space="preserve">ocena </w:t>
            </w:r>
            <w:proofErr w:type="spellStart"/>
            <w:r w:rsidRPr="00952848">
              <w:rPr>
                <w:rFonts w:ascii="Times New Roman" w:hAnsi="Times New Roman"/>
              </w:rPr>
              <w:t>eGFR</w:t>
            </w:r>
            <w:proofErr w:type="spellEnd"/>
            <w:r w:rsidRPr="00952848">
              <w:rPr>
                <w:rFonts w:ascii="Times New Roman" w:hAnsi="Times New Roman"/>
              </w:rPr>
              <w:t>;</w:t>
            </w:r>
          </w:p>
          <w:p w14:paraId="54C7D03D" w14:textId="74C4B141" w:rsidR="00C20414" w:rsidRPr="00952848" w:rsidRDefault="00140B49" w:rsidP="00A545CD">
            <w:pPr>
              <w:pStyle w:val="Akapitzlist"/>
              <w:numPr>
                <w:ilvl w:val="0"/>
                <w:numId w:val="38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52848">
              <w:rPr>
                <w:rFonts w:ascii="Times New Roman" w:hAnsi="Times New Roman"/>
              </w:rPr>
              <w:t>badanie dna oka lub inne badanie okulistyczne u pacjentów z podejrzeniem zajęcia siatkówki przez CMV.</w:t>
            </w:r>
          </w:p>
          <w:p w14:paraId="44E6B920" w14:textId="77777777" w:rsidR="00C20414" w:rsidRPr="00952848" w:rsidRDefault="00C20414" w:rsidP="00A545CD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</w:rPr>
            </w:pPr>
          </w:p>
          <w:p w14:paraId="4C2DFA51" w14:textId="19869BF9" w:rsidR="00301033" w:rsidRDefault="00301033" w:rsidP="00A545CD">
            <w:pPr>
              <w:pStyle w:val="Akapitzlist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6A1D5A">
              <w:rPr>
                <w:rFonts w:ascii="Times New Roman" w:hAnsi="Times New Roman"/>
                <w:b/>
              </w:rPr>
              <w:t>Monitorowanie</w:t>
            </w:r>
            <w:r w:rsidR="00822D43">
              <w:rPr>
                <w:rFonts w:ascii="Times New Roman" w:hAnsi="Times New Roman"/>
                <w:b/>
              </w:rPr>
              <w:t xml:space="preserve"> bezpieczeństwa</w:t>
            </w:r>
            <w:r w:rsidR="009713E8">
              <w:rPr>
                <w:rFonts w:ascii="Times New Roman" w:hAnsi="Times New Roman"/>
                <w:b/>
              </w:rPr>
              <w:t xml:space="preserve"> i skuteczności</w:t>
            </w:r>
            <w:r w:rsidRPr="00301033">
              <w:rPr>
                <w:rFonts w:ascii="Times New Roman" w:hAnsi="Times New Roman"/>
                <w:b/>
                <w:bCs/>
                <w:color w:val="000000"/>
              </w:rPr>
              <w:t xml:space="preserve"> leczenia</w:t>
            </w:r>
          </w:p>
          <w:p w14:paraId="24130C06" w14:textId="7FCB0CBC" w:rsidR="00822D43" w:rsidRDefault="00822D43" w:rsidP="00A545CD">
            <w:pPr>
              <w:pStyle w:val="Akapitzlist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</w:t>
            </w:r>
            <w:r w:rsidRPr="006A1D5A">
              <w:rPr>
                <w:rFonts w:ascii="Times New Roman" w:hAnsi="Times New Roman"/>
                <w:color w:val="000000"/>
              </w:rPr>
              <w:t>orfologia krwi z rozmazem</w:t>
            </w:r>
            <w:r>
              <w:rPr>
                <w:rFonts w:ascii="Times New Roman" w:hAnsi="Times New Roman"/>
                <w:color w:val="000000"/>
              </w:rPr>
              <w:t>;</w:t>
            </w:r>
          </w:p>
          <w:p w14:paraId="36C40043" w14:textId="77777777" w:rsidR="00822D43" w:rsidRPr="00822D43" w:rsidRDefault="00822D43" w:rsidP="00A545CD">
            <w:pPr>
              <w:pStyle w:val="Akapitzlist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color w:val="000000"/>
              </w:rPr>
            </w:pPr>
            <w:r w:rsidRPr="00822D43">
              <w:rPr>
                <w:rFonts w:ascii="Times New Roman" w:hAnsi="Times New Roman"/>
                <w:color w:val="000000"/>
              </w:rPr>
              <w:lastRenderedPageBreak/>
              <w:t>oznaczenie aktywności aminotransferazy alaninowej (ALT);</w:t>
            </w:r>
          </w:p>
          <w:p w14:paraId="628E883E" w14:textId="060FA321" w:rsidR="00822D43" w:rsidRPr="006A1D5A" w:rsidRDefault="00822D43" w:rsidP="00A545CD">
            <w:pPr>
              <w:pStyle w:val="Akapitzlist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color w:val="000000"/>
              </w:rPr>
            </w:pPr>
            <w:r w:rsidRPr="00822D43">
              <w:rPr>
                <w:rFonts w:ascii="Times New Roman" w:hAnsi="Times New Roman"/>
                <w:color w:val="000000"/>
              </w:rPr>
              <w:t xml:space="preserve">oznaczenie aktywności aminotransferazy </w:t>
            </w:r>
            <w:proofErr w:type="spellStart"/>
            <w:r w:rsidRPr="00822D43">
              <w:rPr>
                <w:rFonts w:ascii="Times New Roman" w:hAnsi="Times New Roman"/>
                <w:color w:val="000000"/>
              </w:rPr>
              <w:t>asparaginianowej</w:t>
            </w:r>
            <w:proofErr w:type="spellEnd"/>
            <w:r w:rsidRPr="00822D43">
              <w:rPr>
                <w:rFonts w:ascii="Times New Roman" w:hAnsi="Times New Roman"/>
                <w:color w:val="000000"/>
              </w:rPr>
              <w:t xml:space="preserve"> (AST);</w:t>
            </w:r>
          </w:p>
          <w:p w14:paraId="48FC3BA1" w14:textId="67916B44" w:rsidR="00822D43" w:rsidRDefault="00822D43" w:rsidP="00A545CD">
            <w:pPr>
              <w:pStyle w:val="Akapitzlist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oznaczenie stężenia kreatyniny w surowicy krwi;</w:t>
            </w:r>
          </w:p>
          <w:p w14:paraId="4F686C15" w14:textId="3AA9515E" w:rsidR="007D679B" w:rsidRDefault="00822D43" w:rsidP="00A545CD">
            <w:pPr>
              <w:pStyle w:val="Akapitzlist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oznaczenie stężenia leków immunosupresyjnych o wąskim indeksie terapeutycznym </w:t>
            </w:r>
            <w:r w:rsidR="007D679B">
              <w:rPr>
                <w:rFonts w:ascii="Times New Roman" w:hAnsi="Times New Roman"/>
                <w:color w:val="000000"/>
              </w:rPr>
              <w:t>będącymi substratami cytochromu P450 (CYP3A/P-</w:t>
            </w:r>
            <w:proofErr w:type="spellStart"/>
            <w:r w:rsidR="007D679B">
              <w:rPr>
                <w:rFonts w:ascii="Times New Roman" w:hAnsi="Times New Roman"/>
                <w:color w:val="000000"/>
              </w:rPr>
              <w:t>gp</w:t>
            </w:r>
            <w:proofErr w:type="spellEnd"/>
            <w:r w:rsidR="007D679B">
              <w:rPr>
                <w:rFonts w:ascii="Times New Roman" w:hAnsi="Times New Roman"/>
                <w:color w:val="000000"/>
              </w:rPr>
              <w:t xml:space="preserve">; m. in. </w:t>
            </w:r>
            <w:proofErr w:type="spellStart"/>
            <w:r w:rsidR="007D679B" w:rsidRPr="007D679B">
              <w:rPr>
                <w:rFonts w:ascii="Times New Roman" w:hAnsi="Times New Roman"/>
                <w:color w:val="000000"/>
              </w:rPr>
              <w:t>takrolimus</w:t>
            </w:r>
            <w:proofErr w:type="spellEnd"/>
            <w:r w:rsidR="007D679B" w:rsidRPr="007D6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="007D679B" w:rsidRPr="007D679B">
              <w:rPr>
                <w:rFonts w:ascii="Times New Roman" w:hAnsi="Times New Roman"/>
                <w:color w:val="000000"/>
              </w:rPr>
              <w:t>cyklosporyna</w:t>
            </w:r>
            <w:proofErr w:type="spellEnd"/>
            <w:r w:rsidR="007D679B" w:rsidRPr="007D6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="007D679B" w:rsidRPr="007D679B">
              <w:rPr>
                <w:rFonts w:ascii="Times New Roman" w:hAnsi="Times New Roman"/>
                <w:color w:val="000000"/>
              </w:rPr>
              <w:t>sirolimus</w:t>
            </w:r>
            <w:proofErr w:type="spellEnd"/>
            <w:r w:rsidR="007D679B" w:rsidRPr="007D679B">
              <w:rPr>
                <w:rFonts w:ascii="Times New Roman" w:hAnsi="Times New Roman"/>
                <w:color w:val="000000"/>
              </w:rPr>
              <w:t xml:space="preserve"> i </w:t>
            </w:r>
            <w:proofErr w:type="spellStart"/>
            <w:r w:rsidR="007D679B" w:rsidRPr="007D679B">
              <w:rPr>
                <w:rFonts w:ascii="Times New Roman" w:hAnsi="Times New Roman"/>
                <w:color w:val="000000"/>
              </w:rPr>
              <w:t>ewerolimus</w:t>
            </w:r>
            <w:proofErr w:type="spellEnd"/>
            <w:r w:rsidR="007D679B">
              <w:rPr>
                <w:rFonts w:ascii="Times New Roman" w:hAnsi="Times New Roman"/>
                <w:color w:val="000000"/>
              </w:rPr>
              <w:t xml:space="preserve">) stosowanych w trakcie leczenia </w:t>
            </w:r>
            <w:proofErr w:type="spellStart"/>
            <w:r w:rsidR="007D679B">
              <w:rPr>
                <w:rFonts w:ascii="Times New Roman" w:hAnsi="Times New Roman"/>
                <w:color w:val="000000"/>
              </w:rPr>
              <w:t>maribawirem</w:t>
            </w:r>
            <w:proofErr w:type="spellEnd"/>
            <w:r w:rsidR="00A545CD">
              <w:rPr>
                <w:rFonts w:ascii="Times New Roman" w:hAnsi="Times New Roman"/>
                <w:color w:val="000000"/>
              </w:rPr>
              <w:t>;</w:t>
            </w:r>
          </w:p>
          <w:p w14:paraId="2EAD48E5" w14:textId="0CA34E4E" w:rsidR="0013591C" w:rsidRPr="009713E8" w:rsidRDefault="009713E8" w:rsidP="00A545CD">
            <w:pPr>
              <w:pStyle w:val="Akapitzlist"/>
              <w:numPr>
                <w:ilvl w:val="0"/>
                <w:numId w:val="27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color w:val="000000"/>
              </w:rPr>
            </w:pPr>
            <w:r w:rsidRPr="009713E8">
              <w:rPr>
                <w:rFonts w:ascii="Times New Roman" w:hAnsi="Times New Roman"/>
                <w:color w:val="000000"/>
              </w:rPr>
              <w:t>oznaczenie ilościowe CMV-DNA z krwi pełnej lub osocza (</w:t>
            </w:r>
            <w:proofErr w:type="spellStart"/>
            <w:r w:rsidRPr="009713E8">
              <w:rPr>
                <w:rFonts w:ascii="Times New Roman" w:hAnsi="Times New Roman"/>
                <w:color w:val="000000"/>
              </w:rPr>
              <w:t>qPCR</w:t>
            </w:r>
            <w:proofErr w:type="spellEnd"/>
            <w:r w:rsidRPr="009713E8">
              <w:rPr>
                <w:rFonts w:ascii="Times New Roman" w:hAnsi="Times New Roman"/>
                <w:color w:val="000000"/>
              </w:rPr>
              <w:t>).</w:t>
            </w:r>
          </w:p>
          <w:p w14:paraId="2B76246E" w14:textId="0BDC2133" w:rsidR="007D679B" w:rsidRPr="00C31ECB" w:rsidRDefault="007D679B" w:rsidP="00A545CD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color w:val="000000"/>
              </w:rPr>
            </w:pPr>
            <w:r w:rsidRPr="00C31ECB">
              <w:rPr>
                <w:rFonts w:ascii="Times New Roman" w:hAnsi="Times New Roman"/>
                <w:color w:val="000000"/>
              </w:rPr>
              <w:t xml:space="preserve">Badania monitorujące wykonuje się </w:t>
            </w:r>
            <w:r w:rsidR="006F2F18" w:rsidRPr="00C31ECB">
              <w:rPr>
                <w:rFonts w:ascii="Times New Roman" w:hAnsi="Times New Roman"/>
                <w:color w:val="000000"/>
              </w:rPr>
              <w:t xml:space="preserve">co 14 dni </w:t>
            </w:r>
            <w:r w:rsidR="006F2F18" w:rsidRPr="00C31ECB">
              <w:rPr>
                <w:rFonts w:ascii="Times New Roman" w:hAnsi="Times New Roman"/>
                <w:bCs/>
                <w:iCs/>
              </w:rPr>
              <w:t>(</w:t>
            </w:r>
            <w:r w:rsidR="006F2F18" w:rsidRPr="00C31ECB">
              <w:rPr>
                <w:rFonts w:ascii="Times New Roman" w:eastAsia="Malgun Gothic" w:hAnsi="Times New Roman"/>
                <w:noProof/>
              </w:rPr>
              <w:t>±2 dni)</w:t>
            </w:r>
            <w:r w:rsidR="006F2F18" w:rsidRPr="00C31ECB">
              <w:rPr>
                <w:rFonts w:ascii="Times New Roman" w:hAnsi="Times New Roman"/>
                <w:color w:val="000000"/>
              </w:rPr>
              <w:t xml:space="preserve"> od rozpoczęcia leczenia </w:t>
            </w:r>
            <w:proofErr w:type="spellStart"/>
            <w:r w:rsidR="006F2F18" w:rsidRPr="00C31ECB">
              <w:rPr>
                <w:rFonts w:ascii="Times New Roman" w:hAnsi="Times New Roman"/>
                <w:color w:val="000000"/>
              </w:rPr>
              <w:t>maribawirem</w:t>
            </w:r>
            <w:proofErr w:type="spellEnd"/>
            <w:r w:rsidR="009713E8">
              <w:rPr>
                <w:rFonts w:ascii="Times New Roman" w:hAnsi="Times New Roman"/>
                <w:color w:val="000000"/>
              </w:rPr>
              <w:t xml:space="preserve"> </w:t>
            </w:r>
            <w:r w:rsidR="009713E8" w:rsidRPr="006A1D5A">
              <w:rPr>
                <w:rFonts w:ascii="Times New Roman" w:eastAsia="Malgun Gothic" w:hAnsi="Times New Roman"/>
                <w:noProof/>
              </w:rPr>
              <w:t>do czasu zakończenia leczenia maribawirem.</w:t>
            </w:r>
          </w:p>
          <w:p w14:paraId="44AC8B97" w14:textId="4BC21C1E" w:rsidR="00E70BB5" w:rsidRDefault="00301033" w:rsidP="00A545CD">
            <w:pPr>
              <w:pStyle w:val="Akapitzlist"/>
              <w:widowControl w:val="0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bCs/>
                <w:iCs/>
                <w:u w:val="single"/>
              </w:rPr>
            </w:pPr>
            <w:r w:rsidRPr="00C31ECB">
              <w:rPr>
                <w:rFonts w:ascii="Times New Roman" w:hAnsi="Times New Roman"/>
                <w:bCs/>
                <w:iCs/>
                <w:u w:val="single"/>
              </w:rPr>
              <w:t xml:space="preserve">Każdorazowo </w:t>
            </w:r>
            <w:r w:rsidR="006F2F18" w:rsidRPr="00C31ECB">
              <w:rPr>
                <w:rFonts w:ascii="Times New Roman" w:hAnsi="Times New Roman"/>
                <w:bCs/>
                <w:iCs/>
                <w:u w:val="single"/>
              </w:rPr>
              <w:t>oznaczenie CMV</w:t>
            </w:r>
            <w:r w:rsidR="006B21FA">
              <w:rPr>
                <w:rFonts w:ascii="Times New Roman" w:hAnsi="Times New Roman"/>
                <w:bCs/>
                <w:iCs/>
                <w:u w:val="single"/>
              </w:rPr>
              <w:t>-DNA</w:t>
            </w:r>
            <w:r w:rsidR="006F2F18" w:rsidRPr="00C31ECB">
              <w:rPr>
                <w:rFonts w:ascii="Times New Roman" w:hAnsi="Times New Roman"/>
                <w:bCs/>
                <w:iCs/>
                <w:u w:val="single"/>
              </w:rPr>
              <w:t xml:space="preserve"> (</w:t>
            </w:r>
            <w:proofErr w:type="spellStart"/>
            <w:r w:rsidR="006F2F18" w:rsidRPr="00C31ECB">
              <w:rPr>
                <w:rFonts w:ascii="Times New Roman" w:hAnsi="Times New Roman"/>
                <w:bCs/>
                <w:iCs/>
                <w:u w:val="single"/>
              </w:rPr>
              <w:t>qPCR</w:t>
            </w:r>
            <w:proofErr w:type="spellEnd"/>
            <w:r w:rsidR="006F2F18" w:rsidRPr="00C31ECB">
              <w:rPr>
                <w:rFonts w:ascii="Times New Roman" w:hAnsi="Times New Roman"/>
                <w:bCs/>
                <w:iCs/>
                <w:u w:val="single"/>
              </w:rPr>
              <w:t>)</w:t>
            </w:r>
            <w:r w:rsidRPr="00C31ECB">
              <w:rPr>
                <w:rFonts w:ascii="Times New Roman" w:hAnsi="Times New Roman"/>
                <w:bCs/>
                <w:iCs/>
                <w:u w:val="single"/>
              </w:rPr>
              <w:t xml:space="preserve"> powinn</w:t>
            </w:r>
            <w:r w:rsidR="006F2F18" w:rsidRPr="00C31ECB">
              <w:rPr>
                <w:rFonts w:ascii="Times New Roman" w:hAnsi="Times New Roman"/>
                <w:bCs/>
                <w:iCs/>
                <w:u w:val="single"/>
              </w:rPr>
              <w:t>o</w:t>
            </w:r>
            <w:r w:rsidRPr="00C31ECB">
              <w:rPr>
                <w:rFonts w:ascii="Times New Roman" w:hAnsi="Times New Roman"/>
                <w:bCs/>
                <w:iCs/>
                <w:u w:val="single"/>
              </w:rPr>
              <w:t xml:space="preserve"> być wykonywane w tym samym laboratorium przy tej samej dolnej granicy oznaczalności (LLQ), każdorazowo z wykorzystaniem tego samego typu materiału (zawsze z krwi pełnej lub zawsze z osocza).</w:t>
            </w:r>
          </w:p>
          <w:p w14:paraId="2FFF0AD4" w14:textId="77777777" w:rsidR="00862DFC" w:rsidRPr="00862DFC" w:rsidRDefault="00862DFC" w:rsidP="00A545CD">
            <w:pPr>
              <w:pStyle w:val="Akapitzlist"/>
              <w:widowControl w:val="0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bCs/>
                <w:iCs/>
                <w:u w:val="single"/>
              </w:rPr>
            </w:pPr>
          </w:p>
          <w:p w14:paraId="1C6A6196" w14:textId="0D1DB6F4" w:rsidR="00301033" w:rsidRPr="00301033" w:rsidRDefault="00301033" w:rsidP="00A545CD">
            <w:pPr>
              <w:pStyle w:val="Akapitzlist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6A1D5A">
              <w:rPr>
                <w:rFonts w:ascii="Times New Roman" w:hAnsi="Times New Roman"/>
                <w:b/>
              </w:rPr>
              <w:t>Monitorowanie</w:t>
            </w:r>
            <w:r w:rsidRPr="00301033">
              <w:rPr>
                <w:rFonts w:ascii="Times New Roman" w:hAnsi="Times New Roman"/>
                <w:b/>
                <w:bCs/>
                <w:color w:val="000000"/>
              </w:rPr>
              <w:t xml:space="preserve"> programu</w:t>
            </w:r>
          </w:p>
          <w:p w14:paraId="4EEEE543" w14:textId="2D6D8BE1" w:rsidR="00EF5D7D" w:rsidRPr="00A545CD" w:rsidRDefault="00301033" w:rsidP="00A545CD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rPr>
                <w:rFonts w:ascii="Times New Roman" w:hAnsi="Times New Roman"/>
                <w:color w:val="000000"/>
              </w:rPr>
            </w:pPr>
            <w:r w:rsidRPr="00301033">
              <w:rPr>
                <w:rFonts w:ascii="Times New Roman" w:hAnsi="Times New Roman"/>
                <w:color w:val="000000"/>
              </w:rPr>
              <w:t xml:space="preserve">gromadzenie w dokumentacji medycznej pacjenta danych dotyczących monitorowania leczenia i każdorazowe ich przedstawianie na żądanie kontrolerów Narodowego </w:t>
            </w:r>
            <w:r w:rsidRPr="00A545CD">
              <w:rPr>
                <w:rFonts w:ascii="Times New Roman" w:hAnsi="Times New Roman"/>
                <w:color w:val="000000"/>
              </w:rPr>
              <w:t>Funduszu Zdrowia;</w:t>
            </w:r>
          </w:p>
          <w:p w14:paraId="0E6C13F3" w14:textId="0011F282" w:rsidR="006F2F18" w:rsidRPr="00A545CD" w:rsidRDefault="006F2F18" w:rsidP="00A545CD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rPr>
                <w:rFonts w:ascii="Times New Roman" w:hAnsi="Times New Roman"/>
                <w:color w:val="000000"/>
              </w:rPr>
            </w:pPr>
            <w:r w:rsidRPr="00A545CD">
              <w:rPr>
                <w:rFonts w:ascii="Times New Roman" w:hAnsi="Times New Roman"/>
                <w:color w:val="000000"/>
              </w:rPr>
              <w:t xml:space="preserve">uzupełnienie danych zawartych w elektronicznym systemie monitorowania programów lekowych dostępnym za pomocą aplikacji internetowej udostępnionej przez OW NFZ, z częstotliwością zgodną z opisem programu oraz na zakończenie leczenia, w tym przekazywanie danych dotyczących wskaźnika skuteczności terapii zawartego w </w:t>
            </w:r>
            <w:r w:rsidRPr="00A545CD">
              <w:rPr>
                <w:rFonts w:ascii="Times New Roman" w:hAnsi="Times New Roman"/>
                <w:color w:val="000000"/>
              </w:rPr>
              <w:lastRenderedPageBreak/>
              <w:t xml:space="preserve">punkcie </w:t>
            </w:r>
            <w:r w:rsidR="003257D5" w:rsidRPr="00A545CD">
              <w:rPr>
                <w:rFonts w:ascii="Times New Roman" w:hAnsi="Times New Roman"/>
                <w:color w:val="000000"/>
              </w:rPr>
              <w:t>3</w:t>
            </w:r>
            <w:r w:rsidR="009713E8" w:rsidRPr="00A545CD">
              <w:rPr>
                <w:rFonts w:ascii="Times New Roman" w:hAnsi="Times New Roman"/>
                <w:color w:val="000000"/>
              </w:rPr>
              <w:t xml:space="preserve">. </w:t>
            </w:r>
            <w:r w:rsidR="009713E8" w:rsidRPr="00A545CD">
              <w:rPr>
                <w:rFonts w:ascii="Times New Roman" w:hAnsi="Times New Roman"/>
                <w:i/>
                <w:iCs/>
                <w:color w:val="000000"/>
              </w:rPr>
              <w:t>Kryteria oceny skuteczności leczenia (tj. poziom CMV-DNA</w:t>
            </w:r>
            <w:r w:rsidR="009713E8" w:rsidRPr="00A545CD">
              <w:rPr>
                <w:rFonts w:ascii="Times New Roman" w:hAnsi="Times New Roman"/>
                <w:color w:val="000000"/>
              </w:rPr>
              <w:t>)</w:t>
            </w:r>
            <w:r w:rsidRPr="00A545CD">
              <w:rPr>
                <w:rFonts w:ascii="Times New Roman" w:hAnsi="Times New Roman"/>
                <w:color w:val="000000"/>
              </w:rPr>
              <w:t>;</w:t>
            </w:r>
          </w:p>
          <w:p w14:paraId="3A5800F2" w14:textId="77777777" w:rsidR="00301033" w:rsidRPr="00A545CD" w:rsidRDefault="00301033" w:rsidP="00A545CD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rPr>
                <w:rFonts w:ascii="Times New Roman" w:hAnsi="Times New Roman"/>
                <w:color w:val="000000"/>
              </w:rPr>
            </w:pPr>
            <w:r w:rsidRPr="00A545CD">
              <w:rPr>
                <w:rFonts w:ascii="Times New Roman" w:hAnsi="Times New Roman"/>
                <w:color w:val="000000"/>
              </w:rPr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  <w:p w14:paraId="63058F49" w14:textId="77777777" w:rsidR="00A545CD" w:rsidRPr="00A545CD" w:rsidRDefault="00A545CD" w:rsidP="00A545C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color w:val="000000"/>
              </w:rPr>
            </w:pPr>
          </w:p>
          <w:p w14:paraId="344FBC02" w14:textId="77777777" w:rsidR="00186535" w:rsidRPr="00301033" w:rsidRDefault="00186535" w:rsidP="00BA46F2">
            <w:pPr>
              <w:spacing w:after="60"/>
              <w:jc w:val="both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bookmarkEnd w:id="0"/>
    </w:tbl>
    <w:p w14:paraId="1FCF1A54" w14:textId="77777777" w:rsidR="00B045D8" w:rsidRPr="00301033" w:rsidRDefault="00B045D8">
      <w:pPr>
        <w:rPr>
          <w:rFonts w:ascii="Times New Roman" w:hAnsi="Times New Roman"/>
          <w:sz w:val="2"/>
          <w:szCs w:val="2"/>
        </w:rPr>
      </w:pPr>
    </w:p>
    <w:sectPr w:rsidR="00B045D8" w:rsidRPr="00301033" w:rsidSect="000C6357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2158"/>
    <w:multiLevelType w:val="hybridMultilevel"/>
    <w:tmpl w:val="BAFE569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C4C00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60103B8"/>
    <w:multiLevelType w:val="multilevel"/>
    <w:tmpl w:val="3634E7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A171B3"/>
    <w:multiLevelType w:val="multilevel"/>
    <w:tmpl w:val="4EBC009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E35AC1"/>
    <w:multiLevelType w:val="multilevel"/>
    <w:tmpl w:val="10E6BD7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4501F2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" w15:restartNumberingAfterBreak="0">
    <w:nsid w:val="0DC3207F"/>
    <w:multiLevelType w:val="multilevel"/>
    <w:tmpl w:val="81DC799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E62D56"/>
    <w:multiLevelType w:val="multilevel"/>
    <w:tmpl w:val="840895C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295A8B"/>
    <w:multiLevelType w:val="hybridMultilevel"/>
    <w:tmpl w:val="03CC121A"/>
    <w:lvl w:ilvl="0" w:tplc="EF82FC6C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27F8D"/>
    <w:multiLevelType w:val="hybridMultilevel"/>
    <w:tmpl w:val="9EC459DE"/>
    <w:lvl w:ilvl="0" w:tplc="C73E0B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29C7"/>
    <w:multiLevelType w:val="hybridMultilevel"/>
    <w:tmpl w:val="043CD93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F5C87"/>
    <w:multiLevelType w:val="multilevel"/>
    <w:tmpl w:val="979011BA"/>
    <w:lvl w:ilvl="0">
      <w:start w:val="1"/>
      <w:numFmt w:val="decimal"/>
      <w:lvlText w:val="1.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F64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927EA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E06676E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2E7D38A9"/>
    <w:multiLevelType w:val="multilevel"/>
    <w:tmpl w:val="979011BA"/>
    <w:lvl w:ilvl="0">
      <w:start w:val="1"/>
      <w:numFmt w:val="decimal"/>
      <w:lvlText w:val="1.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4D53A5"/>
    <w:multiLevelType w:val="hybridMultilevel"/>
    <w:tmpl w:val="A9AA5310"/>
    <w:lvl w:ilvl="0" w:tplc="873C7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52BF8"/>
    <w:multiLevelType w:val="multilevel"/>
    <w:tmpl w:val="DCA2EA10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</w:rPr>
    </w:lvl>
    <w:lvl w:ilvl="2">
      <w:start w:val="1"/>
      <w:numFmt w:val="lowerLetter"/>
      <w:lvlText w:val="%3)"/>
      <w:lvlJc w:val="left"/>
      <w:pPr>
        <w:ind w:left="454" w:hanging="227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84611E"/>
    <w:multiLevelType w:val="multilevel"/>
    <w:tmpl w:val="979011BA"/>
    <w:lvl w:ilvl="0">
      <w:start w:val="1"/>
      <w:numFmt w:val="decimal"/>
      <w:lvlText w:val="1.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DF6924"/>
    <w:multiLevelType w:val="hybridMultilevel"/>
    <w:tmpl w:val="2272FA2A"/>
    <w:lvl w:ilvl="0" w:tplc="1FCC43B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46A07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1" w15:restartNumberingAfterBreak="0">
    <w:nsid w:val="378D6D07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37F5685A"/>
    <w:multiLevelType w:val="multilevel"/>
    <w:tmpl w:val="0A7EDE9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B7B2B2A"/>
    <w:multiLevelType w:val="multilevel"/>
    <w:tmpl w:val="B928A22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4" w15:restartNumberingAfterBreak="0">
    <w:nsid w:val="3E7D724A"/>
    <w:multiLevelType w:val="hybridMultilevel"/>
    <w:tmpl w:val="898E9B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C4EF0"/>
    <w:multiLevelType w:val="hybridMultilevel"/>
    <w:tmpl w:val="0444F87A"/>
    <w:lvl w:ilvl="0" w:tplc="789A10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824C9"/>
    <w:multiLevelType w:val="hybridMultilevel"/>
    <w:tmpl w:val="CDD271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D29B3"/>
    <w:multiLevelType w:val="hybridMultilevel"/>
    <w:tmpl w:val="3410D1CE"/>
    <w:lvl w:ilvl="0" w:tplc="BC4667D8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 w:tplc="6F44E7E4">
      <w:start w:val="1"/>
      <w:numFmt w:val="decimal"/>
      <w:lvlText w:val="1.%2"/>
      <w:lvlJc w:val="left"/>
      <w:pPr>
        <w:ind w:left="502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370E4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B14A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582BD9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547D007F"/>
    <w:multiLevelType w:val="hybridMultilevel"/>
    <w:tmpl w:val="6DF01940"/>
    <w:lvl w:ilvl="0" w:tplc="04150011">
      <w:start w:val="1"/>
      <w:numFmt w:val="decimal"/>
      <w:lvlText w:val="%1)"/>
      <w:lvlJc w:val="left"/>
      <w:pPr>
        <w:ind w:left="947" w:hanging="360"/>
      </w:p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2" w15:restartNumberingAfterBreak="0">
    <w:nsid w:val="58CA039D"/>
    <w:multiLevelType w:val="multilevel"/>
    <w:tmpl w:val="A39ACB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99D218E"/>
    <w:multiLevelType w:val="hybridMultilevel"/>
    <w:tmpl w:val="F42A90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13D0C"/>
    <w:multiLevelType w:val="hybridMultilevel"/>
    <w:tmpl w:val="73E6CE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D03FD"/>
    <w:multiLevelType w:val="multilevel"/>
    <w:tmpl w:val="432EA30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6" w15:restartNumberingAfterBreak="0">
    <w:nsid w:val="781636B3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7" w15:restartNumberingAfterBreak="0">
    <w:nsid w:val="7F5A6BF5"/>
    <w:multiLevelType w:val="hybridMultilevel"/>
    <w:tmpl w:val="E4E6C8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58682">
    <w:abstractNumId w:val="35"/>
  </w:num>
  <w:num w:numId="2" w16cid:durableId="1375001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01905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51587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55562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3829466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3336944">
    <w:abstractNumId w:val="33"/>
  </w:num>
  <w:num w:numId="8" w16cid:durableId="1558278615">
    <w:abstractNumId w:val="16"/>
  </w:num>
  <w:num w:numId="9" w16cid:durableId="1113288302">
    <w:abstractNumId w:val="30"/>
  </w:num>
  <w:num w:numId="10" w16cid:durableId="1542552285">
    <w:abstractNumId w:val="1"/>
  </w:num>
  <w:num w:numId="11" w16cid:durableId="1708145505">
    <w:abstractNumId w:val="21"/>
  </w:num>
  <w:num w:numId="12" w16cid:durableId="2119831492">
    <w:abstractNumId w:val="13"/>
  </w:num>
  <w:num w:numId="13" w16cid:durableId="19696291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66210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506861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968533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178478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2217845">
    <w:abstractNumId w:val="2"/>
  </w:num>
  <w:num w:numId="19" w16cid:durableId="8699964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8019202">
    <w:abstractNumId w:val="4"/>
  </w:num>
  <w:num w:numId="21" w16cid:durableId="135102310">
    <w:abstractNumId w:val="28"/>
  </w:num>
  <w:num w:numId="22" w16cid:durableId="527451445">
    <w:abstractNumId w:val="31"/>
  </w:num>
  <w:num w:numId="23" w16cid:durableId="1885676011">
    <w:abstractNumId w:val="37"/>
  </w:num>
  <w:num w:numId="24" w16cid:durableId="1333678316">
    <w:abstractNumId w:val="34"/>
  </w:num>
  <w:num w:numId="25" w16cid:durableId="463886315">
    <w:abstractNumId w:val="10"/>
  </w:num>
  <w:num w:numId="26" w16cid:durableId="71047387">
    <w:abstractNumId w:val="26"/>
  </w:num>
  <w:num w:numId="27" w16cid:durableId="583610000">
    <w:abstractNumId w:val="9"/>
  </w:num>
  <w:num w:numId="28" w16cid:durableId="1165827488">
    <w:abstractNumId w:val="19"/>
  </w:num>
  <w:num w:numId="29" w16cid:durableId="4197650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56178837">
    <w:abstractNumId w:val="24"/>
  </w:num>
  <w:num w:numId="31" w16cid:durableId="1719351319">
    <w:abstractNumId w:val="0"/>
  </w:num>
  <w:num w:numId="32" w16cid:durableId="1932082205">
    <w:abstractNumId w:val="8"/>
  </w:num>
  <w:num w:numId="33" w16cid:durableId="1123383941">
    <w:abstractNumId w:val="32"/>
  </w:num>
  <w:num w:numId="34" w16cid:durableId="2121340678">
    <w:abstractNumId w:val="25"/>
  </w:num>
  <w:num w:numId="35" w16cid:durableId="790513024">
    <w:abstractNumId w:val="29"/>
  </w:num>
  <w:num w:numId="36" w16cid:durableId="142478052">
    <w:abstractNumId w:val="12"/>
  </w:num>
  <w:num w:numId="37" w16cid:durableId="1605571776">
    <w:abstractNumId w:val="22"/>
  </w:num>
  <w:num w:numId="38" w16cid:durableId="643893194">
    <w:abstractNumId w:val="3"/>
  </w:num>
  <w:num w:numId="39" w16cid:durableId="2109421602">
    <w:abstractNumId w:val="7"/>
  </w:num>
  <w:num w:numId="40" w16cid:durableId="1450319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35"/>
    <w:rsid w:val="000159F0"/>
    <w:rsid w:val="00036A16"/>
    <w:rsid w:val="000B2193"/>
    <w:rsid w:val="000B310A"/>
    <w:rsid w:val="000C6357"/>
    <w:rsid w:val="000D1713"/>
    <w:rsid w:val="000D225B"/>
    <w:rsid w:val="0012700F"/>
    <w:rsid w:val="0013591C"/>
    <w:rsid w:val="00137A8D"/>
    <w:rsid w:val="00140B49"/>
    <w:rsid w:val="00186535"/>
    <w:rsid w:val="001B528A"/>
    <w:rsid w:val="001C4236"/>
    <w:rsid w:val="001D2086"/>
    <w:rsid w:val="001F3D27"/>
    <w:rsid w:val="002255A0"/>
    <w:rsid w:val="00227200"/>
    <w:rsid w:val="0024119E"/>
    <w:rsid w:val="00290C63"/>
    <w:rsid w:val="00291EF0"/>
    <w:rsid w:val="002A23BF"/>
    <w:rsid w:val="002A5331"/>
    <w:rsid w:val="002B50D9"/>
    <w:rsid w:val="002E462E"/>
    <w:rsid w:val="00301033"/>
    <w:rsid w:val="003257D5"/>
    <w:rsid w:val="0032766F"/>
    <w:rsid w:val="00356AC1"/>
    <w:rsid w:val="003705D3"/>
    <w:rsid w:val="003F76B1"/>
    <w:rsid w:val="0040522B"/>
    <w:rsid w:val="004222AC"/>
    <w:rsid w:val="004419A3"/>
    <w:rsid w:val="0046254D"/>
    <w:rsid w:val="004630FC"/>
    <w:rsid w:val="00496FD3"/>
    <w:rsid w:val="00497A1D"/>
    <w:rsid w:val="004A1656"/>
    <w:rsid w:val="004C5982"/>
    <w:rsid w:val="004D21AB"/>
    <w:rsid w:val="004F41E9"/>
    <w:rsid w:val="005010B6"/>
    <w:rsid w:val="00530BD4"/>
    <w:rsid w:val="00536162"/>
    <w:rsid w:val="005629CB"/>
    <w:rsid w:val="005804C2"/>
    <w:rsid w:val="00590F1E"/>
    <w:rsid w:val="00595F20"/>
    <w:rsid w:val="005A0533"/>
    <w:rsid w:val="005C43BE"/>
    <w:rsid w:val="005C4DBF"/>
    <w:rsid w:val="005E7A0A"/>
    <w:rsid w:val="005F7CD1"/>
    <w:rsid w:val="00603A7A"/>
    <w:rsid w:val="00630A7B"/>
    <w:rsid w:val="00636B6D"/>
    <w:rsid w:val="00667200"/>
    <w:rsid w:val="006A1D5A"/>
    <w:rsid w:val="006A37E7"/>
    <w:rsid w:val="006B21FA"/>
    <w:rsid w:val="006C7253"/>
    <w:rsid w:val="006D4391"/>
    <w:rsid w:val="006F2F18"/>
    <w:rsid w:val="0071014A"/>
    <w:rsid w:val="00742480"/>
    <w:rsid w:val="00750DD3"/>
    <w:rsid w:val="00754E44"/>
    <w:rsid w:val="0076643C"/>
    <w:rsid w:val="007A5E5B"/>
    <w:rsid w:val="007D679B"/>
    <w:rsid w:val="007E40A5"/>
    <w:rsid w:val="007E6BCF"/>
    <w:rsid w:val="00821AD0"/>
    <w:rsid w:val="00822D43"/>
    <w:rsid w:val="00852A61"/>
    <w:rsid w:val="00862DFC"/>
    <w:rsid w:val="00881F73"/>
    <w:rsid w:val="008B7E1A"/>
    <w:rsid w:val="008E365E"/>
    <w:rsid w:val="008E3A16"/>
    <w:rsid w:val="0090742C"/>
    <w:rsid w:val="00921924"/>
    <w:rsid w:val="00950C61"/>
    <w:rsid w:val="00952848"/>
    <w:rsid w:val="009713E8"/>
    <w:rsid w:val="009B148D"/>
    <w:rsid w:val="009E34AF"/>
    <w:rsid w:val="009F63FB"/>
    <w:rsid w:val="00A270FA"/>
    <w:rsid w:val="00A3172B"/>
    <w:rsid w:val="00A31FB6"/>
    <w:rsid w:val="00A5200C"/>
    <w:rsid w:val="00A545CD"/>
    <w:rsid w:val="00A75002"/>
    <w:rsid w:val="00A95494"/>
    <w:rsid w:val="00B045D8"/>
    <w:rsid w:val="00B424E3"/>
    <w:rsid w:val="00BA46F2"/>
    <w:rsid w:val="00BE71FB"/>
    <w:rsid w:val="00C120D6"/>
    <w:rsid w:val="00C20414"/>
    <w:rsid w:val="00C31ECB"/>
    <w:rsid w:val="00C75103"/>
    <w:rsid w:val="00C812A5"/>
    <w:rsid w:val="00CA1AA5"/>
    <w:rsid w:val="00CD3638"/>
    <w:rsid w:val="00D14C05"/>
    <w:rsid w:val="00D2295D"/>
    <w:rsid w:val="00D4031E"/>
    <w:rsid w:val="00D43A8C"/>
    <w:rsid w:val="00D6076A"/>
    <w:rsid w:val="00D60B38"/>
    <w:rsid w:val="00D60BA7"/>
    <w:rsid w:val="00D77F89"/>
    <w:rsid w:val="00DB57C4"/>
    <w:rsid w:val="00DE3EBA"/>
    <w:rsid w:val="00DF08E8"/>
    <w:rsid w:val="00E0150B"/>
    <w:rsid w:val="00E20760"/>
    <w:rsid w:val="00E318C5"/>
    <w:rsid w:val="00E35D23"/>
    <w:rsid w:val="00E70BB5"/>
    <w:rsid w:val="00E934C6"/>
    <w:rsid w:val="00E94F70"/>
    <w:rsid w:val="00E97EF1"/>
    <w:rsid w:val="00EA419E"/>
    <w:rsid w:val="00EA6406"/>
    <w:rsid w:val="00EC39C8"/>
    <w:rsid w:val="00EC60F1"/>
    <w:rsid w:val="00ED6441"/>
    <w:rsid w:val="00EF5D7D"/>
    <w:rsid w:val="00F059D7"/>
    <w:rsid w:val="00F1253E"/>
    <w:rsid w:val="00F27E0F"/>
    <w:rsid w:val="00F50314"/>
    <w:rsid w:val="00F61907"/>
    <w:rsid w:val="00F669C8"/>
    <w:rsid w:val="00F83AD1"/>
    <w:rsid w:val="00F86ED7"/>
    <w:rsid w:val="00F8763E"/>
    <w:rsid w:val="00FA6ADA"/>
    <w:rsid w:val="00FB1F5A"/>
    <w:rsid w:val="00FB64C6"/>
    <w:rsid w:val="00FC0AD9"/>
    <w:rsid w:val="00FD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3586"/>
  <w15:chartTrackingRefBased/>
  <w15:docId w15:val="{37F40815-DEEC-4EAD-86FB-D8FA7A1E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653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link w:val="TekstpodstawowywcityZnak"/>
    <w:semiHidden/>
    <w:unhideWhenUsed/>
    <w:rsid w:val="00186535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186535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Akapitzlist">
    <w:name w:val="List Paragraph"/>
    <w:basedOn w:val="Normalny"/>
    <w:link w:val="AkapitzlistZnak"/>
    <w:uiPriority w:val="34"/>
    <w:qFormat/>
    <w:rsid w:val="00186535"/>
    <w:pPr>
      <w:ind w:left="720"/>
      <w:contextualSpacing/>
    </w:pPr>
  </w:style>
  <w:style w:type="paragraph" w:customStyle="1" w:styleId="Default">
    <w:name w:val="Default"/>
    <w:rsid w:val="001865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ela-Siatka">
    <w:name w:val="Table Grid"/>
    <w:basedOn w:val="Standardowy"/>
    <w:uiPriority w:val="59"/>
    <w:rsid w:val="0018653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l-P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0B219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B21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B219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B2193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21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B2193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character" w:customStyle="1" w:styleId="ui-provider">
    <w:name w:val="ui-provider"/>
    <w:basedOn w:val="Domylnaczcionkaakapitu"/>
    <w:rsid w:val="004222AC"/>
  </w:style>
  <w:style w:type="paragraph" w:styleId="Tekstdymka">
    <w:name w:val="Balloon Text"/>
    <w:basedOn w:val="Normalny"/>
    <w:link w:val="TekstdymkaZnak"/>
    <w:uiPriority w:val="99"/>
    <w:semiHidden/>
    <w:unhideWhenUsed/>
    <w:rsid w:val="00F12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253E"/>
    <w:rPr>
      <w:rFonts w:ascii="Segoe UI" w:eastAsia="Calibri" w:hAnsi="Segoe UI" w:cs="Segoe UI"/>
      <w:kern w:val="0"/>
      <w:sz w:val="18"/>
      <w:szCs w:val="18"/>
      <w14:ligatures w14:val="none"/>
    </w:rPr>
  </w:style>
  <w:style w:type="character" w:customStyle="1" w:styleId="AkapitzlistZnak">
    <w:name w:val="Akapit z listą Znak"/>
    <w:link w:val="Akapitzlist"/>
    <w:uiPriority w:val="34"/>
    <w:locked/>
    <w:rsid w:val="00301033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38BD-8293-4F3A-AF5C-A061D382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Gołębiowska Dorota</dc:creator>
  <cp:keywords/>
  <dc:description/>
  <cp:lastModifiedBy>Wilk Justyna</cp:lastModifiedBy>
  <cp:revision>4</cp:revision>
  <dcterms:created xsi:type="dcterms:W3CDTF">2025-03-05T11:33:00Z</dcterms:created>
  <dcterms:modified xsi:type="dcterms:W3CDTF">2025-03-14T08:49:00Z</dcterms:modified>
</cp:coreProperties>
</file>