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C8E0" w14:textId="66A138D0" w:rsidR="00D50D2A" w:rsidRDefault="00BA1B6B" w:rsidP="00D50D2A">
      <w:pPr>
        <w:rPr>
          <w:rFonts w:ascii="Times New Roman" w:hAnsi="Times New Roman"/>
          <w:color w:val="000000" w:themeColor="text1"/>
          <w:sz w:val="22"/>
          <w:szCs w:val="22"/>
        </w:rPr>
      </w:pPr>
      <w:bookmarkStart w:id="0" w:name="_Hlk168304653"/>
      <w:r w:rsidRPr="00BA1B6B">
        <w:rPr>
          <w:rFonts w:ascii="Times New Roman" w:hAnsi="Times New Roman"/>
          <w:sz w:val="22"/>
          <w:szCs w:val="22"/>
        </w:rPr>
        <w:t>Załącznik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B.</w:t>
      </w:r>
      <w:r w:rsidR="009B7136">
        <w:rPr>
          <w:rFonts w:ascii="Times New Roman" w:hAnsi="Times New Roman"/>
          <w:color w:val="000000" w:themeColor="text1"/>
          <w:sz w:val="22"/>
          <w:szCs w:val="22"/>
        </w:rPr>
        <w:t>170.</w:t>
      </w:r>
    </w:p>
    <w:p w14:paraId="3F36546B" w14:textId="77777777" w:rsidR="00BA1B6B" w:rsidRPr="000479E7" w:rsidRDefault="00BA1B6B" w:rsidP="00D50D2A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744FFB62" w14:textId="15AF7BB7" w:rsidR="00D50D2A" w:rsidRPr="000479E7" w:rsidRDefault="00D50D2A" w:rsidP="00BA1B6B">
      <w:pPr>
        <w:spacing w:after="24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" w:name="_Hlk168304568"/>
      <w:r w:rsidRPr="000479E7">
        <w:rPr>
          <w:rFonts w:ascii="Times New Roman" w:hAnsi="Times New Roman"/>
          <w:b/>
          <w:color w:val="000000" w:themeColor="text1"/>
          <w:sz w:val="28"/>
          <w:szCs w:val="28"/>
        </w:rPr>
        <w:t>LECZENIE</w:t>
      </w:r>
      <w:r w:rsidR="001D66B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DOROSŁYCH</w:t>
      </w:r>
      <w:r w:rsidRPr="000479E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1D66BF">
        <w:rPr>
          <w:rFonts w:ascii="Times New Roman" w:hAnsi="Times New Roman"/>
          <w:b/>
          <w:color w:val="000000" w:themeColor="text1"/>
          <w:sz w:val="28"/>
          <w:szCs w:val="28"/>
        </w:rPr>
        <w:t>PACJENTÓW Z POLINEUROPATIĄ W I LUB II STADIUM ZAAWANSOWANIA</w:t>
      </w:r>
      <w:r w:rsidR="001D66BF" w:rsidRPr="000479E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9B7136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="001D66BF">
        <w:rPr>
          <w:rFonts w:ascii="Times New Roman" w:hAnsi="Times New Roman"/>
          <w:b/>
          <w:color w:val="000000" w:themeColor="text1"/>
          <w:sz w:val="28"/>
          <w:szCs w:val="28"/>
        </w:rPr>
        <w:t xml:space="preserve">W PRZEBIEGU </w:t>
      </w:r>
      <w:r w:rsidR="003D45C3">
        <w:rPr>
          <w:rFonts w:ascii="Times New Roman" w:hAnsi="Times New Roman"/>
          <w:b/>
          <w:color w:val="000000" w:themeColor="text1"/>
          <w:sz w:val="28"/>
          <w:szCs w:val="28"/>
        </w:rPr>
        <w:t>DZIEDZICZNEJ AMYLOIDOZY TRANSTYRETYNOWEJ</w:t>
      </w:r>
      <w:r w:rsidR="00B270F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0479E7">
        <w:rPr>
          <w:rFonts w:ascii="Times New Roman" w:hAnsi="Times New Roman"/>
          <w:b/>
          <w:color w:val="000000" w:themeColor="text1"/>
          <w:sz w:val="28"/>
          <w:szCs w:val="28"/>
        </w:rPr>
        <w:t>(ICD-10</w:t>
      </w:r>
      <w:r w:rsidR="0071714E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  <w:r w:rsidRPr="000479E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544D8A" w:rsidRPr="00544D8A">
        <w:rPr>
          <w:rFonts w:ascii="Times New Roman" w:hAnsi="Times New Roman"/>
          <w:b/>
          <w:color w:val="000000" w:themeColor="text1"/>
          <w:sz w:val="28"/>
          <w:szCs w:val="28"/>
        </w:rPr>
        <w:t>E85.1</w:t>
      </w:r>
      <w:r w:rsidRPr="000479E7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7"/>
        <w:gridCol w:w="4776"/>
        <w:gridCol w:w="5275"/>
      </w:tblGrid>
      <w:tr w:rsidR="003D23E9" w:rsidRPr="003D23E9" w14:paraId="3474CBE8" w14:textId="77777777" w:rsidTr="009B7136">
        <w:trPr>
          <w:trHeight w:val="567"/>
        </w:trPr>
        <w:tc>
          <w:tcPr>
            <w:tcW w:w="5000" w:type="pct"/>
            <w:gridSpan w:val="3"/>
            <w:vAlign w:val="center"/>
          </w:tcPr>
          <w:bookmarkEnd w:id="1"/>
          <w:p w14:paraId="3B6BDFC8" w14:textId="77777777" w:rsidR="00D50D2A" w:rsidRPr="003D23E9" w:rsidRDefault="00D50D2A" w:rsidP="00B54D75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D23E9">
              <w:rPr>
                <w:rFonts w:ascii="Times New Roman" w:hAnsi="Times New Roman"/>
                <w:b/>
                <w:color w:val="000000" w:themeColor="text1"/>
              </w:rPr>
              <w:t>ZAKRES ŚWIADCZENIA GWARANTOWANEGO</w:t>
            </w:r>
          </w:p>
        </w:tc>
      </w:tr>
      <w:tr w:rsidR="003D23E9" w:rsidRPr="003D23E9" w14:paraId="7C93E504" w14:textId="77777777" w:rsidTr="009B7136">
        <w:trPr>
          <w:trHeight w:val="567"/>
        </w:trPr>
        <w:tc>
          <w:tcPr>
            <w:tcW w:w="1734" w:type="pct"/>
            <w:vAlign w:val="center"/>
          </w:tcPr>
          <w:p w14:paraId="7FBF4B5C" w14:textId="77777777" w:rsidR="00D50D2A" w:rsidRPr="003D23E9" w:rsidRDefault="00D50D2A" w:rsidP="00B54D75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D23E9">
              <w:rPr>
                <w:rFonts w:ascii="Times New Roman" w:hAnsi="Times New Roman"/>
                <w:b/>
                <w:color w:val="000000" w:themeColor="text1"/>
              </w:rPr>
              <w:t>ŚWIADCZENIOBIORCY</w:t>
            </w:r>
          </w:p>
        </w:tc>
        <w:tc>
          <w:tcPr>
            <w:tcW w:w="1552" w:type="pct"/>
            <w:vAlign w:val="center"/>
          </w:tcPr>
          <w:p w14:paraId="68BAFE95" w14:textId="77777777" w:rsidR="00D50D2A" w:rsidRPr="003D23E9" w:rsidRDefault="00D50D2A" w:rsidP="00B54D75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D23E9">
              <w:rPr>
                <w:rFonts w:ascii="Times New Roman" w:hAnsi="Times New Roman"/>
                <w:b/>
                <w:color w:val="000000" w:themeColor="text1"/>
              </w:rPr>
              <w:t xml:space="preserve">SCHEMAT DAWKOWANIA LEKÓW </w:t>
            </w:r>
            <w:r w:rsidRPr="003D23E9">
              <w:rPr>
                <w:rFonts w:ascii="Times New Roman" w:hAnsi="Times New Roman"/>
                <w:b/>
                <w:color w:val="000000" w:themeColor="text1"/>
              </w:rPr>
              <w:br/>
              <w:t>W PROGRAMIE</w:t>
            </w:r>
          </w:p>
        </w:tc>
        <w:tc>
          <w:tcPr>
            <w:tcW w:w="1714" w:type="pct"/>
            <w:tcBorders>
              <w:right w:val="single" w:sz="4" w:space="0" w:color="auto"/>
            </w:tcBorders>
            <w:vAlign w:val="center"/>
          </w:tcPr>
          <w:p w14:paraId="68C58533" w14:textId="7E926149" w:rsidR="00D50D2A" w:rsidRPr="003D23E9" w:rsidRDefault="00D50D2A" w:rsidP="00B54D75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D23E9">
              <w:rPr>
                <w:rFonts w:ascii="Times New Roman" w:hAnsi="Times New Roman"/>
                <w:b/>
                <w:color w:val="000000" w:themeColor="text1"/>
              </w:rPr>
              <w:t>BADANIA DIAGNOSTYCZNE WYKONYWANE W RAMACH PROGRAMU</w:t>
            </w:r>
          </w:p>
        </w:tc>
      </w:tr>
      <w:tr w:rsidR="003D23E9" w:rsidRPr="007E32F2" w14:paraId="4F56F7EA" w14:textId="77777777" w:rsidTr="00B54D75">
        <w:tc>
          <w:tcPr>
            <w:tcW w:w="1734" w:type="pct"/>
          </w:tcPr>
          <w:p w14:paraId="236584DA" w14:textId="2B4FB662" w:rsidR="009A7A2F" w:rsidRPr="007E32F2" w:rsidRDefault="005B14DE" w:rsidP="006D27C6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Kwalifikacji świadczeniobiorców do terapii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6D27C6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Zespół Koordynujący ds. </w:t>
            </w:r>
            <w:r w:rsidRPr="005B14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 Rzadkich Chorób Neurologicznych</w:t>
            </w:r>
            <w:r w:rsidR="006D27C6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powoływany przez Prezesa Narodowego Funduszu Zdrowia. </w:t>
            </w:r>
          </w:p>
          <w:p w14:paraId="6B4E47DE" w14:textId="77777777" w:rsidR="005B14DE" w:rsidRPr="00D4296F" w:rsidRDefault="005B14DE" w:rsidP="005B14DE">
            <w:pPr>
              <w:spacing w:after="60" w:line="276" w:lineRule="auto"/>
              <w:jc w:val="both"/>
              <w:rPr>
                <w:rFonts w:ascii="Times New Roman" w:hAnsi="Times New Roman"/>
              </w:rPr>
            </w:pPr>
            <w:r w:rsidRPr="00BF3B07">
              <w:rPr>
                <w:rFonts w:ascii="Times New Roman" w:hAnsi="Times New Roman"/>
              </w:rPr>
              <w:t xml:space="preserve">Kwalifikacja do programu oraz weryfikacja skuteczności leczenia </w:t>
            </w:r>
            <w:r w:rsidRPr="00E07A63">
              <w:rPr>
                <w:rFonts w:ascii="Times New Roman" w:hAnsi="Times New Roman"/>
              </w:rPr>
              <w:t>po 12 miesiącach</w:t>
            </w:r>
            <w:r>
              <w:rPr>
                <w:rFonts w:ascii="Times New Roman" w:hAnsi="Times New Roman"/>
              </w:rPr>
              <w:t xml:space="preserve">, a następnie </w:t>
            </w:r>
            <w:r w:rsidRPr="00BF3B07">
              <w:rPr>
                <w:rFonts w:ascii="Times New Roman" w:hAnsi="Times New Roman"/>
              </w:rPr>
              <w:t>co 6 miesięcy odbywa się, w oparciu o ocenę stanu klinicznego świadczeniobiorcy oraz ocenę efektywności zastosowanej terapi</w:t>
            </w:r>
            <w:r>
              <w:rPr>
                <w:rFonts w:ascii="Times New Roman" w:hAnsi="Times New Roman"/>
              </w:rPr>
              <w:t xml:space="preserve">i. </w:t>
            </w:r>
          </w:p>
          <w:p w14:paraId="4809CA22" w14:textId="77777777" w:rsidR="005B14DE" w:rsidRDefault="00B32CB4" w:rsidP="00B72D15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65A5E">
              <w:rPr>
                <w:rFonts w:ascii="Times New Roman" w:hAnsi="Times New Roman"/>
                <w:color w:val="000000" w:themeColor="text1"/>
              </w:rPr>
              <w:t>W programie finansuje się leczenie</w:t>
            </w:r>
            <w:r w:rsidR="005B14DE">
              <w:rPr>
                <w:rFonts w:ascii="Times New Roman" w:hAnsi="Times New Roman"/>
                <w:color w:val="000000" w:themeColor="text1"/>
              </w:rPr>
              <w:t>:</w:t>
            </w:r>
            <w:r w:rsidRPr="00B65A5E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3D882CE4" w14:textId="14B2E94D" w:rsidR="005B14DE" w:rsidRPr="005B14DE" w:rsidRDefault="00B32CB4" w:rsidP="00321CA2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i/>
                <w:iCs/>
                <w:color w:val="000000" w:themeColor="text1"/>
              </w:rPr>
            </w:pPr>
            <w:r w:rsidRPr="005B14DE">
              <w:rPr>
                <w:rFonts w:ascii="Times New Roman" w:hAnsi="Times New Roman"/>
                <w:i/>
                <w:iCs/>
                <w:color w:val="000000" w:themeColor="text1"/>
              </w:rPr>
              <w:t>wutris</w:t>
            </w:r>
            <w:r w:rsidR="005E7425">
              <w:rPr>
                <w:rFonts w:ascii="Times New Roman" w:hAnsi="Times New Roman"/>
                <w:i/>
                <w:iCs/>
                <w:color w:val="000000" w:themeColor="text1"/>
              </w:rPr>
              <w:t>y</w:t>
            </w:r>
            <w:r w:rsidRPr="005B14DE">
              <w:rPr>
                <w:rFonts w:ascii="Times New Roman" w:hAnsi="Times New Roman"/>
                <w:i/>
                <w:iCs/>
                <w:color w:val="000000" w:themeColor="text1"/>
              </w:rPr>
              <w:t xml:space="preserve">ranem </w:t>
            </w:r>
          </w:p>
          <w:p w14:paraId="59919F25" w14:textId="2C14A232" w:rsidR="00B32CB4" w:rsidRPr="005B14DE" w:rsidRDefault="00B32CB4" w:rsidP="005B14DE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5B14DE">
              <w:rPr>
                <w:rFonts w:ascii="Times New Roman" w:hAnsi="Times New Roman"/>
                <w:color w:val="000000" w:themeColor="text1"/>
              </w:rPr>
              <w:t>zgodnie ze wskazanymi w opisie programu warunkami i kryteriami.</w:t>
            </w:r>
          </w:p>
          <w:p w14:paraId="09D0A068" w14:textId="77777777" w:rsidR="006D27C6" w:rsidRPr="007E32F2" w:rsidRDefault="006D27C6" w:rsidP="009B7136">
            <w:pPr>
              <w:spacing w:after="60"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50C5D572" w14:textId="4CC4825B" w:rsidR="00366590" w:rsidRPr="007E32F2" w:rsidRDefault="00D50D2A" w:rsidP="009B7136">
            <w:pPr>
              <w:pStyle w:val="Akapitzlist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E32F2">
              <w:rPr>
                <w:rFonts w:ascii="Times New Roman" w:hAnsi="Times New Roman"/>
                <w:b/>
                <w:color w:val="000000" w:themeColor="text1"/>
              </w:rPr>
              <w:t xml:space="preserve">Kryteria </w:t>
            </w:r>
            <w:r w:rsidRPr="00064897">
              <w:rPr>
                <w:rFonts w:ascii="Times New Roman" w:eastAsia="Calibri" w:hAnsi="Times New Roman"/>
                <w:b/>
                <w:bCs/>
                <w:iCs/>
              </w:rPr>
              <w:t>kwalifikacji</w:t>
            </w:r>
          </w:p>
          <w:p w14:paraId="4AB522E8" w14:textId="18CB1BCF" w:rsidR="00D50D2A" w:rsidRPr="00064897" w:rsidRDefault="00962E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w</w:t>
            </w:r>
            <w:r w:rsidR="00544D8A" w:rsidRPr="00064897">
              <w:rPr>
                <w:rFonts w:ascii="Times New Roman" w:eastAsia="Calibri" w:hAnsi="Times New Roman"/>
              </w:rPr>
              <w:t>iek 18 lat</w:t>
            </w:r>
            <w:r w:rsidRPr="00064897">
              <w:rPr>
                <w:rFonts w:ascii="Times New Roman" w:eastAsia="Calibri" w:hAnsi="Times New Roman"/>
              </w:rPr>
              <w:t xml:space="preserve"> i więcej</w:t>
            </w:r>
            <w:r w:rsidR="00634330" w:rsidRPr="00064897">
              <w:rPr>
                <w:rFonts w:ascii="Times New Roman" w:eastAsia="Calibri" w:hAnsi="Times New Roman"/>
              </w:rPr>
              <w:t>;</w:t>
            </w:r>
          </w:p>
          <w:p w14:paraId="60BFD3D3" w14:textId="364EF9A0" w:rsidR="00962E26" w:rsidRPr="00064897" w:rsidRDefault="00962E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rozpoznanie amyloidozy transtyretynowej (ATTR);</w:t>
            </w:r>
          </w:p>
          <w:p w14:paraId="3694D0C8" w14:textId="2CBC72DC" w:rsidR="00962E26" w:rsidRPr="00064897" w:rsidRDefault="00962E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postać dziedziczna ATTR potwierdzona wynikiem badania genetycznego;</w:t>
            </w:r>
          </w:p>
          <w:p w14:paraId="5A6587FC" w14:textId="1359228C" w:rsidR="00962E26" w:rsidRPr="00064897" w:rsidRDefault="00962E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 xml:space="preserve">stwierdzona polineuropatia stadium I lub II </w:t>
            </w:r>
            <w:r w:rsidR="00CB1A0E" w:rsidRPr="00064897">
              <w:rPr>
                <w:rFonts w:ascii="Times New Roman" w:eastAsia="Calibri" w:hAnsi="Times New Roman"/>
              </w:rPr>
              <w:t xml:space="preserve">wg klasyfikacji </w:t>
            </w:r>
            <w:r w:rsidR="007D2AC6" w:rsidRPr="007D2AC6">
              <w:rPr>
                <w:rFonts w:ascii="Times New Roman" w:eastAsia="Calibri" w:hAnsi="Times New Roman"/>
              </w:rPr>
              <w:t>Coutinho</w:t>
            </w:r>
            <w:r w:rsidR="00CB1A0E" w:rsidRPr="00064897">
              <w:rPr>
                <w:rFonts w:ascii="Times New Roman" w:eastAsia="Calibri" w:hAnsi="Times New Roman"/>
              </w:rPr>
              <w:t xml:space="preserve"> (stadium I – pacjent chodzący samodzielnie z objawami polineuropatii; stadium II – pacjent chodzący z </w:t>
            </w:r>
            <w:r w:rsidR="00CB1A0E" w:rsidRPr="00064897">
              <w:rPr>
                <w:rFonts w:ascii="Times New Roman" w:eastAsia="Calibri" w:hAnsi="Times New Roman"/>
              </w:rPr>
              <w:lastRenderedPageBreak/>
              <w:t>jedno- lub obustronnym podparciem z objawami polineuropatii)</w:t>
            </w:r>
            <w:r w:rsidR="00E96EAC" w:rsidRPr="00064897">
              <w:rPr>
                <w:rFonts w:ascii="Times New Roman" w:eastAsia="Calibri" w:hAnsi="Times New Roman"/>
              </w:rPr>
              <w:t>, jako skutek ATTR</w:t>
            </w:r>
            <w:r w:rsidRPr="00064897">
              <w:rPr>
                <w:rFonts w:ascii="Times New Roman" w:eastAsia="Calibri" w:hAnsi="Times New Roman"/>
              </w:rPr>
              <w:t>;</w:t>
            </w:r>
          </w:p>
          <w:p w14:paraId="24174EDC" w14:textId="03F2C745" w:rsidR="00962E26" w:rsidRPr="00064897" w:rsidRDefault="00962E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nieobecność zaawansowanej kardiomiopatii (klasa NYHA 3 lub 4);</w:t>
            </w:r>
          </w:p>
          <w:p w14:paraId="71ADA383" w14:textId="5D80B687" w:rsidR="00BE1AA1" w:rsidRPr="00064897" w:rsidRDefault="00BE1AA1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wykluczenie występowania innej postaci amyloidozy;</w:t>
            </w:r>
          </w:p>
          <w:p w14:paraId="17F34F12" w14:textId="77777777" w:rsidR="00364B26" w:rsidRPr="00064897" w:rsidRDefault="00364B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adekwatna wydolność narządowa określona na podstawie wyników badań laboratoryjnych krwi zgodnie z zapisami aktualnej Charakterystyki Produktu Leczniczego (ChPL);</w:t>
            </w:r>
          </w:p>
          <w:p w14:paraId="6C2D2527" w14:textId="606520A6" w:rsidR="00364B26" w:rsidRPr="00064897" w:rsidRDefault="00364B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nieobecność istotnych schorzeń współistniejących stanowiących przeciwskazanie do terapii stwierdzonych przez lekarza prowadzącego, w tym zaawansowanych chorób lub uszkodzeń narządów skutkujących złym rokowaniem;</w:t>
            </w:r>
          </w:p>
          <w:p w14:paraId="241A1557" w14:textId="07B56EAF" w:rsidR="00364B26" w:rsidRPr="00064897" w:rsidRDefault="00364B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brak przeciwwskazań do stosowania leku zgodnie z aktualną ChPL;</w:t>
            </w:r>
          </w:p>
          <w:p w14:paraId="17B17CBB" w14:textId="2FE6EBC1" w:rsidR="00364B26" w:rsidRPr="00064897" w:rsidRDefault="00364B26" w:rsidP="009B7136">
            <w:pPr>
              <w:pStyle w:val="Akapitzlist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/>
              </w:rPr>
            </w:pPr>
            <w:r w:rsidRPr="00064897">
              <w:rPr>
                <w:rFonts w:ascii="Times New Roman" w:eastAsia="Calibri" w:hAnsi="Times New Roman"/>
              </w:rPr>
              <w:t>wykluczenie okresu ciąży lub karmienia piersią</w:t>
            </w:r>
            <w:r w:rsidR="005B14DE">
              <w:rPr>
                <w:rFonts w:ascii="Times New Roman" w:eastAsia="Calibri" w:hAnsi="Times New Roman"/>
              </w:rPr>
              <w:t>.</w:t>
            </w:r>
          </w:p>
          <w:p w14:paraId="09206A86" w14:textId="77777777" w:rsidR="002721D9" w:rsidRPr="00B72D15" w:rsidRDefault="002721D9" w:rsidP="009B7136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72D15">
              <w:rPr>
                <w:rFonts w:ascii="Times New Roman" w:hAnsi="Times New Roman"/>
                <w:color w:val="000000" w:themeColor="text1"/>
              </w:rPr>
              <w:t>Powyższe kryteria kwalifikacji muszą być spełnione łącznie.</w:t>
            </w:r>
          </w:p>
          <w:p w14:paraId="3BA342F7" w14:textId="434982C9" w:rsidR="002721D9" w:rsidRPr="00B72D15" w:rsidRDefault="002721D9" w:rsidP="009B7136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72D15">
              <w:rPr>
                <w:rFonts w:ascii="Times New Roman" w:hAnsi="Times New Roman"/>
                <w:color w:val="000000" w:themeColor="text1"/>
              </w:rPr>
              <w:t>Ponadto do programu lekowego kwalifikowani są również pacjenci wymagający kontynuacji leczenia, którzy byli leczeni substancją czynną finansowaną w programie lekowym w ramach innego sposobu finansowania terapii (za wyjątkiem trwających badań klinicznych tego leku), pod warunkiem, że w chwili rozpoczęcia leczenia spełniali kryteria kwalifikacji do programu lekowego.</w:t>
            </w:r>
          </w:p>
          <w:p w14:paraId="24B541D3" w14:textId="3A0AA5E4" w:rsidR="005E1DF0" w:rsidRDefault="00CB1A0E" w:rsidP="009B7136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72D15">
              <w:rPr>
                <w:rFonts w:ascii="Times New Roman" w:hAnsi="Times New Roman"/>
                <w:color w:val="000000" w:themeColor="text1"/>
              </w:rPr>
              <w:t>Do programu włącza się, bez konieczności ponownej kwalifikacji, w celu zapewnienia kontynuacji terapii pacjentki wyłączone z programu w związku z ciążą, które w momencie wyłączenia spełniały pozostałe kryteria przedłużenia leczenia</w:t>
            </w:r>
            <w:r w:rsidR="00385C2B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54B8365E" w14:textId="77777777" w:rsidR="00385C2B" w:rsidRPr="00B72D15" w:rsidRDefault="00385C2B" w:rsidP="009B7136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6B8D9452" w14:textId="00EE90E9" w:rsidR="00067550" w:rsidRPr="007E32F2" w:rsidRDefault="00067550" w:rsidP="009B7136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E32F2">
              <w:rPr>
                <w:rFonts w:ascii="Times New Roman" w:hAnsi="Times New Roman"/>
                <w:b/>
                <w:color w:val="000000" w:themeColor="text1"/>
              </w:rPr>
              <w:t>Określenie czasu leczenia w programie</w:t>
            </w:r>
          </w:p>
          <w:p w14:paraId="7845D385" w14:textId="5CE68072" w:rsidR="005C5429" w:rsidRPr="00B72D15" w:rsidRDefault="00067550" w:rsidP="009B7136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72D15">
              <w:rPr>
                <w:rFonts w:ascii="Times New Roman" w:hAnsi="Times New Roman"/>
                <w:color w:val="000000" w:themeColor="text1"/>
              </w:rPr>
              <w:lastRenderedPageBreak/>
              <w:t xml:space="preserve">Leczenie trwa do czasu podjęcia przez lekarza prowadzącego </w:t>
            </w:r>
            <w:r w:rsidR="00D55ED9" w:rsidRPr="00B72D15">
              <w:rPr>
                <w:rFonts w:ascii="Times New Roman" w:hAnsi="Times New Roman"/>
                <w:color w:val="000000" w:themeColor="text1"/>
              </w:rPr>
              <w:t xml:space="preserve">lub </w:t>
            </w:r>
            <w:r w:rsidR="00961BA3" w:rsidRPr="00B72D15">
              <w:rPr>
                <w:rFonts w:ascii="Times New Roman" w:hAnsi="Times New Roman"/>
                <w:color w:val="000000" w:themeColor="text1"/>
              </w:rPr>
              <w:t>Z</w:t>
            </w:r>
            <w:r w:rsidR="00D55ED9" w:rsidRPr="00B72D15">
              <w:rPr>
                <w:rFonts w:ascii="Times New Roman" w:hAnsi="Times New Roman"/>
                <w:color w:val="000000" w:themeColor="text1"/>
              </w:rPr>
              <w:t xml:space="preserve">espół </w:t>
            </w:r>
            <w:r w:rsidR="00961BA3" w:rsidRPr="00B72D15">
              <w:rPr>
                <w:rFonts w:ascii="Times New Roman" w:hAnsi="Times New Roman"/>
                <w:color w:val="000000" w:themeColor="text1"/>
              </w:rPr>
              <w:t>K</w:t>
            </w:r>
            <w:r w:rsidR="00D55ED9" w:rsidRPr="00B72D15">
              <w:rPr>
                <w:rFonts w:ascii="Times New Roman" w:hAnsi="Times New Roman"/>
                <w:color w:val="000000" w:themeColor="text1"/>
              </w:rPr>
              <w:t xml:space="preserve">oordynujący </w:t>
            </w:r>
            <w:r w:rsidRPr="00B72D15">
              <w:rPr>
                <w:rFonts w:ascii="Times New Roman" w:hAnsi="Times New Roman"/>
                <w:color w:val="000000" w:themeColor="text1"/>
              </w:rPr>
              <w:t>decyzji o wyłączeniu świadczeniobiorcy z programu zgodnie z kryteriami wyłączenia.</w:t>
            </w:r>
          </w:p>
          <w:p w14:paraId="010A71DA" w14:textId="2DF228C9" w:rsidR="00FE1EA0" w:rsidRPr="00B72D15" w:rsidRDefault="00FE1EA0" w:rsidP="009B7136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Z</w:t>
            </w:r>
            <w:r w:rsidRPr="007E32F2">
              <w:rPr>
                <w:rFonts w:ascii="Times New Roman" w:hAnsi="Times New Roman"/>
                <w:color w:val="000000" w:themeColor="text1"/>
              </w:rPr>
              <w:t>naczna progresja choroby pomimo leczenia</w:t>
            </w:r>
            <w:r>
              <w:rPr>
                <w:rFonts w:ascii="Times New Roman" w:hAnsi="Times New Roman"/>
                <w:color w:val="000000" w:themeColor="text1"/>
              </w:rPr>
              <w:t xml:space="preserve"> wutris</w:t>
            </w:r>
            <w:r w:rsidR="005E7425">
              <w:rPr>
                <w:rFonts w:ascii="Times New Roman" w:hAnsi="Times New Roman"/>
                <w:color w:val="000000" w:themeColor="text1"/>
              </w:rPr>
              <w:t>yr</w:t>
            </w:r>
            <w:r>
              <w:rPr>
                <w:rFonts w:ascii="Times New Roman" w:hAnsi="Times New Roman"/>
                <w:color w:val="000000" w:themeColor="text1"/>
              </w:rPr>
              <w:t>anem,</w:t>
            </w:r>
            <w:r w:rsidRPr="007E32F2">
              <w:rPr>
                <w:rFonts w:ascii="Times New Roman" w:hAnsi="Times New Roman"/>
                <w:color w:val="000000" w:themeColor="text1"/>
              </w:rPr>
              <w:t xml:space="preserve"> definiowana jako</w:t>
            </w:r>
            <w:r>
              <w:rPr>
                <w:rFonts w:ascii="Times New Roman" w:hAnsi="Times New Roman"/>
                <w:color w:val="000000" w:themeColor="text1"/>
              </w:rPr>
              <w:t xml:space="preserve"> p</w:t>
            </w:r>
            <w:r w:rsidRPr="00B72D15">
              <w:rPr>
                <w:rFonts w:ascii="Times New Roman" w:hAnsi="Times New Roman"/>
                <w:color w:val="000000" w:themeColor="text1"/>
              </w:rPr>
              <w:t xml:space="preserve">rogresja polineuropatii do stadium III wg klasyfikacji </w:t>
            </w:r>
            <w:r w:rsidR="007D2AC6" w:rsidRPr="007D2AC6">
              <w:rPr>
                <w:rFonts w:ascii="Times New Roman" w:hAnsi="Times New Roman"/>
                <w:color w:val="000000" w:themeColor="text1"/>
              </w:rPr>
              <w:t>Coutinho</w:t>
            </w:r>
            <w:r w:rsidR="001D66BF" w:rsidRPr="00B72D15">
              <w:rPr>
                <w:rFonts w:ascii="Times New Roman" w:hAnsi="Times New Roman"/>
                <w:color w:val="000000" w:themeColor="text1"/>
              </w:rPr>
              <w:t xml:space="preserve"> (pacjent nie chodzi samodzielnie)</w:t>
            </w:r>
            <w:r w:rsidRPr="00B72D15">
              <w:rPr>
                <w:rFonts w:ascii="Times New Roman" w:hAnsi="Times New Roman"/>
                <w:color w:val="000000" w:themeColor="text1"/>
              </w:rPr>
              <w:t xml:space="preserve"> lub progresja objawów kardiomiopatii do klasy NYHA III lub IV, wymaga jednogłośnej zgody lekarza prowadzącego oraz Zespołu Koordynacyjego co do zasadności kontynuacji </w:t>
            </w:r>
            <w:r w:rsidR="00D14865" w:rsidRPr="00B72D15">
              <w:rPr>
                <w:rFonts w:ascii="Times New Roman" w:hAnsi="Times New Roman"/>
                <w:color w:val="000000" w:themeColor="text1"/>
              </w:rPr>
              <w:t>terapii</w:t>
            </w:r>
            <w:r w:rsidRPr="00B72D15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766732D8" w14:textId="77777777" w:rsidR="007F433A" w:rsidRPr="007E32F2" w:rsidRDefault="007F433A" w:rsidP="009B7136">
            <w:pPr>
              <w:pStyle w:val="Default"/>
              <w:spacing w:after="6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6D1E90F" w14:textId="3F51B76A" w:rsidR="00875D25" w:rsidRPr="007E32F2" w:rsidRDefault="00D55ED9" w:rsidP="009B7136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357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E32F2">
              <w:rPr>
                <w:rFonts w:ascii="Times New Roman" w:hAnsi="Times New Roman"/>
                <w:b/>
                <w:color w:val="000000" w:themeColor="text1"/>
              </w:rPr>
              <w:t xml:space="preserve">Kryteria </w:t>
            </w:r>
            <w:r w:rsidR="00D50D2A" w:rsidRPr="007E32F2">
              <w:rPr>
                <w:rFonts w:ascii="Times New Roman" w:hAnsi="Times New Roman"/>
                <w:b/>
                <w:color w:val="000000" w:themeColor="text1"/>
              </w:rPr>
              <w:t>wyłączenia</w:t>
            </w:r>
          </w:p>
          <w:p w14:paraId="352F85BC" w14:textId="30006650" w:rsidR="00364B26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nieskuteczność terapii stwierdzona na wizycie monitorującej leczenie po </w:t>
            </w:r>
            <w:r w:rsidR="005E1DF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12 miesiącach leczenia</w:t>
            </w: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270F2"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definiowana</w:t>
            </w: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jako </w:t>
            </w:r>
            <w:r w:rsidR="005E1DF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progresja polineuropatii do </w:t>
            </w:r>
            <w:r w:rsidR="00FE1EA0"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stadium I</w:t>
            </w:r>
            <w:r w:rsidR="00FE1E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II</w:t>
            </w:r>
            <w:r w:rsidR="00FE1EA0"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E1EA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FE1EA0" w:rsidRPr="00CB1A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g klasyfikacji </w:t>
            </w:r>
            <w:r w:rsidR="007D2AC6" w:rsidRPr="007D2AC6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Coutinho</w:t>
            </w: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54826A70" w14:textId="098EB885" w:rsidR="00875D25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875D25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naczna progresja choroby pomimo </w:t>
            </w:r>
            <w:r w:rsidR="001D66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podjętego </w:t>
            </w:r>
            <w:r w:rsidR="00875D25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1D66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(zgodnie z definicją przyjętą w pkt </w:t>
            </w:r>
            <w:r w:rsidR="001D66BF" w:rsidRPr="001D66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2. Określenie czasu leczenia w programie</w:t>
            </w:r>
            <w:r w:rsidR="001D66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), gdy w opinii lekarza prowadzącego</w:t>
            </w:r>
            <w:r w:rsidR="001C7A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oraz Zespołu Koordynacyjnego</w:t>
            </w:r>
            <w:r w:rsidR="001D66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nie ma zasadności do kontynuacji terapii</w:t>
            </w: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DA754CF" w14:textId="62329104" w:rsidR="00364B26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</w:t>
            </w:r>
            <w:r w:rsidR="0098033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C92A269" w14:textId="77777777" w:rsidR="00364B26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wystąpienie objawów nadwrażliwości na którykolwiek ze stosowanych leków lub na którąkolwiek substancję pomocniczą leku, uniemożliwiających kontynuację leczenia; </w:t>
            </w:r>
          </w:p>
          <w:p w14:paraId="206D84F7" w14:textId="77777777" w:rsidR="00364B26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2492C416" w14:textId="77777777" w:rsidR="00364B26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okres ciąży lub karmienia piersią;</w:t>
            </w:r>
          </w:p>
          <w:p w14:paraId="0327ED8C" w14:textId="62AEF9E1" w:rsidR="00D50D2A" w:rsidRPr="007E32F2" w:rsidRDefault="00364B26" w:rsidP="009B7136">
            <w:pPr>
              <w:pStyle w:val="Default"/>
              <w:numPr>
                <w:ilvl w:val="1"/>
                <w:numId w:val="4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brak współpracy lub nieprzestrzeganie zaleceń lekarskich, w tym dotyczących okresowych badań kontrolnych oceniających skuteczność i bezpieczeństwo leczenia, ze strony świadczeniobiorcy lub jego opiekuna prawnego.</w:t>
            </w:r>
          </w:p>
        </w:tc>
        <w:tc>
          <w:tcPr>
            <w:tcW w:w="1552" w:type="pct"/>
          </w:tcPr>
          <w:p w14:paraId="0C8B3887" w14:textId="2AB065D5" w:rsidR="00BF24CA" w:rsidRPr="007E32F2" w:rsidRDefault="00BF24CA" w:rsidP="00321CA2">
            <w:pPr>
              <w:pStyle w:val="Akapitzlist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120"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7E32F2">
              <w:rPr>
                <w:rFonts w:ascii="Times New Roman" w:hAnsi="Times New Roman"/>
                <w:b/>
              </w:rPr>
              <w:lastRenderedPageBreak/>
              <w:t>Dawkowanie</w:t>
            </w:r>
          </w:p>
          <w:p w14:paraId="540445EB" w14:textId="13332DEC" w:rsidR="00BF24CA" w:rsidRPr="007E32F2" w:rsidRDefault="00BF24CA" w:rsidP="00B72D15">
            <w:pPr>
              <w:spacing w:after="60" w:line="276" w:lineRule="auto"/>
              <w:jc w:val="both"/>
              <w:rPr>
                <w:rFonts w:ascii="Times New Roman" w:hAnsi="Times New Roman"/>
                <w:bCs/>
              </w:rPr>
            </w:pPr>
            <w:r w:rsidRPr="007E32F2">
              <w:rPr>
                <w:rFonts w:ascii="Times New Roman" w:hAnsi="Times New Roman"/>
                <w:bCs/>
              </w:rPr>
              <w:t>Zalecana i jednocześnie maksymalna dawka wutrisyranu to 25 mg podawane podskórnie co 3 miesiące.</w:t>
            </w:r>
          </w:p>
          <w:p w14:paraId="42FB2F06" w14:textId="77777777" w:rsidR="00BF24CA" w:rsidRPr="007E32F2" w:rsidRDefault="00BF24CA" w:rsidP="00321CA2">
            <w:pPr>
              <w:pStyle w:val="Akapitzlist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/>
                <w:bCs/>
              </w:rPr>
            </w:pPr>
            <w:r w:rsidRPr="007E32F2">
              <w:rPr>
                <w:rFonts w:ascii="Times New Roman" w:hAnsi="Times New Roman"/>
                <w:b/>
              </w:rPr>
              <w:t>Modyfikacja dawkowania</w:t>
            </w:r>
          </w:p>
          <w:p w14:paraId="03923C7B" w14:textId="66FD3093" w:rsidR="00D50D2A" w:rsidRPr="00F631DB" w:rsidRDefault="00BF24CA" w:rsidP="00F631DB">
            <w:pPr>
              <w:spacing w:after="60" w:line="276" w:lineRule="auto"/>
              <w:jc w:val="both"/>
              <w:rPr>
                <w:rFonts w:ascii="Times New Roman" w:hAnsi="Times New Roman"/>
                <w:bCs/>
              </w:rPr>
            </w:pPr>
            <w:r w:rsidRPr="007E32F2">
              <w:rPr>
                <w:rFonts w:ascii="Times New Roman" w:hAnsi="Times New Roman"/>
                <w:bCs/>
              </w:rPr>
              <w:t>Sposób podawania, zmniejszenie dawki oraz ewentualne czasowe wstrzymania leczenia lub wydłużenia odstępu pomiędzy kolejnymi dawkami prowadzone zgodnie z aktualną ChPL.</w:t>
            </w:r>
          </w:p>
        </w:tc>
        <w:tc>
          <w:tcPr>
            <w:tcW w:w="1714" w:type="pct"/>
            <w:tcBorders>
              <w:right w:val="single" w:sz="4" w:space="0" w:color="auto"/>
            </w:tcBorders>
          </w:tcPr>
          <w:p w14:paraId="1C26EC83" w14:textId="29C9C835" w:rsidR="00EC1042" w:rsidRPr="00945994" w:rsidRDefault="00D50D2A" w:rsidP="00321CA2">
            <w:pPr>
              <w:pStyle w:val="Akapitzlist"/>
              <w:numPr>
                <w:ilvl w:val="0"/>
                <w:numId w:val="1"/>
              </w:numPr>
              <w:spacing w:before="120" w:after="60" w:line="276" w:lineRule="auto"/>
              <w:ind w:left="227" w:hanging="227"/>
              <w:contextualSpacing w:val="0"/>
              <w:rPr>
                <w:rFonts w:ascii="Times New Roman" w:hAnsi="Times New Roman"/>
                <w:b/>
                <w:color w:val="000000" w:themeColor="text1"/>
              </w:rPr>
            </w:pPr>
            <w:r w:rsidRPr="00945994">
              <w:rPr>
                <w:rFonts w:ascii="Times New Roman" w:hAnsi="Times New Roman"/>
                <w:b/>
                <w:color w:val="000000" w:themeColor="text1"/>
              </w:rPr>
              <w:t>Badania przy kwalifikacji</w:t>
            </w:r>
          </w:p>
          <w:p w14:paraId="0C594872" w14:textId="142ECB1B" w:rsidR="00BF24CA" w:rsidRPr="00945994" w:rsidRDefault="00BF24CA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podmiotowe oraz przedmiotowe</w:t>
            </w:r>
            <w:r w:rsidR="00980337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4D8E0C6B" w14:textId="6B1282E1" w:rsidR="00BF24CA" w:rsidRPr="00945994" w:rsidRDefault="00BF24CA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sekwencjonowanie genu transtyretyny (TTR)</w:t>
            </w:r>
            <w:r w:rsidR="00B270F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w przypadku braku wyniku badania w dokumentacji medycznej;</w:t>
            </w:r>
          </w:p>
          <w:p w14:paraId="52F88EEA" w14:textId="0EE3AE74" w:rsidR="004A622F" w:rsidRPr="00945994" w:rsidRDefault="00BF24CA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B27F9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otwierdzenie</w:t>
            </w:r>
            <w:r w:rsidR="004A622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rozpoznania polineuropatii</w:t>
            </w:r>
            <w:r w:rsidR="00FB33B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 ocena stopnia jej zaawansowania</w:t>
            </w:r>
            <w:r w:rsidR="00B27F9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poprzez</w:t>
            </w:r>
            <w:r w:rsidR="00BB0101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4287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następujące </w:t>
            </w:r>
            <w:r w:rsidR="00415446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</w:t>
            </w:r>
            <w:r w:rsidR="0044287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7DB65267" w14:textId="3D08E69C" w:rsidR="00FB33B2" w:rsidRPr="00B55817" w:rsidRDefault="00BF24CA" w:rsidP="00321CA2">
            <w:pPr>
              <w:pStyle w:val="Default"/>
              <w:numPr>
                <w:ilvl w:val="1"/>
                <w:numId w:val="1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44287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adanie neurologiczne </w:t>
            </w:r>
            <w:r w:rsidR="00CD2858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44287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oceną siły mięśniowej</w:t>
            </w:r>
            <w:r w:rsidR="00B270F2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44287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odruchów ścięgnistych, czucia dotyku, bólu</w:t>
            </w:r>
            <w:r w:rsidR="00415446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44287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temperatury, ułożenia i wibracji</w:t>
            </w:r>
            <w:r w:rsidR="00B270F2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2E52FB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52FB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pomocą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skali NIS – </w:t>
            </w:r>
            <w:r w:rsidR="00961BA3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euro</w:t>
            </w:r>
            <w:r w:rsidR="00961BA3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pathy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61BA3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mpairment </w:t>
            </w:r>
            <w:r w:rsidR="00961BA3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5E5AB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961BA3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ore</w:t>
            </w:r>
            <w:r w:rsidR="00F631DB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262CF71" w14:textId="2767AD78" w:rsidR="003C763C" w:rsidRPr="00B55817" w:rsidRDefault="003C763C" w:rsidP="00321CA2">
            <w:pPr>
              <w:pStyle w:val="Default"/>
              <w:numPr>
                <w:ilvl w:val="1"/>
                <w:numId w:val="1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przewodnictwa nerwowego</w:t>
            </w:r>
            <w:r w:rsidR="007E010F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nerwów</w:t>
            </w:r>
            <w:r w:rsidR="00FB33B2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4287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ruchowych i czuciowych </w:t>
            </w:r>
            <w:r w:rsidR="00961BA3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4-kończynowo</w:t>
            </w:r>
            <w:r w:rsidR="00980337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38781CB" w14:textId="16850FB0" w:rsidR="004A622F" w:rsidRPr="00B55817" w:rsidRDefault="0044287C" w:rsidP="00321CA2">
            <w:pPr>
              <w:pStyle w:val="Default"/>
              <w:numPr>
                <w:ilvl w:val="1"/>
                <w:numId w:val="1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ocena </w:t>
            </w:r>
            <w:r w:rsidR="003C763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czynności układu autonomicznego </w:t>
            </w:r>
            <w:r w:rsidR="005876B2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z wykorzystaniem kwestionariusza </w:t>
            </w:r>
            <w:r w:rsidR="00CB738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CADT (Compound Autonomic Dysfunction</w:t>
            </w:r>
            <w:r w:rsidR="00CD2858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738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Test)</w:t>
            </w:r>
            <w:r w:rsidR="00980337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3DCD62E5" w14:textId="3C0E44CB" w:rsidR="00B270F2" w:rsidRPr="00B55817" w:rsidRDefault="00980337" w:rsidP="00321CA2">
            <w:pPr>
              <w:pStyle w:val="Default"/>
              <w:numPr>
                <w:ilvl w:val="1"/>
                <w:numId w:val="1"/>
              </w:numPr>
              <w:spacing w:after="60" w:line="276" w:lineRule="auto"/>
              <w:ind w:left="681" w:hanging="227"/>
              <w:jc w:val="both"/>
              <w:rPr>
                <w:rStyle w:val="cf11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CB738C"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cena</w:t>
            </w:r>
            <w:r w:rsidR="00CB738C"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obecności i nasilenia bólu neuropatycznego za pomocą </w:t>
            </w:r>
            <w:r w:rsidR="00CB1A0E" w:rsidRPr="00B55817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skali wzrokowo-analogowej (0-10) VAS - </w:t>
            </w:r>
            <w:r w:rsidR="00CB1A0E" w:rsidRPr="00B55817">
              <w:rPr>
                <w:rStyle w:val="cf11"/>
                <w:rFonts w:ascii="Times New Roman" w:hAnsi="Times New Roman" w:cs="Times New Roman"/>
                <w:sz w:val="20"/>
                <w:szCs w:val="20"/>
              </w:rPr>
              <w:t>Visual Analogue Scale</w:t>
            </w:r>
            <w:r w:rsidR="00B270F2" w:rsidRPr="00B55817">
              <w:rPr>
                <w:rStyle w:val="cf11"/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24F878" w14:textId="490EF0CC" w:rsidR="00CB738C" w:rsidRPr="00B55817" w:rsidRDefault="00CB738C" w:rsidP="00321CA2">
            <w:pPr>
              <w:pStyle w:val="Default"/>
              <w:numPr>
                <w:ilvl w:val="1"/>
                <w:numId w:val="1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10-metrow</w:t>
            </w:r>
            <w:r w:rsidR="005E5ABC"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  <w:r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test marszow</w:t>
            </w:r>
            <w:r w:rsidR="005E5ABC"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</w:t>
            </w:r>
            <w:r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lub test 6-minutowego chodu – w zależności od stopnia zaawansowania </w:t>
            </w:r>
            <w:r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choroby</w:t>
            </w:r>
            <w:r w:rsidR="00F631DB"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  <w:p w14:paraId="7A107574" w14:textId="5E64DABA" w:rsidR="00D14865" w:rsidRPr="00B55817" w:rsidRDefault="00D14865" w:rsidP="00321CA2">
            <w:pPr>
              <w:pStyle w:val="Default"/>
              <w:numPr>
                <w:ilvl w:val="1"/>
                <w:numId w:val="1"/>
              </w:numPr>
              <w:spacing w:after="60" w:line="276" w:lineRule="auto"/>
              <w:ind w:left="681" w:hanging="227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określenie</w:t>
            </w:r>
            <w:r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stadium polineuropatii wg klasyfikacji </w:t>
            </w:r>
            <w:r w:rsidR="007D2AC6"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Coutinho</w:t>
            </w:r>
            <w:r w:rsidR="00F631DB" w:rsidRPr="00B5581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  <w:p w14:paraId="61DF3C6E" w14:textId="49B3C94D" w:rsidR="00FB419F" w:rsidRPr="00945994" w:rsidRDefault="00FB419F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badanie scyntygraficzne serca z zastosowaniem radioizotopu 99mTc-DPD lub 99mTc-PYP lub 99mTc-HMDP </w:t>
            </w:r>
            <w:r w:rsidR="00DD45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(możliwe wykorzystanie wyniku badania z dokumentacji medycznej pacjenta) lub USG serca – wybór badania do decyzji lekarza prowadzącego</w:t>
            </w: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B6FBF59" w14:textId="64258274" w:rsidR="00945994" w:rsidRPr="00945994" w:rsidRDefault="00945994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określenie klasy NYHA;</w:t>
            </w:r>
          </w:p>
          <w:p w14:paraId="72753645" w14:textId="1983C212" w:rsidR="00115B37" w:rsidRPr="00945994" w:rsidRDefault="00CB5BC9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FB33B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onsultacja kardiologiczna 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wykonana w ciągu </w:t>
            </w:r>
            <w:r w:rsidR="00FB33B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miesiąc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FB33B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przed kwalifikacją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oceniająca obecność kardiomiopatii w przebiegu ATTRv </w:t>
            </w:r>
            <w:r w:rsidR="00FB419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(na podstawie bada</w:t>
            </w:r>
            <w:r w:rsidR="00DD45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nia z</w:t>
            </w:r>
            <w:r w:rsidR="00FB419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pkt </w:t>
            </w:r>
            <w:r w:rsidR="00DD45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F631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FB419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 stopień jej zaawansowania</w:t>
            </w:r>
            <w:r w:rsidR="00FB419F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(określenie klasy NYHA)</w:t>
            </w:r>
            <w:r w:rsidR="00945994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7935E0B" w14:textId="78E6920F" w:rsidR="00CD2858" w:rsidRPr="00945994" w:rsidRDefault="00CB5BC9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CD2858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adania laboratoryjne krwi/ surowicy: morfologia krwi z rozmazem; układ krzepnięcia: APTT, INR; </w:t>
            </w:r>
            <w:r w:rsidR="00945994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AST, ALT</w:t>
            </w:r>
            <w:r w:rsidR="00CD2858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TSH,</w:t>
            </w:r>
            <w:r w:rsidR="00CD2858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bilirubina, mocznik, kreatynina, eGFR, glukoza, białko całkowite, albumina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prealbumina</w:t>
            </w:r>
            <w:r w:rsidR="00980337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D01A7CE" w14:textId="64A225EE" w:rsidR="00CB4271" w:rsidRPr="00945994" w:rsidRDefault="00BF24CA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34284D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adanie moczu</w:t>
            </w:r>
            <w:r w:rsidR="00132320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ogólne,</w:t>
            </w:r>
            <w:r w:rsidR="00FB33B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ocen</w:t>
            </w:r>
            <w:r w:rsidR="00132320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FB33B2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albuminurii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4271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proteinurii</w:t>
            </w:r>
            <w:r w:rsidR="00980337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4BE2265" w14:textId="2667512E" w:rsidR="00AC2725" w:rsidRPr="00945994" w:rsidRDefault="00BF24CA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CB4271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nefrologiczna - opcjonalnie;</w:t>
            </w:r>
          </w:p>
          <w:p w14:paraId="0433DAD0" w14:textId="3FB9335F" w:rsidR="00AC2725" w:rsidRPr="006A100F" w:rsidRDefault="00BF24CA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10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="00AC2725" w:rsidRPr="006A10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omiar wskaźnika mBMI (modified body mass index</w:t>
            </w:r>
            <w:r w:rsidR="00945994" w:rsidRPr="006A10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0AFAA749" w14:textId="529282B5" w:rsidR="0034284D" w:rsidRPr="00945994" w:rsidRDefault="00CB5BC9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tężenie witaminy A</w:t>
            </w:r>
            <w:r w:rsidR="00F7171D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surowicy krwi (badanie wykonane w ciągu ostatnich 3 miesięcy)</w:t>
            </w:r>
            <w:r w:rsidR="00980337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8ACCDB4" w14:textId="1FF69A84" w:rsidR="000B57FE" w:rsidRPr="00945994" w:rsidRDefault="00CB5BC9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0B57FE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okulistyczna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ukierunkowana na zmiany związane z ATTRv i powikłania</w:t>
            </w:r>
            <w:r w:rsidR="00132320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okulistyczn</w:t>
            </w:r>
            <w:r w:rsidR="00132320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ymi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niedobor</w:t>
            </w:r>
            <w:r w:rsidR="00F7171D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CB738C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witaminy A</w:t>
            </w:r>
            <w:r w:rsidR="00980337"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033E1D7" w14:textId="1860F4BC" w:rsidR="00945994" w:rsidRPr="00945994" w:rsidRDefault="00945994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hemoglobina glikowana;</w:t>
            </w:r>
          </w:p>
          <w:p w14:paraId="12684C82" w14:textId="7191F299" w:rsidR="00945994" w:rsidRDefault="00945994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diagnostyka białka monoklonalnego (metodą immunofiksacji) w surowicy i w moczu oraz wolne łańcuchy lekkie w surowicy krwi (FLC)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1D5F9CB" w14:textId="5178BF3D" w:rsidR="00202865" w:rsidRDefault="00945994" w:rsidP="00321CA2">
            <w:pPr>
              <w:pStyle w:val="Default"/>
              <w:numPr>
                <w:ilvl w:val="0"/>
                <w:numId w:val="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stężenie wit. B12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surowicy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21C3F5B" w14:textId="77777777" w:rsidR="00B55817" w:rsidRPr="00B55817" w:rsidRDefault="00B55817" w:rsidP="00B55817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270C567" w14:textId="558DC100" w:rsidR="00EC1042" w:rsidRPr="007E32F2" w:rsidRDefault="00D50D2A" w:rsidP="00321CA2">
            <w:pPr>
              <w:pStyle w:val="Akapitzlist"/>
              <w:numPr>
                <w:ilvl w:val="0"/>
                <w:numId w:val="1"/>
              </w:numPr>
              <w:spacing w:before="120" w:after="60" w:line="276" w:lineRule="auto"/>
              <w:ind w:left="227" w:hanging="227"/>
              <w:contextualSpacing w:val="0"/>
              <w:rPr>
                <w:rFonts w:ascii="Times New Roman" w:hAnsi="Times New Roman"/>
                <w:b/>
                <w:color w:val="000000" w:themeColor="text1"/>
              </w:rPr>
            </w:pPr>
            <w:r w:rsidRPr="007E32F2">
              <w:rPr>
                <w:rFonts w:ascii="Times New Roman" w:hAnsi="Times New Roman"/>
                <w:b/>
                <w:color w:val="000000" w:themeColor="text1"/>
              </w:rPr>
              <w:t>Monitorowanie leczenia:</w:t>
            </w:r>
          </w:p>
          <w:p w14:paraId="08F0602A" w14:textId="66A169A9" w:rsidR="00CB4271" w:rsidRPr="007E32F2" w:rsidRDefault="00830ED7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cena stopnia zaawansowania polineuropatii poprzez następujące oceny:</w:t>
            </w:r>
          </w:p>
          <w:p w14:paraId="008DCC1D" w14:textId="466B2022" w:rsidR="00945994" w:rsidRPr="00945994" w:rsidRDefault="00945994" w:rsidP="00321CA2">
            <w:pPr>
              <w:pStyle w:val="Akapitzlist"/>
              <w:numPr>
                <w:ilvl w:val="1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45994">
              <w:rPr>
                <w:rFonts w:ascii="Times New Roman" w:hAnsi="Times New Roman"/>
                <w:color w:val="000000" w:themeColor="text1"/>
              </w:rPr>
              <w:t>badanie neurologiczne z oceną siły mięśniowej, odruchów ścięgnistych, czucia dotyku, bólu, temperatury, ułożenia i wibracji za pomocą skali NIS – Neuropathy Impairment Score</w:t>
            </w:r>
            <w:r w:rsidR="00F631DB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6BD27C1E" w14:textId="77777777" w:rsidR="00945994" w:rsidRDefault="00945994" w:rsidP="00321CA2">
            <w:pPr>
              <w:pStyle w:val="Akapitzlist"/>
              <w:numPr>
                <w:ilvl w:val="1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45994">
              <w:rPr>
                <w:rFonts w:ascii="Times New Roman" w:hAnsi="Times New Roman"/>
                <w:color w:val="000000" w:themeColor="text1"/>
              </w:rPr>
              <w:t>ocena czynności układu autonomicznego z wykorzystaniem kwestionariusza CADT (Compound Autonomic Dysfunction Test);</w:t>
            </w:r>
          </w:p>
          <w:p w14:paraId="21243707" w14:textId="78C7EA16" w:rsidR="00D14865" w:rsidRPr="00D14865" w:rsidRDefault="00D14865" w:rsidP="00321CA2">
            <w:pPr>
              <w:pStyle w:val="Akapitzlist"/>
              <w:numPr>
                <w:ilvl w:val="1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D14865">
              <w:rPr>
                <w:rFonts w:ascii="Times New Roman" w:hAnsi="Times New Roman"/>
                <w:color w:val="000000" w:themeColor="text1"/>
              </w:rPr>
              <w:t>badanie przewodnictwa nerwowego nerwów ruchowych i czuciowych 4-kończynowo;</w:t>
            </w:r>
          </w:p>
          <w:p w14:paraId="73ED35A2" w14:textId="77777777" w:rsidR="00945994" w:rsidRPr="00945994" w:rsidRDefault="00945994" w:rsidP="00321CA2">
            <w:pPr>
              <w:pStyle w:val="Akapitzlist"/>
              <w:numPr>
                <w:ilvl w:val="1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45994">
              <w:rPr>
                <w:rFonts w:ascii="Times New Roman" w:hAnsi="Times New Roman"/>
                <w:color w:val="000000" w:themeColor="text1"/>
              </w:rPr>
              <w:t>ocena obecności i nasilenia bólu neuropatycznego za pomocą skali wzrokowo-analogowej (0-10) VAS - Visual Analogue Scale;</w:t>
            </w:r>
          </w:p>
          <w:p w14:paraId="359B86A8" w14:textId="0CFB7E82" w:rsidR="00FB419F" w:rsidRDefault="00CB4271" w:rsidP="00321CA2">
            <w:pPr>
              <w:pStyle w:val="Akapitzlist"/>
              <w:numPr>
                <w:ilvl w:val="1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7E32F2">
              <w:rPr>
                <w:rFonts w:ascii="Times New Roman" w:hAnsi="Times New Roman"/>
                <w:color w:val="000000" w:themeColor="text1"/>
              </w:rPr>
              <w:t>10-metrow</w:t>
            </w:r>
            <w:r w:rsidR="002E52FB" w:rsidRPr="007E32F2">
              <w:rPr>
                <w:rFonts w:ascii="Times New Roman" w:hAnsi="Times New Roman"/>
                <w:color w:val="000000" w:themeColor="text1"/>
              </w:rPr>
              <w:t>y</w:t>
            </w:r>
            <w:r w:rsidRPr="007E32F2">
              <w:rPr>
                <w:rFonts w:ascii="Times New Roman" w:hAnsi="Times New Roman"/>
                <w:color w:val="000000" w:themeColor="text1"/>
              </w:rPr>
              <w:t xml:space="preserve"> test marszowy lub test 6-minutowego chodu – w zależności od stopnia zaawansowania choroby</w:t>
            </w:r>
            <w:r w:rsidR="00D14865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1E619575" w14:textId="5A723CC8" w:rsidR="00D14865" w:rsidRPr="00D14865" w:rsidRDefault="00D14865" w:rsidP="00321CA2">
            <w:pPr>
              <w:pStyle w:val="Akapitzlist"/>
              <w:numPr>
                <w:ilvl w:val="1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określenie stadium polineuropatii wg klasyfikacji </w:t>
            </w:r>
            <w:r w:rsidR="007D2AC6" w:rsidRPr="007D2AC6">
              <w:rPr>
                <w:rFonts w:ascii="Times New Roman" w:hAnsi="Times New Roman"/>
                <w:color w:val="000000" w:themeColor="text1"/>
              </w:rPr>
              <w:t>Coutinho</w:t>
            </w:r>
            <w:r w:rsidR="00F631DB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44384811" w14:textId="50FCED26" w:rsidR="00CB4271" w:rsidRPr="007E32F2" w:rsidRDefault="00CB5BC9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onsultacja kardiologiczna </w:t>
            </w:r>
            <w:r w:rsid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 z określeniem klasy NYHA</w:t>
            </w:r>
            <w:r w:rsid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wykonana w ciągu miesiąca przed wizytą monitorującą</w:t>
            </w:r>
            <w:r w:rsidR="009459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BEE9A7A" w14:textId="6B92BA37" w:rsidR="00CB4271" w:rsidRPr="007E32F2" w:rsidRDefault="00CB5BC9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adania laboratoryjne krwi</w:t>
            </w:r>
            <w:r w:rsidR="00AC2725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/surowicy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morfologia krwi z rozmazem; układ krzepnięcia: APTT, INR; </w:t>
            </w:r>
            <w:r w:rsid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AST, ALT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C2725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bilirubina, 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mocznik, kreatynina, eGFR, glukoza</w:t>
            </w:r>
            <w:r w:rsidR="00AC2725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białko całkowite, albumina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prealbumina</w:t>
            </w:r>
            <w:r w:rsidR="009803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BA8EF71" w14:textId="3B95FB98" w:rsidR="00CB4271" w:rsidRPr="007E32F2" w:rsidRDefault="004E6887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adanie moczu</w:t>
            </w:r>
            <w:r w:rsidR="00132320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ogólne, 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ocen</w:t>
            </w:r>
            <w:r w:rsidR="00132320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albuminurii i proteinurii</w:t>
            </w:r>
            <w:r w:rsidR="009803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7AF6B9EF" w14:textId="0939BE26" w:rsidR="00CB4271" w:rsidRPr="007E32F2" w:rsidRDefault="004E6887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nefrologiczna - opcjonalnie;</w:t>
            </w:r>
          </w:p>
          <w:p w14:paraId="178F257B" w14:textId="557D0746" w:rsidR="00AC2725" w:rsidRPr="006A100F" w:rsidRDefault="004E6887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10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p</w:t>
            </w:r>
            <w:r w:rsidR="00AC2725" w:rsidRPr="006A10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omiar wskaźnika mBMI (modified body mass index)</w:t>
            </w:r>
            <w:r w:rsidR="00D14865" w:rsidRPr="006A100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64EA0E66" w14:textId="7889330F" w:rsidR="00CB4271" w:rsidRPr="007E32F2" w:rsidRDefault="004E6887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okulistyczna ukierunkowana na zmiany związane z ATTRv i powikłania</w:t>
            </w:r>
            <w:r w:rsidR="00132320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okulistyczn</w:t>
            </w:r>
            <w:r w:rsidR="00132320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ymi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niedoboru witaminy A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opcjonalnie</w:t>
            </w:r>
            <w:r w:rsidR="009803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1CC922C" w14:textId="0CCA9463" w:rsidR="00B55817" w:rsidRPr="00B55817" w:rsidRDefault="00830ED7" w:rsidP="00321CA2">
            <w:pPr>
              <w:pStyle w:val="Default"/>
              <w:numPr>
                <w:ilvl w:val="0"/>
                <w:numId w:val="7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CB4271"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tężenie witaminy A </w:t>
            </w:r>
            <w:r w:rsid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 wynik do 1 miesiąca.</w:t>
            </w:r>
          </w:p>
          <w:p w14:paraId="7B588BB5" w14:textId="71204C94" w:rsidR="00D14865" w:rsidRDefault="00830ED7" w:rsidP="00B55817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Pr="007E3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wykonuje się co 6 miesięcy, za wyjątkiem badań pkt. 1c) oraz 8</w:t>
            </w:r>
            <w:r w:rsidR="008C0C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które wykonuje się nie rzadziej niż co 12 miesięcy.</w:t>
            </w:r>
          </w:p>
          <w:p w14:paraId="75B151E1" w14:textId="3313684A" w:rsidR="001C7A86" w:rsidRDefault="001C7A86" w:rsidP="00B55817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558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Weryfikacja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skuteczności leczenia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przez Zespół Koordynacyjny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odbywa się </w:t>
            </w:r>
            <w:r w:rsidR="008C599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 mies</w:t>
            </w:r>
            <w:r w:rsidR="008C5997">
              <w:rPr>
                <w:rFonts w:ascii="Times New Roman" w:hAnsi="Times New Roman" w:cs="Times New Roman"/>
                <w:sz w:val="20"/>
                <w:szCs w:val="20"/>
              </w:rPr>
              <w:t>iącach</w:t>
            </w:r>
            <w:r w:rsidR="00F631DB">
              <w:rPr>
                <w:rFonts w:ascii="Times New Roman" w:hAnsi="Times New Roman" w:cs="Times New Roman"/>
                <w:sz w:val="20"/>
                <w:szCs w:val="20"/>
              </w:rPr>
              <w:t xml:space="preserve"> terapii</w:t>
            </w:r>
            <w:r w:rsidR="008C5997">
              <w:rPr>
                <w:rFonts w:ascii="Times New Roman" w:hAnsi="Times New Roman" w:cs="Times New Roman"/>
                <w:sz w:val="20"/>
                <w:szCs w:val="20"/>
              </w:rPr>
              <w:t>, a następnie co 6 miesięcy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00B5B52" w14:textId="547DC492" w:rsidR="00D14865" w:rsidRDefault="00D14865" w:rsidP="00B55817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Zespół Koordynacyjny w celu monitorowania adekwatnej odpowiedzi na </w:t>
            </w:r>
            <w:r w:rsidRPr="00B5581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1C7A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programie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 podstawie danych gromadzonych w elektronicznym systemie monitorowania programów lekowych</w:t>
            </w:r>
            <w:r w:rsidR="001C7A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podsumowuje wyniki leczenia w programie lekowym na </w:t>
            </w:r>
            <w:r w:rsidRPr="001C7A8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koniec każdego roku.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240F48B" w14:textId="77777777" w:rsidR="00B55817" w:rsidRPr="007E32F2" w:rsidRDefault="00B55817" w:rsidP="00B55817">
            <w:pPr>
              <w:pStyle w:val="Default"/>
              <w:spacing w:after="6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EBB87CB" w14:textId="07407F24" w:rsidR="00D50D2A" w:rsidRPr="007E32F2" w:rsidRDefault="00D50D2A" w:rsidP="009B7136">
            <w:pPr>
              <w:pStyle w:val="Akapitzlist"/>
              <w:numPr>
                <w:ilvl w:val="0"/>
                <w:numId w:val="1"/>
              </w:numPr>
              <w:spacing w:before="120" w:after="60" w:line="276" w:lineRule="auto"/>
              <w:ind w:left="227" w:hanging="227"/>
              <w:contextualSpacing w:val="0"/>
              <w:rPr>
                <w:rFonts w:ascii="Times New Roman" w:hAnsi="Times New Roman"/>
                <w:b/>
                <w:color w:val="000000" w:themeColor="text1"/>
              </w:rPr>
            </w:pPr>
            <w:r w:rsidRPr="007E32F2">
              <w:rPr>
                <w:rFonts w:ascii="Times New Roman" w:hAnsi="Times New Roman"/>
                <w:b/>
                <w:color w:val="000000" w:themeColor="text1"/>
              </w:rPr>
              <w:t>Monitorowanie programu</w:t>
            </w:r>
          </w:p>
          <w:p w14:paraId="6343DE4C" w14:textId="77777777" w:rsidR="00D14865" w:rsidRPr="00D14865" w:rsidRDefault="00D14865" w:rsidP="00321CA2">
            <w:pPr>
              <w:pStyle w:val="Default"/>
              <w:numPr>
                <w:ilvl w:val="0"/>
                <w:numId w:val="8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3DB3E3AC" w14:textId="34EE16D3" w:rsidR="00D14865" w:rsidRPr="00D14865" w:rsidRDefault="00D14865" w:rsidP="00321CA2">
            <w:pPr>
              <w:pStyle w:val="Default"/>
              <w:numPr>
                <w:ilvl w:val="0"/>
                <w:numId w:val="8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uzupełnienie danych zawartych w elektronicznym systemie monitorowania programów lekowych dostępnym za pomocą aplikacji internetowej udostępnionej przez OW NFZ, z częstotliwością zgodną z opisem programu, oraz na zakończenie leczenia w tym przekazywanie danych dotyczących wskaźników oceny skuteczności terapii</w:t>
            </w:r>
            <w:r w:rsidR="00C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C7A8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stadium polineuropatii wg klasyfikacji </w:t>
            </w:r>
            <w:r w:rsidR="0094562E" w:rsidRPr="001C7A8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Coutinho</w:t>
            </w:r>
            <w:r w:rsidR="00CF4F74" w:rsidRPr="001C7A8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wynik w skali NIS, prealbumina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oraz </w:t>
            </w:r>
            <w:r w:rsidRPr="001C7A8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klasa NYHA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22F0F250" w14:textId="77777777" w:rsidR="00D50D2A" w:rsidRDefault="00D14865" w:rsidP="00321CA2">
            <w:pPr>
              <w:pStyle w:val="Default"/>
              <w:numPr>
                <w:ilvl w:val="0"/>
                <w:numId w:val="8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przekazywanie informacji sprawozdawczo-</w:t>
            </w:r>
            <w:r w:rsidRPr="00D148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rozliczeniowych do NFZ (informacje przekazuje się do NFZ w formie papierowej lub w formie elektronicznej zgodnie z wymaganiami opublikowanymi przez NFZ).</w:t>
            </w:r>
          </w:p>
          <w:p w14:paraId="24042D9F" w14:textId="5DBF64B0" w:rsidR="00BA1B6B" w:rsidRPr="00D14865" w:rsidRDefault="00BA1B6B" w:rsidP="00BA1B6B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028944DF" w14:textId="77777777" w:rsidR="00B22192" w:rsidRPr="007E32F2" w:rsidRDefault="00B22192" w:rsidP="00BA1B6B">
      <w:pPr>
        <w:rPr>
          <w:rFonts w:ascii="Times New Roman" w:hAnsi="Times New Roman"/>
          <w:color w:val="000000" w:themeColor="text1"/>
        </w:rPr>
      </w:pPr>
    </w:p>
    <w:sectPr w:rsidR="00B22192" w:rsidRPr="007E32F2" w:rsidSect="00887CEE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5F3E"/>
    <w:multiLevelType w:val="hybridMultilevel"/>
    <w:tmpl w:val="CF1AB3E2"/>
    <w:lvl w:ilvl="0" w:tplc="0CEC2C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82C61"/>
    <w:multiLevelType w:val="hybridMultilevel"/>
    <w:tmpl w:val="481E27B0"/>
    <w:lvl w:ilvl="0" w:tplc="BD0028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3F6"/>
    <w:multiLevelType w:val="hybridMultilevel"/>
    <w:tmpl w:val="BE5C742C"/>
    <w:lvl w:ilvl="0" w:tplc="4948AE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716D79"/>
    <w:multiLevelType w:val="multilevel"/>
    <w:tmpl w:val="90ACA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4F5655"/>
    <w:multiLevelType w:val="hybridMultilevel"/>
    <w:tmpl w:val="98D816E8"/>
    <w:lvl w:ilvl="0" w:tplc="28B611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5C8"/>
    <w:multiLevelType w:val="hybridMultilevel"/>
    <w:tmpl w:val="A67673E4"/>
    <w:lvl w:ilvl="0" w:tplc="B13E0EA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17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F750D7"/>
    <w:multiLevelType w:val="hybridMultilevel"/>
    <w:tmpl w:val="9B4C2698"/>
    <w:lvl w:ilvl="0" w:tplc="FBF2F8B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DF228B8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0F5672"/>
    <w:multiLevelType w:val="hybridMultilevel"/>
    <w:tmpl w:val="B7BAECEE"/>
    <w:lvl w:ilvl="0" w:tplc="9C9EDD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17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500744"/>
    <w:multiLevelType w:val="hybridMultilevel"/>
    <w:tmpl w:val="B308E5DE"/>
    <w:lvl w:ilvl="0" w:tplc="0FDCD31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17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7944162">
    <w:abstractNumId w:val="6"/>
  </w:num>
  <w:num w:numId="2" w16cid:durableId="1390112509">
    <w:abstractNumId w:val="2"/>
  </w:num>
  <w:num w:numId="3" w16cid:durableId="820118575">
    <w:abstractNumId w:val="1"/>
  </w:num>
  <w:num w:numId="4" w16cid:durableId="109715236">
    <w:abstractNumId w:val="3"/>
  </w:num>
  <w:num w:numId="5" w16cid:durableId="543716559">
    <w:abstractNumId w:val="0"/>
  </w:num>
  <w:num w:numId="6" w16cid:durableId="403187130">
    <w:abstractNumId w:val="5"/>
  </w:num>
  <w:num w:numId="7" w16cid:durableId="2035180925">
    <w:abstractNumId w:val="8"/>
  </w:num>
  <w:num w:numId="8" w16cid:durableId="567377430">
    <w:abstractNumId w:val="7"/>
  </w:num>
  <w:num w:numId="9" w16cid:durableId="19230746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D2A"/>
    <w:rsid w:val="000024E8"/>
    <w:rsid w:val="000219CE"/>
    <w:rsid w:val="00034B96"/>
    <w:rsid w:val="000372F0"/>
    <w:rsid w:val="000402E7"/>
    <w:rsid w:val="000479E7"/>
    <w:rsid w:val="00064897"/>
    <w:rsid w:val="00065A5D"/>
    <w:rsid w:val="00067550"/>
    <w:rsid w:val="00090A32"/>
    <w:rsid w:val="00095F2D"/>
    <w:rsid w:val="000B215D"/>
    <w:rsid w:val="000B57FE"/>
    <w:rsid w:val="000C0002"/>
    <w:rsid w:val="00115B37"/>
    <w:rsid w:val="00132320"/>
    <w:rsid w:val="00136B73"/>
    <w:rsid w:val="00146082"/>
    <w:rsid w:val="0017271F"/>
    <w:rsid w:val="0017498F"/>
    <w:rsid w:val="001755EB"/>
    <w:rsid w:val="00190D2F"/>
    <w:rsid w:val="0019313A"/>
    <w:rsid w:val="001935B2"/>
    <w:rsid w:val="00193B5F"/>
    <w:rsid w:val="00195B8B"/>
    <w:rsid w:val="001A1806"/>
    <w:rsid w:val="001B0B8A"/>
    <w:rsid w:val="001B0B98"/>
    <w:rsid w:val="001B1095"/>
    <w:rsid w:val="001B6861"/>
    <w:rsid w:val="001B68C1"/>
    <w:rsid w:val="001C223A"/>
    <w:rsid w:val="001C788F"/>
    <w:rsid w:val="001C7A86"/>
    <w:rsid w:val="001D2086"/>
    <w:rsid w:val="001D66BF"/>
    <w:rsid w:val="001E0EAC"/>
    <w:rsid w:val="001F364D"/>
    <w:rsid w:val="00202865"/>
    <w:rsid w:val="00204B5A"/>
    <w:rsid w:val="002272B2"/>
    <w:rsid w:val="002353E9"/>
    <w:rsid w:val="00242AC4"/>
    <w:rsid w:val="002435AB"/>
    <w:rsid w:val="0026413D"/>
    <w:rsid w:val="00265CB8"/>
    <w:rsid w:val="002675A9"/>
    <w:rsid w:val="002721D9"/>
    <w:rsid w:val="00283A6A"/>
    <w:rsid w:val="00285CC3"/>
    <w:rsid w:val="002A2F87"/>
    <w:rsid w:val="002E4F71"/>
    <w:rsid w:val="002E52FB"/>
    <w:rsid w:val="002E6511"/>
    <w:rsid w:val="00300497"/>
    <w:rsid w:val="003113D2"/>
    <w:rsid w:val="00321C62"/>
    <w:rsid w:val="00321CA2"/>
    <w:rsid w:val="00334789"/>
    <w:rsid w:val="00337915"/>
    <w:rsid w:val="00341E83"/>
    <w:rsid w:val="0034284D"/>
    <w:rsid w:val="00346F8A"/>
    <w:rsid w:val="00356A4C"/>
    <w:rsid w:val="00364B26"/>
    <w:rsid w:val="00365BCD"/>
    <w:rsid w:val="00366590"/>
    <w:rsid w:val="00377F10"/>
    <w:rsid w:val="00385C2B"/>
    <w:rsid w:val="0039447A"/>
    <w:rsid w:val="003A0C9B"/>
    <w:rsid w:val="003A6E11"/>
    <w:rsid w:val="003A7598"/>
    <w:rsid w:val="003C0458"/>
    <w:rsid w:val="003C763C"/>
    <w:rsid w:val="003D23E9"/>
    <w:rsid w:val="003D45C3"/>
    <w:rsid w:val="003E4BAB"/>
    <w:rsid w:val="00407677"/>
    <w:rsid w:val="00411299"/>
    <w:rsid w:val="00415446"/>
    <w:rsid w:val="00435BB3"/>
    <w:rsid w:val="00440246"/>
    <w:rsid w:val="0044287C"/>
    <w:rsid w:val="00452672"/>
    <w:rsid w:val="00467C8C"/>
    <w:rsid w:val="0049770E"/>
    <w:rsid w:val="004A4185"/>
    <w:rsid w:val="004A622F"/>
    <w:rsid w:val="004E6887"/>
    <w:rsid w:val="004F084C"/>
    <w:rsid w:val="00510610"/>
    <w:rsid w:val="00537910"/>
    <w:rsid w:val="00544D8A"/>
    <w:rsid w:val="00561158"/>
    <w:rsid w:val="005736D8"/>
    <w:rsid w:val="005852A4"/>
    <w:rsid w:val="005876B2"/>
    <w:rsid w:val="005A04BB"/>
    <w:rsid w:val="005B13F0"/>
    <w:rsid w:val="005B14DE"/>
    <w:rsid w:val="005C5429"/>
    <w:rsid w:val="005E1DF0"/>
    <w:rsid w:val="005E5ABC"/>
    <w:rsid w:val="005E7425"/>
    <w:rsid w:val="005F17CC"/>
    <w:rsid w:val="005F5A8C"/>
    <w:rsid w:val="00603639"/>
    <w:rsid w:val="00634330"/>
    <w:rsid w:val="00634EF5"/>
    <w:rsid w:val="00650D9C"/>
    <w:rsid w:val="00652B62"/>
    <w:rsid w:val="006538C2"/>
    <w:rsid w:val="00667F60"/>
    <w:rsid w:val="00677563"/>
    <w:rsid w:val="006871F2"/>
    <w:rsid w:val="006A100F"/>
    <w:rsid w:val="006A6091"/>
    <w:rsid w:val="006D27C6"/>
    <w:rsid w:val="006F0183"/>
    <w:rsid w:val="00703957"/>
    <w:rsid w:val="0071714E"/>
    <w:rsid w:val="007B3C6A"/>
    <w:rsid w:val="007C72D7"/>
    <w:rsid w:val="007D2930"/>
    <w:rsid w:val="007D2AC6"/>
    <w:rsid w:val="007E010F"/>
    <w:rsid w:val="007E32F2"/>
    <w:rsid w:val="007E3F1A"/>
    <w:rsid w:val="007E526E"/>
    <w:rsid w:val="007F0DDB"/>
    <w:rsid w:val="007F1BF1"/>
    <w:rsid w:val="007F433A"/>
    <w:rsid w:val="00801025"/>
    <w:rsid w:val="00815005"/>
    <w:rsid w:val="00830ED7"/>
    <w:rsid w:val="00832B6B"/>
    <w:rsid w:val="0083376F"/>
    <w:rsid w:val="0086538A"/>
    <w:rsid w:val="00870FC6"/>
    <w:rsid w:val="008719E1"/>
    <w:rsid w:val="00875D25"/>
    <w:rsid w:val="00887CEE"/>
    <w:rsid w:val="00892326"/>
    <w:rsid w:val="00893BD5"/>
    <w:rsid w:val="008C0C4D"/>
    <w:rsid w:val="008C4C99"/>
    <w:rsid w:val="008C5997"/>
    <w:rsid w:val="008C6B83"/>
    <w:rsid w:val="008D354E"/>
    <w:rsid w:val="008E0B46"/>
    <w:rsid w:val="008E1BE7"/>
    <w:rsid w:val="008F0094"/>
    <w:rsid w:val="008F6EBB"/>
    <w:rsid w:val="008F7289"/>
    <w:rsid w:val="0090170D"/>
    <w:rsid w:val="0092439B"/>
    <w:rsid w:val="0094562E"/>
    <w:rsid w:val="00945959"/>
    <w:rsid w:val="00945994"/>
    <w:rsid w:val="0095379E"/>
    <w:rsid w:val="009570BB"/>
    <w:rsid w:val="00961BA3"/>
    <w:rsid w:val="009629A8"/>
    <w:rsid w:val="00962E26"/>
    <w:rsid w:val="009746F5"/>
    <w:rsid w:val="00980337"/>
    <w:rsid w:val="00981C77"/>
    <w:rsid w:val="009A7A2F"/>
    <w:rsid w:val="009B7136"/>
    <w:rsid w:val="009D77F9"/>
    <w:rsid w:val="009F509A"/>
    <w:rsid w:val="00A003AB"/>
    <w:rsid w:val="00A1113C"/>
    <w:rsid w:val="00A12AF0"/>
    <w:rsid w:val="00A15515"/>
    <w:rsid w:val="00A240E9"/>
    <w:rsid w:val="00A300B5"/>
    <w:rsid w:val="00A56A72"/>
    <w:rsid w:val="00A70D99"/>
    <w:rsid w:val="00A756BE"/>
    <w:rsid w:val="00A76817"/>
    <w:rsid w:val="00A82285"/>
    <w:rsid w:val="00A86600"/>
    <w:rsid w:val="00AB6C14"/>
    <w:rsid w:val="00AC2725"/>
    <w:rsid w:val="00AC46C0"/>
    <w:rsid w:val="00AC79AD"/>
    <w:rsid w:val="00B22192"/>
    <w:rsid w:val="00B22A60"/>
    <w:rsid w:val="00B270F2"/>
    <w:rsid w:val="00B27F9F"/>
    <w:rsid w:val="00B32CB4"/>
    <w:rsid w:val="00B524D4"/>
    <w:rsid w:val="00B55817"/>
    <w:rsid w:val="00B665B7"/>
    <w:rsid w:val="00B72D15"/>
    <w:rsid w:val="00B770EC"/>
    <w:rsid w:val="00B92538"/>
    <w:rsid w:val="00B92B5F"/>
    <w:rsid w:val="00B9492E"/>
    <w:rsid w:val="00BA1B6B"/>
    <w:rsid w:val="00BA5FA2"/>
    <w:rsid w:val="00BB0101"/>
    <w:rsid w:val="00BD1F44"/>
    <w:rsid w:val="00BD2FB8"/>
    <w:rsid w:val="00BE1460"/>
    <w:rsid w:val="00BE1AA1"/>
    <w:rsid w:val="00BF24CA"/>
    <w:rsid w:val="00BF2D94"/>
    <w:rsid w:val="00BF4321"/>
    <w:rsid w:val="00C06C0A"/>
    <w:rsid w:val="00C3529B"/>
    <w:rsid w:val="00C60F3A"/>
    <w:rsid w:val="00C67941"/>
    <w:rsid w:val="00C77711"/>
    <w:rsid w:val="00CA58D0"/>
    <w:rsid w:val="00CB1A0E"/>
    <w:rsid w:val="00CB4271"/>
    <w:rsid w:val="00CB5BC9"/>
    <w:rsid w:val="00CB738C"/>
    <w:rsid w:val="00CC76B5"/>
    <w:rsid w:val="00CD2858"/>
    <w:rsid w:val="00CF35CE"/>
    <w:rsid w:val="00CF4F74"/>
    <w:rsid w:val="00D12B52"/>
    <w:rsid w:val="00D14865"/>
    <w:rsid w:val="00D1709D"/>
    <w:rsid w:val="00D26FDD"/>
    <w:rsid w:val="00D47C22"/>
    <w:rsid w:val="00D50D2A"/>
    <w:rsid w:val="00D52CBD"/>
    <w:rsid w:val="00D55ED9"/>
    <w:rsid w:val="00D82152"/>
    <w:rsid w:val="00D86479"/>
    <w:rsid w:val="00D93CA4"/>
    <w:rsid w:val="00DD254D"/>
    <w:rsid w:val="00DD454D"/>
    <w:rsid w:val="00DE0605"/>
    <w:rsid w:val="00DE296D"/>
    <w:rsid w:val="00E21AB9"/>
    <w:rsid w:val="00E23F90"/>
    <w:rsid w:val="00E32C7C"/>
    <w:rsid w:val="00E704FB"/>
    <w:rsid w:val="00E728FA"/>
    <w:rsid w:val="00E72D34"/>
    <w:rsid w:val="00E764CA"/>
    <w:rsid w:val="00E90831"/>
    <w:rsid w:val="00E90EDE"/>
    <w:rsid w:val="00E96EAC"/>
    <w:rsid w:val="00EC1042"/>
    <w:rsid w:val="00ED7640"/>
    <w:rsid w:val="00EE2EB2"/>
    <w:rsid w:val="00EF4B4C"/>
    <w:rsid w:val="00EF6C21"/>
    <w:rsid w:val="00F1017E"/>
    <w:rsid w:val="00F17FD4"/>
    <w:rsid w:val="00F428C3"/>
    <w:rsid w:val="00F45E04"/>
    <w:rsid w:val="00F60B68"/>
    <w:rsid w:val="00F631DB"/>
    <w:rsid w:val="00F65C6C"/>
    <w:rsid w:val="00F7171D"/>
    <w:rsid w:val="00F909E6"/>
    <w:rsid w:val="00F9620B"/>
    <w:rsid w:val="00FA03E2"/>
    <w:rsid w:val="00FB33B2"/>
    <w:rsid w:val="00FB419F"/>
    <w:rsid w:val="00FC134E"/>
    <w:rsid w:val="00FD1445"/>
    <w:rsid w:val="00FE06E7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EFEA"/>
  <w15:chartTrackingRefBased/>
  <w15:docId w15:val="{2EC6F899-6BC8-4DB6-A230-2DED3854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0D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uiPriority w:val="99"/>
    <w:rsid w:val="00D50D2A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paragraph" w:styleId="Akapitzlist">
    <w:name w:val="List Paragraph"/>
    <w:aliases w:val="Styl moj,Bullet1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34"/>
    <w:qFormat/>
    <w:rsid w:val="00D50D2A"/>
    <w:pPr>
      <w:ind w:left="720"/>
      <w:contextualSpacing/>
    </w:pPr>
  </w:style>
  <w:style w:type="paragraph" w:styleId="Poprawka">
    <w:name w:val="Revision"/>
    <w:hidden/>
    <w:uiPriority w:val="99"/>
    <w:semiHidden/>
    <w:rsid w:val="00365BC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C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5BCD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AkapitzlistZnak">
    <w:name w:val="Akapit z listą Znak"/>
    <w:aliases w:val="Styl moj Znak,Bullet1 Znak,aotm_załączniki Znak,Akapit z listą11 Znak,Table Legend Znak,Dot pt Znak,F5 List Paragraph Znak,List Paragraph1 Znak,No Spacing1 Znak,List Paragraph Char Char Char Znak,Indicator Text Znak,Bullet 1 Znak"/>
    <w:link w:val="Akapitzlist"/>
    <w:uiPriority w:val="34"/>
    <w:qFormat/>
    <w:locked/>
    <w:rsid w:val="00365BCD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300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300B5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A300B5"/>
    <w:rPr>
      <w:rFonts w:ascii="Arial" w:eastAsia="Times New Roman" w:hAnsi="Arial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00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00B5"/>
    <w:rPr>
      <w:rFonts w:ascii="Arial" w:eastAsia="Times New Roman" w:hAnsi="Arial" w:cs="Times New Roman"/>
      <w:b/>
      <w:bCs/>
      <w:sz w:val="20"/>
      <w:szCs w:val="20"/>
      <w:lang w:eastAsia="pl-PL"/>
    </w:rPr>
  </w:style>
  <w:style w:type="character" w:customStyle="1" w:styleId="cf01">
    <w:name w:val="cf01"/>
    <w:basedOn w:val="Domylnaczcionkaakapitu"/>
    <w:rsid w:val="005876B2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omylnaczcionkaakapitu"/>
    <w:rsid w:val="00CB1A0E"/>
    <w:rPr>
      <w:rFonts w:ascii="Segoe UI" w:hAnsi="Segoe UI" w:cs="Segoe UI" w:hint="default"/>
      <w:color w:val="202124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A66F67F6E6F946A4A0472333DAB767" ma:contentTypeVersion="5" ma:contentTypeDescription="Utwórz nowy dokument." ma:contentTypeScope="" ma:versionID="af0b4e6ebf96d108db8425025a644d84">
  <xsd:schema xmlns:xsd="http://www.w3.org/2001/XMLSchema" xmlns:xs="http://www.w3.org/2001/XMLSchema" xmlns:p="http://schemas.microsoft.com/office/2006/metadata/properties" xmlns:ns2="fc739e27-c979-423d-97f2-8743d59ad0f1" xmlns:ns3="35f27704-c53f-470d-ad38-3ac84516c608" targetNamespace="http://schemas.microsoft.com/office/2006/metadata/properties" ma:root="true" ma:fieldsID="0d07dca6302540256a74c92324da1010" ns2:_="" ns3:_="">
    <xsd:import namespace="fc739e27-c979-423d-97f2-8743d59ad0f1"/>
    <xsd:import namespace="35f27704-c53f-470d-ad38-3ac84516c6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39e27-c979-423d-97f2-8743d59ad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27704-c53f-470d-ad38-3ac84516c6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E4DD0-62BE-418C-95CE-A435EA369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10CCA2-7ADB-4AE0-8F86-CA62FD164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39e27-c979-423d-97f2-8743d59ad0f1"/>
    <ds:schemaRef ds:uri="35f27704-c53f-470d-ad38-3ac84516c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8BBEEC-36E7-4499-A751-767BAA4D28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D52B01-7C4B-4D4F-9805-7A6DF0A593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1315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Kowalik</dc:creator>
  <cp:keywords/>
  <dc:description/>
  <cp:lastModifiedBy>Wilk Justyna</cp:lastModifiedBy>
  <cp:revision>4</cp:revision>
  <cp:lastPrinted>2017-04-07T12:19:00Z</cp:lastPrinted>
  <dcterms:created xsi:type="dcterms:W3CDTF">2025-03-12T06:16:00Z</dcterms:created>
  <dcterms:modified xsi:type="dcterms:W3CDTF">2025-03-12T06:22:00Z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0x01010042A66F67F6E6F946A4A0472333DAB767</vt:lpwstr>
  </property>
</Properties>
</file>