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E4BAE" w14:textId="189CAB7A" w:rsidR="00921B95" w:rsidRPr="000A2E4E" w:rsidRDefault="000A2E4E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>
        <w:rPr>
          <w:rFonts w:ascii="Times New Roman" w:eastAsia="Times New Roman" w:hAnsi="Times New Roman"/>
          <w:iCs/>
          <w:lang w:eastAsia="pl-PL"/>
        </w:rPr>
        <w:t>Z</w:t>
      </w:r>
      <w:r w:rsidR="00F709B4" w:rsidRPr="000A2E4E">
        <w:rPr>
          <w:rFonts w:ascii="Times New Roman" w:eastAsia="Times New Roman" w:hAnsi="Times New Roman"/>
          <w:iCs/>
          <w:lang w:eastAsia="pl-PL"/>
        </w:rPr>
        <w:t xml:space="preserve">ałącznik </w:t>
      </w:r>
      <w:r w:rsidR="00EB02B8" w:rsidRPr="000A2E4E">
        <w:rPr>
          <w:rFonts w:ascii="Times New Roman" w:eastAsia="Times New Roman" w:hAnsi="Times New Roman"/>
          <w:iCs/>
          <w:lang w:eastAsia="pl-PL"/>
        </w:rPr>
        <w:t>B.</w:t>
      </w:r>
      <w:r>
        <w:rPr>
          <w:rFonts w:ascii="Times New Roman" w:eastAsia="Times New Roman" w:hAnsi="Times New Roman"/>
          <w:iCs/>
          <w:lang w:eastAsia="pl-PL"/>
        </w:rPr>
        <w:t>174</w:t>
      </w:r>
      <w:r w:rsidR="00EB02B8" w:rsidRPr="000A2E4E">
        <w:rPr>
          <w:rFonts w:ascii="Times New Roman" w:eastAsia="Times New Roman" w:hAnsi="Times New Roman"/>
          <w:iCs/>
          <w:lang w:eastAsia="pl-PL"/>
        </w:rPr>
        <w:t>.</w:t>
      </w:r>
    </w:p>
    <w:p w14:paraId="61AC7433" w14:textId="77777777" w:rsidR="00921B95" w:rsidRPr="000A2E4E" w:rsidRDefault="00921B95">
      <w:pPr>
        <w:spacing w:after="0" w:line="240" w:lineRule="auto"/>
        <w:jc w:val="both"/>
        <w:rPr>
          <w:rFonts w:ascii="Times New Roman" w:eastAsia="Times New Roman" w:hAnsi="Times New Roman"/>
          <w:lang w:eastAsia="pl-PL"/>
        </w:rPr>
      </w:pPr>
    </w:p>
    <w:p w14:paraId="64F7585D" w14:textId="77777777" w:rsidR="001237A5" w:rsidRPr="001237A5" w:rsidRDefault="001237A5" w:rsidP="001237A5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pl-PL"/>
        </w:rPr>
      </w:pPr>
      <w:r w:rsidRPr="001237A5">
        <w:rPr>
          <w:rFonts w:ascii="Times New Roman" w:eastAsia="Times New Roman" w:hAnsi="Times New Roman"/>
          <w:b/>
          <w:bCs/>
          <w:sz w:val="28"/>
          <w:szCs w:val="28"/>
          <w:lang w:eastAsia="pl-PL"/>
        </w:rPr>
        <w:t>LECZENIE CHORYCH NA ATAKSJĘ FRIEDREICHA (ICD-10: G11.1)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4111"/>
        <w:gridCol w:w="5612"/>
      </w:tblGrid>
      <w:tr w:rsidR="001237A5" w:rsidRPr="001237A5" w14:paraId="7D59C9D0" w14:textId="77777777" w:rsidTr="00D635AD">
        <w:trPr>
          <w:trHeight w:val="567"/>
        </w:trPr>
        <w:tc>
          <w:tcPr>
            <w:tcW w:w="153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5E61E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  <w:t>ZAKRES ŚWIADCZENIA GWARANTOWANEGO</w:t>
            </w:r>
          </w:p>
        </w:tc>
      </w:tr>
      <w:tr w:rsidR="001237A5" w:rsidRPr="001237A5" w14:paraId="3156CD1A" w14:textId="77777777" w:rsidTr="00D635AD">
        <w:trPr>
          <w:trHeight w:val="567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02440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BA469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  <w:t xml:space="preserve">SCHEMAT DAWKOWANIA LEKÓW </w:t>
            </w:r>
            <w:r w:rsidRPr="001237A5"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  <w:br/>
              <w:t>W PROGRAMIE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1F0C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  <w:t xml:space="preserve">BADANIA DIAGNOSTYCZNE WYKONYWANE </w:t>
            </w:r>
            <w:r w:rsidRPr="001237A5">
              <w:rPr>
                <w:rFonts w:ascii="Times New Roman" w:eastAsia="Times New Roman" w:hAnsi="Times New Roman"/>
                <w:b/>
                <w:bCs/>
                <w:color w:val="000000" w:themeColor="text1"/>
                <w:sz w:val="20"/>
                <w:szCs w:val="20"/>
                <w:lang w:eastAsia="pl-PL"/>
              </w:rPr>
              <w:br/>
              <w:t>W RAMACH PROGRAMU</w:t>
            </w:r>
          </w:p>
        </w:tc>
      </w:tr>
      <w:tr w:rsidR="001237A5" w:rsidRPr="001237A5" w14:paraId="6E664FFC" w14:textId="77777777" w:rsidTr="00D635AD">
        <w:trPr>
          <w:trHeight w:val="2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72BB2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Kwalifikacji świadczeniobiorców do terapii oraz ocenę skuteczności leczenia dokonuje Zespół Koordynacyjny ds. Leczenia chorych na ataksję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Friedreicha</w:t>
            </w:r>
            <w:proofErr w:type="spellEnd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, powoływany przez Prezesa Narodowego Funduszu Zdrowia. </w:t>
            </w:r>
          </w:p>
          <w:p w14:paraId="30242FEB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</w:pPr>
          </w:p>
          <w:p w14:paraId="774F258E" w14:textId="77777777" w:rsidR="001237A5" w:rsidRPr="001237A5" w:rsidRDefault="001237A5" w:rsidP="001237A5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  <w:t xml:space="preserve">Kryteria kwalifikacji </w:t>
            </w:r>
          </w:p>
          <w:p w14:paraId="3260BAF6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Do leczenia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omaweloksolonem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kwalifikowani są pacjenci spełniający łącznie poniższe kryteria: </w:t>
            </w:r>
          </w:p>
          <w:p w14:paraId="43F14B4E" w14:textId="77777777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wiek:16 lat i powyżej;</w:t>
            </w:r>
          </w:p>
          <w:p w14:paraId="1AE2C44F" w14:textId="77777777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rozpoznanie ataksji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Friedreicha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potwierdzone badaniem genetycznym;</w:t>
            </w:r>
          </w:p>
          <w:p w14:paraId="0891BD6E" w14:textId="77777777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adekwatna wydolność narządowa określona na podstawie wyników badań laboratoryjnych krwi zgodnie z zapisami aktualnej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ChPL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A1CD750" w14:textId="77777777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brak istotnych chorób współistniejących stanowiących przeciwskazanie do terapii stwierdzonych przez lekarza prowadzącego w oparciu o aktualną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ChPL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1F7CF44D" w14:textId="77777777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wykluczenie ciąży lub karmienia piersią.</w:t>
            </w:r>
          </w:p>
          <w:p w14:paraId="17B4F874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</w:p>
          <w:p w14:paraId="14AC42C0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1237A5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Ponadto do programu lekowego kwalifikowani są również pacjenci wymagający kontynuacji leczenia, którzy byli leczeni dotychczas w ramach innego sposobu finansowania terapii, za wyjątkiem </w:t>
            </w:r>
            <w:r w:rsidRPr="001237A5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lastRenderedPageBreak/>
              <w:t xml:space="preserve">trwających badań klinicznych, pod warunkiem, że w chwili rozpoczęcia leczenia </w:t>
            </w:r>
            <w:proofErr w:type="spellStart"/>
            <w:r w:rsidRPr="001237A5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omaweloksolonem</w:t>
            </w:r>
            <w:proofErr w:type="spellEnd"/>
            <w:r w:rsidRPr="001237A5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 spełniali kryteria kwalifikacji do programu lekowego.</w:t>
            </w:r>
          </w:p>
          <w:p w14:paraId="2F89739A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</w:p>
          <w:p w14:paraId="4724A918" w14:textId="77777777" w:rsidR="001237A5" w:rsidRPr="001237A5" w:rsidRDefault="001237A5" w:rsidP="001237A5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  <w:t>Określenie czasu leczenia w programie</w:t>
            </w:r>
          </w:p>
          <w:p w14:paraId="71B3D099" w14:textId="774A50B1" w:rsidR="00F7066E" w:rsidRPr="006D4E83" w:rsidRDefault="00F7066E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U pacjentów po ukończeniu 18 r.ż., l</w:t>
            </w:r>
            <w:r w:rsidR="001237A5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eczenie trwa do momentu</w:t>
            </w:r>
            <w:r w:rsidR="00BA3A83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 określonego kryteriami wyłączenia w pkt. 3</w:t>
            </w:r>
            <w:r w:rsidR="006E77CE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.</w:t>
            </w:r>
            <w:r w:rsidR="00BA3A83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 </w:t>
            </w:r>
            <w:r w:rsidR="006E77CE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W szczególnych przypadkach,</w:t>
            </w:r>
            <w:r w:rsidR="008124DC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 w których </w:t>
            </w:r>
            <w:r w:rsidR="006E77CE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w przebiegu choroby </w:t>
            </w:r>
            <w:r w:rsidR="008124DC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udokumentowano </w:t>
            </w:r>
            <w:r w:rsidR="009B42CC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istotne </w:t>
            </w:r>
            <w:r w:rsidR="008124DC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spowolnienie postępu dysfunkcji innych niż uwzględniane w skali </w:t>
            </w:r>
            <w:proofErr w:type="spellStart"/>
            <w:r w:rsidR="008124DC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mFARS</w:t>
            </w:r>
            <w:proofErr w:type="spellEnd"/>
            <w:r w:rsidR="006E77CE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,</w:t>
            </w:r>
            <w:r w:rsidR="00405CFC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 na wniosek ośrodka prowadzącego</w:t>
            </w:r>
            <w:r w:rsidR="006E77CE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, </w:t>
            </w:r>
            <w:r w:rsidR="00F709B4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Zespół Koordynacyjny ds. Leczenia chorych na ataksję </w:t>
            </w:r>
            <w:proofErr w:type="spellStart"/>
            <w:r w:rsidR="00F709B4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Friedreicha</w:t>
            </w:r>
            <w:proofErr w:type="spellEnd"/>
            <w:r w:rsidR="006E77CE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 może podjąć decyzję o kontynuacji leczenia.</w:t>
            </w:r>
          </w:p>
          <w:p w14:paraId="6477E8DD" w14:textId="6D266C78" w:rsidR="001237A5" w:rsidRPr="006D4E83" w:rsidRDefault="00405CFC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U pacjentów przed ukończeniem 18 r.ż., leczenie trwa do momentu podjęcia decyzji przez </w:t>
            </w:r>
            <w:r w:rsidR="00F709B4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 xml:space="preserve">Zespół Koordynacyjny ds. Leczenia chorych na ataksję </w:t>
            </w:r>
            <w:proofErr w:type="spellStart"/>
            <w:r w:rsidR="00F709B4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Friedreicha</w:t>
            </w:r>
            <w:proofErr w:type="spellEnd"/>
            <w:r w:rsidR="006E77CE" w:rsidRPr="006D4E83"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  <w:t>.</w:t>
            </w:r>
          </w:p>
          <w:p w14:paraId="672D5CBF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eastAsia="ar-SA"/>
              </w:rPr>
            </w:pPr>
            <w:r w:rsidRPr="006D4E83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Z powodu potwierdzonej ciąży oraz w okresie karmienia</w:t>
            </w:r>
            <w:r w:rsidRPr="001237A5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 xml:space="preserve"> piersią, możliwe jest czasowe zawieszenie leczenia z możliwością powrotu do stosowanej terapii.</w:t>
            </w:r>
          </w:p>
          <w:p w14:paraId="524BEBE5" w14:textId="77777777" w:rsidR="001237A5" w:rsidRPr="001237A5" w:rsidRDefault="001237A5" w:rsidP="001237A5">
            <w:pPr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Po ukończeniu 18 r.ż. nie ma konieczności ponownej kwalifikacji pacjenta do programu po przeniesieniu leczenia do ośrodka dla dorosłych. </w:t>
            </w:r>
          </w:p>
          <w:p w14:paraId="45A5883B" w14:textId="77777777" w:rsidR="001237A5" w:rsidRPr="001237A5" w:rsidRDefault="001237A5" w:rsidP="001237A5">
            <w:pPr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Pacjent będący w trakcie terapii, który ukończył 18 rok życia może kontynuować terapię w pediatrycznym ośrodku realizującym program lekowy do ukończenia 20 roku życia, po uzyskaniu indywidualnej zgody dyrektora wojewódzkiego oddziału NFZ. </w:t>
            </w:r>
          </w:p>
          <w:p w14:paraId="7A6829AE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</w:p>
          <w:p w14:paraId="0913E7C8" w14:textId="77777777" w:rsidR="001237A5" w:rsidRPr="006D4E83" w:rsidRDefault="001237A5" w:rsidP="001237A5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6D4E83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  <w:t>Kryteria wyłączenia z programu</w:t>
            </w:r>
          </w:p>
          <w:p w14:paraId="740E7BE5" w14:textId="4921BF2B" w:rsidR="00F709B4" w:rsidRPr="006D4E83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brak skuteczności terapii definiowany jako pogorszenie o więcej niż 2 punkty średnio rocznie w skali </w:t>
            </w:r>
            <w:proofErr w:type="spellStart"/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mFARS</w:t>
            </w:r>
            <w:proofErr w:type="spellEnd"/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potwierdzone w dwóch kolejnych ocenach rocznych</w:t>
            </w:r>
            <w:r w:rsidR="00F709B4"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CE6399"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z zaznaczeniem, że:</w:t>
            </w:r>
          </w:p>
          <w:p w14:paraId="5BAFA8F7" w14:textId="60AD6CBA" w:rsidR="001237A5" w:rsidRPr="006D4E83" w:rsidRDefault="00F709B4" w:rsidP="00F709B4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 xml:space="preserve">w szczególnych przypadkach, w których w przebiegu choroby udokumentowano istotne spowolnienie postępu dysfunkcji innych niż uwzględniane w skali </w:t>
            </w:r>
            <w:proofErr w:type="spellStart"/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mFARS</w:t>
            </w:r>
            <w:proofErr w:type="spellEnd"/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, na wniosek ośrodka prowadzącego, Zespół Koordynacyjny ds. Leczenia chorych na ataksję </w:t>
            </w:r>
            <w:proofErr w:type="spellStart"/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Friedreicha</w:t>
            </w:r>
            <w:proofErr w:type="spellEnd"/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może podjąć decyzję o kontynuacji leczenia</w:t>
            </w:r>
            <w:r w:rsidR="000A2E4E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0DD72351" w14:textId="4220CFEC" w:rsidR="00F709B4" w:rsidRPr="006D4E83" w:rsidRDefault="00F709B4" w:rsidP="00F709B4">
            <w:pPr>
              <w:numPr>
                <w:ilvl w:val="3"/>
                <w:numId w:val="36"/>
              </w:num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nie dotyczy pacjentów przed ukończeniem 18 r.ż., u których leczenie trwa do momentu podjęcia decyzji przez Zespół Koordynacyjny ds. Leczenia chorych na ataksję </w:t>
            </w:r>
            <w:proofErr w:type="spellStart"/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Friedreicha</w:t>
            </w:r>
            <w:proofErr w:type="spellEnd"/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7CF1E63E" w14:textId="2C0EB65E" w:rsidR="001237A5" w:rsidRPr="006D4E83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pojawienie się przeciwwskazań do leczenia wymienionych w Charakterystyce Produktu Leczniczego;</w:t>
            </w:r>
          </w:p>
          <w:p w14:paraId="671AC28B" w14:textId="49DE9DB1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6D4E83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wystąpienie chorób lub stanów, które w opinii</w:t>
            </w: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CE6399" w:rsidRPr="00F70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Zesp</w:t>
            </w:r>
            <w:r w:rsidR="00E72AE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ołu</w:t>
            </w:r>
            <w:r w:rsidR="00CE6399" w:rsidRPr="00F70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Koordynacyjn</w:t>
            </w:r>
            <w:r w:rsidR="00E72AE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ego</w:t>
            </w:r>
            <w:r w:rsidR="00CE6399" w:rsidRPr="00F70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ds. Leczenia chorych na ataksję </w:t>
            </w:r>
            <w:proofErr w:type="spellStart"/>
            <w:r w:rsidR="00CE6399" w:rsidRPr="00F70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Friedreicha</w:t>
            </w:r>
            <w:proofErr w:type="spellEnd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uniemożliwiają kontynuację leczenia;</w:t>
            </w:r>
          </w:p>
          <w:p w14:paraId="08A64F9A" w14:textId="592F8F96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wystąpienie działań niepożądanych, które w opinii </w:t>
            </w:r>
            <w:r w:rsidR="00CE6399" w:rsidRPr="00F70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Zesp</w:t>
            </w:r>
            <w:r w:rsidR="00E72AE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ołu</w:t>
            </w:r>
            <w:r w:rsidR="00CE6399" w:rsidRPr="00F70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Koordynacyjn</w:t>
            </w:r>
            <w:r w:rsidR="00E72AE6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ego</w:t>
            </w:r>
            <w:r w:rsidR="00CE6399" w:rsidRPr="00F70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ds. Leczenia chorych na ataksję </w:t>
            </w:r>
            <w:proofErr w:type="spellStart"/>
            <w:r w:rsidR="00CE6399" w:rsidRPr="00F709B4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Friedreicha</w:t>
            </w:r>
            <w:proofErr w:type="spellEnd"/>
            <w:r w:rsidR="00CE6399"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uniemożliwiają kontynuację leczenia;</w:t>
            </w:r>
          </w:p>
          <w:p w14:paraId="6F487925" w14:textId="77777777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wystąpienie nadwrażliwości na lek lub substancję pomocniczą uniemożliwiające kontynuację leczenia;</w:t>
            </w:r>
          </w:p>
          <w:p w14:paraId="4A5C751B" w14:textId="77777777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wystąpienie zagrażającej życiu albo nieakceptowalnej toksyczności pomimo zastosowania adekwatnego postępowania;</w:t>
            </w:r>
          </w:p>
          <w:p w14:paraId="58055F9A" w14:textId="77777777" w:rsidR="001237A5" w:rsidRPr="001237A5" w:rsidRDefault="001237A5" w:rsidP="001237A5">
            <w:pPr>
              <w:numPr>
                <w:ilvl w:val="3"/>
                <w:numId w:val="30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brak współpracy lub nieprzestrzeganie zaleceń lekarskich ze strony świadczeniobiorcy lub jego prawnych opiekunów w szczególności dotyczących okresowych badań kontrolnych oceniających skuteczność i bezpieczeństwo leczenia.</w:t>
            </w:r>
          </w:p>
          <w:p w14:paraId="61318C22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ind w:left="227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9D17D" w14:textId="77777777" w:rsidR="001237A5" w:rsidRPr="001237A5" w:rsidRDefault="001237A5" w:rsidP="001237A5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20" w:after="60" w:line="24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  <w:lastRenderedPageBreak/>
              <w:t>Dawkowanie leku w programie</w:t>
            </w:r>
          </w:p>
          <w:p w14:paraId="734679C8" w14:textId="77777777" w:rsidR="001237A5" w:rsidRPr="001237A5" w:rsidRDefault="001237A5" w:rsidP="001237A5">
            <w:pPr>
              <w:spacing w:after="6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237A5">
              <w:rPr>
                <w:rFonts w:ascii="Times New Roman" w:hAnsi="Times New Roman"/>
                <w:sz w:val="20"/>
                <w:szCs w:val="20"/>
              </w:rPr>
              <w:t>Sposób podawania oraz ewentualne czasowe wstrzymania leczenia, prowadzone zgodnie z aktualną Charakterystyką Produktu Leczniczego (</w:t>
            </w:r>
            <w:proofErr w:type="spellStart"/>
            <w:r w:rsidRPr="001237A5">
              <w:rPr>
                <w:rFonts w:ascii="Times New Roman" w:hAnsi="Times New Roman"/>
                <w:sz w:val="20"/>
                <w:szCs w:val="20"/>
              </w:rPr>
              <w:t>ChPL</w:t>
            </w:r>
            <w:proofErr w:type="spellEnd"/>
            <w:r w:rsidRPr="001237A5">
              <w:rPr>
                <w:rFonts w:ascii="Times New Roman" w:hAnsi="Times New Roman"/>
                <w:sz w:val="20"/>
                <w:szCs w:val="20"/>
              </w:rPr>
              <w:t>) lub przyjętą praktyką kliniczną.</w:t>
            </w:r>
          </w:p>
          <w:p w14:paraId="71BAD188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Maksymalna dawka to 150 mg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omaweloksolonu</w:t>
            </w:r>
            <w:proofErr w:type="spellEnd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raz na dobę.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05538E" w14:textId="77777777" w:rsidR="001237A5" w:rsidRPr="001237A5" w:rsidRDefault="001237A5" w:rsidP="001237A5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20" w:after="60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  <w:t>Badania przy kwalifikacji:</w:t>
            </w:r>
          </w:p>
          <w:p w14:paraId="12633FE3" w14:textId="77777777" w:rsidR="001237A5" w:rsidRPr="001237A5" w:rsidRDefault="001237A5" w:rsidP="001237A5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aminotransferazy alaninowej;</w:t>
            </w:r>
          </w:p>
          <w:p w14:paraId="04969E04" w14:textId="77777777" w:rsidR="001237A5" w:rsidRPr="001237A5" w:rsidRDefault="001237A5" w:rsidP="001237A5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oznaczenie stężenia aminotransferazy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asparaginianowej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2138BBEC" w14:textId="77777777" w:rsidR="001237A5" w:rsidRPr="001237A5" w:rsidRDefault="001237A5" w:rsidP="001237A5">
            <w:pPr>
              <w:numPr>
                <w:ilvl w:val="3"/>
                <w:numId w:val="32"/>
              </w:numPr>
              <w:spacing w:after="6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bilirubiny we krwi;</w:t>
            </w:r>
          </w:p>
          <w:p w14:paraId="188E169E" w14:textId="77777777" w:rsidR="001237A5" w:rsidRPr="001237A5" w:rsidRDefault="001237A5" w:rsidP="001237A5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glukozy i HbA1c we krwi;</w:t>
            </w:r>
          </w:p>
          <w:p w14:paraId="1E06629F" w14:textId="77777777" w:rsidR="001237A5" w:rsidRPr="001237A5" w:rsidRDefault="001237A5" w:rsidP="001237A5">
            <w:pPr>
              <w:numPr>
                <w:ilvl w:val="3"/>
                <w:numId w:val="32"/>
              </w:numPr>
              <w:spacing w:after="6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lipidogram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– oznaczenie cholesterolu całkowitego, cholesterolu frakcji LDL i HDL,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triglicerydów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76024294" w14:textId="77777777" w:rsidR="001237A5" w:rsidRPr="001237A5" w:rsidRDefault="001237A5" w:rsidP="001237A5">
            <w:pPr>
              <w:numPr>
                <w:ilvl w:val="3"/>
                <w:numId w:val="32"/>
              </w:numPr>
              <w:spacing w:after="6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badanie stężenia peptydu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natriuretycznego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typu B (BNP lub NT-pro-BNP);</w:t>
            </w:r>
          </w:p>
          <w:p w14:paraId="4FC11948" w14:textId="77777777" w:rsidR="001237A5" w:rsidRPr="001237A5" w:rsidRDefault="001237A5" w:rsidP="001237A5">
            <w:pPr>
              <w:numPr>
                <w:ilvl w:val="3"/>
                <w:numId w:val="32"/>
              </w:numPr>
              <w:spacing w:after="6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elektrokardiografia (EKG);</w:t>
            </w:r>
          </w:p>
          <w:p w14:paraId="3DF3C030" w14:textId="77777777" w:rsidR="001237A5" w:rsidRPr="001237A5" w:rsidRDefault="001237A5" w:rsidP="001237A5">
            <w:pPr>
              <w:numPr>
                <w:ilvl w:val="3"/>
                <w:numId w:val="32"/>
              </w:numPr>
              <w:spacing w:after="6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echokardiografa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(ECHO);</w:t>
            </w:r>
          </w:p>
          <w:p w14:paraId="4B20D3E5" w14:textId="77777777" w:rsidR="001237A5" w:rsidRPr="001237A5" w:rsidRDefault="001237A5" w:rsidP="001237A5">
            <w:pPr>
              <w:numPr>
                <w:ilvl w:val="3"/>
                <w:numId w:val="32"/>
              </w:numPr>
              <w:spacing w:after="6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konsultacja kardiologiczna;</w:t>
            </w:r>
          </w:p>
          <w:p w14:paraId="456DC598" w14:textId="77777777" w:rsidR="001237A5" w:rsidRPr="001237A5" w:rsidRDefault="001237A5" w:rsidP="001237A5">
            <w:pPr>
              <w:numPr>
                <w:ilvl w:val="3"/>
                <w:numId w:val="32"/>
              </w:numPr>
              <w:spacing w:after="6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pomiar masy ciała;</w:t>
            </w:r>
          </w:p>
          <w:p w14:paraId="1F42240C" w14:textId="77777777" w:rsidR="001237A5" w:rsidRPr="001237A5" w:rsidRDefault="001237A5" w:rsidP="001237A5">
            <w:pPr>
              <w:numPr>
                <w:ilvl w:val="3"/>
                <w:numId w:val="32"/>
              </w:numPr>
              <w:spacing w:after="6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test ciążowy (oświadczenie o stosowaniu skutecznej antykoncepcji w trakcie trwania terapii - u kobiet w wieku reprodukcyjnym);</w:t>
            </w:r>
          </w:p>
          <w:p w14:paraId="476DB34E" w14:textId="77777777" w:rsidR="001237A5" w:rsidRPr="001237A5" w:rsidRDefault="001237A5" w:rsidP="001237A5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konsultacja neurologiczna z oceną stopnia ciężkości choroby w skali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mFARS</w:t>
            </w:r>
            <w:proofErr w:type="spellEnd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wraz z określeniem wartości przy rozpoczynaniu leczenia.</w:t>
            </w:r>
          </w:p>
          <w:p w14:paraId="56849419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ind w:left="227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 xml:space="preserve">Warunkiem kwalifikacji do programu jest posiadanie dokumentacji medycznej wraz z badaniem genetycznym na podstawie której postawiono rozpoznanie ataksji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Friedreicha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73257FA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ind w:left="227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</w:p>
          <w:p w14:paraId="2165E3F2" w14:textId="77777777" w:rsidR="001237A5" w:rsidRPr="001237A5" w:rsidRDefault="001237A5" w:rsidP="001237A5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bookmarkStart w:id="0" w:name="_Hlk52951758"/>
            <w:r w:rsidRPr="001237A5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  <w:t>Monitorowanie leczenia</w:t>
            </w:r>
          </w:p>
          <w:p w14:paraId="5CE67163" w14:textId="77777777" w:rsidR="001237A5" w:rsidRPr="001237A5" w:rsidRDefault="001237A5" w:rsidP="001237A5">
            <w:pPr>
              <w:widowControl w:val="0"/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SimSun" w:hAnsi="Times New Roman"/>
                <w:sz w:val="20"/>
                <w:szCs w:val="20"/>
                <w:lang w:eastAsia="zh-CN"/>
              </w:rPr>
            </w:pPr>
            <w:r w:rsidRPr="001237A5">
              <w:rPr>
                <w:rFonts w:ascii="Times New Roman" w:eastAsia="SimSun" w:hAnsi="Times New Roman"/>
                <w:sz w:val="20"/>
                <w:szCs w:val="20"/>
                <w:lang w:eastAsia="zh-CN"/>
              </w:rPr>
              <w:t>Raz w miesiącu, przez pierwsze 3 miesiące leczenia, a następnie okresowo, zależnie od wskazań klinicznych należy wykonać:</w:t>
            </w:r>
          </w:p>
          <w:p w14:paraId="0F98BED5" w14:textId="77777777" w:rsidR="001237A5" w:rsidRPr="001237A5" w:rsidRDefault="001237A5" w:rsidP="001237A5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aminotransferazy alaninowej;</w:t>
            </w:r>
          </w:p>
          <w:p w14:paraId="71DD9903" w14:textId="77777777" w:rsidR="001237A5" w:rsidRPr="001237A5" w:rsidRDefault="001237A5" w:rsidP="001237A5">
            <w:pPr>
              <w:numPr>
                <w:ilvl w:val="3"/>
                <w:numId w:val="32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oznaczenie stężenia aminotransferazy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asparaginianowej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5D440BAA" w14:textId="77777777" w:rsidR="001237A5" w:rsidRPr="001237A5" w:rsidRDefault="001237A5" w:rsidP="001237A5">
            <w:pPr>
              <w:numPr>
                <w:ilvl w:val="3"/>
                <w:numId w:val="32"/>
              </w:numPr>
              <w:spacing w:after="6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oznaczenie stężenia bilirubiny we krwi.</w:t>
            </w:r>
          </w:p>
          <w:p w14:paraId="1680511A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</w:p>
          <w:p w14:paraId="53B40BD7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Co 6 miesięcy, w 1. roku leczenia i raz na 12 miesięcy od 2. roku leczenia należy wykonać:</w:t>
            </w:r>
          </w:p>
          <w:p w14:paraId="3D371631" w14:textId="77777777" w:rsidR="001237A5" w:rsidRPr="001237A5" w:rsidRDefault="001237A5" w:rsidP="001237A5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proofErr w:type="spellStart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lipidogram</w:t>
            </w:r>
            <w:proofErr w:type="spellEnd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– oznaczenie cholesterolu całkowitego, cholesterolu frakcji LDL i HDL,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triglicerydów</w:t>
            </w:r>
            <w:proofErr w:type="spellEnd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055B1C89" w14:textId="77777777" w:rsidR="001237A5" w:rsidRPr="001237A5" w:rsidRDefault="001237A5" w:rsidP="001237A5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badanie stężenia peptydu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natriuretycznego</w:t>
            </w:r>
            <w:proofErr w:type="spellEnd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typu B (BNP lub NT-pro-BNP);</w:t>
            </w:r>
          </w:p>
          <w:p w14:paraId="1362793B" w14:textId="77777777" w:rsidR="001237A5" w:rsidRPr="001237A5" w:rsidRDefault="001237A5" w:rsidP="001237A5">
            <w:pPr>
              <w:numPr>
                <w:ilvl w:val="3"/>
                <w:numId w:val="34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pomiar masy ciała.</w:t>
            </w:r>
          </w:p>
          <w:p w14:paraId="43D18E85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</w:p>
          <w:p w14:paraId="59556619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Raz na 12 miesięcy należy wykonać:</w:t>
            </w:r>
          </w:p>
          <w:p w14:paraId="3C3AA87F" w14:textId="77777777" w:rsidR="001237A5" w:rsidRPr="001237A5" w:rsidRDefault="001237A5" w:rsidP="001237A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elektrokardiografia (EKG);</w:t>
            </w:r>
          </w:p>
          <w:p w14:paraId="315EDAB1" w14:textId="77777777" w:rsidR="001237A5" w:rsidRPr="001237A5" w:rsidRDefault="001237A5" w:rsidP="001237A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proofErr w:type="spellStart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echokardiografa</w:t>
            </w:r>
            <w:proofErr w:type="spellEnd"/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 xml:space="preserve"> (ECHO);</w:t>
            </w:r>
          </w:p>
          <w:p w14:paraId="1EF887E1" w14:textId="77777777" w:rsidR="001237A5" w:rsidRPr="001237A5" w:rsidRDefault="001237A5" w:rsidP="001237A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  <w:t>konsultacja kardiologiczna.</w:t>
            </w:r>
          </w:p>
          <w:p w14:paraId="3F817278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</w:p>
          <w:p w14:paraId="6411341E" w14:textId="110FA26C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Ocenę skuteczności na podstawie redukcji stopnia ciężkości choroby w skali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mFARS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wykonuje się co 6 miesięcy.</w:t>
            </w:r>
            <w:bookmarkEnd w:id="0"/>
          </w:p>
          <w:p w14:paraId="03094A87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Na podstawie ww. badań w celu monitorowania skuteczności leczenia Zespół Koordynacyjny ds. Leczenia chorych na ataksję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lastRenderedPageBreak/>
              <w:t>Friedreicha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określa dla indywidualnego pacjenta wskaźniki odpowiedzi na leczenie, w tym:</w:t>
            </w:r>
          </w:p>
          <w:p w14:paraId="167CD88A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- zmiana wyniku w skali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mFARS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w ciągu 12 miesięcy leczenia.</w:t>
            </w:r>
          </w:p>
          <w:p w14:paraId="4E8BE227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Dane gromadzone są w elektronicznym systemie monitorowania programów lekowych i analizowane przez Zespół Koordynacyjny ds. Leczenia chorych na ataksję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Friedreicha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, który podsumowuje wyniki leczenia w programie lekowym na koniec każdego roku. </w:t>
            </w:r>
          </w:p>
          <w:p w14:paraId="676FCF9A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</w:p>
          <w:p w14:paraId="477C3431" w14:textId="77777777" w:rsidR="001237A5" w:rsidRPr="001237A5" w:rsidRDefault="001237A5" w:rsidP="001237A5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b/>
                <w:color w:val="000000" w:themeColor="text1"/>
                <w:sz w:val="20"/>
                <w:szCs w:val="20"/>
                <w:lang w:eastAsia="pl-PL"/>
              </w:rPr>
              <w:t>Monitorowanie programu</w:t>
            </w:r>
          </w:p>
          <w:p w14:paraId="02EB0F33" w14:textId="77777777" w:rsidR="001237A5" w:rsidRPr="001237A5" w:rsidRDefault="001237A5" w:rsidP="001237A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0EB2D160" w14:textId="77777777" w:rsidR="001237A5" w:rsidRPr="001237A5" w:rsidRDefault="001237A5" w:rsidP="001237A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uzupełnienie danych zawartych w elektronicznym systemie monitorowania programów lekowych dostępnym za pomocą aplikacji internetowej udostępnionej przez OW NFZ, z częstotliwością zgodną z opisem programu oraz na zakończenie leczenia; w tym przekazywanie danych dotyczących wskaźników efektywności:</w:t>
            </w:r>
          </w:p>
          <w:p w14:paraId="7D170C0B" w14:textId="77777777" w:rsidR="001237A5" w:rsidRPr="001237A5" w:rsidRDefault="001237A5" w:rsidP="001237A5">
            <w:pPr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ind w:left="811" w:hanging="357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wynik w skali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mFARS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przy rozpoczynaniu leczenia,</w:t>
            </w:r>
          </w:p>
          <w:p w14:paraId="7835ED5E" w14:textId="77777777" w:rsidR="001237A5" w:rsidRPr="001237A5" w:rsidRDefault="001237A5" w:rsidP="001237A5">
            <w:pPr>
              <w:numPr>
                <w:ilvl w:val="3"/>
                <w:numId w:val="35"/>
              </w:numPr>
              <w:autoSpaceDE w:val="0"/>
              <w:autoSpaceDN w:val="0"/>
              <w:adjustRightInd w:val="0"/>
              <w:spacing w:after="60"/>
              <w:ind w:left="811" w:hanging="357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wynik w skali </w:t>
            </w:r>
            <w:proofErr w:type="spellStart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mFARS</w:t>
            </w:r>
            <w:proofErr w:type="spellEnd"/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 xml:space="preserve"> podczas oceny skuteczności;</w:t>
            </w:r>
          </w:p>
          <w:p w14:paraId="47E0143A" w14:textId="77777777" w:rsidR="001237A5" w:rsidRPr="001237A5" w:rsidRDefault="001237A5" w:rsidP="001237A5">
            <w:pPr>
              <w:numPr>
                <w:ilvl w:val="3"/>
                <w:numId w:val="33"/>
              </w:num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</w:pPr>
            <w:r w:rsidRPr="001237A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l-PL"/>
              </w:rPr>
              <w:t>przekazywanie informacji sprawozdawczo-rozliczeniowych do NFZ: informacje przekazuje się do NFZ w formie papierowej lub w formie elektronicznej, zgodnie z wymaganiami opublikowanymi przez Narodowy Fundusz Zdrowia.</w:t>
            </w:r>
          </w:p>
          <w:p w14:paraId="7A74D041" w14:textId="77777777" w:rsidR="001237A5" w:rsidRPr="001237A5" w:rsidRDefault="001237A5" w:rsidP="001237A5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pl-PL"/>
              </w:rPr>
            </w:pPr>
          </w:p>
        </w:tc>
      </w:tr>
    </w:tbl>
    <w:p w14:paraId="69D2C48D" w14:textId="77777777" w:rsidR="00921B95" w:rsidRDefault="00921B95">
      <w:pPr>
        <w:spacing w:after="0" w:line="240" w:lineRule="auto"/>
        <w:jc w:val="both"/>
        <w:rPr>
          <w:rFonts w:ascii="Times New Roman" w:eastAsia="Times New Roman" w:hAnsi="Times New Roman"/>
          <w:lang w:eastAsia="pl-PL"/>
        </w:rPr>
      </w:pPr>
    </w:p>
    <w:sectPr w:rsidR="00921B95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FCBE4" w14:textId="77777777" w:rsidR="00E07890" w:rsidRDefault="00E07890">
      <w:pPr>
        <w:spacing w:after="0" w:line="240" w:lineRule="auto"/>
      </w:pPr>
      <w:r>
        <w:separator/>
      </w:r>
    </w:p>
  </w:endnote>
  <w:endnote w:type="continuationSeparator" w:id="0">
    <w:p w14:paraId="4FE40284" w14:textId="77777777" w:rsidR="00E07890" w:rsidRDefault="00E0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63215" w14:textId="77777777" w:rsidR="00E07890" w:rsidRDefault="00E07890">
      <w:pPr>
        <w:spacing w:after="0" w:line="240" w:lineRule="auto"/>
      </w:pPr>
      <w:r>
        <w:separator/>
      </w:r>
    </w:p>
  </w:footnote>
  <w:footnote w:type="continuationSeparator" w:id="0">
    <w:p w14:paraId="5903BABB" w14:textId="77777777" w:rsidR="00E07890" w:rsidRDefault="00E07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6C0D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71F6126"/>
    <w:multiLevelType w:val="multilevel"/>
    <w:tmpl w:val="5910311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9181DB5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B894257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EDD6479"/>
    <w:multiLevelType w:val="multilevel"/>
    <w:tmpl w:val="BCFEE5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4DC6066"/>
    <w:multiLevelType w:val="multilevel"/>
    <w:tmpl w:val="B3A6573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decimal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1F7806AF"/>
    <w:multiLevelType w:val="multilevel"/>
    <w:tmpl w:val="ED80E0A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255E337E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258510E4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262B6DEE"/>
    <w:multiLevelType w:val="multilevel"/>
    <w:tmpl w:val="67B60E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27842E3B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2B4413F0"/>
    <w:multiLevelType w:val="hybridMultilevel"/>
    <w:tmpl w:val="EED89B9C"/>
    <w:lvl w:ilvl="0" w:tplc="DAC41AA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A0A55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3" w15:restartNumberingAfterBreak="0">
    <w:nsid w:val="371725DE"/>
    <w:multiLevelType w:val="multilevel"/>
    <w:tmpl w:val="C96E099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4" w15:restartNumberingAfterBreak="0">
    <w:nsid w:val="3D31482A"/>
    <w:multiLevelType w:val="multilevel"/>
    <w:tmpl w:val="73E459E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3EC13F7D"/>
    <w:multiLevelType w:val="hybridMultilevel"/>
    <w:tmpl w:val="C7B87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059A1"/>
    <w:multiLevelType w:val="multilevel"/>
    <w:tmpl w:val="9434FC1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49660718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4A1E2D97"/>
    <w:multiLevelType w:val="multilevel"/>
    <w:tmpl w:val="F574FDA0"/>
    <w:lvl w:ilvl="0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DDF39C1"/>
    <w:multiLevelType w:val="hybridMultilevel"/>
    <w:tmpl w:val="C096E862"/>
    <w:lvl w:ilvl="0" w:tplc="7974EB0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A3DC1"/>
    <w:multiLevelType w:val="multilevel"/>
    <w:tmpl w:val="5F3AB53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53023577"/>
    <w:multiLevelType w:val="hybridMultilevel"/>
    <w:tmpl w:val="A2BA5668"/>
    <w:lvl w:ilvl="0" w:tplc="DE06296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E496C"/>
    <w:multiLevelType w:val="hybridMultilevel"/>
    <w:tmpl w:val="D096BC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E4560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4" w15:restartNumberingAfterBreak="0">
    <w:nsid w:val="63B313AF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67353830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6D440DE3"/>
    <w:multiLevelType w:val="multilevel"/>
    <w:tmpl w:val="1ADA620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ascii="Times New Roman" w:eastAsia="Times New Roman" w:hAnsi="Times New Roman" w:cs="Times New Roman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7" w15:restartNumberingAfterBreak="0">
    <w:nsid w:val="6E6721C6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8" w15:restartNumberingAfterBreak="0">
    <w:nsid w:val="6F7C49F8"/>
    <w:multiLevelType w:val="multilevel"/>
    <w:tmpl w:val="553A107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9" w15:restartNumberingAfterBreak="0">
    <w:nsid w:val="6FCA569D"/>
    <w:multiLevelType w:val="multilevel"/>
    <w:tmpl w:val="64D6D5A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lowerLetter"/>
      <w:suff w:val="space"/>
      <w:lvlText w:val="%4)"/>
      <w:lvlJc w:val="left"/>
      <w:pPr>
        <w:ind w:left="587" w:hanging="36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0" w15:restartNumberingAfterBreak="0">
    <w:nsid w:val="71D13D47"/>
    <w:multiLevelType w:val="multilevel"/>
    <w:tmpl w:val="BFC223D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1" w15:restartNumberingAfterBreak="0">
    <w:nsid w:val="737A61B0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2" w15:restartNumberingAfterBreak="0">
    <w:nsid w:val="75F5159B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3" w15:restartNumberingAfterBreak="0">
    <w:nsid w:val="7BB10DEC"/>
    <w:multiLevelType w:val="multilevel"/>
    <w:tmpl w:val="BCFEE5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4" w15:restartNumberingAfterBreak="0">
    <w:nsid w:val="7D4D3C69"/>
    <w:multiLevelType w:val="multilevel"/>
    <w:tmpl w:val="C71863D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eastAsia="Times New Roman" w:hAnsi="Times New Roman" w:cs="Times New Roman"/>
      </w:rPr>
    </w:lvl>
    <w:lvl w:ilvl="4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5">
      <w:start w:val="1"/>
      <w:numFmt w:val="lowerRoman"/>
      <w:lvlText w:val="%6."/>
      <w:lvlJc w:val="left"/>
      <w:pPr>
        <w:ind w:left="1134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5" w15:restartNumberingAfterBreak="0">
    <w:nsid w:val="7E5E3B18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166245421">
    <w:abstractNumId w:val="19"/>
  </w:num>
  <w:num w:numId="2" w16cid:durableId="116341078">
    <w:abstractNumId w:val="22"/>
  </w:num>
  <w:num w:numId="3" w16cid:durableId="1955163809">
    <w:abstractNumId w:val="18"/>
  </w:num>
  <w:num w:numId="4" w16cid:durableId="1988196743">
    <w:abstractNumId w:val="32"/>
  </w:num>
  <w:num w:numId="5" w16cid:durableId="67771078">
    <w:abstractNumId w:val="33"/>
  </w:num>
  <w:num w:numId="6" w16cid:durableId="867376002">
    <w:abstractNumId w:val="25"/>
  </w:num>
  <w:num w:numId="7" w16cid:durableId="1670521936">
    <w:abstractNumId w:val="35"/>
  </w:num>
  <w:num w:numId="8" w16cid:durableId="1777554734">
    <w:abstractNumId w:val="2"/>
  </w:num>
  <w:num w:numId="9" w16cid:durableId="1157114727">
    <w:abstractNumId w:val="6"/>
  </w:num>
  <w:num w:numId="10" w16cid:durableId="1102913511">
    <w:abstractNumId w:val="16"/>
  </w:num>
  <w:num w:numId="11" w16cid:durableId="1952777882">
    <w:abstractNumId w:val="4"/>
  </w:num>
  <w:num w:numId="12" w16cid:durableId="1451322356">
    <w:abstractNumId w:val="28"/>
  </w:num>
  <w:num w:numId="13" w16cid:durableId="715081116">
    <w:abstractNumId w:val="14"/>
  </w:num>
  <w:num w:numId="14" w16cid:durableId="321547130">
    <w:abstractNumId w:val="3"/>
  </w:num>
  <w:num w:numId="15" w16cid:durableId="1161890634">
    <w:abstractNumId w:val="26"/>
  </w:num>
  <w:num w:numId="16" w16cid:durableId="1617445258">
    <w:abstractNumId w:val="0"/>
  </w:num>
  <w:num w:numId="17" w16cid:durableId="565185483">
    <w:abstractNumId w:val="13"/>
  </w:num>
  <w:num w:numId="18" w16cid:durableId="1293026295">
    <w:abstractNumId w:val="12"/>
  </w:num>
  <w:num w:numId="19" w16cid:durableId="867765297">
    <w:abstractNumId w:val="24"/>
  </w:num>
  <w:num w:numId="20" w16cid:durableId="1908149333">
    <w:abstractNumId w:val="17"/>
  </w:num>
  <w:num w:numId="21" w16cid:durableId="1517110119">
    <w:abstractNumId w:val="9"/>
  </w:num>
  <w:num w:numId="22" w16cid:durableId="1939363185">
    <w:abstractNumId w:val="30"/>
  </w:num>
  <w:num w:numId="23" w16cid:durableId="152109703">
    <w:abstractNumId w:val="34"/>
  </w:num>
  <w:num w:numId="24" w16cid:durableId="2119442536">
    <w:abstractNumId w:val="5"/>
  </w:num>
  <w:num w:numId="25" w16cid:durableId="1407070383">
    <w:abstractNumId w:val="21"/>
  </w:num>
  <w:num w:numId="26" w16cid:durableId="747112330">
    <w:abstractNumId w:val="20"/>
  </w:num>
  <w:num w:numId="27" w16cid:durableId="567037124">
    <w:abstractNumId w:val="23"/>
  </w:num>
  <w:num w:numId="28" w16cid:durableId="788814539">
    <w:abstractNumId w:val="15"/>
  </w:num>
  <w:num w:numId="29" w16cid:durableId="845704625">
    <w:abstractNumId w:val="11"/>
  </w:num>
  <w:num w:numId="30" w16cid:durableId="11684421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60766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1325848">
    <w:abstractNumId w:val="10"/>
  </w:num>
  <w:num w:numId="33" w16cid:durableId="1802072024">
    <w:abstractNumId w:val="27"/>
  </w:num>
  <w:num w:numId="34" w16cid:durableId="1548175614">
    <w:abstractNumId w:val="31"/>
  </w:num>
  <w:num w:numId="35" w16cid:durableId="986783599">
    <w:abstractNumId w:val="1"/>
  </w:num>
  <w:num w:numId="36" w16cid:durableId="106388086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B95"/>
    <w:rsid w:val="00022218"/>
    <w:rsid w:val="000721E0"/>
    <w:rsid w:val="000877F1"/>
    <w:rsid w:val="000A2E4E"/>
    <w:rsid w:val="000A7825"/>
    <w:rsid w:val="000C0373"/>
    <w:rsid w:val="000E14AD"/>
    <w:rsid w:val="000F6CF8"/>
    <w:rsid w:val="001237A5"/>
    <w:rsid w:val="00125743"/>
    <w:rsid w:val="00163CF0"/>
    <w:rsid w:val="002931B3"/>
    <w:rsid w:val="003235C0"/>
    <w:rsid w:val="003365CD"/>
    <w:rsid w:val="003910D8"/>
    <w:rsid w:val="003A61BA"/>
    <w:rsid w:val="00405CFC"/>
    <w:rsid w:val="00462C24"/>
    <w:rsid w:val="004E222B"/>
    <w:rsid w:val="005A57BA"/>
    <w:rsid w:val="00622F41"/>
    <w:rsid w:val="006A19DB"/>
    <w:rsid w:val="006D4E83"/>
    <w:rsid w:val="006E762F"/>
    <w:rsid w:val="006E77CE"/>
    <w:rsid w:val="006F41B4"/>
    <w:rsid w:val="00766851"/>
    <w:rsid w:val="007C3348"/>
    <w:rsid w:val="008124DC"/>
    <w:rsid w:val="008432ED"/>
    <w:rsid w:val="00846EEA"/>
    <w:rsid w:val="008A315A"/>
    <w:rsid w:val="008E5BD6"/>
    <w:rsid w:val="00921B95"/>
    <w:rsid w:val="009B42CC"/>
    <w:rsid w:val="009D6C94"/>
    <w:rsid w:val="00A1697F"/>
    <w:rsid w:val="00A51A10"/>
    <w:rsid w:val="00B443FC"/>
    <w:rsid w:val="00B4550F"/>
    <w:rsid w:val="00BA3A83"/>
    <w:rsid w:val="00BB5955"/>
    <w:rsid w:val="00BD2244"/>
    <w:rsid w:val="00C123A9"/>
    <w:rsid w:val="00C13E50"/>
    <w:rsid w:val="00C6357E"/>
    <w:rsid w:val="00C6616B"/>
    <w:rsid w:val="00CC7702"/>
    <w:rsid w:val="00CE6399"/>
    <w:rsid w:val="00D1080A"/>
    <w:rsid w:val="00D373C1"/>
    <w:rsid w:val="00D52A5A"/>
    <w:rsid w:val="00DD25D8"/>
    <w:rsid w:val="00E04729"/>
    <w:rsid w:val="00E07890"/>
    <w:rsid w:val="00E72AE6"/>
    <w:rsid w:val="00E90059"/>
    <w:rsid w:val="00E951A2"/>
    <w:rsid w:val="00EB02B8"/>
    <w:rsid w:val="00F7066E"/>
    <w:rsid w:val="00F70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23866"/>
  <w15:docId w15:val="{F6B819BE-96B8-41C5-9370-0D873663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rPr>
      <w:rFonts w:ascii="Tahoma" w:hAnsi="Tahoma" w:cs="Tahoma"/>
      <w:sz w:val="16"/>
      <w:szCs w:val="16"/>
    </w:rPr>
  </w:style>
  <w:style w:type="character" w:styleId="Tekstzastpczy">
    <w:name w:val="Placeholder Text"/>
    <w:uiPriority w:val="99"/>
    <w:semiHidden/>
    <w:rPr>
      <w:color w:val="808080"/>
    </w:rPr>
  </w:style>
  <w:style w:type="paragraph" w:customStyle="1" w:styleId="adresat">
    <w:name w:val="adresat"/>
    <w:basedOn w:val="Normalny"/>
    <w:link w:val="adresatZnak"/>
    <w:pPr>
      <w:spacing w:after="120" w:line="360" w:lineRule="auto"/>
    </w:pPr>
  </w:style>
  <w:style w:type="paragraph" w:customStyle="1" w:styleId="pismamz">
    <w:name w:val="pisma_mz"/>
    <w:basedOn w:val="Normalny"/>
    <w:link w:val="pismamzZnak"/>
    <w:qFormat/>
    <w:pPr>
      <w:spacing w:after="0" w:line="360" w:lineRule="auto"/>
      <w:contextualSpacing/>
      <w:jc w:val="both"/>
    </w:pPr>
    <w:rPr>
      <w:rFonts w:ascii="Arial" w:hAnsi="Arial"/>
      <w:sz w:val="20"/>
      <w:szCs w:val="20"/>
      <w:lang w:val="x-none" w:eastAsia="x-none"/>
    </w:rPr>
  </w:style>
  <w:style w:type="character" w:customStyle="1" w:styleId="adresatZnak">
    <w:name w:val="adresat Znak"/>
    <w:basedOn w:val="Domylnaczcionkaakapitu"/>
    <w:link w:val="adresat"/>
  </w:style>
  <w:style w:type="character" w:customStyle="1" w:styleId="pismamzZnak">
    <w:name w:val="pisma_mz Znak"/>
    <w:link w:val="pismamz"/>
    <w:rPr>
      <w:rFonts w:ascii="Arial" w:hAnsi="Arial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Tekstpodstawowywcity">
    <w:name w:val="Body Text Indent"/>
    <w:basedOn w:val="Normalny"/>
    <w:link w:val="TekstpodstawowywcityZnak"/>
    <w:pPr>
      <w:spacing w:after="0" w:line="240" w:lineRule="auto"/>
      <w:ind w:firstLine="426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Pr>
      <w:rFonts w:ascii="Times New Roman" w:eastAsia="Times New Roman" w:hAnsi="Times New Roman"/>
    </w:rPr>
  </w:style>
  <w:style w:type="paragraph" w:styleId="Tekstpodstawowy">
    <w:name w:val="Body Text"/>
    <w:basedOn w:val="Normalny"/>
    <w:link w:val="TekstpodstawowyZnak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Pr>
      <w:rFonts w:ascii="Times New Roman" w:eastAsia="Times New Roman" w:hAnsi="Times New Roman"/>
      <w:sz w:val="24"/>
      <w:szCs w:val="24"/>
    </w:rPr>
  </w:style>
  <w:style w:type="table" w:styleId="Tabela-Siatka">
    <w:name w:val="Table Grid"/>
    <w:basedOn w:val="Standardowy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kapit z listą11,podpunkt ankietyy,BulletList 1,Bulletlist1,Colorful List - Accent 11,Bullets Points,Bullet1,Section 5,Bullet List,Bullet 1,Lijstalinenomala,Table Legend,aotm_załączniki,List Paragraph1,BulletPoints,5 - W tabeli"/>
    <w:basedOn w:val="Normalny"/>
    <w:link w:val="AkapitzlistZnak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numbering" w:customStyle="1" w:styleId="Bezlisty1">
    <w:name w:val="Bez listy1"/>
    <w:next w:val="Bezlisty"/>
    <w:uiPriority w:val="99"/>
    <w:semiHidden/>
    <w:unhideWhenUsed/>
  </w:style>
  <w:style w:type="paragraph" w:customStyle="1" w:styleId="Akapitzlist1">
    <w:name w:val="Akapit z listą1"/>
    <w:basedOn w:val="Normalny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pl-PL"/>
    </w:rPr>
  </w:style>
  <w:style w:type="character" w:styleId="Odwoaniedokomentarza">
    <w:name w:val="annotation reference"/>
    <w:basedOn w:val="Domylnaczcionkaakapitu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Pr>
      <w:rFonts w:ascii="Times New Roman" w:eastAsia="Times New Roman" w:hAnsi="Times New Roman"/>
      <w:b/>
      <w:bCs/>
    </w:rPr>
  </w:style>
  <w:style w:type="paragraph" w:styleId="Poprawka">
    <w:name w:val="Revision"/>
    <w:hidden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kapitzlistZnak">
    <w:name w:val="Akapit z listą Znak"/>
    <w:aliases w:val="Styl moj Znak,Akapit z listą11 Znak,podpunkt ankietyy Znak,BulletList 1 Znak,Bulletlist1 Znak,Colorful List - Accent 11 Znak,Bullets Points Znak,Bullet1 Znak,Section 5 Znak,Bullet List Znak,Bullet 1 Znak,Lijstalinenomala Znak"/>
    <w:link w:val="Akapitzlist"/>
    <w:uiPriority w:val="34"/>
    <w:qFormat/>
    <w:locked/>
    <w:rPr>
      <w:sz w:val="22"/>
      <w:szCs w:val="22"/>
      <w:lang w:eastAsia="en-US"/>
    </w:rPr>
  </w:style>
  <w:style w:type="numbering" w:customStyle="1" w:styleId="Bezlisty2">
    <w:name w:val="Bez listy2"/>
    <w:next w:val="Bezlisty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jc w:val="both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cf01">
    <w:name w:val="cf01"/>
    <w:basedOn w:val="Domylnaczcionkaakapitu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numbering" w:customStyle="1" w:styleId="Bezlisty3">
    <w:name w:val="Bez listy3"/>
    <w:next w:val="Bezlisty"/>
    <w:uiPriority w:val="99"/>
    <w:semiHidden/>
    <w:unhideWhenUsed/>
  </w:style>
  <w:style w:type="numbering" w:customStyle="1" w:styleId="Bezlisty4">
    <w:name w:val="Bez listy4"/>
    <w:next w:val="Bezlisty"/>
    <w:uiPriority w:val="99"/>
    <w:semiHidden/>
    <w:unhideWhenUsed/>
  </w:style>
  <w:style w:type="numbering" w:customStyle="1" w:styleId="Bezlisty5">
    <w:name w:val="Bez listy5"/>
    <w:next w:val="Bezlisty"/>
    <w:uiPriority w:val="99"/>
    <w:semiHidden/>
    <w:unhideWhenUsed/>
  </w:style>
  <w:style w:type="numbering" w:customStyle="1" w:styleId="Bezlisty6">
    <w:name w:val="Bez listy6"/>
    <w:next w:val="Bezlisty"/>
    <w:uiPriority w:val="99"/>
    <w:semiHidden/>
    <w:unhideWhenUsed/>
  </w:style>
  <w:style w:type="numbering" w:customStyle="1" w:styleId="Bezlisty7">
    <w:name w:val="Bez listy7"/>
    <w:next w:val="Bezlisty"/>
    <w:uiPriority w:val="99"/>
    <w:semiHidden/>
    <w:unhideWhenUsed/>
  </w:style>
  <w:style w:type="paragraph" w:customStyle="1" w:styleId="pf1">
    <w:name w:val="pf1"/>
    <w:basedOn w:val="Normalny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numbering" w:customStyle="1" w:styleId="Bezlisty8">
    <w:name w:val="Bez listy8"/>
    <w:next w:val="Bezlisty"/>
    <w:uiPriority w:val="99"/>
    <w:semiHidden/>
    <w:unhideWhenUsed/>
  </w:style>
  <w:style w:type="numbering" w:customStyle="1" w:styleId="Bezlisty9">
    <w:name w:val="Bez listy9"/>
    <w:next w:val="Bezlisty"/>
    <w:uiPriority w:val="99"/>
    <w:semiHidden/>
    <w:unhideWhenUsed/>
  </w:style>
  <w:style w:type="numbering" w:customStyle="1" w:styleId="Bezlisty10">
    <w:name w:val="Bez listy10"/>
    <w:next w:val="Bezlisty"/>
    <w:uiPriority w:val="99"/>
    <w:semiHidden/>
    <w:unhideWhenUsed/>
  </w:style>
  <w:style w:type="character" w:customStyle="1" w:styleId="cf11">
    <w:name w:val="cf11"/>
    <w:basedOn w:val="Domylnaczcionkaakapitu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6ACC0-8D47-46ED-B54D-A0A4C4F4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1025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Links>
    <vt:vector size="6" baseType="variant">
      <vt:variant>
        <vt:i4>6881369</vt:i4>
      </vt:variant>
      <vt:variant>
        <vt:i4>-1</vt:i4>
      </vt:variant>
      <vt:variant>
        <vt:i4>2050</vt:i4>
      </vt:variant>
      <vt:variant>
        <vt:i4>1</vt:i4>
      </vt:variant>
      <vt:variant>
        <vt:lpwstr>cid:ii_147eef7b1fd9fb4c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 Justyna</dc:creator>
  <cp:keywords/>
  <cp:lastModifiedBy>Wilk Justyna</cp:lastModifiedBy>
  <cp:revision>3</cp:revision>
  <dcterms:created xsi:type="dcterms:W3CDTF">2025-06-09T12:12:00Z</dcterms:created>
  <dcterms:modified xsi:type="dcterms:W3CDTF">2025-06-09T12:16:00Z</dcterms:modified>
</cp:coreProperties>
</file>