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CA03F" w14:textId="566355D9" w:rsidR="00562D73" w:rsidRDefault="000E0672" w:rsidP="000E0672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Załącznik</w:t>
      </w:r>
      <w:r w:rsidR="0051799C">
        <w:rPr>
          <w:sz w:val="22"/>
        </w:rPr>
        <w:t xml:space="preserve"> </w:t>
      </w:r>
      <w:r w:rsidR="00562D73">
        <w:rPr>
          <w:sz w:val="22"/>
        </w:rPr>
        <w:t>B.19</w:t>
      </w:r>
      <w:r w:rsidR="007B66BD">
        <w:rPr>
          <w:sz w:val="22"/>
        </w:rPr>
        <w:t>.</w:t>
      </w:r>
    </w:p>
    <w:p w14:paraId="345C418A" w14:textId="77777777" w:rsidR="000E0672" w:rsidRDefault="000E0672" w:rsidP="000E0672">
      <w:pPr>
        <w:autoSpaceDE w:val="0"/>
        <w:autoSpaceDN w:val="0"/>
        <w:adjustRightInd w:val="0"/>
        <w:rPr>
          <w:sz w:val="22"/>
        </w:rPr>
      </w:pPr>
    </w:p>
    <w:p w14:paraId="524B12EA" w14:textId="15113398" w:rsidR="005A0CC9" w:rsidRPr="005A0CC9" w:rsidRDefault="005A0CC9" w:rsidP="00E651DD">
      <w:pPr>
        <w:spacing w:after="240"/>
        <w:rPr>
          <w:b/>
          <w:sz w:val="28"/>
          <w:szCs w:val="28"/>
        </w:rPr>
      </w:pPr>
      <w:r w:rsidRPr="005A0CC9">
        <w:rPr>
          <w:b/>
          <w:sz w:val="28"/>
          <w:szCs w:val="28"/>
        </w:rPr>
        <w:t>LECZENIE</w:t>
      </w:r>
      <w:r w:rsidR="0051799C">
        <w:rPr>
          <w:b/>
          <w:sz w:val="28"/>
          <w:szCs w:val="28"/>
        </w:rPr>
        <w:t xml:space="preserve"> </w:t>
      </w:r>
      <w:r w:rsidRPr="005A0CC9">
        <w:rPr>
          <w:b/>
          <w:sz w:val="28"/>
          <w:szCs w:val="28"/>
        </w:rPr>
        <w:t>NISKOROSŁYCH</w:t>
      </w:r>
      <w:r w:rsidR="0051799C">
        <w:rPr>
          <w:b/>
          <w:sz w:val="28"/>
          <w:szCs w:val="28"/>
        </w:rPr>
        <w:t xml:space="preserve"> </w:t>
      </w:r>
      <w:r w:rsidRPr="005A0CC9">
        <w:rPr>
          <w:b/>
          <w:sz w:val="28"/>
          <w:szCs w:val="28"/>
        </w:rPr>
        <w:t>DZIECI</w:t>
      </w:r>
      <w:r w:rsidR="0051799C">
        <w:rPr>
          <w:b/>
          <w:sz w:val="28"/>
          <w:szCs w:val="28"/>
        </w:rPr>
        <w:t xml:space="preserve"> </w:t>
      </w:r>
      <w:r w:rsidRPr="005A0CC9">
        <w:rPr>
          <w:b/>
          <w:sz w:val="28"/>
          <w:szCs w:val="28"/>
        </w:rPr>
        <w:t>Z</w:t>
      </w:r>
      <w:r w:rsidR="0051799C">
        <w:rPr>
          <w:b/>
          <w:sz w:val="28"/>
          <w:szCs w:val="28"/>
        </w:rPr>
        <w:t xml:space="preserve"> </w:t>
      </w:r>
      <w:r w:rsidRPr="005A0CC9">
        <w:rPr>
          <w:b/>
          <w:sz w:val="28"/>
          <w:szCs w:val="28"/>
        </w:rPr>
        <w:t>SOMAT</w:t>
      </w:r>
      <w:r w:rsidR="005460BB">
        <w:rPr>
          <w:b/>
          <w:sz w:val="28"/>
          <w:szCs w:val="28"/>
        </w:rPr>
        <w:t>OT</w:t>
      </w:r>
      <w:r w:rsidRPr="005A0CC9">
        <w:rPr>
          <w:b/>
          <w:sz w:val="28"/>
          <w:szCs w:val="28"/>
        </w:rPr>
        <w:t>ROPINOWĄ</w:t>
      </w:r>
      <w:r w:rsidR="0051799C">
        <w:rPr>
          <w:b/>
          <w:sz w:val="28"/>
          <w:szCs w:val="28"/>
        </w:rPr>
        <w:t xml:space="preserve"> </w:t>
      </w:r>
      <w:r w:rsidRPr="005A0CC9">
        <w:rPr>
          <w:b/>
          <w:sz w:val="28"/>
          <w:szCs w:val="28"/>
        </w:rPr>
        <w:t>NIEDOCZYNNOŚCIĄ</w:t>
      </w:r>
      <w:r w:rsidR="0051799C">
        <w:rPr>
          <w:b/>
          <w:sz w:val="28"/>
          <w:szCs w:val="28"/>
        </w:rPr>
        <w:t xml:space="preserve"> </w:t>
      </w:r>
      <w:r w:rsidRPr="005A0CC9">
        <w:rPr>
          <w:b/>
          <w:sz w:val="28"/>
          <w:szCs w:val="28"/>
        </w:rPr>
        <w:t>PRZYSADKI</w:t>
      </w:r>
      <w:r w:rsidR="0051799C">
        <w:rPr>
          <w:b/>
          <w:sz w:val="28"/>
          <w:szCs w:val="28"/>
        </w:rPr>
        <w:t xml:space="preserve"> </w:t>
      </w:r>
      <w:r w:rsidRPr="008B7348">
        <w:rPr>
          <w:b/>
          <w:sz w:val="28"/>
          <w:szCs w:val="28"/>
        </w:rPr>
        <w:t>(ICD-10</w:t>
      </w:r>
      <w:r w:rsidR="007B66BD">
        <w:rPr>
          <w:b/>
          <w:sz w:val="28"/>
          <w:szCs w:val="28"/>
        </w:rPr>
        <w:t>:</w:t>
      </w:r>
      <w:r w:rsidR="005179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E23</w:t>
      </w:r>
      <w:r w:rsidRPr="008B7348">
        <w:rPr>
          <w:b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2"/>
        <w:gridCol w:w="4084"/>
        <w:gridCol w:w="5636"/>
      </w:tblGrid>
      <w:tr w:rsidR="001D71C6" w:rsidRPr="004E1D2A" w14:paraId="0F9DB9BB" w14:textId="77777777" w:rsidTr="0051799C">
        <w:trPr>
          <w:trHeight w:val="567"/>
        </w:trPr>
        <w:tc>
          <w:tcPr>
            <w:tcW w:w="15382" w:type="dxa"/>
            <w:gridSpan w:val="3"/>
            <w:vAlign w:val="center"/>
          </w:tcPr>
          <w:p w14:paraId="2521754C" w14:textId="3EED065D" w:rsidR="001D71C6" w:rsidRPr="004E1D2A" w:rsidRDefault="001D71C6" w:rsidP="007B66B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E1D2A">
              <w:rPr>
                <w:b/>
                <w:bCs/>
                <w:sz w:val="20"/>
                <w:szCs w:val="20"/>
              </w:rPr>
              <w:t>ZAKRES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4E1D2A">
              <w:rPr>
                <w:b/>
                <w:bCs/>
                <w:sz w:val="20"/>
                <w:szCs w:val="20"/>
              </w:rPr>
              <w:t>ŚWIADCZENIA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4E1D2A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51799C" w:rsidRPr="004E1D2A" w14:paraId="63F2ABC5" w14:textId="77777777" w:rsidTr="0051799C">
        <w:trPr>
          <w:trHeight w:val="567"/>
        </w:trPr>
        <w:tc>
          <w:tcPr>
            <w:tcW w:w="5662" w:type="dxa"/>
            <w:vAlign w:val="center"/>
          </w:tcPr>
          <w:p w14:paraId="11D755E6" w14:textId="77777777" w:rsidR="00EF398F" w:rsidRPr="004E1D2A" w:rsidRDefault="00EF398F" w:rsidP="0058292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E1D2A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4084" w:type="dxa"/>
            <w:vAlign w:val="center"/>
          </w:tcPr>
          <w:p w14:paraId="0D0717F3" w14:textId="7596AB33" w:rsidR="00EF398F" w:rsidRPr="004E1D2A" w:rsidRDefault="00EF398F" w:rsidP="0058292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E1D2A">
              <w:rPr>
                <w:b/>
                <w:bCs/>
                <w:sz w:val="20"/>
                <w:szCs w:val="20"/>
              </w:rPr>
              <w:t>SCHEMAT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4E1D2A">
              <w:rPr>
                <w:b/>
                <w:bCs/>
                <w:sz w:val="20"/>
                <w:szCs w:val="20"/>
              </w:rPr>
              <w:t>DAWKOWANIA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4E1D2A">
              <w:rPr>
                <w:b/>
                <w:bCs/>
                <w:sz w:val="20"/>
                <w:szCs w:val="20"/>
              </w:rPr>
              <w:t>LEKÓW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="0051799C">
              <w:rPr>
                <w:b/>
                <w:bCs/>
                <w:sz w:val="20"/>
                <w:szCs w:val="20"/>
              </w:rPr>
              <w:br/>
            </w:r>
            <w:r w:rsidRPr="004E1D2A">
              <w:rPr>
                <w:b/>
                <w:bCs/>
                <w:sz w:val="20"/>
                <w:szCs w:val="20"/>
              </w:rPr>
              <w:t>W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4E1D2A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636" w:type="dxa"/>
            <w:vAlign w:val="center"/>
          </w:tcPr>
          <w:p w14:paraId="642E6C03" w14:textId="3032C1C8" w:rsidR="00EF398F" w:rsidRPr="004E1D2A" w:rsidRDefault="00EF398F" w:rsidP="0058292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E1D2A">
              <w:rPr>
                <w:b/>
                <w:bCs/>
                <w:sz w:val="20"/>
                <w:szCs w:val="20"/>
              </w:rPr>
              <w:t>BADANIA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4E1D2A">
              <w:rPr>
                <w:b/>
                <w:bCs/>
                <w:sz w:val="20"/>
                <w:szCs w:val="20"/>
              </w:rPr>
              <w:t>DIAGNOSTYCZNE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4E1D2A">
              <w:rPr>
                <w:b/>
                <w:bCs/>
                <w:sz w:val="20"/>
                <w:szCs w:val="20"/>
              </w:rPr>
              <w:t>WYKONYWANE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="0051799C">
              <w:rPr>
                <w:b/>
                <w:bCs/>
                <w:sz w:val="20"/>
                <w:szCs w:val="20"/>
              </w:rPr>
              <w:br/>
            </w:r>
            <w:r w:rsidRPr="004E1D2A">
              <w:rPr>
                <w:b/>
                <w:bCs/>
                <w:sz w:val="20"/>
                <w:szCs w:val="20"/>
              </w:rPr>
              <w:t>W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4E1D2A">
              <w:rPr>
                <w:b/>
                <w:bCs/>
                <w:sz w:val="20"/>
                <w:szCs w:val="20"/>
              </w:rPr>
              <w:t>RAMACH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4E1D2A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51799C" w:rsidRPr="004E1D2A" w14:paraId="621DF31C" w14:textId="77777777" w:rsidTr="0051799C">
        <w:trPr>
          <w:trHeight w:val="20"/>
        </w:trPr>
        <w:tc>
          <w:tcPr>
            <w:tcW w:w="5662" w:type="dxa"/>
          </w:tcPr>
          <w:p w14:paraId="59D78E19" w14:textId="2C835FAA" w:rsidR="00EF398F" w:rsidRDefault="00EF398F" w:rsidP="00EF398F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Do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programu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kwalifikuje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Zespół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Koordynacyjny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ds.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Stosowania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powoływany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Prezesa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Narodowego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Funduszu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Zdrowia.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przypadku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stanów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zagrożenia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życia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następstwie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trudnych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opanowania,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nawracających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stanów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hipoglikemii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noworodków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niemowląt,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świadczeniobiorca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kwalifikowany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jest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terapii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niezwłocznie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jego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zgłoszeniu.</w:t>
            </w:r>
          </w:p>
          <w:p w14:paraId="73607815" w14:textId="41E69273" w:rsidR="00C91DE8" w:rsidRDefault="00C91DE8" w:rsidP="008D411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programie lekowym finansuje się leczenie niskorosłych dzieci z somatotropinową niewydolnością przysadki substancjami:</w:t>
            </w:r>
          </w:p>
          <w:p w14:paraId="541BA844" w14:textId="3FB31997" w:rsidR="00C91DE8" w:rsidRPr="008D411B" w:rsidRDefault="00C91DE8" w:rsidP="008D411B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8D411B">
              <w:rPr>
                <w:i/>
                <w:iCs/>
                <w:sz w:val="20"/>
                <w:szCs w:val="20"/>
              </w:rPr>
              <w:t>Somat</w:t>
            </w:r>
            <w:r w:rsidR="0044394A" w:rsidRPr="008D411B">
              <w:rPr>
                <w:i/>
                <w:iCs/>
                <w:sz w:val="20"/>
                <w:szCs w:val="20"/>
              </w:rPr>
              <w:t>otro</w:t>
            </w:r>
            <w:r w:rsidRPr="008D411B">
              <w:rPr>
                <w:i/>
                <w:iCs/>
                <w:sz w:val="20"/>
                <w:szCs w:val="20"/>
              </w:rPr>
              <w:t>pinum;</w:t>
            </w:r>
          </w:p>
          <w:p w14:paraId="4767A95F" w14:textId="3613245F" w:rsidR="00C91DE8" w:rsidRPr="00E44E87" w:rsidRDefault="00C91DE8" w:rsidP="008D411B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8D411B">
              <w:rPr>
                <w:i/>
                <w:iCs/>
                <w:sz w:val="20"/>
                <w:szCs w:val="20"/>
              </w:rPr>
              <w:t>Somatrogon.</w:t>
            </w:r>
          </w:p>
          <w:p w14:paraId="1207241F" w14:textId="64F84ABE" w:rsidR="00C91DE8" w:rsidRPr="00E44E87" w:rsidRDefault="00C91DE8" w:rsidP="008D411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D7336CA" w14:textId="78574C83" w:rsidR="00EF398F" w:rsidRPr="00663B4F" w:rsidRDefault="00EF398F" w:rsidP="008D411B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63B4F">
              <w:rPr>
                <w:b/>
                <w:bCs/>
                <w:sz w:val="20"/>
                <w:szCs w:val="20"/>
              </w:rPr>
              <w:t>Kryteria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kwalifikacji</w:t>
            </w:r>
          </w:p>
          <w:p w14:paraId="0809B7D5" w14:textId="293B2339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nawracające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stany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hipoglikemii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okresie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niemowlęcym</w:t>
            </w:r>
            <w:r w:rsidR="0051799C">
              <w:rPr>
                <w:sz w:val="20"/>
                <w:szCs w:val="20"/>
              </w:rPr>
              <w:t xml:space="preserve"> </w:t>
            </w:r>
            <w:r w:rsidR="00944FDB">
              <w:rPr>
                <w:sz w:val="20"/>
                <w:szCs w:val="20"/>
              </w:rPr>
              <w:t>i/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poniemowlęcym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wykluczeniu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częstych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przyczyn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hipoglikemii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wykluczeniu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hiperinsulinizmu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wrodzonego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pierwotnego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niedoboru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glikokortykosteroidów),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szczególnie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współistniejącymi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wadami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linii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pośrodkowej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ciała,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przede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wszystkim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obrębie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twarzo-czaszki;</w:t>
            </w:r>
          </w:p>
          <w:p w14:paraId="77DE0EB0" w14:textId="571B9443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niskorosłość,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tj.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wysokość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ciała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poniżej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3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centyla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dla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płci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wieku,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siatkach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centylowych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dla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populacji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polskich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dotyczy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wielohormonalną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niedoczynnością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przysadki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(WNP)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udokumentowanymi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mutacjami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związanymi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niedoborem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(SNP)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lastRenderedPageBreak/>
              <w:t>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których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terapię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rozpoczęto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okresie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niemowlęcym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poniemowlęcym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terapii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chorób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rozrostowych);</w:t>
            </w:r>
            <w:r w:rsidR="0051799C">
              <w:rPr>
                <w:sz w:val="20"/>
                <w:szCs w:val="20"/>
              </w:rPr>
              <w:t xml:space="preserve"> </w:t>
            </w:r>
          </w:p>
          <w:p w14:paraId="1CE66B81" w14:textId="27EF74A5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opóźniony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wiek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kostny,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oceniany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metodą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Greulich'a-Pyle;</w:t>
            </w:r>
          </w:p>
          <w:p w14:paraId="4EB6E730" w14:textId="67EB1EE2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wykluczenie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innych,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aniżeli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SNP,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przyczyn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niskorosłości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wyrównanie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chorób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(np.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niedokrwistość,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niedoczynność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tarczycy,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zaburzenia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wchłaniania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trawienia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jelitowego,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itp.);</w:t>
            </w:r>
          </w:p>
          <w:p w14:paraId="59D00689" w14:textId="5D675CD9" w:rsid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obniżony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wyrzut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(poniżej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10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ng/ml)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dwóch,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niezależnych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testach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stymulacji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sekrecji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przypadku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wielohormonalną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niedoczynnością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przysadki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udokumentowanymi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mutacjami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związanymi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niedoborem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jednego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testu,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uwagi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ryzyko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powikłań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testy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można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wykonywać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jedynie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powyżej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2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roku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życia,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test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insulinowy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ukończeniu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5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roku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życia);</w:t>
            </w:r>
          </w:p>
          <w:p w14:paraId="77DADE8F" w14:textId="6A8348BA" w:rsidR="00DE1193" w:rsidRDefault="00C91DE8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wiek 3 lata i powyżej w przypadku terapii Somatrogonem;</w:t>
            </w:r>
          </w:p>
          <w:p w14:paraId="3CE6A446" w14:textId="24A40A58" w:rsidR="00FA3EFB" w:rsidRPr="003369CC" w:rsidRDefault="00FA3EFB" w:rsidP="008D411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369CC">
              <w:rPr>
                <w:sz w:val="20"/>
              </w:rPr>
              <w:t>Do programu mogą być także włączone dzieci leczone hormonem wzrostu z innych źródeł, które przy przyjęciu terapii spełniały kryteria kwalifikacji do programu.</w:t>
            </w:r>
          </w:p>
          <w:p w14:paraId="7E9817E4" w14:textId="77777777" w:rsidR="00EF398F" w:rsidRPr="00EF398F" w:rsidRDefault="00EF398F" w:rsidP="008D411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BD97EFD" w14:textId="262F918B" w:rsidR="00EF398F" w:rsidRPr="00663B4F" w:rsidRDefault="00EF398F" w:rsidP="008D411B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63B4F">
              <w:rPr>
                <w:b/>
                <w:bCs/>
                <w:sz w:val="20"/>
                <w:szCs w:val="20"/>
              </w:rPr>
              <w:t>Określenie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czasu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leczenia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w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programie</w:t>
            </w:r>
          </w:p>
          <w:p w14:paraId="51E97ECF" w14:textId="60FAC3AB" w:rsidR="00EF398F" w:rsidRPr="00663B4F" w:rsidRDefault="00EF398F" w:rsidP="008D411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663B4F">
              <w:rPr>
                <w:sz w:val="20"/>
                <w:szCs w:val="20"/>
              </w:rPr>
              <w:t>Leczenie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trwa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do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czasu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podjęcia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przez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Zespół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Koordynacyjny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ds.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Stosowania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Wzrostu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lekarza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prowadzącego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decyzji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o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wyłączeniu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świadczeniobiorcy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programu,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zgodnie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kryteriami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wyłączenia.</w:t>
            </w:r>
          </w:p>
          <w:p w14:paraId="05B2AF4F" w14:textId="77777777" w:rsidR="00EF398F" w:rsidRPr="00EF398F" w:rsidRDefault="00EF398F" w:rsidP="008D411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2FC1097" w14:textId="64F197B3" w:rsidR="00EF398F" w:rsidRPr="00663B4F" w:rsidRDefault="00EF398F" w:rsidP="008D411B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63B4F">
              <w:rPr>
                <w:b/>
                <w:bCs/>
                <w:sz w:val="20"/>
                <w:szCs w:val="20"/>
              </w:rPr>
              <w:t>Kryteria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wyłączenia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z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programu</w:t>
            </w:r>
          </w:p>
          <w:p w14:paraId="0B152EC0" w14:textId="4D9EFBE0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złuszczenie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głowy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udowej;</w:t>
            </w:r>
          </w:p>
          <w:p w14:paraId="49E7536A" w14:textId="65D9CFBB" w:rsidR="00EF398F" w:rsidRPr="00E44E87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ujawnienie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wznowa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choroby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rozrostowej;</w:t>
            </w:r>
          </w:p>
          <w:p w14:paraId="4A77E572" w14:textId="59543DDC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niezadowalający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efekt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leczenia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tj.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przyrost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wysokości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ciała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poniżej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2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cm/rok;</w:t>
            </w:r>
          </w:p>
          <w:p w14:paraId="74AA1B61" w14:textId="6C602534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lastRenderedPageBreak/>
              <w:t>osiągnięcie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wieku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kostnego:</w:t>
            </w:r>
          </w:p>
          <w:p w14:paraId="3CE957B1" w14:textId="0BD97D12" w:rsidR="00EF398F" w:rsidRPr="00EF398F" w:rsidRDefault="00EF398F" w:rsidP="008D411B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powyżej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14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lat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dziewczynkę,</w:t>
            </w:r>
          </w:p>
          <w:p w14:paraId="5ED5FA17" w14:textId="353EAC94" w:rsidR="00EF398F" w:rsidRDefault="00EF398F" w:rsidP="008D411B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powyżej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16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lat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chłopca.</w:t>
            </w:r>
          </w:p>
          <w:p w14:paraId="3CB3D1C8" w14:textId="79ADAE2B" w:rsidR="00425E7F" w:rsidRDefault="00425E7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425E7F">
              <w:rPr>
                <w:sz w:val="20"/>
                <w:szCs w:val="20"/>
              </w:rPr>
              <w:t>wystąpienie chorób lub stanów, które w opinii lekarza prowadzącego</w:t>
            </w:r>
            <w:r w:rsidR="00FA3EFB">
              <w:rPr>
                <w:sz w:val="20"/>
                <w:szCs w:val="20"/>
              </w:rPr>
              <w:t xml:space="preserve"> lub Zespołu koordynacyjnego</w:t>
            </w:r>
            <w:r w:rsidRPr="00425E7F">
              <w:rPr>
                <w:sz w:val="20"/>
                <w:szCs w:val="20"/>
              </w:rPr>
              <w:t xml:space="preserve"> uniemożliwiają dalsze prowadzenie leczenia</w:t>
            </w:r>
            <w:r>
              <w:rPr>
                <w:sz w:val="20"/>
                <w:szCs w:val="20"/>
              </w:rPr>
              <w:t>;</w:t>
            </w:r>
          </w:p>
          <w:p w14:paraId="3AA1ECE3" w14:textId="64344B78" w:rsidR="00425E7F" w:rsidRDefault="00425E7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okres ciąży lub karmienia piersią;</w:t>
            </w:r>
          </w:p>
          <w:p w14:paraId="0CFC376C" w14:textId="13B4379A" w:rsidR="00425E7F" w:rsidRDefault="00425E7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425E7F">
              <w:rPr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prawnych opiekunów</w:t>
            </w:r>
            <w:r w:rsidR="00C02CBC">
              <w:rPr>
                <w:sz w:val="20"/>
                <w:szCs w:val="20"/>
              </w:rPr>
              <w:t>;</w:t>
            </w:r>
          </w:p>
          <w:p w14:paraId="5DE79855" w14:textId="03C5D1B6" w:rsidR="00C02CBC" w:rsidRPr="003369CC" w:rsidRDefault="00FA3EFB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369CC">
              <w:rPr>
                <w:sz w:val="20"/>
                <w:szCs w:val="20"/>
              </w:rPr>
              <w:t>o</w:t>
            </w:r>
            <w:r w:rsidR="00F3441B" w:rsidRPr="003369CC">
              <w:rPr>
                <w:sz w:val="20"/>
                <w:szCs w:val="20"/>
              </w:rPr>
              <w:t xml:space="preserve"> </w:t>
            </w:r>
            <w:r w:rsidRPr="003369CC">
              <w:rPr>
                <w:sz w:val="20"/>
                <w:szCs w:val="20"/>
              </w:rPr>
              <w:t xml:space="preserve">wyłączeniu z </w:t>
            </w:r>
            <w:r w:rsidR="003369CC">
              <w:rPr>
                <w:sz w:val="20"/>
                <w:szCs w:val="20"/>
              </w:rPr>
              <w:t>programu lekowego</w:t>
            </w:r>
            <w:r w:rsidRPr="003369CC">
              <w:rPr>
                <w:sz w:val="20"/>
                <w:szCs w:val="20"/>
              </w:rPr>
              <w:t xml:space="preserve"> z powodu braku skuteczności proponowanej terapii</w:t>
            </w:r>
            <w:r w:rsidR="003369CC">
              <w:rPr>
                <w:sz w:val="20"/>
                <w:szCs w:val="20"/>
              </w:rPr>
              <w:t>,</w:t>
            </w:r>
            <w:r w:rsidRPr="003369CC">
              <w:rPr>
                <w:sz w:val="20"/>
                <w:szCs w:val="20"/>
              </w:rPr>
              <w:t xml:space="preserve"> objawów niepożądanych lub powikłań</w:t>
            </w:r>
            <w:r w:rsidR="00F3441B" w:rsidRPr="003369CC">
              <w:rPr>
                <w:sz w:val="20"/>
                <w:szCs w:val="20"/>
              </w:rPr>
              <w:t>,</w:t>
            </w:r>
            <w:r w:rsidRPr="003369CC">
              <w:rPr>
                <w:sz w:val="20"/>
                <w:szCs w:val="20"/>
              </w:rPr>
              <w:t xml:space="preserve"> lekarz prowadzący każdorazowo informuje Zespół Koordynacyjny, na podstawie dokonywanych co 6 miesięcy (</w:t>
            </w:r>
            <w:r w:rsidRPr="00336F33">
              <w:rPr>
                <w:sz w:val="20"/>
                <w:szCs w:val="20"/>
              </w:rPr>
              <w:t>±</w:t>
            </w:r>
            <w:r w:rsidRPr="003369CC">
              <w:rPr>
                <w:sz w:val="20"/>
                <w:szCs w:val="20"/>
              </w:rPr>
              <w:t>7</w:t>
            </w:r>
            <w:r w:rsidR="003369CC">
              <w:rPr>
                <w:sz w:val="20"/>
                <w:szCs w:val="20"/>
              </w:rPr>
              <w:t xml:space="preserve"> </w:t>
            </w:r>
            <w:r w:rsidRPr="003369CC">
              <w:rPr>
                <w:sz w:val="20"/>
                <w:szCs w:val="20"/>
              </w:rPr>
              <w:t>dni) wpisów do elektronicznego systemu monitorowania programów lekowych dostępnego za pomocą aplikacji internetowej udostępnionej przez Oddział Wojewódzki NFZ</w:t>
            </w:r>
            <w:r w:rsidR="00F3441B" w:rsidRPr="003369CC">
              <w:rPr>
                <w:sz w:val="20"/>
                <w:szCs w:val="20"/>
              </w:rPr>
              <w:t>,</w:t>
            </w:r>
            <w:r w:rsidRPr="003369CC">
              <w:rPr>
                <w:sz w:val="20"/>
                <w:szCs w:val="20"/>
              </w:rPr>
              <w:t xml:space="preserve"> dotyczących skuteczności i bezpieczeństwa stosowanej terapii, uwzględniając przede wszystkim</w:t>
            </w:r>
            <w:r w:rsidR="00F3441B" w:rsidRPr="003369CC">
              <w:rPr>
                <w:sz w:val="20"/>
                <w:szCs w:val="20"/>
              </w:rPr>
              <w:t>:</w:t>
            </w:r>
          </w:p>
          <w:p w14:paraId="711137A1" w14:textId="091ED8B4" w:rsidR="00C02CBC" w:rsidRPr="00E44E87" w:rsidRDefault="00C02CBC" w:rsidP="008D411B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44E87">
              <w:rPr>
                <w:sz w:val="20"/>
                <w:szCs w:val="20"/>
              </w:rPr>
              <w:t>długość (z określeniem centyla i SDS) i masa ciała</w:t>
            </w:r>
            <w:r>
              <w:rPr>
                <w:sz w:val="20"/>
                <w:szCs w:val="20"/>
              </w:rPr>
              <w:t xml:space="preserve"> w przypadku niemowląt;</w:t>
            </w:r>
          </w:p>
          <w:p w14:paraId="3C90042A" w14:textId="77777777" w:rsidR="00C02CBC" w:rsidRPr="00EF398F" w:rsidRDefault="00C02CBC" w:rsidP="008D411B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pomiary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antropometryczne: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wysokość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(z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określeniem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centyla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SDS)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masa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ciała,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tempo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wzrastania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(w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cm/rok)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BMI</w:t>
            </w:r>
            <w:r>
              <w:rPr>
                <w:sz w:val="20"/>
                <w:szCs w:val="20"/>
              </w:rPr>
              <w:t xml:space="preserve"> u pozostałych dzieci;</w:t>
            </w:r>
          </w:p>
          <w:p w14:paraId="2EFB12E9" w14:textId="530C8088" w:rsidR="00C02CBC" w:rsidRPr="00C02CBC" w:rsidRDefault="00C02CBC" w:rsidP="008D411B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44E87">
              <w:rPr>
                <w:sz w:val="20"/>
                <w:szCs w:val="20"/>
              </w:rPr>
              <w:t>stężenie IGF-I i IGFBP3, z określeniem proporcji stężeń obu tych związków (należy podać normę laboratorium, w którym mierzono stężenie tych związków);</w:t>
            </w:r>
          </w:p>
          <w:p w14:paraId="51E8278F" w14:textId="77777777" w:rsidR="00EF398F" w:rsidRPr="00EF398F" w:rsidRDefault="00EF398F" w:rsidP="008D411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24285AB" w14:textId="1D9B2E1C" w:rsidR="00EF398F" w:rsidRPr="00663B4F" w:rsidRDefault="00EF398F" w:rsidP="008D411B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63B4F">
              <w:rPr>
                <w:b/>
                <w:bCs/>
                <w:sz w:val="20"/>
                <w:szCs w:val="20"/>
              </w:rPr>
              <w:t>Kryteria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czasowego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wyłączenia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z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programu</w:t>
            </w:r>
          </w:p>
          <w:p w14:paraId="5D0EE077" w14:textId="3FABCCA6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lastRenderedPageBreak/>
              <w:t>utrzymywanie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się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ponadnormatywnych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stężeń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IGF-I,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pomimo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zmniejszenia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dawki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wzrostu;</w:t>
            </w:r>
          </w:p>
          <w:p w14:paraId="1EC60BED" w14:textId="65236781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objawy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pseudo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–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tumor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cerebri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(do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wykluczenia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organicznych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uwarunkowań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stwierdzanych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objawów);</w:t>
            </w:r>
          </w:p>
          <w:p w14:paraId="3D5ACD67" w14:textId="241FF3A8" w:rsidR="00EF398F" w:rsidRPr="00EF398F" w:rsidRDefault="00EF398F" w:rsidP="008D411B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źle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wyrównana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cukrzyca</w:t>
            </w:r>
            <w:r w:rsidR="00663B4F">
              <w:rPr>
                <w:sz w:val="20"/>
                <w:szCs w:val="20"/>
              </w:rPr>
              <w:t>.</w:t>
            </w:r>
          </w:p>
        </w:tc>
        <w:tc>
          <w:tcPr>
            <w:tcW w:w="4084" w:type="dxa"/>
          </w:tcPr>
          <w:p w14:paraId="0E94BABE" w14:textId="77777777" w:rsidR="00EF398F" w:rsidRPr="00663B4F" w:rsidRDefault="00EF398F" w:rsidP="00663B4F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63B4F">
              <w:rPr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19FB02DC" w14:textId="33937615" w:rsidR="00EF398F" w:rsidRPr="00E44E87" w:rsidRDefault="00EF398F" w:rsidP="00E44E87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44E87">
              <w:rPr>
                <w:sz w:val="20"/>
                <w:szCs w:val="20"/>
              </w:rPr>
              <w:t>Somatotropina</w:t>
            </w:r>
            <w:r w:rsidR="0051799C" w:rsidRPr="00E44E87">
              <w:rPr>
                <w:sz w:val="20"/>
                <w:szCs w:val="20"/>
              </w:rPr>
              <w:t xml:space="preserve"> </w:t>
            </w:r>
            <w:r w:rsidRPr="00E44E87">
              <w:rPr>
                <w:sz w:val="20"/>
                <w:szCs w:val="20"/>
              </w:rPr>
              <w:t>podawana</w:t>
            </w:r>
            <w:r w:rsidR="0051799C" w:rsidRPr="00E44E87">
              <w:rPr>
                <w:sz w:val="20"/>
                <w:szCs w:val="20"/>
              </w:rPr>
              <w:t xml:space="preserve"> </w:t>
            </w:r>
            <w:r w:rsidRPr="00E44E87">
              <w:rPr>
                <w:sz w:val="20"/>
                <w:szCs w:val="20"/>
              </w:rPr>
              <w:t>codziennie,</w:t>
            </w:r>
            <w:r w:rsidR="0051799C" w:rsidRPr="00E44E87">
              <w:rPr>
                <w:sz w:val="20"/>
                <w:szCs w:val="20"/>
              </w:rPr>
              <w:t xml:space="preserve"> </w:t>
            </w:r>
            <w:r w:rsidRPr="00E44E87">
              <w:rPr>
                <w:sz w:val="20"/>
                <w:szCs w:val="20"/>
              </w:rPr>
              <w:t>wieczorem,</w:t>
            </w:r>
            <w:r w:rsidR="0051799C" w:rsidRPr="00E44E87">
              <w:rPr>
                <w:sz w:val="20"/>
                <w:szCs w:val="20"/>
              </w:rPr>
              <w:t xml:space="preserve"> </w:t>
            </w:r>
            <w:r w:rsidRPr="00E44E87">
              <w:rPr>
                <w:sz w:val="20"/>
                <w:szCs w:val="20"/>
              </w:rPr>
              <w:t>w</w:t>
            </w:r>
            <w:r w:rsidR="0051799C" w:rsidRPr="00E44E87">
              <w:rPr>
                <w:sz w:val="20"/>
                <w:szCs w:val="20"/>
              </w:rPr>
              <w:t xml:space="preserve"> </w:t>
            </w:r>
            <w:r w:rsidRPr="00E44E87">
              <w:rPr>
                <w:sz w:val="20"/>
                <w:szCs w:val="20"/>
              </w:rPr>
              <w:t>dawce:</w:t>
            </w:r>
            <w:r w:rsidR="0051799C" w:rsidRPr="00E44E87">
              <w:rPr>
                <w:sz w:val="20"/>
                <w:szCs w:val="20"/>
              </w:rPr>
              <w:t xml:space="preserve"> </w:t>
            </w:r>
            <w:r w:rsidRPr="00E44E87">
              <w:rPr>
                <w:sz w:val="20"/>
                <w:szCs w:val="20"/>
              </w:rPr>
              <w:t>0,1–0,33</w:t>
            </w:r>
            <w:r w:rsidR="0051799C" w:rsidRPr="00E44E87">
              <w:rPr>
                <w:sz w:val="20"/>
                <w:szCs w:val="20"/>
              </w:rPr>
              <w:t> </w:t>
            </w:r>
            <w:r w:rsidRPr="00E44E87">
              <w:rPr>
                <w:sz w:val="20"/>
                <w:szCs w:val="20"/>
              </w:rPr>
              <w:t>mg</w:t>
            </w:r>
            <w:r w:rsidR="0051799C" w:rsidRPr="00E44E87">
              <w:rPr>
                <w:sz w:val="20"/>
                <w:szCs w:val="20"/>
              </w:rPr>
              <w:t xml:space="preserve"> </w:t>
            </w:r>
            <w:r w:rsidRPr="00E44E87">
              <w:rPr>
                <w:sz w:val="20"/>
                <w:szCs w:val="20"/>
              </w:rPr>
              <w:t>(0,3–1,0</w:t>
            </w:r>
            <w:r w:rsidR="0051799C" w:rsidRPr="00E44E87">
              <w:rPr>
                <w:sz w:val="20"/>
                <w:szCs w:val="20"/>
              </w:rPr>
              <w:t> </w:t>
            </w:r>
            <w:r w:rsidRPr="00E44E87">
              <w:rPr>
                <w:sz w:val="20"/>
                <w:szCs w:val="20"/>
              </w:rPr>
              <w:t>IU)/kg</w:t>
            </w:r>
            <w:r w:rsidR="0051799C" w:rsidRPr="00E44E87">
              <w:rPr>
                <w:sz w:val="20"/>
                <w:szCs w:val="20"/>
              </w:rPr>
              <w:t xml:space="preserve"> </w:t>
            </w:r>
            <w:r w:rsidRPr="00E44E87">
              <w:rPr>
                <w:sz w:val="20"/>
                <w:szCs w:val="20"/>
              </w:rPr>
              <w:t>m.c./tydzień.</w:t>
            </w:r>
            <w:r w:rsidR="00A809DF" w:rsidRPr="00E44E87">
              <w:rPr>
                <w:sz w:val="20"/>
                <w:szCs w:val="20"/>
              </w:rPr>
              <w:t>1</w:t>
            </w:r>
          </w:p>
          <w:p w14:paraId="2F53A09C" w14:textId="5B759E0E" w:rsidR="00A809DF" w:rsidRDefault="00A809DF" w:rsidP="00425E7F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C91DE8">
              <w:rPr>
                <w:sz w:val="20"/>
                <w:szCs w:val="20"/>
              </w:rPr>
              <w:t>Somatrogon podawany 1 x tydzień w iniekcjach podskórnych, zal</w:t>
            </w:r>
            <w:r w:rsidR="00425E7F">
              <w:rPr>
                <w:sz w:val="20"/>
                <w:szCs w:val="20"/>
              </w:rPr>
              <w:t>ecana</w:t>
            </w:r>
            <w:r w:rsidRPr="00C91DE8">
              <w:rPr>
                <w:sz w:val="20"/>
                <w:szCs w:val="20"/>
              </w:rPr>
              <w:t xml:space="preserve"> dawka</w:t>
            </w:r>
            <w:r w:rsidR="00DA6D3E" w:rsidRPr="00C91DE8">
              <w:rPr>
                <w:sz w:val="20"/>
                <w:szCs w:val="20"/>
              </w:rPr>
              <w:t xml:space="preserve">: </w:t>
            </w:r>
            <w:r w:rsidRPr="00C91DE8">
              <w:rPr>
                <w:sz w:val="20"/>
                <w:szCs w:val="20"/>
              </w:rPr>
              <w:t xml:space="preserve">0,66 mg/kg; </w:t>
            </w:r>
          </w:p>
          <w:p w14:paraId="5F86BC7C" w14:textId="6AEF9601" w:rsidR="00425E7F" w:rsidRPr="00E44E87" w:rsidRDefault="00530FF3" w:rsidP="008D411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530FF3">
              <w:rPr>
                <w:sz w:val="20"/>
                <w:szCs w:val="20"/>
              </w:rPr>
              <w:t>Szczegóły dotyczące sposobu podawania, ewentualnego czasowego wstrzymania leczenia oraz ewentualnego zmniejszania dawki leku zgodnie z aktualn</w:t>
            </w:r>
            <w:r>
              <w:rPr>
                <w:sz w:val="20"/>
                <w:szCs w:val="20"/>
              </w:rPr>
              <w:t>ymi</w:t>
            </w:r>
            <w:r w:rsidRPr="00530F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ChPL</w:t>
            </w:r>
            <w:r w:rsidRPr="00530F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odpowiednich</w:t>
            </w:r>
            <w:r w:rsidRPr="00530FF3">
              <w:rPr>
                <w:sz w:val="20"/>
                <w:szCs w:val="20"/>
              </w:rPr>
              <w:t xml:space="preserve"> leku.</w:t>
            </w:r>
          </w:p>
        </w:tc>
        <w:tc>
          <w:tcPr>
            <w:tcW w:w="5636" w:type="dxa"/>
          </w:tcPr>
          <w:p w14:paraId="6F1A9761" w14:textId="3AB5E962" w:rsidR="00EF398F" w:rsidRPr="00663B4F" w:rsidRDefault="00EF398F" w:rsidP="00663B4F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63B4F">
              <w:rPr>
                <w:b/>
                <w:bCs/>
                <w:sz w:val="20"/>
                <w:szCs w:val="20"/>
              </w:rPr>
              <w:t>Badania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przy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kwalifikacji</w:t>
            </w:r>
          </w:p>
          <w:p w14:paraId="6A2E6111" w14:textId="080EF1AC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niemowląt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okresie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poniemowlęcym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nawracającymi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stanami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hipoglikemii:</w:t>
            </w:r>
          </w:p>
          <w:p w14:paraId="104EBAB2" w14:textId="7A703A76" w:rsidR="00EF398F" w:rsidRPr="00EF398F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długość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określeniem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centyla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SDS)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masa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ciała</w:t>
            </w:r>
            <w:r w:rsidR="00663B4F">
              <w:rPr>
                <w:sz w:val="20"/>
                <w:szCs w:val="20"/>
              </w:rPr>
              <w:t>,</w:t>
            </w:r>
          </w:p>
          <w:p w14:paraId="375CF942" w14:textId="069554EB" w:rsidR="00EF398F" w:rsidRPr="00EF398F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USG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przezciemiączkowe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obrazowanie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OUN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pomocą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MRI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TK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kontrastem,</w:t>
            </w:r>
          </w:p>
          <w:p w14:paraId="04D33478" w14:textId="63A200A4" w:rsidR="00EF398F" w:rsidRPr="00EF398F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co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najmniej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5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–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krotny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pomiar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optymalnie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śnie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≥10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ng/ml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stanowią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podstawy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odstąpienia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terapii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wzrostu)</w:t>
            </w:r>
            <w:r w:rsidR="00663B4F">
              <w:rPr>
                <w:sz w:val="20"/>
                <w:szCs w:val="20"/>
              </w:rPr>
              <w:t>,</w:t>
            </w:r>
          </w:p>
          <w:p w14:paraId="35908AC1" w14:textId="25257E39" w:rsidR="00EF398F" w:rsidRPr="00EF398F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IGF-I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IGFBP3,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(należy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podać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normę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laboratorium,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którym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mierzono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związków)</w:t>
            </w:r>
            <w:r w:rsidR="00663B4F">
              <w:rPr>
                <w:sz w:val="20"/>
                <w:szCs w:val="20"/>
              </w:rPr>
              <w:t>,</w:t>
            </w:r>
          </w:p>
          <w:p w14:paraId="0527D992" w14:textId="37C551B4" w:rsidR="00EF398F" w:rsidRPr="00EF398F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kilkukrotny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pomiar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glikemii,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kilkugodzinnej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przerwie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ostatniego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posiłku</w:t>
            </w:r>
            <w:r w:rsidR="00663B4F">
              <w:rPr>
                <w:sz w:val="20"/>
                <w:szCs w:val="20"/>
              </w:rPr>
              <w:t>,</w:t>
            </w:r>
          </w:p>
          <w:p w14:paraId="64D26624" w14:textId="3C8686B2" w:rsidR="00EF398F" w:rsidRPr="00EF398F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inne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badania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konsultacje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zależności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potrzeb</w:t>
            </w:r>
            <w:r w:rsidR="00663B4F">
              <w:rPr>
                <w:sz w:val="20"/>
                <w:szCs w:val="20"/>
              </w:rPr>
              <w:t>;</w:t>
            </w:r>
          </w:p>
          <w:p w14:paraId="76A56471" w14:textId="334F83F8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pozostałych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—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pomiary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antropometryczne: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wysokość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określeniem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centyla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SDS)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masa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ciała,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tempo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wzrastania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cm/rok)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BMI;</w:t>
            </w:r>
          </w:p>
          <w:p w14:paraId="420B3C6F" w14:textId="7D80C9A2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dojrzałość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płciowa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podstawie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skali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Tannera;</w:t>
            </w:r>
          </w:p>
          <w:p w14:paraId="441A520E" w14:textId="178825F3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dwóch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niezależnych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testach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stymulacji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sekrecji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hormonu;</w:t>
            </w:r>
          </w:p>
          <w:p w14:paraId="40CAB3DC" w14:textId="311AF545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lastRenderedPageBreak/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IGF-1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IGFBP3,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określeniem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proporcji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stężeń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obu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związków;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(należy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podać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normę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laboratorium,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którym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mierzono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związków);</w:t>
            </w:r>
          </w:p>
          <w:p w14:paraId="3B62D16B" w14:textId="00CFAD33" w:rsidR="00EF398F" w:rsidRPr="00EF398F" w:rsidRDefault="00663B4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RTG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śródręcza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nadgarstka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ręki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niedominującej,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bliższą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przynasadą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kości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przedramienia;</w:t>
            </w:r>
          </w:p>
          <w:p w14:paraId="5908CF2F" w14:textId="633955B0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MRI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TK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kontrastem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OUN,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szczególnym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uwzględnieniem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okolicy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podwzgórzowo-przysadkowej;</w:t>
            </w:r>
          </w:p>
          <w:p w14:paraId="42012BB2" w14:textId="2119C4B8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jonogram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surowicy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krwi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(co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najmniej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Na+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Ca++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całkowitego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zjonizowanego);</w:t>
            </w:r>
          </w:p>
          <w:p w14:paraId="41F61B8A" w14:textId="3071141D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morfologia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krwi,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rozmazem;</w:t>
            </w:r>
          </w:p>
          <w:p w14:paraId="198B48BD" w14:textId="47372834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ocena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przemian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węglowodanowych: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glukozy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czczo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odsetek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hemoglobiny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glikowanej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(HbA1c)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test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doustnego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obciążenia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glukozą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(OGTT),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oceną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glikemii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insulinemii;</w:t>
            </w:r>
          </w:p>
          <w:p w14:paraId="0F7238B4" w14:textId="0DD6DCB4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ocena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przemian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lipidowych: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triglicerydów,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całkowitego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cholesterolu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frakcji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HDL-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LDL-cholesterolu;</w:t>
            </w:r>
          </w:p>
          <w:p w14:paraId="2BF61427" w14:textId="798C5D89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ocena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czynności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wątroby: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AIAT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AspAT;</w:t>
            </w:r>
          </w:p>
          <w:p w14:paraId="1A6FEFF1" w14:textId="5D7DC777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ocena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czynności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tarczycy: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TSH,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fT4,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fT3;</w:t>
            </w:r>
          </w:p>
          <w:p w14:paraId="5354A6DF" w14:textId="073A908F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kortyzolu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godzinach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rannych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wieczornych;</w:t>
            </w:r>
          </w:p>
          <w:p w14:paraId="7192AD4C" w14:textId="6169ED68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25OH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wit.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D;</w:t>
            </w:r>
          </w:p>
          <w:p w14:paraId="230F3938" w14:textId="3F701FF1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p/ciała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przeciw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transglutaminazie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tkankowej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(anty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–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tGT)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klasie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IGA</w:t>
            </w:r>
            <w:r w:rsidR="00663B4F">
              <w:rPr>
                <w:sz w:val="20"/>
                <w:szCs w:val="20"/>
              </w:rPr>
              <w:t>;</w:t>
            </w:r>
          </w:p>
          <w:p w14:paraId="1A12CF85" w14:textId="3526BB5C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konsultacja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okulistyczna,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oceną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oka;</w:t>
            </w:r>
          </w:p>
          <w:p w14:paraId="5EAFE14E" w14:textId="392DA392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test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stymulacji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wydzielania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gonadotropin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uzasadnionych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przypadkach);</w:t>
            </w:r>
          </w:p>
          <w:p w14:paraId="1C634BD3" w14:textId="58FF6F4A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konsultacja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hematoonkologa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dziecięcego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—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dotyczy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terapii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chorób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rozrostowych;</w:t>
            </w:r>
          </w:p>
          <w:p w14:paraId="28609301" w14:textId="29993B86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konsultacja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neurologa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dziecięcego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neurochirurgiczna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przypadku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uprzednich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zabiegów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neurochirurgicznych,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przede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lastRenderedPageBreak/>
              <w:t>wszystkim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powodu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uprzednich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procesów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rozrostowych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obrębie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OUN;</w:t>
            </w:r>
          </w:p>
          <w:p w14:paraId="1BF44D6E" w14:textId="207D10D2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inne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badania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konsultacje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zależności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potrzeb,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np.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etiologii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SNP/WNP.</w:t>
            </w:r>
          </w:p>
          <w:p w14:paraId="064B340E" w14:textId="572B6689" w:rsidR="00EF398F" w:rsidRPr="00663B4F" w:rsidRDefault="00EF398F" w:rsidP="00663B4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663B4F">
              <w:rPr>
                <w:sz w:val="20"/>
                <w:szCs w:val="20"/>
              </w:rPr>
              <w:t>Badania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wykonywane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według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standardów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diagnozowania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świadczeniobiorców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somatotropinową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wielohormonalną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niedoczynnością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przysadki</w:t>
            </w:r>
            <w:r w:rsidR="0051799C">
              <w:rPr>
                <w:sz w:val="20"/>
                <w:szCs w:val="20"/>
              </w:rPr>
              <w:t xml:space="preserve"> </w:t>
            </w:r>
            <w:r w:rsidRPr="00663B4F">
              <w:rPr>
                <w:sz w:val="20"/>
                <w:szCs w:val="20"/>
              </w:rPr>
              <w:t>(SNP/WNP).</w:t>
            </w:r>
          </w:p>
          <w:p w14:paraId="0E18AE51" w14:textId="77777777" w:rsidR="00EF398F" w:rsidRPr="00EF398F" w:rsidRDefault="00EF398F" w:rsidP="00EF39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3E419DD" w14:textId="02AC2716" w:rsidR="00EF398F" w:rsidRPr="00663B4F" w:rsidRDefault="00EF398F" w:rsidP="00663B4F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63B4F">
              <w:rPr>
                <w:b/>
                <w:bCs/>
                <w:sz w:val="20"/>
                <w:szCs w:val="20"/>
              </w:rPr>
              <w:t>Monitorowanie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leczenia</w:t>
            </w:r>
          </w:p>
          <w:p w14:paraId="40C11537" w14:textId="38F1FCAF" w:rsidR="00EF398F" w:rsidRPr="00663B4F" w:rsidRDefault="00EF398F" w:rsidP="00663B4F">
            <w:pPr>
              <w:pStyle w:val="Akapitzlist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663B4F">
              <w:rPr>
                <w:b/>
                <w:bCs/>
                <w:sz w:val="20"/>
                <w:szCs w:val="20"/>
              </w:rPr>
              <w:t>Po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90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dniach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od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rozpoczęcia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663B4F">
              <w:rPr>
                <w:b/>
                <w:bCs/>
                <w:sz w:val="20"/>
                <w:szCs w:val="20"/>
              </w:rPr>
              <w:t>terapii</w:t>
            </w:r>
            <w:r w:rsidR="00D851B9">
              <w:rPr>
                <w:b/>
                <w:bCs/>
                <w:sz w:val="20"/>
                <w:szCs w:val="20"/>
              </w:rPr>
              <w:t>:</w:t>
            </w:r>
          </w:p>
          <w:p w14:paraId="4A57C854" w14:textId="028C7841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niemowlęta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okresie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poniemowlęcym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nawracającymi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stanami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hipoglikemii:</w:t>
            </w:r>
          </w:p>
          <w:p w14:paraId="24AD2731" w14:textId="0FD08BC8" w:rsidR="00EF398F" w:rsidRPr="00DA6D3E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A6D3E">
              <w:rPr>
                <w:sz w:val="20"/>
                <w:szCs w:val="20"/>
              </w:rPr>
              <w:t>ocena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czy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ustąpiły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stany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hipoglikemii</w:t>
            </w:r>
            <w:r w:rsidR="00663B4F" w:rsidRPr="00DA6D3E">
              <w:rPr>
                <w:sz w:val="20"/>
                <w:szCs w:val="20"/>
              </w:rPr>
              <w:t>,</w:t>
            </w:r>
          </w:p>
          <w:p w14:paraId="21C55320" w14:textId="040C9FC0" w:rsidR="00EF398F" w:rsidRPr="00DA6D3E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A6D3E">
              <w:rPr>
                <w:sz w:val="20"/>
                <w:szCs w:val="20"/>
              </w:rPr>
              <w:t>długość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(z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określeniem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centyla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i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SDS)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i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masa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ciała</w:t>
            </w:r>
            <w:r w:rsidR="00663B4F" w:rsidRPr="00DA6D3E">
              <w:rPr>
                <w:sz w:val="20"/>
                <w:szCs w:val="20"/>
              </w:rPr>
              <w:t>,</w:t>
            </w:r>
          </w:p>
          <w:p w14:paraId="2A12C1AD" w14:textId="372E065C" w:rsidR="00EF398F" w:rsidRPr="00DA6D3E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A6D3E">
              <w:rPr>
                <w:sz w:val="20"/>
                <w:szCs w:val="20"/>
              </w:rPr>
              <w:t>stężenie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IGF-I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i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IGFBP3,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z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określeniem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proporcji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stężeń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obu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tych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związków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(należy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podać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normę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laboratorium,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w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którym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mierzono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stężenie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tych</w:t>
            </w:r>
            <w:r w:rsidR="0051799C" w:rsidRPr="00DA6D3E">
              <w:rPr>
                <w:sz w:val="20"/>
                <w:szCs w:val="20"/>
              </w:rPr>
              <w:t xml:space="preserve"> </w:t>
            </w:r>
            <w:r w:rsidRPr="00DA6D3E">
              <w:rPr>
                <w:sz w:val="20"/>
                <w:szCs w:val="20"/>
              </w:rPr>
              <w:t>związków)</w:t>
            </w:r>
            <w:r w:rsidR="008507E2">
              <w:rPr>
                <w:sz w:val="20"/>
                <w:szCs w:val="20"/>
              </w:rPr>
              <w:t xml:space="preserve"> (</w:t>
            </w:r>
            <w:r w:rsidR="008507E2" w:rsidRPr="00C91DE8">
              <w:rPr>
                <w:sz w:val="20"/>
                <w:szCs w:val="20"/>
              </w:rPr>
              <w:t xml:space="preserve">w przypadku stosowania hormonu wzrostu o przedłużonym działaniu zaleca się ocenę stężenia IGF-1 po 4-5 dniach od </w:t>
            </w:r>
            <w:r w:rsidR="008507E2">
              <w:rPr>
                <w:sz w:val="20"/>
                <w:szCs w:val="20"/>
              </w:rPr>
              <w:t>podania ostatniej dawki)</w:t>
            </w:r>
            <w:r w:rsidR="008D411B">
              <w:rPr>
                <w:sz w:val="20"/>
                <w:szCs w:val="20"/>
              </w:rPr>
              <w:t>,</w:t>
            </w:r>
          </w:p>
          <w:p w14:paraId="2C9CD587" w14:textId="44E33662" w:rsidR="00EF398F" w:rsidRPr="00EF398F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A6D3E">
              <w:rPr>
                <w:sz w:val="20"/>
                <w:szCs w:val="20"/>
              </w:rPr>
              <w:t>kilkukrotny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pomiar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glikemii,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kilkugodzinnej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przerwie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ostatniego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posiłku,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odsetek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glikowanej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hemoglobiny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(HbA1c)</w:t>
            </w:r>
            <w:r w:rsidR="00663B4F">
              <w:rPr>
                <w:sz w:val="20"/>
                <w:szCs w:val="20"/>
              </w:rPr>
              <w:t>,</w:t>
            </w:r>
          </w:p>
          <w:p w14:paraId="17B8610E" w14:textId="47E32021" w:rsidR="00EF398F" w:rsidRPr="00EF398F" w:rsidRDefault="00EF398F" w:rsidP="00663B4F">
            <w:pPr>
              <w:pStyle w:val="Akapitzlist"/>
              <w:numPr>
                <w:ilvl w:val="4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inne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badania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konsultacje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zależności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potrzeb</w:t>
            </w:r>
            <w:r w:rsidR="00663B4F">
              <w:rPr>
                <w:sz w:val="20"/>
                <w:szCs w:val="20"/>
              </w:rPr>
              <w:t>;</w:t>
            </w:r>
          </w:p>
          <w:p w14:paraId="177014BB" w14:textId="528D5DDD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pozostałych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dzieci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—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pomiary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antropometryczne: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wysokość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określeniem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centyla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SDS)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masa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ciała,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tempo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wzrastania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cm/rok)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BMI;</w:t>
            </w:r>
          </w:p>
          <w:p w14:paraId="41D7F7B7" w14:textId="1B9F7887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pomiar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IGF-1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IGFBP3,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określeniem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proporcji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stężeń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obu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związków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(należy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podać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normę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laboratorium,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którym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mierzono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związków)</w:t>
            </w:r>
            <w:r w:rsidR="00530FF3">
              <w:rPr>
                <w:sz w:val="20"/>
                <w:szCs w:val="20"/>
              </w:rPr>
              <w:t xml:space="preserve"> (</w:t>
            </w:r>
            <w:r w:rsidR="00DA6D3E" w:rsidRPr="00C91DE8">
              <w:rPr>
                <w:sz w:val="20"/>
                <w:szCs w:val="20"/>
              </w:rPr>
              <w:t xml:space="preserve">w przypadku stosowania </w:t>
            </w:r>
            <w:r w:rsidR="00887043" w:rsidRPr="00C91DE8">
              <w:rPr>
                <w:sz w:val="20"/>
                <w:szCs w:val="20"/>
              </w:rPr>
              <w:t>hormonu wzrostu</w:t>
            </w:r>
            <w:r w:rsidR="00DA6D3E" w:rsidRPr="00C91DE8">
              <w:rPr>
                <w:sz w:val="20"/>
                <w:szCs w:val="20"/>
              </w:rPr>
              <w:t xml:space="preserve"> </w:t>
            </w:r>
            <w:r w:rsidR="00DE1193" w:rsidRPr="00C91DE8">
              <w:rPr>
                <w:sz w:val="20"/>
                <w:szCs w:val="20"/>
              </w:rPr>
              <w:t xml:space="preserve">o przedłużonym </w:t>
            </w:r>
            <w:r w:rsidR="00DE1193" w:rsidRPr="00C91DE8">
              <w:rPr>
                <w:sz w:val="20"/>
                <w:szCs w:val="20"/>
              </w:rPr>
              <w:lastRenderedPageBreak/>
              <w:t xml:space="preserve">działaniu </w:t>
            </w:r>
            <w:r w:rsidR="00DA6D3E" w:rsidRPr="00C91DE8">
              <w:rPr>
                <w:sz w:val="20"/>
                <w:szCs w:val="20"/>
              </w:rPr>
              <w:t xml:space="preserve">zaleca się ocenę stężenia IGF-1 po 4-5 dniach od </w:t>
            </w:r>
            <w:r w:rsidR="00530FF3">
              <w:rPr>
                <w:sz w:val="20"/>
                <w:szCs w:val="20"/>
              </w:rPr>
              <w:t>podania ostatniej dawki);</w:t>
            </w:r>
          </w:p>
          <w:p w14:paraId="154700A6" w14:textId="43D704FC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glikemia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czczo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odsetek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hemoglobiny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glikowanej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(HbA1c)</w:t>
            </w:r>
            <w:r w:rsidR="00D851B9">
              <w:rPr>
                <w:sz w:val="20"/>
                <w:szCs w:val="20"/>
              </w:rPr>
              <w:t>;</w:t>
            </w:r>
          </w:p>
          <w:p w14:paraId="5FF099A0" w14:textId="63679311" w:rsidR="00EF398F" w:rsidRPr="00EF398F" w:rsidRDefault="00EF398F" w:rsidP="00663B4F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inne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badania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konsultacje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zależności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potrzeb</w:t>
            </w:r>
            <w:r w:rsidR="00D851B9">
              <w:rPr>
                <w:sz w:val="20"/>
                <w:szCs w:val="20"/>
              </w:rPr>
              <w:t>;</w:t>
            </w:r>
          </w:p>
          <w:p w14:paraId="2C42673E" w14:textId="69569574" w:rsid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dojrzałość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płciowa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podstawie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skali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Tannera</w:t>
            </w:r>
            <w:r w:rsidR="00D851B9">
              <w:rPr>
                <w:sz w:val="20"/>
                <w:szCs w:val="20"/>
              </w:rPr>
              <w:t>.</w:t>
            </w:r>
          </w:p>
          <w:p w14:paraId="500742AE" w14:textId="77777777" w:rsidR="00D851B9" w:rsidRPr="00EF398F" w:rsidRDefault="00D851B9" w:rsidP="00D851B9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0A7F8061" w14:textId="7D99B8D5" w:rsidR="00EF398F" w:rsidRPr="00D851B9" w:rsidRDefault="00EF398F" w:rsidP="00D851B9">
            <w:pPr>
              <w:pStyle w:val="Akapitzlist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D851B9">
              <w:rPr>
                <w:b/>
                <w:bCs/>
                <w:sz w:val="20"/>
                <w:szCs w:val="20"/>
              </w:rPr>
              <w:t>Co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180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dni</w:t>
            </w:r>
            <w:r w:rsidR="00D851B9">
              <w:rPr>
                <w:b/>
                <w:bCs/>
                <w:sz w:val="20"/>
                <w:szCs w:val="20"/>
              </w:rPr>
              <w:t>:</w:t>
            </w:r>
          </w:p>
          <w:p w14:paraId="586CCE52" w14:textId="5DBA8BA0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pomiary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antropometryczne: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wysokość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określeniem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centyla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SDS)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masa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ciała,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tempo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wzrastania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cm/rok)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BMI;</w:t>
            </w:r>
          </w:p>
          <w:p w14:paraId="61340BC2" w14:textId="3DE599BA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dojrzałość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płciowa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podstawie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skali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Tannera;</w:t>
            </w:r>
          </w:p>
          <w:p w14:paraId="24B407DE" w14:textId="2759ACF1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pomiar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glukozy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krwi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pomiarem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odsetka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glikowanej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hemoglobiny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HbA1C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365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dni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test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obciążenia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glukozą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pomiarem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glikemii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insulinemii</w:t>
            </w:r>
            <w:r w:rsidR="00D851B9">
              <w:rPr>
                <w:sz w:val="20"/>
                <w:szCs w:val="20"/>
              </w:rPr>
              <w:t>;</w:t>
            </w:r>
          </w:p>
          <w:p w14:paraId="299E82D3" w14:textId="674208DB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pomiar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TSH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fT4;</w:t>
            </w:r>
            <w:r w:rsidR="0051799C">
              <w:rPr>
                <w:sz w:val="20"/>
                <w:szCs w:val="20"/>
              </w:rPr>
              <w:t xml:space="preserve"> </w:t>
            </w:r>
          </w:p>
          <w:p w14:paraId="0F2E7911" w14:textId="33EF18C6" w:rsidR="00DA6D3E" w:rsidRPr="00EF398F" w:rsidRDefault="00EF398F" w:rsidP="00DA6D3E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pomiar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IGF-1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IGFBP3,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określeniem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proporcji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stężeń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obu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tych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związków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(należy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podać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normę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laboratorium,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w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którym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mierzono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stężenie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tych</w:t>
            </w:r>
            <w:r w:rsidR="0051799C" w:rsidRPr="00C91DE8">
              <w:rPr>
                <w:sz w:val="20"/>
                <w:szCs w:val="20"/>
              </w:rPr>
              <w:t xml:space="preserve"> </w:t>
            </w:r>
            <w:r w:rsidRPr="00C91DE8">
              <w:rPr>
                <w:sz w:val="20"/>
                <w:szCs w:val="20"/>
              </w:rPr>
              <w:t>związków)</w:t>
            </w:r>
            <w:r w:rsidR="00530FF3">
              <w:rPr>
                <w:sz w:val="20"/>
                <w:szCs w:val="20"/>
              </w:rPr>
              <w:t xml:space="preserve"> (</w:t>
            </w:r>
            <w:r w:rsidR="00DA6D3E" w:rsidRPr="00C91DE8">
              <w:rPr>
                <w:sz w:val="20"/>
                <w:szCs w:val="20"/>
              </w:rPr>
              <w:t xml:space="preserve">w przypadku stosowania </w:t>
            </w:r>
            <w:r w:rsidR="00887043" w:rsidRPr="00C91DE8">
              <w:rPr>
                <w:sz w:val="20"/>
                <w:szCs w:val="20"/>
              </w:rPr>
              <w:t>hormonu wzrosu</w:t>
            </w:r>
            <w:r w:rsidR="00DA6D3E" w:rsidRPr="00C91DE8">
              <w:rPr>
                <w:sz w:val="20"/>
                <w:szCs w:val="20"/>
              </w:rPr>
              <w:t xml:space="preserve"> </w:t>
            </w:r>
            <w:r w:rsidR="00DE1193" w:rsidRPr="00C91DE8">
              <w:rPr>
                <w:sz w:val="20"/>
                <w:szCs w:val="20"/>
              </w:rPr>
              <w:t xml:space="preserve">o przedłużonym działaniu </w:t>
            </w:r>
            <w:r w:rsidR="00DA6D3E" w:rsidRPr="00C91DE8">
              <w:rPr>
                <w:sz w:val="20"/>
                <w:szCs w:val="20"/>
              </w:rPr>
              <w:t xml:space="preserve">zaleca się ocenę stężenia IGF-1 po 4-5 dniach od </w:t>
            </w:r>
            <w:r w:rsidR="00530FF3">
              <w:rPr>
                <w:sz w:val="20"/>
                <w:szCs w:val="20"/>
              </w:rPr>
              <w:t>podania ostatniej dawki);</w:t>
            </w:r>
          </w:p>
          <w:p w14:paraId="45DE7970" w14:textId="769640FD" w:rsidR="00EF398F" w:rsidRDefault="00530FF3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F398F" w:rsidRPr="00EF398F">
              <w:rPr>
                <w:sz w:val="20"/>
                <w:szCs w:val="20"/>
              </w:rPr>
              <w:t>nne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badania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konsultacje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zależności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od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potrzeb</w:t>
            </w:r>
            <w:r w:rsidR="00D851B9">
              <w:rPr>
                <w:sz w:val="20"/>
                <w:szCs w:val="20"/>
              </w:rPr>
              <w:t>.</w:t>
            </w:r>
          </w:p>
          <w:p w14:paraId="322648DB" w14:textId="77777777" w:rsidR="00D851B9" w:rsidRPr="00EF398F" w:rsidRDefault="00D851B9" w:rsidP="00D851B9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02E58A6B" w14:textId="1A861467" w:rsidR="00EF398F" w:rsidRPr="00D851B9" w:rsidRDefault="00EF398F" w:rsidP="00D851B9">
            <w:pPr>
              <w:pStyle w:val="Akapitzlist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D851B9">
              <w:rPr>
                <w:b/>
                <w:bCs/>
                <w:sz w:val="20"/>
                <w:szCs w:val="20"/>
              </w:rPr>
              <w:t>Co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365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dni</w:t>
            </w:r>
            <w:r w:rsidR="00D851B9" w:rsidRPr="00D851B9">
              <w:rPr>
                <w:b/>
                <w:bCs/>
                <w:sz w:val="20"/>
                <w:szCs w:val="20"/>
              </w:rPr>
              <w:t>:</w:t>
            </w:r>
          </w:p>
          <w:p w14:paraId="3AFBDE59" w14:textId="4239CD8C" w:rsidR="00EF398F" w:rsidRPr="00EF398F" w:rsidRDefault="00D851B9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RTG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śródręcza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nadgarstka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ręki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niedominującej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bliższą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przynasadą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kości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przedramienia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(do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oceny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wieku</w:t>
            </w:r>
            <w:r w:rsidR="0051799C">
              <w:rPr>
                <w:sz w:val="20"/>
                <w:szCs w:val="20"/>
              </w:rPr>
              <w:t xml:space="preserve"> </w:t>
            </w:r>
            <w:r w:rsidR="00EF398F" w:rsidRPr="00EF398F">
              <w:rPr>
                <w:sz w:val="20"/>
                <w:szCs w:val="20"/>
              </w:rPr>
              <w:t>kostnego);</w:t>
            </w:r>
          </w:p>
          <w:p w14:paraId="6B8DCE01" w14:textId="1B58F535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jonogram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surowicy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krwi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(co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najmniej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Na+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Ca++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całkowitego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zjonizowanego);</w:t>
            </w:r>
          </w:p>
          <w:p w14:paraId="3A24ECC2" w14:textId="6AB6796E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lastRenderedPageBreak/>
              <w:t>ocena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przemian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lipidowych: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triglicerydów,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całkowitego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cholesterolu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frakcji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HDL-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LDL-cholesterolu;</w:t>
            </w:r>
          </w:p>
          <w:p w14:paraId="359B93A3" w14:textId="4646021E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ocena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czynności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wątroby: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AIAT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AspAT;</w:t>
            </w:r>
          </w:p>
          <w:p w14:paraId="2C7BA0CB" w14:textId="281C481D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stężenie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25(OH)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wit.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uzasadnionych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przypadkach);</w:t>
            </w:r>
          </w:p>
          <w:p w14:paraId="1DD457A7" w14:textId="6AF466D3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konsultacja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okulistyczna,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oceną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uzasadnionych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przypadkach)</w:t>
            </w:r>
            <w:r w:rsidR="00D851B9">
              <w:rPr>
                <w:sz w:val="20"/>
                <w:szCs w:val="20"/>
              </w:rPr>
              <w:t>;</w:t>
            </w:r>
          </w:p>
          <w:p w14:paraId="76335537" w14:textId="3E22C147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morfologia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krwi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rozmazem</w:t>
            </w:r>
            <w:r w:rsidR="00D851B9">
              <w:rPr>
                <w:sz w:val="20"/>
                <w:szCs w:val="20"/>
              </w:rPr>
              <w:t>;</w:t>
            </w:r>
          </w:p>
          <w:p w14:paraId="2A591DFC" w14:textId="79DB8BC8" w:rsid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inne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konsultacje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badania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zależności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potrzeb</w:t>
            </w:r>
            <w:r w:rsidR="00D851B9">
              <w:rPr>
                <w:sz w:val="20"/>
                <w:szCs w:val="20"/>
              </w:rPr>
              <w:t>.</w:t>
            </w:r>
          </w:p>
          <w:p w14:paraId="1D294348" w14:textId="77777777" w:rsidR="00D851B9" w:rsidRPr="00EF398F" w:rsidRDefault="00D851B9" w:rsidP="00D851B9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37E021E4" w14:textId="5F0F2999" w:rsidR="00EF398F" w:rsidRPr="00D851B9" w:rsidRDefault="00EF398F" w:rsidP="00D851B9">
            <w:pPr>
              <w:pStyle w:val="Akapitzlist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D851B9">
              <w:rPr>
                <w:b/>
                <w:bCs/>
                <w:sz w:val="20"/>
                <w:szCs w:val="20"/>
              </w:rPr>
              <w:t>Badania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po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zakończeniu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terapii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hormonem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wzrostu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promującej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wzrastanie</w:t>
            </w:r>
            <w:r w:rsidR="00D851B9" w:rsidRPr="00D851B9">
              <w:rPr>
                <w:b/>
                <w:bCs/>
                <w:sz w:val="20"/>
                <w:szCs w:val="20"/>
              </w:rPr>
              <w:t>:</w:t>
            </w:r>
          </w:p>
          <w:p w14:paraId="2C80FD66" w14:textId="1E77B848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co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najmniej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miesiąc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zakończeniu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terapii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test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stymulacji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wydzielania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insuliną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innym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powszechnie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uznanym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stymulatorem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sekrecji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(5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więcej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pomiarów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stężeń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GH)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przekazaniem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świadczeniobiorców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pod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opiekę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jednostki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endokrynologicznej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zajmującej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się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leczeniem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osób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dorosłych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przypadku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stężeń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hormonu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wzrostu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&lt;3</w:t>
            </w:r>
            <w:r w:rsidR="0051799C">
              <w:rPr>
                <w:sz w:val="20"/>
                <w:szCs w:val="20"/>
              </w:rPr>
              <w:t> </w:t>
            </w:r>
            <w:r w:rsidRPr="00EF398F">
              <w:rPr>
                <w:sz w:val="20"/>
                <w:szCs w:val="20"/>
              </w:rPr>
              <w:t>ng/ml).</w:t>
            </w:r>
          </w:p>
          <w:p w14:paraId="6B85F62A" w14:textId="6E40DA7A" w:rsidR="00EF398F" w:rsidRDefault="00EF398F" w:rsidP="00D851B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851B9">
              <w:rPr>
                <w:sz w:val="20"/>
                <w:szCs w:val="20"/>
              </w:rPr>
              <w:t>B</w:t>
            </w:r>
            <w:r w:rsidR="00D851B9">
              <w:rPr>
                <w:sz w:val="20"/>
                <w:szCs w:val="20"/>
              </w:rPr>
              <w:t>a</w:t>
            </w:r>
            <w:r w:rsidRPr="00D851B9">
              <w:rPr>
                <w:sz w:val="20"/>
                <w:szCs w:val="20"/>
              </w:rPr>
              <w:t>dania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są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wykonywane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według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standardów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diagnozowania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świadczeniobiorców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somatotropinową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wielohormonalną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niedoczynnością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przysadki</w:t>
            </w:r>
            <w:r w:rsidR="0051799C">
              <w:rPr>
                <w:sz w:val="20"/>
                <w:szCs w:val="20"/>
              </w:rPr>
              <w:t xml:space="preserve"> </w:t>
            </w:r>
            <w:r w:rsidRPr="00D851B9">
              <w:rPr>
                <w:sz w:val="20"/>
                <w:szCs w:val="20"/>
              </w:rPr>
              <w:t>(SNP/WNP).</w:t>
            </w:r>
          </w:p>
          <w:p w14:paraId="6C40D29A" w14:textId="77777777" w:rsidR="00BC1E5C" w:rsidRDefault="00BC1E5C" w:rsidP="00D851B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0FCA0EF" w14:textId="581B34ED" w:rsidR="00530FF3" w:rsidRDefault="00530FF3" w:rsidP="00530FF3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E44E87">
              <w:rPr>
                <w:b/>
                <w:bCs/>
                <w:sz w:val="20"/>
                <w:szCs w:val="20"/>
              </w:rPr>
              <w:t>Monitorowanie skuteczności leczenia</w:t>
            </w:r>
          </w:p>
          <w:p w14:paraId="51AD9D55" w14:textId="1ACD0F58" w:rsidR="0071035E" w:rsidRPr="003369CC" w:rsidRDefault="00F3441B" w:rsidP="00E44E8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369CC">
              <w:rPr>
                <w:sz w:val="20"/>
                <w:szCs w:val="20"/>
              </w:rPr>
              <w:t xml:space="preserve">Zespół Koordynacyjny </w:t>
            </w:r>
            <w:r w:rsidR="003369CC">
              <w:rPr>
                <w:sz w:val="20"/>
                <w:szCs w:val="20"/>
              </w:rPr>
              <w:t xml:space="preserve">lub lekarz prowadzący </w:t>
            </w:r>
            <w:r w:rsidR="00E44E87" w:rsidRPr="003369CC">
              <w:rPr>
                <w:sz w:val="20"/>
                <w:szCs w:val="20"/>
              </w:rPr>
              <w:t>co 6 miesięcy</w:t>
            </w:r>
            <w:r w:rsidR="003369CC">
              <w:rPr>
                <w:sz w:val="20"/>
                <w:szCs w:val="20"/>
              </w:rPr>
              <w:t xml:space="preserve"> </w:t>
            </w:r>
            <w:r w:rsidR="003369CC" w:rsidRPr="003369CC">
              <w:rPr>
                <w:sz w:val="20"/>
                <w:szCs w:val="20"/>
              </w:rPr>
              <w:t>(</w:t>
            </w:r>
            <w:r w:rsidR="003369CC" w:rsidRPr="00771A2B">
              <w:rPr>
                <w:sz w:val="20"/>
                <w:szCs w:val="20"/>
              </w:rPr>
              <w:t>±</w:t>
            </w:r>
            <w:r w:rsidR="003369CC" w:rsidRPr="003369CC">
              <w:rPr>
                <w:sz w:val="20"/>
                <w:szCs w:val="20"/>
              </w:rPr>
              <w:t>7 dni)</w:t>
            </w:r>
            <w:r w:rsidR="00E44E87" w:rsidRPr="003369CC">
              <w:rPr>
                <w:sz w:val="20"/>
                <w:szCs w:val="20"/>
              </w:rPr>
              <w:t xml:space="preserve">, </w:t>
            </w:r>
            <w:r w:rsidR="0071035E" w:rsidRPr="003369CC">
              <w:rPr>
                <w:sz w:val="20"/>
                <w:szCs w:val="20"/>
              </w:rPr>
              <w:t xml:space="preserve">na podstawie ww. badań w celu monitorowania skuteczności leczenia określa dla indywidualnego pacjenta wskaźniki odpowiedzi na leczenie: </w:t>
            </w:r>
          </w:p>
          <w:p w14:paraId="1B0CAB4E" w14:textId="567140C8" w:rsidR="00530FF3" w:rsidRPr="00E44E87" w:rsidRDefault="00530FF3" w:rsidP="00E44E87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44E87">
              <w:rPr>
                <w:sz w:val="20"/>
                <w:szCs w:val="20"/>
              </w:rPr>
              <w:t>długość (z określeniem centyla i SDS) i masa ciała</w:t>
            </w:r>
            <w:r>
              <w:rPr>
                <w:sz w:val="20"/>
                <w:szCs w:val="20"/>
              </w:rPr>
              <w:t xml:space="preserve"> w przypadku niemowląt;</w:t>
            </w:r>
          </w:p>
          <w:p w14:paraId="10A910A5" w14:textId="750BC908" w:rsidR="00530FF3" w:rsidRPr="00EF398F" w:rsidRDefault="00530FF3" w:rsidP="00530FF3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lastRenderedPageBreak/>
              <w:t>pomiary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antropometryczne: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wysokość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(z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określeniem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centyla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SDS)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masa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ciała,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tempo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wzrastania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(w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cm/rok)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BMI</w:t>
            </w:r>
            <w:r>
              <w:rPr>
                <w:sz w:val="20"/>
                <w:szCs w:val="20"/>
              </w:rPr>
              <w:t xml:space="preserve"> u pozostałych dzieci;</w:t>
            </w:r>
          </w:p>
          <w:p w14:paraId="6D20F04F" w14:textId="61EEF9F7" w:rsidR="00530FF3" w:rsidRDefault="00BC1E5C" w:rsidP="00BC1E5C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44E87">
              <w:rPr>
                <w:sz w:val="20"/>
                <w:szCs w:val="20"/>
              </w:rPr>
              <w:t xml:space="preserve">stężenie IGF-I i IGFBP3, z określeniem proporcji stężeń obu tych związków (należy podać normę laboratorium, w którym mierzono stężenie tych związków); </w:t>
            </w:r>
          </w:p>
          <w:p w14:paraId="7F31C7BB" w14:textId="4D369E8D" w:rsidR="00BC1E5C" w:rsidRPr="00E44E87" w:rsidRDefault="00BC1E5C" w:rsidP="00E44E87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działania niepożądane i bezpieczeń</w:t>
            </w:r>
            <w:r w:rsidR="0071035E">
              <w:rPr>
                <w:sz w:val="20"/>
                <w:szCs w:val="20"/>
              </w:rPr>
              <w:t>stwo stosowania.</w:t>
            </w:r>
          </w:p>
          <w:p w14:paraId="43EF9FD9" w14:textId="77777777" w:rsidR="00D851B9" w:rsidRPr="00D851B9" w:rsidRDefault="00D851B9" w:rsidP="00D851B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D41875F" w14:textId="2DFD8730" w:rsidR="00EF398F" w:rsidRPr="00D851B9" w:rsidRDefault="00EF398F" w:rsidP="00663B4F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D851B9">
              <w:rPr>
                <w:b/>
                <w:bCs/>
                <w:sz w:val="20"/>
                <w:szCs w:val="20"/>
              </w:rPr>
              <w:t>Monitorowanie</w:t>
            </w:r>
            <w:r w:rsidR="0051799C">
              <w:rPr>
                <w:b/>
                <w:bCs/>
                <w:sz w:val="20"/>
                <w:szCs w:val="20"/>
              </w:rPr>
              <w:t xml:space="preserve"> </w:t>
            </w:r>
            <w:r w:rsidRPr="00D851B9">
              <w:rPr>
                <w:b/>
                <w:bCs/>
                <w:sz w:val="20"/>
                <w:szCs w:val="20"/>
              </w:rPr>
              <w:t>programu</w:t>
            </w:r>
          </w:p>
          <w:p w14:paraId="25F30062" w14:textId="7D481AAC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gromadzenie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dokumentacji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medycznej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pacjenta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danych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dotyczących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monitorowania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leczenia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każdorazowe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przedstawianie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żądanie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kontrolerów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Narodowego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Funduszu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Zdrowia</w:t>
            </w:r>
            <w:r w:rsidR="00BC1E5C">
              <w:rPr>
                <w:sz w:val="20"/>
                <w:szCs w:val="20"/>
              </w:rPr>
              <w:t xml:space="preserve"> (NFZ);</w:t>
            </w:r>
          </w:p>
          <w:p w14:paraId="76628444" w14:textId="3B0246D2" w:rsidR="00EF398F" w:rsidRP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uzupełnienie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danych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zawartych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="00BC1E5C">
              <w:rPr>
                <w:sz w:val="20"/>
                <w:szCs w:val="20"/>
              </w:rPr>
              <w:t xml:space="preserve">elektronicznym systemie monitorowania programów lekowych dostępnym za pomocą aplikacji </w:t>
            </w:r>
            <w:r w:rsidRPr="00EF398F">
              <w:rPr>
                <w:sz w:val="20"/>
                <w:szCs w:val="20"/>
              </w:rPr>
              <w:t>internetowej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udostępnionej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</w:t>
            </w:r>
            <w:r w:rsidR="00BC1E5C">
              <w:rPr>
                <w:sz w:val="20"/>
                <w:szCs w:val="20"/>
              </w:rPr>
              <w:t>ddział Wojewódzki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NFZ,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częstotliwością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zgodną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opisem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programu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oraz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na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zakończenie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leczenia</w:t>
            </w:r>
            <w:r w:rsidR="00BC1E5C">
              <w:rPr>
                <w:sz w:val="20"/>
                <w:szCs w:val="20"/>
              </w:rPr>
              <w:t xml:space="preserve">, </w:t>
            </w:r>
            <w:r w:rsidR="00BC1E5C">
              <w:rPr>
                <w:rFonts w:eastAsia="Calibri"/>
                <w:sz w:val="20"/>
                <w:lang w:eastAsia="en-US"/>
              </w:rPr>
              <w:t>w tym przekazywanie danych dotyczących wskaźników skuteczności terapii zawartych w punkcie 3</w:t>
            </w:r>
            <w:r w:rsidR="008D411B">
              <w:rPr>
                <w:rFonts w:eastAsia="Calibri"/>
                <w:sz w:val="20"/>
                <w:lang w:eastAsia="en-US"/>
              </w:rPr>
              <w:t>;</w:t>
            </w:r>
          </w:p>
          <w:p w14:paraId="2A439B21" w14:textId="7BF0290C" w:rsidR="00EF398F" w:rsidRDefault="00EF398F" w:rsidP="00D851B9">
            <w:pPr>
              <w:pStyle w:val="Akapitzlist"/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EF398F">
              <w:rPr>
                <w:sz w:val="20"/>
                <w:szCs w:val="20"/>
              </w:rPr>
              <w:t>przekazywanie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informacji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sprawozdawczo-rozliczeniowych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NFZ: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informacje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przekazuje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się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do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NFZ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formie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papierowej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lub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formie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elektronicznej,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zgodnie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z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wymaganiami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opublikowanymi</w:t>
            </w:r>
            <w:r w:rsidR="0051799C">
              <w:rPr>
                <w:sz w:val="20"/>
                <w:szCs w:val="20"/>
              </w:rPr>
              <w:t xml:space="preserve"> </w:t>
            </w:r>
            <w:r w:rsidRPr="00EF398F">
              <w:rPr>
                <w:sz w:val="20"/>
                <w:szCs w:val="20"/>
              </w:rPr>
              <w:t>przez</w:t>
            </w:r>
            <w:r w:rsidR="0051799C">
              <w:rPr>
                <w:sz w:val="20"/>
                <w:szCs w:val="20"/>
              </w:rPr>
              <w:t xml:space="preserve"> </w:t>
            </w:r>
            <w:r w:rsidR="00D851B9">
              <w:rPr>
                <w:sz w:val="20"/>
                <w:szCs w:val="20"/>
              </w:rPr>
              <w:t>NFZ.</w:t>
            </w:r>
          </w:p>
          <w:p w14:paraId="4EF9D99B" w14:textId="113B47F1" w:rsidR="00D851B9" w:rsidRPr="00EF398F" w:rsidRDefault="00D851B9" w:rsidP="00D851B9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14:paraId="3B84646B" w14:textId="77777777" w:rsidR="00743C43" w:rsidRDefault="00743C43"/>
    <w:sectPr w:rsidR="00743C43" w:rsidSect="00F666EB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0617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156E4A7E"/>
    <w:multiLevelType w:val="hybridMultilevel"/>
    <w:tmpl w:val="B510B92A"/>
    <w:lvl w:ilvl="0" w:tplc="FE3AA57E">
      <w:start w:val="1"/>
      <w:numFmt w:val="decimal"/>
      <w:pStyle w:val="pp1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07272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C761048"/>
    <w:multiLevelType w:val="multilevel"/>
    <w:tmpl w:val="27D68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25956D9"/>
    <w:multiLevelType w:val="hybridMultilevel"/>
    <w:tmpl w:val="F5D8ECBC"/>
    <w:lvl w:ilvl="0" w:tplc="092C1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C2C66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470DD"/>
    <w:multiLevelType w:val="hybridMultilevel"/>
    <w:tmpl w:val="1D049E5E"/>
    <w:lvl w:ilvl="0" w:tplc="564C0BFC">
      <w:start w:val="1"/>
      <w:numFmt w:val="decimal"/>
      <w:lvlText w:val="%1)"/>
      <w:lvlJc w:val="left"/>
      <w:pPr>
        <w:ind w:left="10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44" w:hanging="360"/>
      </w:pPr>
    </w:lvl>
    <w:lvl w:ilvl="2" w:tplc="0415001B" w:tentative="1">
      <w:start w:val="1"/>
      <w:numFmt w:val="lowerRoman"/>
      <w:lvlText w:val="%3."/>
      <w:lvlJc w:val="right"/>
      <w:pPr>
        <w:ind w:left="2464" w:hanging="180"/>
      </w:pPr>
    </w:lvl>
    <w:lvl w:ilvl="3" w:tplc="0415000F" w:tentative="1">
      <w:start w:val="1"/>
      <w:numFmt w:val="decimal"/>
      <w:lvlText w:val="%4."/>
      <w:lvlJc w:val="left"/>
      <w:pPr>
        <w:ind w:left="3184" w:hanging="360"/>
      </w:pPr>
    </w:lvl>
    <w:lvl w:ilvl="4" w:tplc="04150019" w:tentative="1">
      <w:start w:val="1"/>
      <w:numFmt w:val="lowerLetter"/>
      <w:lvlText w:val="%5."/>
      <w:lvlJc w:val="left"/>
      <w:pPr>
        <w:ind w:left="3904" w:hanging="360"/>
      </w:pPr>
    </w:lvl>
    <w:lvl w:ilvl="5" w:tplc="0415001B" w:tentative="1">
      <w:start w:val="1"/>
      <w:numFmt w:val="lowerRoman"/>
      <w:lvlText w:val="%6."/>
      <w:lvlJc w:val="right"/>
      <w:pPr>
        <w:ind w:left="4624" w:hanging="180"/>
      </w:pPr>
    </w:lvl>
    <w:lvl w:ilvl="6" w:tplc="0415000F" w:tentative="1">
      <w:start w:val="1"/>
      <w:numFmt w:val="decimal"/>
      <w:lvlText w:val="%7."/>
      <w:lvlJc w:val="left"/>
      <w:pPr>
        <w:ind w:left="5344" w:hanging="360"/>
      </w:pPr>
    </w:lvl>
    <w:lvl w:ilvl="7" w:tplc="04150019" w:tentative="1">
      <w:start w:val="1"/>
      <w:numFmt w:val="lowerLetter"/>
      <w:lvlText w:val="%8."/>
      <w:lvlJc w:val="left"/>
      <w:pPr>
        <w:ind w:left="6064" w:hanging="360"/>
      </w:pPr>
    </w:lvl>
    <w:lvl w:ilvl="8" w:tplc="0415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6" w15:restartNumberingAfterBreak="0">
    <w:nsid w:val="3D1061EB"/>
    <w:multiLevelType w:val="hybridMultilevel"/>
    <w:tmpl w:val="7396B182"/>
    <w:lvl w:ilvl="0" w:tplc="5394A8EC">
      <w:start w:val="1"/>
      <w:numFmt w:val="decimal"/>
      <w:pStyle w:val="pp03N"/>
      <w:lvlText w:val="%1)"/>
      <w:lvlJc w:val="left"/>
      <w:pPr>
        <w:ind w:left="1069" w:hanging="360"/>
      </w:pPr>
      <w:rPr>
        <w:vertAlign w:val="baseline"/>
      </w:rPr>
    </w:lvl>
    <w:lvl w:ilvl="1" w:tplc="5D168F6E">
      <w:start w:val="1"/>
      <w:numFmt w:val="lowerLetter"/>
      <w:pStyle w:val="pp03"/>
      <w:lvlText w:val="%2)"/>
      <w:lvlJc w:val="left"/>
      <w:pPr>
        <w:ind w:left="1408" w:hanging="360"/>
      </w:pPr>
    </w:lvl>
    <w:lvl w:ilvl="2" w:tplc="0415001B" w:tentative="1">
      <w:start w:val="1"/>
      <w:numFmt w:val="lowerRoman"/>
      <w:lvlText w:val="%3."/>
      <w:lvlJc w:val="right"/>
      <w:pPr>
        <w:ind w:left="2128" w:hanging="180"/>
      </w:pPr>
    </w:lvl>
    <w:lvl w:ilvl="3" w:tplc="0415000F" w:tentative="1">
      <w:start w:val="1"/>
      <w:numFmt w:val="decimal"/>
      <w:lvlText w:val="%4."/>
      <w:lvlJc w:val="left"/>
      <w:pPr>
        <w:ind w:left="2848" w:hanging="360"/>
      </w:pPr>
    </w:lvl>
    <w:lvl w:ilvl="4" w:tplc="04150019" w:tentative="1">
      <w:start w:val="1"/>
      <w:numFmt w:val="lowerLetter"/>
      <w:lvlText w:val="%5."/>
      <w:lvlJc w:val="left"/>
      <w:pPr>
        <w:ind w:left="3568" w:hanging="360"/>
      </w:pPr>
    </w:lvl>
    <w:lvl w:ilvl="5" w:tplc="0415001B" w:tentative="1">
      <w:start w:val="1"/>
      <w:numFmt w:val="lowerRoman"/>
      <w:lvlText w:val="%6."/>
      <w:lvlJc w:val="right"/>
      <w:pPr>
        <w:ind w:left="4288" w:hanging="180"/>
      </w:pPr>
    </w:lvl>
    <w:lvl w:ilvl="6" w:tplc="0415000F" w:tentative="1">
      <w:start w:val="1"/>
      <w:numFmt w:val="decimal"/>
      <w:lvlText w:val="%7."/>
      <w:lvlJc w:val="left"/>
      <w:pPr>
        <w:ind w:left="5008" w:hanging="360"/>
      </w:pPr>
    </w:lvl>
    <w:lvl w:ilvl="7" w:tplc="04150019" w:tentative="1">
      <w:start w:val="1"/>
      <w:numFmt w:val="lowerLetter"/>
      <w:lvlText w:val="%8."/>
      <w:lvlJc w:val="left"/>
      <w:pPr>
        <w:ind w:left="5728" w:hanging="360"/>
      </w:pPr>
    </w:lvl>
    <w:lvl w:ilvl="8" w:tplc="0415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7" w15:restartNumberingAfterBreak="0">
    <w:nsid w:val="40165602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3265B44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6933264B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753C4C51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77222494"/>
    <w:multiLevelType w:val="multilevel"/>
    <w:tmpl w:val="47AAD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86629DD"/>
    <w:multiLevelType w:val="multilevel"/>
    <w:tmpl w:val="9C3294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 w:val="0"/>
        <w:bCs/>
        <w:i w:val="0"/>
        <w:iCs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7D1017CE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1695382728">
    <w:abstractNumId w:val="1"/>
  </w:num>
  <w:num w:numId="2" w16cid:durableId="67506043">
    <w:abstractNumId w:val="6"/>
  </w:num>
  <w:num w:numId="3" w16cid:durableId="1653170698">
    <w:abstractNumId w:val="6"/>
  </w:num>
  <w:num w:numId="4" w16cid:durableId="1965189455">
    <w:abstractNumId w:val="13"/>
  </w:num>
  <w:num w:numId="5" w16cid:durableId="1326476917">
    <w:abstractNumId w:val="11"/>
  </w:num>
  <w:num w:numId="6" w16cid:durableId="466777454">
    <w:abstractNumId w:val="4"/>
  </w:num>
  <w:num w:numId="7" w16cid:durableId="2111047423">
    <w:abstractNumId w:val="3"/>
  </w:num>
  <w:num w:numId="8" w16cid:durableId="1297686091">
    <w:abstractNumId w:val="5"/>
  </w:num>
  <w:num w:numId="9" w16cid:durableId="1703630247">
    <w:abstractNumId w:val="0"/>
  </w:num>
  <w:num w:numId="10" w16cid:durableId="2049183716">
    <w:abstractNumId w:val="10"/>
  </w:num>
  <w:num w:numId="11" w16cid:durableId="1410925663">
    <w:abstractNumId w:val="2"/>
  </w:num>
  <w:num w:numId="12" w16cid:durableId="1198003614">
    <w:abstractNumId w:val="7"/>
  </w:num>
  <w:num w:numId="13" w16cid:durableId="1572349299">
    <w:abstractNumId w:val="9"/>
  </w:num>
  <w:num w:numId="14" w16cid:durableId="1060327580">
    <w:abstractNumId w:val="12"/>
  </w:num>
  <w:num w:numId="15" w16cid:durableId="47272164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AF1"/>
    <w:rsid w:val="0001123C"/>
    <w:rsid w:val="00016D50"/>
    <w:rsid w:val="00021CD5"/>
    <w:rsid w:val="00075A79"/>
    <w:rsid w:val="000952D4"/>
    <w:rsid w:val="000A540F"/>
    <w:rsid w:val="000B1136"/>
    <w:rsid w:val="000D25CC"/>
    <w:rsid w:val="000E0672"/>
    <w:rsid w:val="000E2AC7"/>
    <w:rsid w:val="001063FF"/>
    <w:rsid w:val="00107A49"/>
    <w:rsid w:val="0011068E"/>
    <w:rsid w:val="00115C4F"/>
    <w:rsid w:val="00126960"/>
    <w:rsid w:val="00127A90"/>
    <w:rsid w:val="00144075"/>
    <w:rsid w:val="00144C47"/>
    <w:rsid w:val="00160BEE"/>
    <w:rsid w:val="00161CDC"/>
    <w:rsid w:val="0017343F"/>
    <w:rsid w:val="001A3E7A"/>
    <w:rsid w:val="001A4A29"/>
    <w:rsid w:val="001B1521"/>
    <w:rsid w:val="001B283D"/>
    <w:rsid w:val="001C2EFC"/>
    <w:rsid w:val="001D3F42"/>
    <w:rsid w:val="001D71C6"/>
    <w:rsid w:val="001E3AC6"/>
    <w:rsid w:val="00207FBB"/>
    <w:rsid w:val="00221D34"/>
    <w:rsid w:val="00244012"/>
    <w:rsid w:val="00274570"/>
    <w:rsid w:val="002930EC"/>
    <w:rsid w:val="002A593E"/>
    <w:rsid w:val="002E5481"/>
    <w:rsid w:val="002E6C36"/>
    <w:rsid w:val="00313649"/>
    <w:rsid w:val="00325BFF"/>
    <w:rsid w:val="003369CC"/>
    <w:rsid w:val="00336F33"/>
    <w:rsid w:val="00357174"/>
    <w:rsid w:val="00373879"/>
    <w:rsid w:val="003E6109"/>
    <w:rsid w:val="003F4A58"/>
    <w:rsid w:val="0040114A"/>
    <w:rsid w:val="00413FBC"/>
    <w:rsid w:val="00417C46"/>
    <w:rsid w:val="00425E7F"/>
    <w:rsid w:val="004311BB"/>
    <w:rsid w:val="0044394A"/>
    <w:rsid w:val="00472B65"/>
    <w:rsid w:val="00473487"/>
    <w:rsid w:val="00475226"/>
    <w:rsid w:val="00497A25"/>
    <w:rsid w:val="004A14A9"/>
    <w:rsid w:val="004E1D2A"/>
    <w:rsid w:val="004F78C8"/>
    <w:rsid w:val="0051799C"/>
    <w:rsid w:val="0052682B"/>
    <w:rsid w:val="00530FF3"/>
    <w:rsid w:val="005460BB"/>
    <w:rsid w:val="00561697"/>
    <w:rsid w:val="00562D73"/>
    <w:rsid w:val="00564CBA"/>
    <w:rsid w:val="0057162F"/>
    <w:rsid w:val="0058573B"/>
    <w:rsid w:val="005868CA"/>
    <w:rsid w:val="005A0CC9"/>
    <w:rsid w:val="005C44FC"/>
    <w:rsid w:val="005E4787"/>
    <w:rsid w:val="00605C0A"/>
    <w:rsid w:val="00613244"/>
    <w:rsid w:val="006271C6"/>
    <w:rsid w:val="00646561"/>
    <w:rsid w:val="00663B4F"/>
    <w:rsid w:val="0067235F"/>
    <w:rsid w:val="006756C1"/>
    <w:rsid w:val="00676031"/>
    <w:rsid w:val="006E6C90"/>
    <w:rsid w:val="006F40B3"/>
    <w:rsid w:val="0071035E"/>
    <w:rsid w:val="00721C2E"/>
    <w:rsid w:val="00737358"/>
    <w:rsid w:val="00743C43"/>
    <w:rsid w:val="0076485F"/>
    <w:rsid w:val="00767F84"/>
    <w:rsid w:val="007B66BD"/>
    <w:rsid w:val="007D188D"/>
    <w:rsid w:val="007E1959"/>
    <w:rsid w:val="007F4842"/>
    <w:rsid w:val="0081284B"/>
    <w:rsid w:val="008154DF"/>
    <w:rsid w:val="008507E2"/>
    <w:rsid w:val="00866FED"/>
    <w:rsid w:val="00885818"/>
    <w:rsid w:val="00887043"/>
    <w:rsid w:val="008A36C4"/>
    <w:rsid w:val="008D411B"/>
    <w:rsid w:val="0092588B"/>
    <w:rsid w:val="00944FDB"/>
    <w:rsid w:val="009530A8"/>
    <w:rsid w:val="00956850"/>
    <w:rsid w:val="00970981"/>
    <w:rsid w:val="009726A4"/>
    <w:rsid w:val="00972E9C"/>
    <w:rsid w:val="009B274B"/>
    <w:rsid w:val="00A005A2"/>
    <w:rsid w:val="00A340B2"/>
    <w:rsid w:val="00A3525D"/>
    <w:rsid w:val="00A4169A"/>
    <w:rsid w:val="00A47DC7"/>
    <w:rsid w:val="00A6149A"/>
    <w:rsid w:val="00A61556"/>
    <w:rsid w:val="00A67FF0"/>
    <w:rsid w:val="00A809DF"/>
    <w:rsid w:val="00AC057C"/>
    <w:rsid w:val="00B179B9"/>
    <w:rsid w:val="00B337D6"/>
    <w:rsid w:val="00B40AAA"/>
    <w:rsid w:val="00B5774E"/>
    <w:rsid w:val="00B62AE3"/>
    <w:rsid w:val="00BA0CEA"/>
    <w:rsid w:val="00BB0980"/>
    <w:rsid w:val="00BB1C48"/>
    <w:rsid w:val="00BC1E5C"/>
    <w:rsid w:val="00C02CBC"/>
    <w:rsid w:val="00C02E05"/>
    <w:rsid w:val="00C117C7"/>
    <w:rsid w:val="00C2141D"/>
    <w:rsid w:val="00C2602F"/>
    <w:rsid w:val="00C44A5B"/>
    <w:rsid w:val="00C74F53"/>
    <w:rsid w:val="00C751D4"/>
    <w:rsid w:val="00C91DE8"/>
    <w:rsid w:val="00C92435"/>
    <w:rsid w:val="00CA491B"/>
    <w:rsid w:val="00CA6E4A"/>
    <w:rsid w:val="00CB1831"/>
    <w:rsid w:val="00CD2EB9"/>
    <w:rsid w:val="00CF71B2"/>
    <w:rsid w:val="00D24D72"/>
    <w:rsid w:val="00D25FCD"/>
    <w:rsid w:val="00D320A6"/>
    <w:rsid w:val="00D360E5"/>
    <w:rsid w:val="00D7538C"/>
    <w:rsid w:val="00D851B9"/>
    <w:rsid w:val="00D86324"/>
    <w:rsid w:val="00D927FD"/>
    <w:rsid w:val="00D96277"/>
    <w:rsid w:val="00DA6460"/>
    <w:rsid w:val="00DA6D3E"/>
    <w:rsid w:val="00DE1193"/>
    <w:rsid w:val="00E44E87"/>
    <w:rsid w:val="00E63490"/>
    <w:rsid w:val="00E651DD"/>
    <w:rsid w:val="00E672CB"/>
    <w:rsid w:val="00E854D2"/>
    <w:rsid w:val="00E9738B"/>
    <w:rsid w:val="00EA142D"/>
    <w:rsid w:val="00ED0860"/>
    <w:rsid w:val="00EE7151"/>
    <w:rsid w:val="00EF25BC"/>
    <w:rsid w:val="00EF398F"/>
    <w:rsid w:val="00EF734D"/>
    <w:rsid w:val="00F3441B"/>
    <w:rsid w:val="00F4558E"/>
    <w:rsid w:val="00F479F1"/>
    <w:rsid w:val="00F666EB"/>
    <w:rsid w:val="00F86DE8"/>
    <w:rsid w:val="00FA3EFB"/>
    <w:rsid w:val="00FB3F9D"/>
    <w:rsid w:val="00FD02E8"/>
    <w:rsid w:val="00FD13D4"/>
    <w:rsid w:val="00FD17A6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4BE687"/>
  <w15:docId w15:val="{2E963E34-4128-40CF-8EDF-1B974989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1B28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1B283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E1D2A"/>
    <w:pPr>
      <w:ind w:left="720"/>
      <w:contextualSpacing/>
    </w:pPr>
  </w:style>
  <w:style w:type="paragraph" w:styleId="Poprawka">
    <w:name w:val="Revision"/>
    <w:hidden/>
    <w:uiPriority w:val="99"/>
    <w:semiHidden/>
    <w:rsid w:val="00FD13D4"/>
    <w:rPr>
      <w:sz w:val="24"/>
      <w:szCs w:val="24"/>
    </w:rPr>
  </w:style>
  <w:style w:type="paragraph" w:customStyle="1" w:styleId="pp1">
    <w:name w:val="pp_1"/>
    <w:basedOn w:val="Akapitzlist"/>
    <w:rsid w:val="001D3F42"/>
    <w:pPr>
      <w:numPr>
        <w:numId w:val="1"/>
      </w:numPr>
      <w:autoSpaceDE w:val="0"/>
      <w:autoSpaceDN w:val="0"/>
      <w:adjustRightInd w:val="0"/>
      <w:spacing w:line="276" w:lineRule="auto"/>
      <w:ind w:left="807" w:hanging="284"/>
    </w:pPr>
    <w:rPr>
      <w:sz w:val="20"/>
      <w:szCs w:val="20"/>
    </w:rPr>
  </w:style>
  <w:style w:type="paragraph" w:customStyle="1" w:styleId="Tyt">
    <w:name w:val="Tyt"/>
    <w:basedOn w:val="Normalny"/>
    <w:rsid w:val="006F40B3"/>
    <w:pPr>
      <w:autoSpaceDE w:val="0"/>
      <w:autoSpaceDN w:val="0"/>
      <w:adjustRightInd w:val="0"/>
      <w:spacing w:line="276" w:lineRule="auto"/>
    </w:pPr>
    <w:rPr>
      <w:b/>
      <w:bCs/>
      <w:sz w:val="20"/>
      <w:szCs w:val="20"/>
    </w:rPr>
  </w:style>
  <w:style w:type="paragraph" w:customStyle="1" w:styleId="pp02">
    <w:name w:val="pp_02"/>
    <w:basedOn w:val="Akapitzlist"/>
    <w:rsid w:val="00CD2EB9"/>
    <w:pPr>
      <w:autoSpaceDE w:val="0"/>
      <w:autoSpaceDN w:val="0"/>
      <w:adjustRightInd w:val="0"/>
      <w:spacing w:line="276" w:lineRule="auto"/>
      <w:ind w:left="1069" w:hanging="360"/>
    </w:pPr>
    <w:rPr>
      <w:sz w:val="20"/>
      <w:szCs w:val="20"/>
    </w:rPr>
  </w:style>
  <w:style w:type="paragraph" w:customStyle="1" w:styleId="pp03">
    <w:name w:val="pp_03"/>
    <w:basedOn w:val="Akapitzlist"/>
    <w:rsid w:val="001D3F42"/>
    <w:pPr>
      <w:numPr>
        <w:ilvl w:val="1"/>
        <w:numId w:val="2"/>
      </w:numPr>
      <w:autoSpaceDE w:val="0"/>
      <w:autoSpaceDN w:val="0"/>
      <w:adjustRightInd w:val="0"/>
      <w:spacing w:line="276" w:lineRule="auto"/>
      <w:ind w:left="807" w:hanging="284"/>
    </w:pPr>
    <w:rPr>
      <w:sz w:val="20"/>
      <w:szCs w:val="20"/>
    </w:rPr>
  </w:style>
  <w:style w:type="paragraph" w:styleId="Tekstpodstawowy">
    <w:name w:val="Body Text"/>
    <w:basedOn w:val="Normalny"/>
    <w:link w:val="TekstpodstawowyZnak"/>
    <w:rsid w:val="00CD2EB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CD2EB9"/>
    <w:rPr>
      <w:sz w:val="24"/>
      <w:szCs w:val="24"/>
    </w:rPr>
  </w:style>
  <w:style w:type="paragraph" w:styleId="Tekstpodstawowywcity">
    <w:name w:val="Body Text Indent"/>
    <w:basedOn w:val="Normalny"/>
    <w:link w:val="TekstpodstawowywcityZnak"/>
    <w:rsid w:val="00CD2EB9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CD2EB9"/>
    <w:rPr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rsid w:val="00CD2EB9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CD2EB9"/>
    <w:rPr>
      <w:sz w:val="24"/>
      <w:szCs w:val="24"/>
    </w:rPr>
  </w:style>
  <w:style w:type="paragraph" w:customStyle="1" w:styleId="pp00">
    <w:name w:val="pp_00"/>
    <w:basedOn w:val="Normalny"/>
    <w:rsid w:val="001A3E7A"/>
    <w:pPr>
      <w:autoSpaceDE w:val="0"/>
      <w:autoSpaceDN w:val="0"/>
      <w:adjustRightInd w:val="0"/>
      <w:spacing w:line="276" w:lineRule="auto"/>
      <w:ind w:left="206" w:hanging="206"/>
    </w:pPr>
    <w:rPr>
      <w:b/>
      <w:bCs/>
      <w:sz w:val="20"/>
      <w:szCs w:val="20"/>
    </w:rPr>
  </w:style>
  <w:style w:type="paragraph" w:customStyle="1" w:styleId="Ak01">
    <w:name w:val="Ak_01"/>
    <w:basedOn w:val="Normalny"/>
    <w:rsid w:val="001D3F42"/>
    <w:pPr>
      <w:autoSpaceDE w:val="0"/>
      <w:autoSpaceDN w:val="0"/>
      <w:adjustRightInd w:val="0"/>
      <w:spacing w:line="276" w:lineRule="auto"/>
      <w:ind w:left="204"/>
    </w:pPr>
    <w:rPr>
      <w:sz w:val="20"/>
      <w:szCs w:val="20"/>
    </w:rPr>
  </w:style>
  <w:style w:type="paragraph" w:customStyle="1" w:styleId="pp00A">
    <w:name w:val="pp_00A"/>
    <w:basedOn w:val="Normalny"/>
    <w:rsid w:val="001D3F42"/>
    <w:pPr>
      <w:autoSpaceDE w:val="0"/>
      <w:autoSpaceDN w:val="0"/>
      <w:adjustRightInd w:val="0"/>
      <w:spacing w:line="276" w:lineRule="auto"/>
      <w:ind w:left="523" w:hanging="337"/>
    </w:pPr>
    <w:rPr>
      <w:b/>
      <w:bCs/>
      <w:sz w:val="20"/>
      <w:szCs w:val="20"/>
    </w:rPr>
  </w:style>
  <w:style w:type="paragraph" w:customStyle="1" w:styleId="pp03N">
    <w:name w:val="pp_03_N"/>
    <w:basedOn w:val="pp02"/>
    <w:rsid w:val="001D3F42"/>
    <w:pPr>
      <w:numPr>
        <w:numId w:val="2"/>
      </w:numPr>
      <w:ind w:left="807" w:hanging="284"/>
    </w:pPr>
  </w:style>
  <w:style w:type="paragraph" w:customStyle="1" w:styleId="Ak00">
    <w:name w:val="Ak_00"/>
    <w:basedOn w:val="Ak01"/>
    <w:rsid w:val="004F78C8"/>
    <w:pPr>
      <w:ind w:left="62"/>
    </w:pPr>
  </w:style>
  <w:style w:type="paragraph" w:customStyle="1" w:styleId="ppN01">
    <w:name w:val="ppN_01"/>
    <w:basedOn w:val="Ak00"/>
    <w:rsid w:val="004F78C8"/>
    <w:pPr>
      <w:ind w:left="664" w:hanging="461"/>
    </w:pPr>
  </w:style>
  <w:style w:type="paragraph" w:customStyle="1" w:styleId="ppN02">
    <w:name w:val="ppN_02"/>
    <w:basedOn w:val="ppN01"/>
    <w:rsid w:val="004F78C8"/>
    <w:pPr>
      <w:ind w:left="771"/>
    </w:pPr>
  </w:style>
  <w:style w:type="paragraph" w:customStyle="1" w:styleId="ppN01B">
    <w:name w:val="ppN_01B"/>
    <w:basedOn w:val="ppN01"/>
    <w:rsid w:val="004F78C8"/>
    <w:rPr>
      <w:b/>
      <w:bCs/>
    </w:rPr>
  </w:style>
  <w:style w:type="paragraph" w:customStyle="1" w:styleId="ppN03">
    <w:name w:val="ppN_03"/>
    <w:basedOn w:val="ppN02"/>
    <w:rsid w:val="004F78C8"/>
    <w:pPr>
      <w:ind w:left="947" w:hanging="283"/>
    </w:pPr>
  </w:style>
  <w:style w:type="paragraph" w:customStyle="1" w:styleId="ppN04">
    <w:name w:val="ppN_04"/>
    <w:basedOn w:val="ppN03"/>
    <w:rsid w:val="004F78C8"/>
    <w:pPr>
      <w:ind w:left="1231" w:hanging="284"/>
    </w:pPr>
  </w:style>
  <w:style w:type="character" w:styleId="Odwoaniedokomentarza">
    <w:name w:val="annotation reference"/>
    <w:basedOn w:val="Domylnaczcionkaakapitu"/>
    <w:semiHidden/>
    <w:unhideWhenUsed/>
    <w:rsid w:val="002E6C36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2E6C3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2E6C36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2E6C3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2E6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C4225-DF5B-4344-8C98-F76F36D7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1604</Words>
  <Characters>10203</Characters>
  <Application>Microsoft Office Word</Application>
  <DocSecurity>0</DocSecurity>
  <Lines>85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Bołzan Renata</dc:creator>
  <cp:lastModifiedBy>Wilk Justyna</cp:lastModifiedBy>
  <cp:revision>3</cp:revision>
  <cp:lastPrinted>2023-05-19T10:18:00Z</cp:lastPrinted>
  <dcterms:created xsi:type="dcterms:W3CDTF">2024-09-04T11:57:00Z</dcterms:created>
  <dcterms:modified xsi:type="dcterms:W3CDTF">2024-09-04T12:05:00Z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91b42f-c435-42ca-9531-75a3f42aae3d_Enabled">
    <vt:lpwstr>true</vt:lpwstr>
  </property>
  <property fmtid="{D5CDD505-2E9C-101B-9397-08002B2CF9AE}" pid="3" name="MSIP_Label_4791b42f-c435-42ca-9531-75a3f42aae3d_SetDate">
    <vt:lpwstr>2023-05-19T06:18:35Z</vt:lpwstr>
  </property>
  <property fmtid="{D5CDD505-2E9C-101B-9397-08002B2CF9AE}" pid="4" name="MSIP_Label_4791b42f-c435-42ca-9531-75a3f42aae3d_Method">
    <vt:lpwstr>Privileged</vt:lpwstr>
  </property>
  <property fmtid="{D5CDD505-2E9C-101B-9397-08002B2CF9AE}" pid="5" name="MSIP_Label_4791b42f-c435-42ca-9531-75a3f42aae3d_Name">
    <vt:lpwstr>4791b42f-c435-42ca-9531-75a3f42aae3d</vt:lpwstr>
  </property>
  <property fmtid="{D5CDD505-2E9C-101B-9397-08002B2CF9AE}" pid="6" name="MSIP_Label_4791b42f-c435-42ca-9531-75a3f42aae3d_SiteId">
    <vt:lpwstr>7a916015-20ae-4ad1-9170-eefd915e9272</vt:lpwstr>
  </property>
  <property fmtid="{D5CDD505-2E9C-101B-9397-08002B2CF9AE}" pid="7" name="MSIP_Label_4791b42f-c435-42ca-9531-75a3f42aae3d_ActionId">
    <vt:lpwstr>cce90520-7bbe-4d47-a1f7-9123308e74ac</vt:lpwstr>
  </property>
  <property fmtid="{D5CDD505-2E9C-101B-9397-08002B2CF9AE}" pid="8" name="MSIP_Label_4791b42f-c435-42ca-9531-75a3f42aae3d_ContentBits">
    <vt:lpwstr>0</vt:lpwstr>
  </property>
</Properties>
</file>