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32" w:rsidRDefault="00995632" w:rsidP="00995632">
      <w:pPr>
        <w:autoSpaceDE w:val="0"/>
        <w:autoSpaceDN w:val="0"/>
        <w:adjustRightInd w:val="0"/>
        <w:rPr>
          <w:sz w:val="22"/>
        </w:rPr>
      </w:pPr>
      <w:r>
        <w:rPr>
          <w:sz w:val="22"/>
        </w:rPr>
        <w:t xml:space="preserve">Załącznik </w:t>
      </w:r>
      <w:r w:rsidR="00E11683">
        <w:rPr>
          <w:sz w:val="22"/>
        </w:rPr>
        <w:t>B.21.</w:t>
      </w:r>
      <w:r>
        <w:rPr>
          <w:sz w:val="22"/>
        </w:rPr>
        <w:fldChar w:fldCharType="begin"/>
      </w:r>
      <w:r>
        <w:rPr>
          <w:sz w:val="22"/>
        </w:rPr>
        <w:instrText xml:space="preserve"> FILENAME   \* MERGEFORMAT </w:instrText>
      </w:r>
      <w:r>
        <w:rPr>
          <w:sz w:val="22"/>
        </w:rPr>
        <w:fldChar w:fldCharType="end"/>
      </w:r>
    </w:p>
    <w:p w:rsidR="00F70953" w:rsidRPr="00995632" w:rsidRDefault="00F70953" w:rsidP="00F70953">
      <w:pPr>
        <w:autoSpaceDE w:val="0"/>
        <w:autoSpaceDN w:val="0"/>
        <w:adjustRightInd w:val="0"/>
        <w:rPr>
          <w:sz w:val="22"/>
          <w:szCs w:val="22"/>
        </w:rPr>
      </w:pPr>
    </w:p>
    <w:p w:rsidR="006504AC" w:rsidRPr="00E11683" w:rsidRDefault="00F10328" w:rsidP="00E11683">
      <w:pPr>
        <w:autoSpaceDE w:val="0"/>
        <w:autoSpaceDN w:val="0"/>
        <w:adjustRightInd w:val="0"/>
        <w:spacing w:after="240"/>
        <w:rPr>
          <w:b/>
          <w:sz w:val="28"/>
        </w:rPr>
      </w:pPr>
      <w:r w:rsidRPr="00E11683">
        <w:rPr>
          <w:b/>
          <w:sz w:val="28"/>
        </w:rPr>
        <w:t>LECZENIE CIĘŻKICH WRODZONYCH HIPERHOMOCYSTEINEMII  (ICD-10  E 72.1)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99"/>
        <w:gridCol w:w="4536"/>
        <w:gridCol w:w="5403"/>
      </w:tblGrid>
      <w:tr w:rsidR="00715074" w:rsidRPr="00E11683" w:rsidTr="00E11683">
        <w:trPr>
          <w:trHeight w:val="340"/>
        </w:trPr>
        <w:tc>
          <w:tcPr>
            <w:tcW w:w="0" w:type="auto"/>
            <w:gridSpan w:val="3"/>
            <w:vAlign w:val="center"/>
          </w:tcPr>
          <w:p w:rsidR="00715074" w:rsidRPr="00E11683" w:rsidRDefault="00715074" w:rsidP="00E11683">
            <w:pPr>
              <w:autoSpaceDE w:val="0"/>
              <w:autoSpaceDN w:val="0"/>
              <w:adjustRightInd w:val="0"/>
              <w:spacing w:line="276" w:lineRule="auto"/>
              <w:jc w:val="center"/>
              <w:rPr>
                <w:sz w:val="20"/>
                <w:szCs w:val="20"/>
              </w:rPr>
            </w:pPr>
            <w:r w:rsidRPr="00E11683">
              <w:rPr>
                <w:b/>
                <w:bCs/>
                <w:sz w:val="20"/>
                <w:szCs w:val="20"/>
              </w:rPr>
              <w:t>ZAKRES ŚWIADCZENIA GWARANTOWANEGO</w:t>
            </w:r>
          </w:p>
        </w:tc>
      </w:tr>
      <w:tr w:rsidR="00715074" w:rsidRPr="00E11683" w:rsidTr="00E11683">
        <w:tc>
          <w:tcPr>
            <w:tcW w:w="5599" w:type="dxa"/>
            <w:vAlign w:val="center"/>
          </w:tcPr>
          <w:p w:rsidR="00715074" w:rsidRPr="00E11683" w:rsidRDefault="00715074" w:rsidP="00E11683">
            <w:pPr>
              <w:autoSpaceDE w:val="0"/>
              <w:autoSpaceDN w:val="0"/>
              <w:adjustRightInd w:val="0"/>
              <w:spacing w:line="276" w:lineRule="auto"/>
              <w:jc w:val="center"/>
              <w:rPr>
                <w:sz w:val="20"/>
                <w:szCs w:val="20"/>
              </w:rPr>
            </w:pPr>
            <w:r w:rsidRPr="00E11683">
              <w:rPr>
                <w:b/>
                <w:bCs/>
                <w:sz w:val="20"/>
                <w:szCs w:val="20"/>
              </w:rPr>
              <w:t>ŚWIADCZENIOBIORCY</w:t>
            </w:r>
          </w:p>
        </w:tc>
        <w:tc>
          <w:tcPr>
            <w:tcW w:w="4536" w:type="dxa"/>
            <w:vAlign w:val="center"/>
          </w:tcPr>
          <w:p w:rsidR="00715074" w:rsidRPr="00E11683" w:rsidRDefault="00715074" w:rsidP="00E11683">
            <w:pPr>
              <w:autoSpaceDE w:val="0"/>
              <w:autoSpaceDN w:val="0"/>
              <w:adjustRightInd w:val="0"/>
              <w:spacing w:line="276" w:lineRule="auto"/>
              <w:jc w:val="center"/>
              <w:rPr>
                <w:sz w:val="20"/>
                <w:szCs w:val="20"/>
              </w:rPr>
            </w:pPr>
            <w:r w:rsidRPr="00E11683">
              <w:rPr>
                <w:b/>
                <w:bCs/>
                <w:sz w:val="20"/>
                <w:szCs w:val="20"/>
              </w:rPr>
              <w:t>SCHEMAT DAWKOWANIA LEKÓW W PROGRAMIE</w:t>
            </w:r>
          </w:p>
        </w:tc>
        <w:tc>
          <w:tcPr>
            <w:tcW w:w="5403" w:type="dxa"/>
            <w:vAlign w:val="center"/>
          </w:tcPr>
          <w:p w:rsidR="00715074" w:rsidRPr="00E11683" w:rsidRDefault="00715074" w:rsidP="00E11683">
            <w:pPr>
              <w:autoSpaceDE w:val="0"/>
              <w:autoSpaceDN w:val="0"/>
              <w:adjustRightInd w:val="0"/>
              <w:spacing w:line="276" w:lineRule="auto"/>
              <w:jc w:val="center"/>
              <w:rPr>
                <w:sz w:val="20"/>
                <w:szCs w:val="20"/>
              </w:rPr>
            </w:pPr>
            <w:r w:rsidRPr="00E11683">
              <w:rPr>
                <w:b/>
                <w:bCs/>
                <w:sz w:val="20"/>
                <w:szCs w:val="20"/>
              </w:rPr>
              <w:t>BADANIA DIAGNOSTYCZNE WYKONYWANE W RAMACH PROGRAMU</w:t>
            </w:r>
          </w:p>
        </w:tc>
      </w:tr>
      <w:tr w:rsidR="00715074" w:rsidRPr="00E11683" w:rsidTr="00E11683">
        <w:trPr>
          <w:trHeight w:val="4810"/>
        </w:trPr>
        <w:tc>
          <w:tcPr>
            <w:tcW w:w="5599" w:type="dxa"/>
          </w:tcPr>
          <w:p w:rsidR="00715074" w:rsidRDefault="00715074" w:rsidP="00E11683">
            <w:pPr>
              <w:autoSpaceDE w:val="0"/>
              <w:autoSpaceDN w:val="0"/>
              <w:adjustRightInd w:val="0"/>
              <w:spacing w:line="276" w:lineRule="auto"/>
              <w:rPr>
                <w:sz w:val="20"/>
                <w:szCs w:val="20"/>
              </w:rPr>
            </w:pPr>
            <w:r w:rsidRPr="00E11683">
              <w:rPr>
                <w:sz w:val="20"/>
                <w:szCs w:val="20"/>
              </w:rPr>
              <w:t xml:space="preserve">Kwalifikacji pacjentów do terapii dokonuje Zespół Koordynacyjny ds. Chorób Ultrarzadkich powoływany przez Prezesa Narodowego Funduszu Zdrowia. Kwalifikacja do programu oraz weryfikacja skuteczności leczenia co 6 miesięcy odbywa się w oparciu o ocenę stanu klinicznego świadczeniobiorcy oraz ocenę efektywności zastosowanej terapii. </w:t>
            </w:r>
          </w:p>
          <w:p w:rsidR="00E11683" w:rsidRPr="00E11683" w:rsidRDefault="00E11683" w:rsidP="00E11683">
            <w:pPr>
              <w:autoSpaceDE w:val="0"/>
              <w:autoSpaceDN w:val="0"/>
              <w:adjustRightInd w:val="0"/>
              <w:spacing w:line="276" w:lineRule="auto"/>
              <w:rPr>
                <w:sz w:val="20"/>
                <w:szCs w:val="20"/>
              </w:rPr>
            </w:pPr>
          </w:p>
          <w:p w:rsidR="00715074" w:rsidRPr="00E11683" w:rsidRDefault="00715074" w:rsidP="00E11683">
            <w:pPr>
              <w:autoSpaceDE w:val="0"/>
              <w:autoSpaceDN w:val="0"/>
              <w:adjustRightInd w:val="0"/>
              <w:spacing w:line="276" w:lineRule="auto"/>
              <w:rPr>
                <w:sz w:val="20"/>
                <w:szCs w:val="20"/>
              </w:rPr>
            </w:pPr>
            <w:r w:rsidRPr="00E11683">
              <w:rPr>
                <w:b/>
                <w:bCs/>
                <w:sz w:val="20"/>
                <w:szCs w:val="20"/>
              </w:rPr>
              <w:t xml:space="preserve">1. Kryteria kwalifikacji </w:t>
            </w:r>
          </w:p>
          <w:p w:rsidR="00715074" w:rsidRPr="00E11683" w:rsidRDefault="00715074" w:rsidP="00E11683">
            <w:pPr>
              <w:autoSpaceDE w:val="0"/>
              <w:autoSpaceDN w:val="0"/>
              <w:adjustRightInd w:val="0"/>
              <w:spacing w:line="276" w:lineRule="auto"/>
              <w:ind w:left="142"/>
              <w:rPr>
                <w:sz w:val="20"/>
                <w:szCs w:val="20"/>
              </w:rPr>
            </w:pPr>
            <w:r w:rsidRPr="00E11683">
              <w:rPr>
                <w:sz w:val="20"/>
                <w:szCs w:val="20"/>
              </w:rPr>
              <w:t>Leczenie następujących niedoborów enzymatycznych: beta-</w:t>
            </w:r>
            <w:proofErr w:type="spellStart"/>
            <w:r w:rsidRPr="00E11683">
              <w:rPr>
                <w:sz w:val="20"/>
                <w:szCs w:val="20"/>
              </w:rPr>
              <w:t>syntazy</w:t>
            </w:r>
            <w:proofErr w:type="spellEnd"/>
            <w:r w:rsidRPr="00E11683">
              <w:rPr>
                <w:sz w:val="20"/>
                <w:szCs w:val="20"/>
              </w:rPr>
              <w:t xml:space="preserve"> cystationiny (CBS), reduktazy 5,10-metylenotetrahydrofolianu (MTHFR) oraz niektórych zaburzeń metabolizmu </w:t>
            </w:r>
            <w:proofErr w:type="spellStart"/>
            <w:r w:rsidRPr="00E11683">
              <w:rPr>
                <w:sz w:val="20"/>
                <w:szCs w:val="20"/>
              </w:rPr>
              <w:t>kofaktora</w:t>
            </w:r>
            <w:proofErr w:type="spellEnd"/>
            <w:r w:rsidRPr="00E11683">
              <w:rPr>
                <w:sz w:val="20"/>
                <w:szCs w:val="20"/>
              </w:rPr>
              <w:t xml:space="preserve"> kobalaminy (</w:t>
            </w:r>
            <w:proofErr w:type="spellStart"/>
            <w:r w:rsidRPr="00E11683">
              <w:rPr>
                <w:sz w:val="20"/>
                <w:szCs w:val="20"/>
              </w:rPr>
              <w:t>cbl</w:t>
            </w:r>
            <w:proofErr w:type="spellEnd"/>
            <w:r w:rsidRPr="00E11683">
              <w:rPr>
                <w:sz w:val="20"/>
                <w:szCs w:val="20"/>
              </w:rPr>
              <w:t xml:space="preserve"> C,D,E,F,G):</w:t>
            </w:r>
          </w:p>
          <w:p w:rsidR="00715074" w:rsidRPr="00E11683" w:rsidRDefault="00715074" w:rsidP="00E11683">
            <w:pPr>
              <w:autoSpaceDE w:val="0"/>
              <w:autoSpaceDN w:val="0"/>
              <w:adjustRightInd w:val="0"/>
              <w:spacing w:line="276" w:lineRule="auto"/>
              <w:ind w:left="142"/>
              <w:rPr>
                <w:sz w:val="20"/>
                <w:szCs w:val="20"/>
              </w:rPr>
            </w:pPr>
            <w:r w:rsidRPr="00E11683">
              <w:rPr>
                <w:sz w:val="20"/>
                <w:szCs w:val="20"/>
              </w:rPr>
              <w:t xml:space="preserve">1) wysoki poziom </w:t>
            </w:r>
            <w:proofErr w:type="spellStart"/>
            <w:r w:rsidRPr="00E11683">
              <w:rPr>
                <w:sz w:val="20"/>
                <w:szCs w:val="20"/>
              </w:rPr>
              <w:t>homocysteiny</w:t>
            </w:r>
            <w:proofErr w:type="spellEnd"/>
            <w:r w:rsidRPr="00E11683">
              <w:rPr>
                <w:sz w:val="20"/>
                <w:szCs w:val="20"/>
              </w:rPr>
              <w:t xml:space="preserve"> we krwi, tj. &gt; 50 µmol/l, oraz nieprawidłowy poziom metioniny, tj. &lt; 5 lub &gt; 40 µmol/l, po wykluczeniu niedoboru witaminy B</w:t>
            </w:r>
            <w:r w:rsidRPr="00E11683">
              <w:rPr>
                <w:sz w:val="20"/>
                <w:szCs w:val="20"/>
                <w:vertAlign w:val="subscript"/>
              </w:rPr>
              <w:t>12</w:t>
            </w:r>
            <w:r w:rsidRPr="00E11683">
              <w:rPr>
                <w:sz w:val="20"/>
                <w:szCs w:val="20"/>
              </w:rPr>
              <w:t xml:space="preserve"> i kwasu foliowego. W przypadku niedoborów witaminy B</w:t>
            </w:r>
            <w:r w:rsidRPr="00E11683">
              <w:rPr>
                <w:sz w:val="20"/>
                <w:szCs w:val="20"/>
                <w:vertAlign w:val="subscript"/>
              </w:rPr>
              <w:t>12</w:t>
            </w:r>
            <w:r w:rsidRPr="00E11683">
              <w:rPr>
                <w:sz w:val="20"/>
                <w:szCs w:val="20"/>
              </w:rPr>
              <w:t xml:space="preserve"> lub kwasu foliowego należy dokonać powtórnej oceny poziomu </w:t>
            </w:r>
            <w:proofErr w:type="spellStart"/>
            <w:r w:rsidRPr="00E11683">
              <w:rPr>
                <w:sz w:val="20"/>
                <w:szCs w:val="20"/>
              </w:rPr>
              <w:t>homocysteiny</w:t>
            </w:r>
            <w:proofErr w:type="spellEnd"/>
            <w:r w:rsidRPr="00E11683">
              <w:rPr>
                <w:sz w:val="20"/>
                <w:szCs w:val="20"/>
              </w:rPr>
              <w:t xml:space="preserve"> i metioniny po uzupełnieniu niedoborów;</w:t>
            </w:r>
          </w:p>
          <w:p w:rsidR="00715074" w:rsidRPr="00E11683" w:rsidRDefault="00715074" w:rsidP="00E11683">
            <w:pPr>
              <w:autoSpaceDE w:val="0"/>
              <w:autoSpaceDN w:val="0"/>
              <w:adjustRightInd w:val="0"/>
              <w:spacing w:line="276" w:lineRule="auto"/>
              <w:ind w:left="142"/>
              <w:rPr>
                <w:sz w:val="20"/>
                <w:szCs w:val="20"/>
              </w:rPr>
            </w:pPr>
            <w:r w:rsidRPr="00E11683">
              <w:rPr>
                <w:sz w:val="20"/>
                <w:szCs w:val="20"/>
              </w:rPr>
              <w:t xml:space="preserve">2) w przypadku rozpoznania </w:t>
            </w:r>
            <w:proofErr w:type="spellStart"/>
            <w:r w:rsidRPr="00E11683">
              <w:rPr>
                <w:sz w:val="20"/>
                <w:szCs w:val="20"/>
              </w:rPr>
              <w:t>homocystynurii</w:t>
            </w:r>
            <w:proofErr w:type="spellEnd"/>
            <w:r w:rsidRPr="00E11683">
              <w:rPr>
                <w:sz w:val="20"/>
                <w:szCs w:val="20"/>
              </w:rPr>
              <w:t xml:space="preserve"> klasycznej (deficyt CBS) negatywny wynik testu obciążenia witaminą B</w:t>
            </w:r>
            <w:r w:rsidRPr="00E11683">
              <w:rPr>
                <w:sz w:val="20"/>
                <w:szCs w:val="20"/>
                <w:vertAlign w:val="subscript"/>
              </w:rPr>
              <w:t>6</w:t>
            </w:r>
            <w:r w:rsidRPr="00E11683">
              <w:rPr>
                <w:sz w:val="20"/>
                <w:szCs w:val="20"/>
              </w:rPr>
              <w:t xml:space="preserve"> (pirydoksyną). Za negatywny wynik testu należy rozumieć brak redukcji lub redukcję mniejszą niż 30% od stanu wyjściowego poziomu </w:t>
            </w:r>
            <w:proofErr w:type="spellStart"/>
            <w:r w:rsidRPr="00E11683">
              <w:rPr>
                <w:sz w:val="20"/>
                <w:szCs w:val="20"/>
              </w:rPr>
              <w:t>homocysteiny</w:t>
            </w:r>
            <w:proofErr w:type="spellEnd"/>
            <w:r w:rsidRPr="00E11683">
              <w:rPr>
                <w:sz w:val="20"/>
                <w:szCs w:val="20"/>
              </w:rPr>
              <w:t xml:space="preserve"> lub metioniny; kolejno w pierwszej dobie po podaniu doustnym 100 mg pirydoksyny, w przypadku braku reakcji w drugiej dobie należy podać 200 mg pirydoksyny. Jeżeli nadal brak reakcji w trzeciej dobie testu zalecane jest 500 mg (u </w:t>
            </w:r>
            <w:r w:rsidRPr="00E11683">
              <w:rPr>
                <w:sz w:val="20"/>
                <w:szCs w:val="20"/>
              </w:rPr>
              <w:lastRenderedPageBreak/>
              <w:t xml:space="preserve">dzieci do 3 roku życia dawka pirydoksyny w trzeciej dobie testu wynosi 300 mg). Poziomy </w:t>
            </w:r>
            <w:proofErr w:type="spellStart"/>
            <w:r w:rsidRPr="00E11683">
              <w:rPr>
                <w:sz w:val="20"/>
                <w:szCs w:val="20"/>
              </w:rPr>
              <w:t>homocysteiny</w:t>
            </w:r>
            <w:proofErr w:type="spellEnd"/>
            <w:r w:rsidRPr="00E11683">
              <w:rPr>
                <w:sz w:val="20"/>
                <w:szCs w:val="20"/>
              </w:rPr>
              <w:t xml:space="preserve"> i metioniny powinny być oznaczane 24 godziny po każdej dawce witaminy B</w:t>
            </w:r>
            <w:r w:rsidRPr="00E11683">
              <w:rPr>
                <w:sz w:val="20"/>
                <w:szCs w:val="20"/>
                <w:vertAlign w:val="subscript"/>
              </w:rPr>
              <w:t>6</w:t>
            </w:r>
            <w:r w:rsidRPr="00E11683">
              <w:rPr>
                <w:sz w:val="20"/>
                <w:szCs w:val="20"/>
              </w:rPr>
              <w:t>;</w:t>
            </w:r>
          </w:p>
          <w:p w:rsidR="00F10328" w:rsidRPr="00E11683" w:rsidRDefault="00F10328" w:rsidP="00E11683">
            <w:pPr>
              <w:autoSpaceDE w:val="0"/>
              <w:autoSpaceDN w:val="0"/>
              <w:adjustRightInd w:val="0"/>
              <w:spacing w:line="276" w:lineRule="auto"/>
              <w:ind w:left="142"/>
              <w:rPr>
                <w:sz w:val="20"/>
                <w:szCs w:val="20"/>
              </w:rPr>
            </w:pPr>
            <w:r w:rsidRPr="00E11683">
              <w:rPr>
                <w:sz w:val="20"/>
                <w:szCs w:val="20"/>
              </w:rPr>
              <w:t>3) w przypadku niejednoznacznych wyników badań biochemicznych wskazane jest potwierdzenie rozpoznania badaniem enzymatycznym, analizą komplementarności w fibroblastach skóry lub analizą DNA.</w:t>
            </w:r>
          </w:p>
          <w:p w:rsidR="00F10328" w:rsidRPr="00E11683" w:rsidRDefault="00F10328" w:rsidP="00E11683">
            <w:pPr>
              <w:autoSpaceDE w:val="0"/>
              <w:autoSpaceDN w:val="0"/>
              <w:adjustRightInd w:val="0"/>
              <w:spacing w:line="276" w:lineRule="auto"/>
              <w:rPr>
                <w:sz w:val="20"/>
                <w:szCs w:val="20"/>
              </w:rPr>
            </w:pPr>
          </w:p>
          <w:p w:rsidR="00F10328" w:rsidRPr="00E11683" w:rsidRDefault="00F10328" w:rsidP="00E11683">
            <w:pPr>
              <w:autoSpaceDE w:val="0"/>
              <w:autoSpaceDN w:val="0"/>
              <w:adjustRightInd w:val="0"/>
              <w:spacing w:line="276" w:lineRule="auto"/>
              <w:rPr>
                <w:b/>
                <w:sz w:val="20"/>
                <w:szCs w:val="20"/>
              </w:rPr>
            </w:pPr>
            <w:r w:rsidRPr="00E11683">
              <w:rPr>
                <w:b/>
                <w:sz w:val="20"/>
                <w:szCs w:val="20"/>
              </w:rPr>
              <w:t>2. Określenie czasu leczenia w programie</w:t>
            </w:r>
          </w:p>
          <w:p w:rsidR="00F10328" w:rsidRPr="00E11683" w:rsidRDefault="00F10328" w:rsidP="00E11683">
            <w:pPr>
              <w:autoSpaceDE w:val="0"/>
              <w:autoSpaceDN w:val="0"/>
              <w:adjustRightInd w:val="0"/>
              <w:spacing w:line="276" w:lineRule="auto"/>
              <w:ind w:left="142"/>
              <w:rPr>
                <w:sz w:val="20"/>
                <w:szCs w:val="20"/>
              </w:rPr>
            </w:pPr>
            <w:r w:rsidRPr="00E11683">
              <w:rPr>
                <w:sz w:val="20"/>
                <w:szCs w:val="20"/>
              </w:rPr>
              <w:t>Leczenie trwa do czasu podjęcia przez Zespół Koordynacyjny ds. Chorób Ultrarzadkich lub lekarza prowadzącego decyzji o wyłączeniu świadczeniobiorcy z programu, zgodnie z kryteriami wyłączenia.</w:t>
            </w:r>
          </w:p>
          <w:p w:rsidR="00F10328" w:rsidRPr="00E11683" w:rsidRDefault="00F10328" w:rsidP="00E11683">
            <w:pPr>
              <w:autoSpaceDE w:val="0"/>
              <w:autoSpaceDN w:val="0"/>
              <w:adjustRightInd w:val="0"/>
              <w:spacing w:line="276" w:lineRule="auto"/>
              <w:rPr>
                <w:sz w:val="20"/>
                <w:szCs w:val="20"/>
              </w:rPr>
            </w:pPr>
          </w:p>
          <w:p w:rsidR="00F10328" w:rsidRPr="00E11683" w:rsidRDefault="00F10328" w:rsidP="00E11683">
            <w:pPr>
              <w:autoSpaceDE w:val="0"/>
              <w:autoSpaceDN w:val="0"/>
              <w:adjustRightInd w:val="0"/>
              <w:spacing w:line="276" w:lineRule="auto"/>
              <w:rPr>
                <w:b/>
                <w:sz w:val="20"/>
                <w:szCs w:val="20"/>
              </w:rPr>
            </w:pPr>
            <w:r w:rsidRPr="00E11683">
              <w:rPr>
                <w:b/>
                <w:sz w:val="20"/>
                <w:szCs w:val="20"/>
              </w:rPr>
              <w:t>3. Kryteria wyłączenia:</w:t>
            </w:r>
          </w:p>
          <w:p w:rsidR="00F10328" w:rsidRPr="00E11683" w:rsidRDefault="00F10328" w:rsidP="00E11683">
            <w:pPr>
              <w:autoSpaceDE w:val="0"/>
              <w:autoSpaceDN w:val="0"/>
              <w:adjustRightInd w:val="0"/>
              <w:spacing w:line="276" w:lineRule="auto"/>
              <w:ind w:left="142"/>
              <w:rPr>
                <w:sz w:val="20"/>
                <w:szCs w:val="20"/>
              </w:rPr>
            </w:pPr>
            <w:r w:rsidRPr="00E11683">
              <w:rPr>
                <w:sz w:val="20"/>
                <w:szCs w:val="20"/>
              </w:rPr>
              <w:t xml:space="preserve">1) wystąpienie nadwrażliwości na betainę; </w:t>
            </w:r>
          </w:p>
          <w:p w:rsidR="00F10328" w:rsidRPr="00E11683" w:rsidRDefault="00F10328" w:rsidP="00E11683">
            <w:pPr>
              <w:autoSpaceDE w:val="0"/>
              <w:autoSpaceDN w:val="0"/>
              <w:adjustRightInd w:val="0"/>
              <w:spacing w:line="276" w:lineRule="auto"/>
              <w:ind w:left="142"/>
              <w:rPr>
                <w:sz w:val="20"/>
                <w:szCs w:val="20"/>
              </w:rPr>
            </w:pPr>
            <w:r w:rsidRPr="00E11683">
              <w:rPr>
                <w:sz w:val="20"/>
                <w:szCs w:val="20"/>
              </w:rPr>
              <w:t xml:space="preserve">2) pozytywny wynik testu z witaminą B6 - pacjenci z tym typem </w:t>
            </w:r>
            <w:proofErr w:type="spellStart"/>
            <w:r w:rsidRPr="00E11683">
              <w:rPr>
                <w:sz w:val="20"/>
                <w:szCs w:val="20"/>
              </w:rPr>
              <w:t>homocystynurii</w:t>
            </w:r>
            <w:proofErr w:type="spellEnd"/>
            <w:r w:rsidRPr="00E11683">
              <w:rPr>
                <w:sz w:val="20"/>
                <w:szCs w:val="20"/>
              </w:rPr>
              <w:t xml:space="preserve"> witaminoB6-zależnej odpowiadają bowiem na leczenie pirydoksyną w stopniu zadowalającym i nie wymagają dodatkowej podaży betainy; </w:t>
            </w:r>
          </w:p>
          <w:p w:rsidR="00F10328" w:rsidRPr="00E11683" w:rsidRDefault="00F10328" w:rsidP="00E11683">
            <w:pPr>
              <w:autoSpaceDE w:val="0"/>
              <w:autoSpaceDN w:val="0"/>
              <w:adjustRightInd w:val="0"/>
              <w:spacing w:line="276" w:lineRule="auto"/>
              <w:ind w:left="142"/>
              <w:rPr>
                <w:sz w:val="20"/>
                <w:szCs w:val="20"/>
              </w:rPr>
            </w:pPr>
            <w:r w:rsidRPr="00E11683">
              <w:rPr>
                <w:sz w:val="20"/>
                <w:szCs w:val="20"/>
              </w:rPr>
              <w:t xml:space="preserve">3) dyskwalifikacja z powodu działań niepożądanych leku, w tym wystąpienia obrzęku mózgu związanego z wysokim poziomem metioniny we krwi &gt; 1000 µmol/l u pacjentów z </w:t>
            </w:r>
            <w:proofErr w:type="spellStart"/>
            <w:r w:rsidRPr="00E11683">
              <w:rPr>
                <w:sz w:val="20"/>
                <w:szCs w:val="20"/>
              </w:rPr>
              <w:t>homocystynurią</w:t>
            </w:r>
            <w:proofErr w:type="spellEnd"/>
            <w:r w:rsidRPr="00E11683">
              <w:rPr>
                <w:sz w:val="20"/>
                <w:szCs w:val="20"/>
              </w:rPr>
              <w:t xml:space="preserve"> klasyczną (deficyt CBS); </w:t>
            </w:r>
          </w:p>
          <w:p w:rsidR="00F10328" w:rsidRPr="00E11683" w:rsidRDefault="00F10328" w:rsidP="00E11683">
            <w:pPr>
              <w:autoSpaceDE w:val="0"/>
              <w:autoSpaceDN w:val="0"/>
              <w:adjustRightInd w:val="0"/>
              <w:spacing w:line="276" w:lineRule="auto"/>
              <w:ind w:left="142"/>
              <w:rPr>
                <w:sz w:val="20"/>
                <w:szCs w:val="20"/>
              </w:rPr>
            </w:pPr>
            <w:r w:rsidRPr="00E11683">
              <w:rPr>
                <w:sz w:val="20"/>
                <w:szCs w:val="20"/>
              </w:rPr>
              <w:t xml:space="preserve">4) stwierdzenie nieskuteczności leczenia - weryfikacji skuteczności leczenia dokonuje co 6 miesięcy Zespół Koordynacyjny ds. Chorób Ultrarzadkich, na podstawie nadesłanej karty monitorowania terapii; </w:t>
            </w:r>
          </w:p>
          <w:p w:rsidR="00315D0F" w:rsidRPr="00E11683" w:rsidRDefault="00F10328" w:rsidP="00E11683">
            <w:pPr>
              <w:autoSpaceDE w:val="0"/>
              <w:autoSpaceDN w:val="0"/>
              <w:adjustRightInd w:val="0"/>
              <w:spacing w:line="276" w:lineRule="auto"/>
              <w:ind w:left="142"/>
              <w:rPr>
                <w:sz w:val="20"/>
                <w:szCs w:val="20"/>
              </w:rPr>
            </w:pPr>
            <w:r w:rsidRPr="00E11683">
              <w:rPr>
                <w:sz w:val="20"/>
                <w:szCs w:val="20"/>
              </w:rPr>
              <w:t>5) ciąża lub karmienie piersią</w:t>
            </w:r>
            <w:r w:rsidR="00315D0F" w:rsidRPr="00E11683">
              <w:rPr>
                <w:sz w:val="20"/>
                <w:szCs w:val="20"/>
              </w:rPr>
              <w:t>.</w:t>
            </w:r>
          </w:p>
        </w:tc>
        <w:tc>
          <w:tcPr>
            <w:tcW w:w="4536" w:type="dxa"/>
          </w:tcPr>
          <w:p w:rsidR="00715074" w:rsidRPr="00E11683" w:rsidRDefault="00715074" w:rsidP="00E11683">
            <w:pPr>
              <w:autoSpaceDE w:val="0"/>
              <w:autoSpaceDN w:val="0"/>
              <w:adjustRightInd w:val="0"/>
              <w:spacing w:line="276" w:lineRule="auto"/>
              <w:rPr>
                <w:sz w:val="20"/>
                <w:szCs w:val="20"/>
              </w:rPr>
            </w:pPr>
            <w:r w:rsidRPr="00E11683">
              <w:rPr>
                <w:sz w:val="20"/>
                <w:szCs w:val="20"/>
              </w:rPr>
              <w:lastRenderedPageBreak/>
              <w:t xml:space="preserve"> </w:t>
            </w:r>
            <w:r w:rsidRPr="00E11683">
              <w:rPr>
                <w:b/>
                <w:bCs/>
                <w:sz w:val="20"/>
                <w:szCs w:val="20"/>
              </w:rPr>
              <w:t>1. Dawkowanie</w:t>
            </w:r>
          </w:p>
          <w:p w:rsidR="00715074" w:rsidRPr="00E11683" w:rsidRDefault="00715074" w:rsidP="00E11683">
            <w:pPr>
              <w:autoSpaceDE w:val="0"/>
              <w:autoSpaceDN w:val="0"/>
              <w:adjustRightInd w:val="0"/>
              <w:spacing w:line="276" w:lineRule="auto"/>
              <w:rPr>
                <w:sz w:val="20"/>
                <w:szCs w:val="20"/>
              </w:rPr>
            </w:pPr>
            <w:r w:rsidRPr="00E11683">
              <w:rPr>
                <w:sz w:val="20"/>
                <w:szCs w:val="20"/>
              </w:rPr>
              <w:t xml:space="preserve">1.1 Zalecana dawka dobowa betainy bezwodnej u pacjentów dorosłych i dzieci w wieku powyżej 10 lat wynosi </w:t>
            </w:r>
            <w:smartTag w:uri="urn:schemas-microsoft-com:office:smarttags" w:element="metricconverter">
              <w:smartTagPr>
                <w:attr w:name="ProductID" w:val="6 g"/>
              </w:smartTagPr>
              <w:r w:rsidRPr="00E11683">
                <w:rPr>
                  <w:sz w:val="20"/>
                  <w:szCs w:val="20"/>
                </w:rPr>
                <w:t>6 g</w:t>
              </w:r>
            </w:smartTag>
            <w:r w:rsidRPr="00E11683">
              <w:rPr>
                <w:sz w:val="20"/>
                <w:szCs w:val="20"/>
              </w:rPr>
              <w:t>.</w:t>
            </w:r>
          </w:p>
          <w:p w:rsidR="00715074" w:rsidRPr="00E11683" w:rsidRDefault="00715074" w:rsidP="00E11683">
            <w:pPr>
              <w:autoSpaceDE w:val="0"/>
              <w:autoSpaceDN w:val="0"/>
              <w:adjustRightInd w:val="0"/>
              <w:spacing w:line="276" w:lineRule="auto"/>
              <w:rPr>
                <w:sz w:val="20"/>
                <w:szCs w:val="20"/>
              </w:rPr>
            </w:pPr>
            <w:r w:rsidRPr="00E11683">
              <w:rPr>
                <w:sz w:val="20"/>
                <w:szCs w:val="20"/>
              </w:rPr>
              <w:t>Preparat podaje si</w:t>
            </w:r>
            <w:r w:rsidR="00E11683">
              <w:rPr>
                <w:sz w:val="20"/>
                <w:szCs w:val="20"/>
              </w:rPr>
              <w:t>ę doustnie, dwa razy na dobę, w  </w:t>
            </w:r>
            <w:r w:rsidRPr="00E11683">
              <w:rPr>
                <w:sz w:val="20"/>
                <w:szCs w:val="20"/>
              </w:rPr>
              <w:t xml:space="preserve">dawkach podzielonych po </w:t>
            </w:r>
            <w:smartTag w:uri="urn:schemas-microsoft-com:office:smarttags" w:element="metricconverter">
              <w:smartTagPr>
                <w:attr w:name="ProductID" w:val="3 g"/>
              </w:smartTagPr>
              <w:r w:rsidRPr="00E11683">
                <w:rPr>
                  <w:sz w:val="20"/>
                  <w:szCs w:val="20"/>
                </w:rPr>
                <w:t>3 g</w:t>
              </w:r>
            </w:smartTag>
            <w:r w:rsidRPr="00E11683">
              <w:rPr>
                <w:sz w:val="20"/>
                <w:szCs w:val="20"/>
              </w:rPr>
              <w:t>.</w:t>
            </w:r>
          </w:p>
          <w:p w:rsidR="00715074" w:rsidRPr="00E11683" w:rsidRDefault="00715074" w:rsidP="00E11683">
            <w:pPr>
              <w:autoSpaceDE w:val="0"/>
              <w:autoSpaceDN w:val="0"/>
              <w:adjustRightInd w:val="0"/>
              <w:spacing w:line="276" w:lineRule="auto"/>
              <w:rPr>
                <w:sz w:val="20"/>
                <w:szCs w:val="20"/>
              </w:rPr>
            </w:pPr>
            <w:r w:rsidRPr="00E11683">
              <w:rPr>
                <w:sz w:val="20"/>
                <w:szCs w:val="20"/>
              </w:rPr>
              <w:t xml:space="preserve">W ciężkich postaciach deficytu MTHFR może wystąpić konieczność zwiększenia dawki do </w:t>
            </w:r>
            <w:smartTag w:uri="urn:schemas-microsoft-com:office:smarttags" w:element="metricconverter">
              <w:smartTagPr>
                <w:attr w:name="ProductID" w:val="9 g"/>
              </w:smartTagPr>
              <w:r w:rsidRPr="00E11683">
                <w:rPr>
                  <w:sz w:val="20"/>
                  <w:szCs w:val="20"/>
                </w:rPr>
                <w:t>9 g</w:t>
              </w:r>
            </w:smartTag>
            <w:r w:rsidRPr="00E11683">
              <w:rPr>
                <w:sz w:val="20"/>
                <w:szCs w:val="20"/>
              </w:rPr>
              <w:t xml:space="preserve"> betainy na dobę.</w:t>
            </w:r>
          </w:p>
          <w:p w:rsidR="00715074" w:rsidRPr="00E11683" w:rsidRDefault="00715074" w:rsidP="00E11683">
            <w:pPr>
              <w:autoSpaceDE w:val="0"/>
              <w:autoSpaceDN w:val="0"/>
              <w:adjustRightInd w:val="0"/>
              <w:spacing w:line="276" w:lineRule="auto"/>
              <w:rPr>
                <w:sz w:val="20"/>
                <w:szCs w:val="20"/>
              </w:rPr>
            </w:pPr>
          </w:p>
          <w:p w:rsidR="000326E4" w:rsidRPr="00E11683" w:rsidRDefault="00175A82" w:rsidP="00E11683">
            <w:pPr>
              <w:autoSpaceDE w:val="0"/>
              <w:autoSpaceDN w:val="0"/>
              <w:adjustRightInd w:val="0"/>
              <w:spacing w:line="276" w:lineRule="auto"/>
              <w:rPr>
                <w:sz w:val="20"/>
                <w:szCs w:val="20"/>
              </w:rPr>
            </w:pPr>
            <w:r w:rsidRPr="00E11683">
              <w:rPr>
                <w:sz w:val="20"/>
                <w:szCs w:val="20"/>
              </w:rPr>
              <w:t>1.2 U dzieci w wieku poniżej 10 lat zwykle skuteczne jest dawkowanie 100 mg/kg mc/dobę w 2 dawkach podzielonych; zwiększenie dawkowania ponad 2 razy na dobę lub zwiększenie wielkości dawki ponad 150 mg/kg mc/dobę nie jest zalecane, bo nie zwiększa skuteczności leczenia.</w:t>
            </w:r>
          </w:p>
          <w:p w:rsidR="000326E4" w:rsidRPr="00E11683" w:rsidRDefault="000326E4" w:rsidP="00E11683">
            <w:pPr>
              <w:autoSpaceDE w:val="0"/>
              <w:autoSpaceDN w:val="0"/>
              <w:adjustRightInd w:val="0"/>
              <w:spacing w:line="276" w:lineRule="auto"/>
              <w:rPr>
                <w:sz w:val="20"/>
                <w:szCs w:val="20"/>
              </w:rPr>
            </w:pPr>
          </w:p>
        </w:tc>
        <w:tc>
          <w:tcPr>
            <w:tcW w:w="5403" w:type="dxa"/>
          </w:tcPr>
          <w:p w:rsidR="00715074" w:rsidRPr="00E11683" w:rsidRDefault="00715074" w:rsidP="00E11683">
            <w:pPr>
              <w:autoSpaceDE w:val="0"/>
              <w:autoSpaceDN w:val="0"/>
              <w:adjustRightInd w:val="0"/>
              <w:spacing w:line="276" w:lineRule="auto"/>
              <w:rPr>
                <w:sz w:val="20"/>
                <w:szCs w:val="20"/>
              </w:rPr>
            </w:pPr>
            <w:r w:rsidRPr="00E11683">
              <w:rPr>
                <w:sz w:val="20"/>
                <w:szCs w:val="20"/>
              </w:rPr>
              <w:t xml:space="preserve"> </w:t>
            </w:r>
            <w:r w:rsidRPr="00E11683">
              <w:rPr>
                <w:b/>
                <w:bCs/>
                <w:sz w:val="20"/>
                <w:szCs w:val="20"/>
              </w:rPr>
              <w:t>1. Badania przy kwalifikacji:</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 xml:space="preserve">poziom </w:t>
            </w:r>
            <w:proofErr w:type="spellStart"/>
            <w:r w:rsidRPr="00E11683">
              <w:rPr>
                <w:sz w:val="20"/>
                <w:szCs w:val="20"/>
              </w:rPr>
              <w:t>homocysteiny</w:t>
            </w:r>
            <w:proofErr w:type="spellEnd"/>
            <w:r w:rsidRPr="00E11683">
              <w:rPr>
                <w:sz w:val="20"/>
                <w:szCs w:val="20"/>
              </w:rPr>
              <w:t xml:space="preserve"> całkowitej we krwi;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poziom metioniny we krwi (</w:t>
            </w:r>
            <w:proofErr w:type="spellStart"/>
            <w:r w:rsidRPr="00E11683">
              <w:rPr>
                <w:sz w:val="20"/>
                <w:szCs w:val="20"/>
              </w:rPr>
              <w:t>aminoacydogram</w:t>
            </w:r>
            <w:proofErr w:type="spellEnd"/>
            <w:r w:rsidRPr="00E11683">
              <w:rPr>
                <w:sz w:val="20"/>
                <w:szCs w:val="20"/>
              </w:rPr>
              <w:t xml:space="preserve">);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 xml:space="preserve">morfologia krwi;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stężenie witaminy B</w:t>
            </w:r>
            <w:r w:rsidRPr="00E11683">
              <w:rPr>
                <w:sz w:val="20"/>
                <w:szCs w:val="20"/>
                <w:vertAlign w:val="subscript"/>
              </w:rPr>
              <w:t>12</w:t>
            </w:r>
            <w:r w:rsidRPr="00E11683">
              <w:rPr>
                <w:sz w:val="20"/>
                <w:szCs w:val="20"/>
              </w:rPr>
              <w:t xml:space="preserve"> i kwasu foliowego we krwi;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profil kwasów or</w:t>
            </w:r>
            <w:r w:rsidR="00E11683">
              <w:rPr>
                <w:sz w:val="20"/>
                <w:szCs w:val="20"/>
              </w:rPr>
              <w:t>ganicznych moczu metodą GC/MS z  </w:t>
            </w:r>
            <w:r w:rsidRPr="00E11683">
              <w:rPr>
                <w:sz w:val="20"/>
                <w:szCs w:val="20"/>
              </w:rPr>
              <w:t xml:space="preserve">ilościową oceną wydalania kwasu </w:t>
            </w:r>
            <w:proofErr w:type="spellStart"/>
            <w:r w:rsidRPr="00E11683">
              <w:rPr>
                <w:sz w:val="20"/>
                <w:szCs w:val="20"/>
              </w:rPr>
              <w:t>metylomalonowego</w:t>
            </w:r>
            <w:proofErr w:type="spellEnd"/>
            <w:r w:rsidRPr="00E11683">
              <w:rPr>
                <w:sz w:val="20"/>
                <w:szCs w:val="20"/>
              </w:rPr>
              <w:t xml:space="preserve">;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lang w:val="en-US"/>
              </w:rPr>
            </w:pPr>
            <w:proofErr w:type="spellStart"/>
            <w:r w:rsidRPr="00E11683">
              <w:rPr>
                <w:sz w:val="20"/>
                <w:szCs w:val="20"/>
                <w:lang w:val="en-US"/>
              </w:rPr>
              <w:t>profil</w:t>
            </w:r>
            <w:proofErr w:type="spellEnd"/>
            <w:r w:rsidRPr="00E11683">
              <w:rPr>
                <w:sz w:val="20"/>
                <w:szCs w:val="20"/>
                <w:lang w:val="en-US"/>
              </w:rPr>
              <w:t xml:space="preserve"> </w:t>
            </w:r>
            <w:proofErr w:type="spellStart"/>
            <w:r w:rsidRPr="00E11683">
              <w:rPr>
                <w:sz w:val="20"/>
                <w:szCs w:val="20"/>
                <w:lang w:val="en-US"/>
              </w:rPr>
              <w:t>acylokarnityn</w:t>
            </w:r>
            <w:proofErr w:type="spellEnd"/>
            <w:r w:rsidRPr="00E11683">
              <w:rPr>
                <w:sz w:val="20"/>
                <w:szCs w:val="20"/>
                <w:lang w:val="en-US"/>
              </w:rPr>
              <w:t xml:space="preserve"> </w:t>
            </w:r>
            <w:proofErr w:type="spellStart"/>
            <w:r w:rsidRPr="00E11683">
              <w:rPr>
                <w:sz w:val="20"/>
                <w:szCs w:val="20"/>
                <w:lang w:val="en-US"/>
              </w:rPr>
              <w:t>metodą</w:t>
            </w:r>
            <w:proofErr w:type="spellEnd"/>
            <w:r w:rsidRPr="00E11683">
              <w:rPr>
                <w:sz w:val="20"/>
                <w:szCs w:val="20"/>
                <w:lang w:val="en-US"/>
              </w:rPr>
              <w:t xml:space="preserve"> MS/MS;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lang w:val="en-US"/>
              </w:rPr>
            </w:pPr>
            <w:r w:rsidRPr="00E11683">
              <w:rPr>
                <w:sz w:val="20"/>
                <w:szCs w:val="20"/>
                <w:lang w:val="en-US"/>
              </w:rPr>
              <w:t xml:space="preserve">MRI OUN;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 xml:space="preserve">konsultacja neurologiczna;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 xml:space="preserve">badanie psychologiczne, z oceną ilorazu inteligencji;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 xml:space="preserve">badanie densytometryczne </w:t>
            </w:r>
            <w:r w:rsidR="00E11683">
              <w:rPr>
                <w:sz w:val="20"/>
                <w:szCs w:val="20"/>
              </w:rPr>
              <w:t>kośćca (dla pacjentów powyżej 5  </w:t>
            </w:r>
            <w:r w:rsidRPr="00E11683">
              <w:rPr>
                <w:sz w:val="20"/>
                <w:szCs w:val="20"/>
              </w:rPr>
              <w:t xml:space="preserve">roku życia); </w:t>
            </w:r>
          </w:p>
          <w:p w:rsidR="00715074" w:rsidRPr="00E11683" w:rsidRDefault="00715074" w:rsidP="00E11683">
            <w:pPr>
              <w:pStyle w:val="Akapitzlist"/>
              <w:numPr>
                <w:ilvl w:val="0"/>
                <w:numId w:val="4"/>
              </w:numPr>
              <w:autoSpaceDE w:val="0"/>
              <w:autoSpaceDN w:val="0"/>
              <w:adjustRightInd w:val="0"/>
              <w:spacing w:line="276" w:lineRule="auto"/>
              <w:ind w:left="497"/>
              <w:rPr>
                <w:sz w:val="20"/>
                <w:szCs w:val="20"/>
              </w:rPr>
            </w:pPr>
            <w:r w:rsidRPr="00E11683">
              <w:rPr>
                <w:sz w:val="20"/>
                <w:szCs w:val="20"/>
              </w:rPr>
              <w:t xml:space="preserve">konsultacja okulistyczna, z oceną narządu wzroku w lampie szczelinowej (jeśli pacjent nie przebył </w:t>
            </w:r>
            <w:proofErr w:type="spellStart"/>
            <w:r w:rsidRPr="00E11683">
              <w:rPr>
                <w:sz w:val="20"/>
                <w:szCs w:val="20"/>
              </w:rPr>
              <w:t>lansektomii</w:t>
            </w:r>
            <w:proofErr w:type="spellEnd"/>
            <w:r w:rsidRPr="00E11683">
              <w:rPr>
                <w:sz w:val="20"/>
                <w:szCs w:val="20"/>
              </w:rPr>
              <w:t>).</w:t>
            </w:r>
          </w:p>
          <w:p w:rsidR="00777ECC" w:rsidRPr="00E11683" w:rsidRDefault="00777ECC" w:rsidP="00E11683">
            <w:pPr>
              <w:autoSpaceDE w:val="0"/>
              <w:autoSpaceDN w:val="0"/>
              <w:adjustRightInd w:val="0"/>
              <w:spacing w:line="276" w:lineRule="auto"/>
              <w:ind w:left="263"/>
              <w:rPr>
                <w:sz w:val="20"/>
                <w:szCs w:val="20"/>
              </w:rPr>
            </w:pPr>
          </w:p>
          <w:p w:rsidR="00715074" w:rsidRPr="00E11683" w:rsidRDefault="00715074" w:rsidP="00E11683">
            <w:pPr>
              <w:autoSpaceDE w:val="0"/>
              <w:autoSpaceDN w:val="0"/>
              <w:adjustRightInd w:val="0"/>
              <w:spacing w:line="276" w:lineRule="auto"/>
              <w:rPr>
                <w:sz w:val="20"/>
                <w:szCs w:val="20"/>
              </w:rPr>
            </w:pPr>
            <w:r w:rsidRPr="00E11683">
              <w:rPr>
                <w:b/>
                <w:bCs/>
                <w:sz w:val="20"/>
                <w:szCs w:val="20"/>
              </w:rPr>
              <w:t xml:space="preserve">2. Monitorowanie leczenia </w:t>
            </w:r>
            <w:r w:rsidR="007F6CC6" w:rsidRPr="00E11683">
              <w:rPr>
                <w:b/>
                <w:bCs/>
                <w:sz w:val="20"/>
                <w:szCs w:val="20"/>
              </w:rPr>
              <w:t>r</w:t>
            </w:r>
            <w:r w:rsidRPr="00E11683">
              <w:rPr>
                <w:b/>
                <w:bCs/>
                <w:sz w:val="20"/>
                <w:szCs w:val="20"/>
              </w:rPr>
              <w:t>az na 180 dni:</w:t>
            </w:r>
          </w:p>
          <w:p w:rsidR="00715074" w:rsidRPr="00E11683" w:rsidRDefault="00715074"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 xml:space="preserve">poziom </w:t>
            </w:r>
            <w:proofErr w:type="spellStart"/>
            <w:r w:rsidRPr="00E11683">
              <w:rPr>
                <w:sz w:val="20"/>
                <w:szCs w:val="20"/>
              </w:rPr>
              <w:t>homocysteiny</w:t>
            </w:r>
            <w:proofErr w:type="spellEnd"/>
            <w:r w:rsidRPr="00E11683">
              <w:rPr>
                <w:sz w:val="20"/>
                <w:szCs w:val="20"/>
              </w:rPr>
              <w:t xml:space="preserve"> całkowitej we krwi; </w:t>
            </w:r>
          </w:p>
          <w:p w:rsidR="00715074" w:rsidRPr="00E11683" w:rsidRDefault="00715074"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poziom metioniny we krwi (</w:t>
            </w:r>
            <w:proofErr w:type="spellStart"/>
            <w:r w:rsidRPr="00E11683">
              <w:rPr>
                <w:sz w:val="20"/>
                <w:szCs w:val="20"/>
              </w:rPr>
              <w:t>aminoacydogram</w:t>
            </w:r>
            <w:proofErr w:type="spellEnd"/>
            <w:r w:rsidRPr="00E11683">
              <w:rPr>
                <w:sz w:val="20"/>
                <w:szCs w:val="20"/>
              </w:rPr>
              <w:t xml:space="preserve">); </w:t>
            </w:r>
          </w:p>
          <w:p w:rsidR="00715074" w:rsidRPr="00E11683" w:rsidRDefault="00715074"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 xml:space="preserve">morfologia krwi; </w:t>
            </w:r>
          </w:p>
          <w:p w:rsidR="00715074" w:rsidRPr="00E11683" w:rsidRDefault="00715074"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stężenie witaminy B</w:t>
            </w:r>
            <w:r w:rsidRPr="00E11683">
              <w:rPr>
                <w:sz w:val="20"/>
                <w:szCs w:val="20"/>
                <w:vertAlign w:val="subscript"/>
              </w:rPr>
              <w:t>12</w:t>
            </w:r>
            <w:r w:rsidRPr="00E11683">
              <w:rPr>
                <w:sz w:val="20"/>
                <w:szCs w:val="20"/>
              </w:rPr>
              <w:t>, kwasu foliowego, witaminy 250HD</w:t>
            </w:r>
            <w:r w:rsidRPr="00E11683">
              <w:rPr>
                <w:sz w:val="20"/>
                <w:szCs w:val="20"/>
                <w:vertAlign w:val="subscript"/>
              </w:rPr>
              <w:t>3</w:t>
            </w:r>
            <w:r w:rsidRPr="00E11683">
              <w:rPr>
                <w:sz w:val="20"/>
                <w:szCs w:val="20"/>
              </w:rPr>
              <w:t xml:space="preserve"> we krwi; </w:t>
            </w:r>
          </w:p>
          <w:p w:rsidR="00715074" w:rsidRPr="00E11683" w:rsidRDefault="00715074"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poziom Ca, PO</w:t>
            </w:r>
            <w:r w:rsidRPr="00E11683">
              <w:rPr>
                <w:sz w:val="20"/>
                <w:szCs w:val="20"/>
                <w:vertAlign w:val="subscript"/>
              </w:rPr>
              <w:t>4</w:t>
            </w:r>
            <w:r w:rsidRPr="00E11683">
              <w:rPr>
                <w:sz w:val="20"/>
                <w:szCs w:val="20"/>
              </w:rPr>
              <w:t xml:space="preserve"> </w:t>
            </w:r>
            <w:r w:rsidRPr="00E11683">
              <w:rPr>
                <w:sz w:val="20"/>
                <w:szCs w:val="20"/>
                <w:vertAlign w:val="superscript"/>
              </w:rPr>
              <w:t>3-</w:t>
            </w:r>
            <w:r w:rsidRPr="00E11683">
              <w:rPr>
                <w:sz w:val="20"/>
                <w:szCs w:val="20"/>
              </w:rPr>
              <w:t>, fosfatazy alkalicznej we krwi;</w:t>
            </w:r>
          </w:p>
          <w:p w:rsidR="00F10328" w:rsidRPr="00E11683" w:rsidRDefault="00F10328"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 xml:space="preserve">badanie psychologiczne, z oceną ilorazu inteligencji; </w:t>
            </w:r>
          </w:p>
          <w:p w:rsidR="00F10328" w:rsidRPr="00E11683" w:rsidRDefault="00F10328"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 xml:space="preserve">badanie densytometryczne kośćca (dla pacjentów powyżej 5 roku życia); </w:t>
            </w:r>
          </w:p>
          <w:p w:rsidR="00F10328" w:rsidRPr="00E11683" w:rsidRDefault="00F10328"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lastRenderedPageBreak/>
              <w:t xml:space="preserve">konsultacja neurologiczna; </w:t>
            </w:r>
          </w:p>
          <w:p w:rsidR="00F10328" w:rsidRDefault="00F10328" w:rsidP="00E11683">
            <w:pPr>
              <w:pStyle w:val="Akapitzlist"/>
              <w:numPr>
                <w:ilvl w:val="0"/>
                <w:numId w:val="6"/>
              </w:numPr>
              <w:autoSpaceDE w:val="0"/>
              <w:autoSpaceDN w:val="0"/>
              <w:adjustRightInd w:val="0"/>
              <w:spacing w:line="276" w:lineRule="auto"/>
              <w:ind w:left="497"/>
              <w:rPr>
                <w:sz w:val="20"/>
                <w:szCs w:val="20"/>
              </w:rPr>
            </w:pPr>
            <w:r w:rsidRPr="00E11683">
              <w:rPr>
                <w:sz w:val="20"/>
                <w:szCs w:val="20"/>
              </w:rPr>
              <w:t>konsultacja dietetyczna.</w:t>
            </w:r>
          </w:p>
          <w:p w:rsidR="00E11683" w:rsidRPr="00E11683" w:rsidRDefault="00E11683" w:rsidP="00E11683">
            <w:pPr>
              <w:pStyle w:val="Akapitzlist"/>
              <w:autoSpaceDE w:val="0"/>
              <w:autoSpaceDN w:val="0"/>
              <w:adjustRightInd w:val="0"/>
              <w:spacing w:line="276" w:lineRule="auto"/>
              <w:ind w:left="497"/>
              <w:rPr>
                <w:sz w:val="10"/>
                <w:szCs w:val="20"/>
              </w:rPr>
            </w:pPr>
          </w:p>
          <w:p w:rsidR="00715074" w:rsidRPr="00E11683" w:rsidRDefault="00F10328" w:rsidP="00E11683">
            <w:pPr>
              <w:autoSpaceDE w:val="0"/>
              <w:autoSpaceDN w:val="0"/>
              <w:adjustRightInd w:val="0"/>
              <w:spacing w:line="276" w:lineRule="auto"/>
              <w:ind w:left="195"/>
              <w:rPr>
                <w:sz w:val="20"/>
                <w:szCs w:val="20"/>
              </w:rPr>
            </w:pPr>
            <w:r w:rsidRPr="00E11683">
              <w:rPr>
                <w:sz w:val="20"/>
                <w:szCs w:val="20"/>
              </w:rPr>
              <w:t>W przypadku napadowych objawów neurologicznych konieczne są aktualne badania MRI OUN lub EEG (zależnie od objawów). Okresowej skuteczności terapii dokonuje Zespół Koordynacyjny ds. Chorób Ultrarzadkich po przedstawieniu przez lekarza prowadzącego wymaganych kart monitorowania pacjenta.</w:t>
            </w:r>
          </w:p>
          <w:p w:rsidR="00315D0F" w:rsidRPr="00E11683" w:rsidRDefault="00315D0F" w:rsidP="00E11683">
            <w:pPr>
              <w:autoSpaceDE w:val="0"/>
              <w:autoSpaceDN w:val="0"/>
              <w:adjustRightInd w:val="0"/>
              <w:spacing w:line="276" w:lineRule="auto"/>
              <w:ind w:left="195"/>
              <w:rPr>
                <w:sz w:val="20"/>
                <w:szCs w:val="20"/>
              </w:rPr>
            </w:pPr>
          </w:p>
          <w:p w:rsidR="007F6CC6" w:rsidRPr="00E11683" w:rsidRDefault="00315D0F" w:rsidP="00E11683">
            <w:pPr>
              <w:widowControl w:val="0"/>
              <w:numPr>
                <w:ilvl w:val="0"/>
                <w:numId w:val="1"/>
              </w:numPr>
              <w:autoSpaceDE w:val="0"/>
              <w:autoSpaceDN w:val="0"/>
              <w:adjustRightInd w:val="0"/>
              <w:spacing w:line="276" w:lineRule="auto"/>
              <w:ind w:left="334"/>
              <w:jc w:val="both"/>
              <w:rPr>
                <w:sz w:val="20"/>
                <w:szCs w:val="20"/>
              </w:rPr>
            </w:pPr>
            <w:r w:rsidRPr="00E11683">
              <w:rPr>
                <w:b/>
                <w:sz w:val="20"/>
                <w:szCs w:val="20"/>
              </w:rPr>
              <w:t>Monitorowanie programu</w:t>
            </w:r>
          </w:p>
          <w:p w:rsidR="007F6CC6" w:rsidRPr="00E11683" w:rsidRDefault="007F6CC6" w:rsidP="00E11683">
            <w:pPr>
              <w:pStyle w:val="Akapitzlist"/>
              <w:numPr>
                <w:ilvl w:val="0"/>
                <w:numId w:val="2"/>
              </w:numPr>
              <w:autoSpaceDE w:val="0"/>
              <w:autoSpaceDN w:val="0"/>
              <w:adjustRightInd w:val="0"/>
              <w:spacing w:line="276" w:lineRule="auto"/>
              <w:ind w:left="497" w:hanging="284"/>
              <w:rPr>
                <w:sz w:val="20"/>
                <w:szCs w:val="20"/>
              </w:rPr>
            </w:pPr>
            <w:r w:rsidRPr="00E11683">
              <w:rPr>
                <w:sz w:val="20"/>
                <w:szCs w:val="20"/>
              </w:rPr>
              <w:t>gromadzenie w dokumentacji medycznej pacjenta danych dotyczących monitorowania leczenia i każdorazowe ich przedstawianie na żądanie kontrolerów  Narodowego Funduszu Zdrowia;</w:t>
            </w:r>
          </w:p>
          <w:p w:rsidR="007F6CC6" w:rsidRPr="00E11683" w:rsidRDefault="007F6CC6" w:rsidP="00E11683">
            <w:pPr>
              <w:pStyle w:val="Akapitzlist"/>
              <w:numPr>
                <w:ilvl w:val="0"/>
                <w:numId w:val="2"/>
              </w:numPr>
              <w:autoSpaceDE w:val="0"/>
              <w:autoSpaceDN w:val="0"/>
              <w:adjustRightInd w:val="0"/>
              <w:spacing w:line="276" w:lineRule="auto"/>
              <w:ind w:left="497" w:hanging="284"/>
              <w:rPr>
                <w:sz w:val="20"/>
                <w:szCs w:val="20"/>
              </w:rPr>
            </w:pPr>
            <w:r w:rsidRPr="00E11683">
              <w:rPr>
                <w:sz w:val="20"/>
                <w:szCs w:val="20"/>
              </w:rPr>
              <w:t>uzupełnienie danych zawartych w rejestrze (SMPT) dostępnym za pomocą aplikacji internetowej udostępnionej przez OW NFZ, z częstotliwością zgodną z opisem programu oraz na zakończenie leczenia;</w:t>
            </w:r>
          </w:p>
          <w:p w:rsidR="007F6CC6" w:rsidRPr="00E11683" w:rsidRDefault="007F6CC6" w:rsidP="00E11683">
            <w:pPr>
              <w:pStyle w:val="Akapitzlist"/>
              <w:numPr>
                <w:ilvl w:val="0"/>
                <w:numId w:val="2"/>
              </w:numPr>
              <w:autoSpaceDE w:val="0"/>
              <w:autoSpaceDN w:val="0"/>
              <w:adjustRightInd w:val="0"/>
              <w:spacing w:line="276" w:lineRule="auto"/>
              <w:ind w:left="497" w:hanging="284"/>
              <w:rPr>
                <w:sz w:val="20"/>
                <w:szCs w:val="20"/>
              </w:rPr>
            </w:pPr>
            <w:r w:rsidRPr="00E11683">
              <w:rPr>
                <w:sz w:val="20"/>
                <w:szCs w:val="20"/>
              </w:rPr>
              <w:t>przekazywanie informacji sprawozdawczo-rozliczeniowych do NFZ: informacje przekazuje się do NFZ w formie papierowej lub w formie elektronicznej, zgodnie z wymaganiami opublikowanymi przez Narodowy Fundusz Zdrowia.</w:t>
            </w:r>
          </w:p>
          <w:p w:rsidR="00315D0F" w:rsidRPr="00E11683" w:rsidRDefault="00315D0F" w:rsidP="00E11683">
            <w:pPr>
              <w:widowControl w:val="0"/>
              <w:autoSpaceDE w:val="0"/>
              <w:autoSpaceDN w:val="0"/>
              <w:adjustRightInd w:val="0"/>
              <w:spacing w:line="276" w:lineRule="auto"/>
              <w:jc w:val="both"/>
              <w:rPr>
                <w:sz w:val="20"/>
                <w:szCs w:val="20"/>
              </w:rPr>
            </w:pPr>
          </w:p>
        </w:tc>
      </w:tr>
    </w:tbl>
    <w:p w:rsidR="00510ACD" w:rsidRPr="00510ACD" w:rsidRDefault="00510ACD" w:rsidP="00510ACD">
      <w:pPr>
        <w:autoSpaceDE w:val="0"/>
        <w:autoSpaceDN w:val="0"/>
        <w:adjustRightInd w:val="0"/>
        <w:rPr>
          <w:rFonts w:ascii="Courier New" w:hAnsi="Courier New"/>
        </w:rPr>
      </w:pPr>
    </w:p>
    <w:p w:rsidR="006504AC" w:rsidRPr="006504AC" w:rsidRDefault="006504AC" w:rsidP="006504AC">
      <w:pPr>
        <w:autoSpaceDE w:val="0"/>
        <w:autoSpaceDN w:val="0"/>
        <w:adjustRightInd w:val="0"/>
        <w:rPr>
          <w:rFonts w:ascii="Courier New" w:hAnsi="Courier New"/>
        </w:rPr>
      </w:pPr>
    </w:p>
    <w:p w:rsidR="003F4A58" w:rsidRPr="003F4A58" w:rsidRDefault="003F4A58" w:rsidP="003F4A58">
      <w:pPr>
        <w:autoSpaceDE w:val="0"/>
        <w:autoSpaceDN w:val="0"/>
        <w:adjustRightInd w:val="0"/>
        <w:rPr>
          <w:rFonts w:ascii="Courier New" w:hAnsi="Courier New"/>
        </w:rPr>
      </w:pPr>
      <w:bookmarkStart w:id="0" w:name="_GoBack"/>
      <w:bookmarkEnd w:id="0"/>
    </w:p>
    <w:p w:rsidR="00743C43" w:rsidRDefault="00743C43"/>
    <w:sectPr w:rsidR="00743C43" w:rsidSect="00E91AC3">
      <w:pgSz w:w="16838" w:h="11906" w:orient="landscape" w:code="9"/>
      <w:pgMar w:top="1588" w:right="720" w:bottom="1418"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257D3"/>
    <w:multiLevelType w:val="hybridMultilevel"/>
    <w:tmpl w:val="F1307864"/>
    <w:lvl w:ilvl="0" w:tplc="ACDC159A">
      <w:start w:val="3"/>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3BD257A"/>
    <w:multiLevelType w:val="hybridMultilevel"/>
    <w:tmpl w:val="D4F2FDF6"/>
    <w:lvl w:ilvl="0" w:tplc="04150011">
      <w:start w:val="1"/>
      <w:numFmt w:val="decimal"/>
      <w:lvlText w:val="%1)"/>
      <w:lvlJc w:val="left"/>
      <w:pPr>
        <w:ind w:left="915" w:hanging="360"/>
      </w:pPr>
    </w:lvl>
    <w:lvl w:ilvl="1" w:tplc="04150019" w:tentative="1">
      <w:start w:val="1"/>
      <w:numFmt w:val="lowerLetter"/>
      <w:lvlText w:val="%2."/>
      <w:lvlJc w:val="left"/>
      <w:pPr>
        <w:ind w:left="1635" w:hanging="360"/>
      </w:pPr>
    </w:lvl>
    <w:lvl w:ilvl="2" w:tplc="0415001B" w:tentative="1">
      <w:start w:val="1"/>
      <w:numFmt w:val="lowerRoman"/>
      <w:lvlText w:val="%3."/>
      <w:lvlJc w:val="right"/>
      <w:pPr>
        <w:ind w:left="2355" w:hanging="180"/>
      </w:pPr>
    </w:lvl>
    <w:lvl w:ilvl="3" w:tplc="0415000F" w:tentative="1">
      <w:start w:val="1"/>
      <w:numFmt w:val="decimal"/>
      <w:lvlText w:val="%4."/>
      <w:lvlJc w:val="left"/>
      <w:pPr>
        <w:ind w:left="3075" w:hanging="360"/>
      </w:pPr>
    </w:lvl>
    <w:lvl w:ilvl="4" w:tplc="04150019" w:tentative="1">
      <w:start w:val="1"/>
      <w:numFmt w:val="lowerLetter"/>
      <w:lvlText w:val="%5."/>
      <w:lvlJc w:val="left"/>
      <w:pPr>
        <w:ind w:left="3795" w:hanging="360"/>
      </w:pPr>
    </w:lvl>
    <w:lvl w:ilvl="5" w:tplc="0415001B" w:tentative="1">
      <w:start w:val="1"/>
      <w:numFmt w:val="lowerRoman"/>
      <w:lvlText w:val="%6."/>
      <w:lvlJc w:val="right"/>
      <w:pPr>
        <w:ind w:left="4515" w:hanging="180"/>
      </w:pPr>
    </w:lvl>
    <w:lvl w:ilvl="6" w:tplc="0415000F" w:tentative="1">
      <w:start w:val="1"/>
      <w:numFmt w:val="decimal"/>
      <w:lvlText w:val="%7."/>
      <w:lvlJc w:val="left"/>
      <w:pPr>
        <w:ind w:left="5235" w:hanging="360"/>
      </w:pPr>
    </w:lvl>
    <w:lvl w:ilvl="7" w:tplc="04150019" w:tentative="1">
      <w:start w:val="1"/>
      <w:numFmt w:val="lowerLetter"/>
      <w:lvlText w:val="%8."/>
      <w:lvlJc w:val="left"/>
      <w:pPr>
        <w:ind w:left="5955" w:hanging="360"/>
      </w:pPr>
    </w:lvl>
    <w:lvl w:ilvl="8" w:tplc="0415001B" w:tentative="1">
      <w:start w:val="1"/>
      <w:numFmt w:val="lowerRoman"/>
      <w:lvlText w:val="%9."/>
      <w:lvlJc w:val="right"/>
      <w:pPr>
        <w:ind w:left="6675" w:hanging="180"/>
      </w:pPr>
    </w:lvl>
  </w:abstractNum>
  <w:abstractNum w:abstractNumId="2">
    <w:nsid w:val="38D50348"/>
    <w:multiLevelType w:val="hybridMultilevel"/>
    <w:tmpl w:val="09F8E2CC"/>
    <w:lvl w:ilvl="0" w:tplc="04150011">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3">
    <w:nsid w:val="39187E88"/>
    <w:multiLevelType w:val="hybridMultilevel"/>
    <w:tmpl w:val="06506F20"/>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41B0519E"/>
    <w:multiLevelType w:val="hybridMultilevel"/>
    <w:tmpl w:val="6340F15C"/>
    <w:lvl w:ilvl="0" w:tplc="BA4A240C">
      <w:start w:val="1"/>
      <w:numFmt w:val="decimal"/>
      <w:lvlText w:val="%1)"/>
      <w:lvlJc w:val="left"/>
      <w:pPr>
        <w:ind w:left="623" w:hanging="360"/>
      </w:pPr>
      <w:rPr>
        <w:rFonts w:hint="default"/>
      </w:rPr>
    </w:lvl>
    <w:lvl w:ilvl="1" w:tplc="04150019" w:tentative="1">
      <w:start w:val="1"/>
      <w:numFmt w:val="lowerLetter"/>
      <w:lvlText w:val="%2."/>
      <w:lvlJc w:val="left"/>
      <w:pPr>
        <w:ind w:left="1343" w:hanging="360"/>
      </w:pPr>
    </w:lvl>
    <w:lvl w:ilvl="2" w:tplc="0415001B" w:tentative="1">
      <w:start w:val="1"/>
      <w:numFmt w:val="lowerRoman"/>
      <w:lvlText w:val="%3."/>
      <w:lvlJc w:val="right"/>
      <w:pPr>
        <w:ind w:left="2063" w:hanging="180"/>
      </w:pPr>
    </w:lvl>
    <w:lvl w:ilvl="3" w:tplc="0415000F" w:tentative="1">
      <w:start w:val="1"/>
      <w:numFmt w:val="decimal"/>
      <w:lvlText w:val="%4."/>
      <w:lvlJc w:val="left"/>
      <w:pPr>
        <w:ind w:left="2783" w:hanging="360"/>
      </w:pPr>
    </w:lvl>
    <w:lvl w:ilvl="4" w:tplc="04150019" w:tentative="1">
      <w:start w:val="1"/>
      <w:numFmt w:val="lowerLetter"/>
      <w:lvlText w:val="%5."/>
      <w:lvlJc w:val="left"/>
      <w:pPr>
        <w:ind w:left="3503" w:hanging="360"/>
      </w:pPr>
    </w:lvl>
    <w:lvl w:ilvl="5" w:tplc="0415001B" w:tentative="1">
      <w:start w:val="1"/>
      <w:numFmt w:val="lowerRoman"/>
      <w:lvlText w:val="%6."/>
      <w:lvlJc w:val="right"/>
      <w:pPr>
        <w:ind w:left="4223" w:hanging="180"/>
      </w:pPr>
    </w:lvl>
    <w:lvl w:ilvl="6" w:tplc="0415000F" w:tentative="1">
      <w:start w:val="1"/>
      <w:numFmt w:val="decimal"/>
      <w:lvlText w:val="%7."/>
      <w:lvlJc w:val="left"/>
      <w:pPr>
        <w:ind w:left="4943" w:hanging="360"/>
      </w:pPr>
    </w:lvl>
    <w:lvl w:ilvl="7" w:tplc="04150019" w:tentative="1">
      <w:start w:val="1"/>
      <w:numFmt w:val="lowerLetter"/>
      <w:lvlText w:val="%8."/>
      <w:lvlJc w:val="left"/>
      <w:pPr>
        <w:ind w:left="5663" w:hanging="360"/>
      </w:pPr>
    </w:lvl>
    <w:lvl w:ilvl="8" w:tplc="0415001B" w:tentative="1">
      <w:start w:val="1"/>
      <w:numFmt w:val="lowerRoman"/>
      <w:lvlText w:val="%9."/>
      <w:lvlJc w:val="right"/>
      <w:pPr>
        <w:ind w:left="6383" w:hanging="180"/>
      </w:pPr>
    </w:lvl>
  </w:abstractNum>
  <w:abstractNum w:abstractNumId="5">
    <w:nsid w:val="65D435FE"/>
    <w:multiLevelType w:val="hybridMultilevel"/>
    <w:tmpl w:val="D2D2383C"/>
    <w:lvl w:ilvl="0" w:tplc="5C9672E8">
      <w:start w:val="1"/>
      <w:numFmt w:val="decimal"/>
      <w:lvlText w:val="%1)"/>
      <w:lvlJc w:val="left"/>
      <w:pPr>
        <w:ind w:left="555" w:hanging="360"/>
      </w:pPr>
      <w:rPr>
        <w:rFonts w:hint="default"/>
      </w:rPr>
    </w:lvl>
    <w:lvl w:ilvl="1" w:tplc="04150019" w:tentative="1">
      <w:start w:val="1"/>
      <w:numFmt w:val="lowerLetter"/>
      <w:lvlText w:val="%2."/>
      <w:lvlJc w:val="left"/>
      <w:pPr>
        <w:ind w:left="1275" w:hanging="360"/>
      </w:pPr>
    </w:lvl>
    <w:lvl w:ilvl="2" w:tplc="0415001B" w:tentative="1">
      <w:start w:val="1"/>
      <w:numFmt w:val="lowerRoman"/>
      <w:lvlText w:val="%3."/>
      <w:lvlJc w:val="right"/>
      <w:pPr>
        <w:ind w:left="1995" w:hanging="180"/>
      </w:pPr>
    </w:lvl>
    <w:lvl w:ilvl="3" w:tplc="0415000F" w:tentative="1">
      <w:start w:val="1"/>
      <w:numFmt w:val="decimal"/>
      <w:lvlText w:val="%4."/>
      <w:lvlJc w:val="left"/>
      <w:pPr>
        <w:ind w:left="2715" w:hanging="360"/>
      </w:pPr>
    </w:lvl>
    <w:lvl w:ilvl="4" w:tplc="04150019" w:tentative="1">
      <w:start w:val="1"/>
      <w:numFmt w:val="lowerLetter"/>
      <w:lvlText w:val="%5."/>
      <w:lvlJc w:val="left"/>
      <w:pPr>
        <w:ind w:left="3435" w:hanging="360"/>
      </w:pPr>
    </w:lvl>
    <w:lvl w:ilvl="5" w:tplc="0415001B" w:tentative="1">
      <w:start w:val="1"/>
      <w:numFmt w:val="lowerRoman"/>
      <w:lvlText w:val="%6."/>
      <w:lvlJc w:val="right"/>
      <w:pPr>
        <w:ind w:left="4155" w:hanging="180"/>
      </w:pPr>
    </w:lvl>
    <w:lvl w:ilvl="6" w:tplc="0415000F" w:tentative="1">
      <w:start w:val="1"/>
      <w:numFmt w:val="decimal"/>
      <w:lvlText w:val="%7."/>
      <w:lvlJc w:val="left"/>
      <w:pPr>
        <w:ind w:left="4875" w:hanging="360"/>
      </w:pPr>
    </w:lvl>
    <w:lvl w:ilvl="7" w:tplc="04150019" w:tentative="1">
      <w:start w:val="1"/>
      <w:numFmt w:val="lowerLetter"/>
      <w:lvlText w:val="%8."/>
      <w:lvlJc w:val="left"/>
      <w:pPr>
        <w:ind w:left="5595" w:hanging="360"/>
      </w:pPr>
    </w:lvl>
    <w:lvl w:ilvl="8" w:tplc="0415001B" w:tentative="1">
      <w:start w:val="1"/>
      <w:numFmt w:val="lowerRoman"/>
      <w:lvlText w:val="%9."/>
      <w:lvlJc w:val="right"/>
      <w:pPr>
        <w:ind w:left="6315"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C43"/>
    <w:rsid w:val="00001AF1"/>
    <w:rsid w:val="000326E4"/>
    <w:rsid w:val="00042921"/>
    <w:rsid w:val="00144C47"/>
    <w:rsid w:val="00175A82"/>
    <w:rsid w:val="001D7C58"/>
    <w:rsid w:val="001F1382"/>
    <w:rsid w:val="00221D34"/>
    <w:rsid w:val="003114DF"/>
    <w:rsid w:val="00315D0F"/>
    <w:rsid w:val="00341DF7"/>
    <w:rsid w:val="003D3413"/>
    <w:rsid w:val="003F4A58"/>
    <w:rsid w:val="004311BB"/>
    <w:rsid w:val="00472B65"/>
    <w:rsid w:val="00497A25"/>
    <w:rsid w:val="00510ACD"/>
    <w:rsid w:val="005967D2"/>
    <w:rsid w:val="006504AC"/>
    <w:rsid w:val="00715074"/>
    <w:rsid w:val="00743C43"/>
    <w:rsid w:val="00777ECC"/>
    <w:rsid w:val="007B34F4"/>
    <w:rsid w:val="007D188D"/>
    <w:rsid w:val="007F6CC6"/>
    <w:rsid w:val="008F2EE8"/>
    <w:rsid w:val="009530A8"/>
    <w:rsid w:val="00995632"/>
    <w:rsid w:val="009957C7"/>
    <w:rsid w:val="00A23F3F"/>
    <w:rsid w:val="00A3240B"/>
    <w:rsid w:val="00AC597A"/>
    <w:rsid w:val="00B1264E"/>
    <w:rsid w:val="00C2602F"/>
    <w:rsid w:val="00CA491B"/>
    <w:rsid w:val="00CF4389"/>
    <w:rsid w:val="00D10984"/>
    <w:rsid w:val="00D24D72"/>
    <w:rsid w:val="00D40AD7"/>
    <w:rsid w:val="00DA6460"/>
    <w:rsid w:val="00E11683"/>
    <w:rsid w:val="00E91AC3"/>
    <w:rsid w:val="00F10328"/>
    <w:rsid w:val="00F6394B"/>
    <w:rsid w:val="00F709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21E355E0-CB60-4B92-9CBE-032B453E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43C43"/>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rsid w:val="00F6394B"/>
    <w:rPr>
      <w:rFonts w:ascii="Tahoma" w:hAnsi="Tahoma" w:cs="Tahoma"/>
      <w:sz w:val="16"/>
      <w:szCs w:val="16"/>
    </w:rPr>
  </w:style>
  <w:style w:type="character" w:customStyle="1" w:styleId="TekstdymkaZnak">
    <w:name w:val="Tekst dymka Znak"/>
    <w:link w:val="Tekstdymka"/>
    <w:rsid w:val="00F6394B"/>
    <w:rPr>
      <w:rFonts w:ascii="Tahoma" w:hAnsi="Tahoma" w:cs="Tahoma"/>
      <w:sz w:val="16"/>
      <w:szCs w:val="16"/>
    </w:rPr>
  </w:style>
  <w:style w:type="character" w:styleId="Odwoaniedokomentarza">
    <w:name w:val="annotation reference"/>
    <w:rsid w:val="00042921"/>
    <w:rPr>
      <w:sz w:val="16"/>
      <w:szCs w:val="16"/>
    </w:rPr>
  </w:style>
  <w:style w:type="paragraph" w:styleId="Tekstkomentarza">
    <w:name w:val="annotation text"/>
    <w:basedOn w:val="Normalny"/>
    <w:link w:val="TekstkomentarzaZnak"/>
    <w:rsid w:val="00042921"/>
    <w:rPr>
      <w:sz w:val="20"/>
      <w:szCs w:val="20"/>
    </w:rPr>
  </w:style>
  <w:style w:type="character" w:customStyle="1" w:styleId="TekstkomentarzaZnak">
    <w:name w:val="Tekst komentarza Znak"/>
    <w:basedOn w:val="Domylnaczcionkaakapitu"/>
    <w:link w:val="Tekstkomentarza"/>
    <w:rsid w:val="00042921"/>
  </w:style>
  <w:style w:type="paragraph" w:styleId="Tematkomentarza">
    <w:name w:val="annotation subject"/>
    <w:basedOn w:val="Tekstkomentarza"/>
    <w:next w:val="Tekstkomentarza"/>
    <w:link w:val="TematkomentarzaZnak"/>
    <w:rsid w:val="00042921"/>
    <w:rPr>
      <w:b/>
      <w:bCs/>
    </w:rPr>
  </w:style>
  <w:style w:type="character" w:customStyle="1" w:styleId="TematkomentarzaZnak">
    <w:name w:val="Temat komentarza Znak"/>
    <w:link w:val="Tematkomentarza"/>
    <w:rsid w:val="00042921"/>
    <w:rPr>
      <w:b/>
      <w:bCs/>
    </w:rPr>
  </w:style>
  <w:style w:type="paragraph" w:styleId="Akapitzlist">
    <w:name w:val="List Paragraph"/>
    <w:basedOn w:val="Normalny"/>
    <w:uiPriority w:val="34"/>
    <w:qFormat/>
    <w:rsid w:val="007F6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780</Words>
  <Characters>4683</Characters>
  <DocSecurity>0</DocSecurity>
  <Lines>39</Lines>
  <Paragraphs>10</Paragraphs>
  <ScaleCrop>false</ScaleCrop>
  <HeadingPairs>
    <vt:vector size="2" baseType="variant">
      <vt:variant>
        <vt:lpstr>Tytuł</vt:lpstr>
      </vt:variant>
      <vt:variant>
        <vt:i4>1</vt:i4>
      </vt:variant>
    </vt:vector>
  </HeadingPairs>
  <TitlesOfParts>
    <vt:vector size="1" baseType="lpstr">
      <vt:lpstr>Załącznik do decyzji</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2015-10-28T10:09:00Z</cp:lastPrinted>
  <dcterms:created xsi:type="dcterms:W3CDTF">2014-05-15T13:42:00Z</dcterms:created>
  <dcterms:modified xsi:type="dcterms:W3CDTF">2016-12-21T14:54:00Z</dcterms:modified>
</cp:coreProperties>
</file>