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2A5B" w14:textId="77777777" w:rsidR="00085285" w:rsidRDefault="00085285" w:rsidP="00085285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Załącznik </w:t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separate"/>
      </w:r>
      <w:r>
        <w:rPr>
          <w:noProof/>
          <w:sz w:val="22"/>
        </w:rPr>
        <w:t>B.30.</w:t>
      </w:r>
      <w:r>
        <w:rPr>
          <w:sz w:val="22"/>
        </w:rPr>
        <w:fldChar w:fldCharType="end"/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separate"/>
      </w:r>
      <w:r>
        <w:rPr>
          <w:sz w:val="22"/>
        </w:rPr>
        <w:fldChar w:fldCharType="end"/>
      </w:r>
    </w:p>
    <w:p w14:paraId="03EEA86C" w14:textId="77777777" w:rsidR="00085285" w:rsidRDefault="00085285" w:rsidP="00085285">
      <w:pPr>
        <w:autoSpaceDE w:val="0"/>
        <w:autoSpaceDN w:val="0"/>
        <w:adjustRightInd w:val="0"/>
        <w:rPr>
          <w:sz w:val="22"/>
        </w:rPr>
      </w:pPr>
    </w:p>
    <w:p w14:paraId="75BFF605" w14:textId="77777777" w:rsidR="00743C43" w:rsidRPr="00DB568E" w:rsidRDefault="000B40B9" w:rsidP="000B40B9">
      <w:pPr>
        <w:spacing w:after="240"/>
        <w:rPr>
          <w:sz w:val="28"/>
          <w:szCs w:val="28"/>
        </w:rPr>
      </w:pPr>
      <w:r w:rsidRPr="000B40B9">
        <w:rPr>
          <w:b/>
          <w:sz w:val="28"/>
          <w:szCs w:val="28"/>
        </w:rPr>
        <w:t xml:space="preserve">LECZENIE PACJENTÓW </w:t>
      </w:r>
      <w:r>
        <w:rPr>
          <w:b/>
          <w:sz w:val="28"/>
          <w:szCs w:val="28"/>
        </w:rPr>
        <w:t xml:space="preserve">PEDIATRYCZNYCH </w:t>
      </w:r>
      <w:r w:rsidRPr="000B40B9">
        <w:rPr>
          <w:b/>
          <w:sz w:val="28"/>
          <w:szCs w:val="28"/>
        </w:rPr>
        <w:t>ZE SPASTYCZNOŚCIĄ KOŃCZYN Z UŻYCIEM TOKSYNY BOTULINOWEJ TYPU A (ICD–10: I61, I63, I69, G35, G80, G82, G83, T90, T91)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2"/>
        <w:gridCol w:w="4630"/>
        <w:gridCol w:w="5350"/>
      </w:tblGrid>
      <w:tr w:rsidR="0012110E" w:rsidRPr="00747A3B" w14:paraId="311EA957" w14:textId="77777777" w:rsidTr="00DB568E">
        <w:trPr>
          <w:trHeight w:val="335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E2642" w14:textId="77777777" w:rsidR="0012110E" w:rsidRPr="00747A3B" w:rsidRDefault="0012110E" w:rsidP="00DB568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747A3B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12110E" w:rsidRPr="00747A3B" w14:paraId="32B11114" w14:textId="77777777" w:rsidTr="00DB568E">
        <w:tc>
          <w:tcPr>
            <w:tcW w:w="1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32FA6" w14:textId="77777777" w:rsidR="0012110E" w:rsidRPr="00747A3B" w:rsidRDefault="0012110E" w:rsidP="00DB568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747A3B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799E5" w14:textId="77777777" w:rsidR="0012110E" w:rsidRPr="00747A3B" w:rsidRDefault="0012110E" w:rsidP="00DB568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747A3B">
              <w:rPr>
                <w:b/>
                <w:bCs/>
                <w:sz w:val="20"/>
                <w:szCs w:val="20"/>
              </w:rPr>
              <w:t>SCHEMAT DAWKOWANIA LEKÓW W PROGRAMIE</w:t>
            </w: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7AE93" w14:textId="77777777" w:rsidR="0012110E" w:rsidRPr="00747A3B" w:rsidRDefault="0012110E" w:rsidP="00DB568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747A3B">
              <w:rPr>
                <w:b/>
                <w:bCs/>
                <w:sz w:val="20"/>
                <w:szCs w:val="20"/>
              </w:rPr>
              <w:t>BADANIA DIAGNOSTYCZNE WYKONYWANE W RAMACH PROGRAMU</w:t>
            </w:r>
          </w:p>
        </w:tc>
      </w:tr>
      <w:tr w:rsidR="0012110E" w:rsidRPr="00747A3B" w14:paraId="2BEDDB32" w14:textId="77777777" w:rsidTr="00DB568E">
        <w:tc>
          <w:tcPr>
            <w:tcW w:w="1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909DA" w14:textId="77777777" w:rsidR="000B40B9" w:rsidRPr="003452E1" w:rsidRDefault="000B40B9" w:rsidP="000B40B9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ramach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lekowego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udostępnia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terapie:</w:t>
            </w:r>
          </w:p>
          <w:p w14:paraId="002BC505" w14:textId="77777777" w:rsidR="000B40B9" w:rsidRPr="000B40B9" w:rsidRDefault="000B40B9" w:rsidP="000B40B9">
            <w:pPr>
              <w:pStyle w:val="Akapitzlist"/>
              <w:numPr>
                <w:ilvl w:val="3"/>
                <w:numId w:val="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/>
                <w:bCs/>
                <w:color w:val="000000"/>
              </w:rPr>
            </w:pPr>
            <w:proofErr w:type="spellStart"/>
            <w:r w:rsidRPr="000B40B9">
              <w:rPr>
                <w:rFonts w:ascii="Times New Roman" w:hAnsi="Times New Roman"/>
                <w:bCs/>
                <w:i/>
                <w:iCs/>
                <w:color w:val="000000"/>
              </w:rPr>
              <w:t>toxinum</w:t>
            </w:r>
            <w:proofErr w:type="spellEnd"/>
            <w:r w:rsidRPr="000B40B9">
              <w:rPr>
                <w:rFonts w:ascii="Times New Roman" w:hAnsi="Times New Roman"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B40B9">
              <w:rPr>
                <w:rFonts w:ascii="Times New Roman" w:hAnsi="Times New Roman"/>
                <w:bCs/>
                <w:i/>
                <w:iCs/>
                <w:color w:val="000000"/>
              </w:rPr>
              <w:t>botulinum</w:t>
            </w:r>
            <w:proofErr w:type="spellEnd"/>
            <w:r w:rsidRPr="000B40B9">
              <w:rPr>
                <w:rFonts w:ascii="Times New Roman" w:hAnsi="Times New Roman"/>
                <w:bCs/>
                <w:color w:val="000000"/>
              </w:rPr>
              <w:t>,</w:t>
            </w:r>
          </w:p>
          <w:p w14:paraId="2A31F59C" w14:textId="77777777" w:rsidR="000B40B9" w:rsidRPr="003452E1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zgodnie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ze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wskazanymi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opisie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programu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warunkami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kryteriami.</w:t>
            </w:r>
          </w:p>
          <w:p w14:paraId="59A81C44" w14:textId="77777777" w:rsidR="000B40B9" w:rsidRPr="003452E1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1514694" w14:textId="77777777" w:rsidR="000B40B9" w:rsidRPr="002D5F8F" w:rsidRDefault="000B40B9" w:rsidP="000B40B9">
            <w:pPr>
              <w:pStyle w:val="Default"/>
              <w:numPr>
                <w:ilvl w:val="0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460D687E" w14:textId="77777777" w:rsidR="000B40B9" w:rsidRPr="002D5F8F" w:rsidRDefault="000B40B9" w:rsidP="000B40B9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dzieci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roku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życia;</w:t>
            </w:r>
          </w:p>
          <w:p w14:paraId="0B6E839E" w14:textId="77777777" w:rsidR="000B40B9" w:rsidRDefault="000B40B9" w:rsidP="000B40B9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pacjenci:</w:t>
            </w:r>
          </w:p>
          <w:p w14:paraId="29BBEFB5" w14:textId="77777777" w:rsidR="000B40B9" w:rsidRDefault="000B40B9" w:rsidP="000B40B9">
            <w:pPr>
              <w:pStyle w:val="Default"/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przebytym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niedokrwiennym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krwotocznym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udarze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mózgu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I61,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I63,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I69),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wypisem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szpitala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29E7CC25" w14:textId="77777777" w:rsidR="000B40B9" w:rsidRPr="003452E1" w:rsidRDefault="000B40B9" w:rsidP="000B40B9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</w:p>
          <w:p w14:paraId="3C8F75AB" w14:textId="77777777" w:rsidR="000B40B9" w:rsidRPr="003452E1" w:rsidRDefault="000B40B9" w:rsidP="000B40B9">
            <w:pPr>
              <w:pStyle w:val="Default"/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przebytym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urazie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OUN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T90,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T91)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wypisem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szpitala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66A1ECDF" w14:textId="77777777" w:rsidR="000B40B9" w:rsidRPr="003452E1" w:rsidRDefault="000B40B9" w:rsidP="000B40B9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D09195A" w14:textId="77777777" w:rsidR="000B40B9" w:rsidRPr="003452E1" w:rsidRDefault="000B40B9" w:rsidP="000B40B9">
            <w:pPr>
              <w:pStyle w:val="Default"/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rozpoznaniem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stwardnienia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rozsianego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G35)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111E7295" w14:textId="77777777" w:rsidR="000B40B9" w:rsidRPr="003452E1" w:rsidRDefault="000B40B9" w:rsidP="000B40B9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</w:p>
          <w:p w14:paraId="581E6C5C" w14:textId="77777777" w:rsidR="000B40B9" w:rsidRPr="003452E1" w:rsidRDefault="000B40B9" w:rsidP="000B40B9">
            <w:pPr>
              <w:pStyle w:val="Default"/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rozpoznaniem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mózgowego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porażenia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dziecięcego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(ICD-10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G80)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222FE209" w14:textId="77777777" w:rsidR="000B40B9" w:rsidRPr="003452E1" w:rsidRDefault="000B40B9" w:rsidP="000B40B9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1FF3A3B" w14:textId="77777777" w:rsidR="000B40B9" w:rsidRPr="003452E1" w:rsidRDefault="000B40B9" w:rsidP="000B40B9">
            <w:pPr>
              <w:pStyle w:val="Default"/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udokumentowanym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rozpoznaniem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paraplegii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spastycznej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(ICD10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G82,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G83)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57699D6F" w14:textId="77777777" w:rsidR="000B40B9" w:rsidRDefault="000B40B9" w:rsidP="000B40B9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pacjenci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potwierdzoną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spastycznością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14:paraId="09C9876A" w14:textId="77777777" w:rsidR="000B40B9" w:rsidRDefault="000B40B9" w:rsidP="000B40B9">
            <w:pPr>
              <w:pStyle w:val="Default"/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górnej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górnych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stopniu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umiarkowanym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wyższym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(wynik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zmodyfikowanej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skali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Ashwortha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MAS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przynamniej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jednej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grupie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mięśniowej;</w:t>
            </w:r>
          </w:p>
          <w:p w14:paraId="135CAA0E" w14:textId="77777777" w:rsidR="000B40B9" w:rsidRPr="003452E1" w:rsidRDefault="000B40B9" w:rsidP="000B40B9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</w:p>
          <w:p w14:paraId="64F48591" w14:textId="77777777" w:rsidR="000B40B9" w:rsidRPr="002D5F8F" w:rsidRDefault="000B40B9" w:rsidP="000B40B9">
            <w:pPr>
              <w:pStyle w:val="Default"/>
              <w:numPr>
                <w:ilvl w:val="4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dolnej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dolnych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stopniu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umiarkowanym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wyższym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(wynik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zmodyfikowanej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skali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Ashwortha</w:t>
            </w:r>
            <w:proofErr w:type="spellEnd"/>
            <w:r w:rsidRPr="002D5F8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MAS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przynamniej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jednej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grupie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mięśniowej;</w:t>
            </w:r>
          </w:p>
          <w:p w14:paraId="13B50B82" w14:textId="77777777" w:rsidR="000B40B9" w:rsidRDefault="000B40B9" w:rsidP="000B40B9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przeciwskazań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wymienionych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Charakterystyce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Produktu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Leczniczego.</w:t>
            </w:r>
          </w:p>
          <w:p w14:paraId="2387290F" w14:textId="77777777" w:rsidR="000B40B9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Kryteria kwalifikacji muszą być spełnione łącznie.</w:t>
            </w:r>
          </w:p>
          <w:p w14:paraId="133EEC15" w14:textId="77777777" w:rsidR="000B40B9" w:rsidRPr="00591220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Pacjenci  leczeni toksyną botulinową poddawani są </w:t>
            </w:r>
            <w:r w:rsidRPr="00C177FC">
              <w:rPr>
                <w:rFonts w:ascii="Times New Roman" w:hAnsi="Times New Roman" w:cs="Times New Roman"/>
                <w:bCs/>
                <w:sz w:val="20"/>
                <w:szCs w:val="20"/>
              </w:rPr>
              <w:t>indywidualnej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rehabilitacji ruchowej zgodnej z określonymi celami leczenia funkcjonalnego w okresie poprzedzającym i następującym </w:t>
            </w:r>
            <w:r w:rsidRPr="00C177FC">
              <w:rPr>
                <w:rFonts w:ascii="Times New Roman" w:hAnsi="Times New Roman" w:cs="Times New Roman"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177FC">
              <w:rPr>
                <w:rFonts w:ascii="Times New Roman" w:hAnsi="Times New Roman" w:cs="Times New Roman"/>
                <w:bCs/>
                <w:sz w:val="20"/>
                <w:szCs w:val="20"/>
              </w:rPr>
              <w:t>podaniu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177FC">
              <w:rPr>
                <w:rFonts w:ascii="Times New Roman" w:hAnsi="Times New Roman" w:cs="Times New Roman"/>
                <w:bCs/>
                <w:sz w:val="20"/>
                <w:szCs w:val="20"/>
              </w:rPr>
              <w:t>leku.</w:t>
            </w:r>
          </w:p>
          <w:p w14:paraId="6FF3ADFA" w14:textId="77777777" w:rsidR="000B40B9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7266538B" w14:textId="77777777" w:rsidR="000B40B9" w:rsidRPr="000B40B9" w:rsidRDefault="000B40B9" w:rsidP="000B40B9">
            <w:pPr>
              <w:pStyle w:val="Default"/>
              <w:numPr>
                <w:ilvl w:val="0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Określenie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czasu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</w:p>
          <w:p w14:paraId="5A9FE1EC" w14:textId="77777777" w:rsidR="000B40B9" w:rsidRPr="003452E1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należy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kontynuować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momentu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podjęcia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przez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lekarza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decyzji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wyłączeniu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pacjenta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programu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kryteriami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wyłączenia.</w:t>
            </w:r>
          </w:p>
          <w:p w14:paraId="42AB0043" w14:textId="77777777" w:rsidR="000B40B9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Maksymalnie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finansuje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się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4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podania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preparatu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każdą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leczoną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kończynę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każdym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roku,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częściej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niż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tygodni.</w:t>
            </w:r>
          </w:p>
          <w:p w14:paraId="3535E8E6" w14:textId="77777777" w:rsidR="00591220" w:rsidRPr="003452E1" w:rsidRDefault="00591220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D5F8F">
              <w:rPr>
                <w:rFonts w:ascii="Times New Roman" w:hAnsi="Times New Roman"/>
                <w:bCs/>
                <w:sz w:val="20"/>
                <w:szCs w:val="20"/>
              </w:rPr>
              <w:t>Po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ukończeniu 18 lat pacjenci mogą kontynuować leczenie w programie lekowym B.57.</w:t>
            </w:r>
          </w:p>
          <w:p w14:paraId="7034A23C" w14:textId="77777777" w:rsidR="000B40B9" w:rsidRDefault="000B40B9" w:rsidP="000B40B9">
            <w:pPr>
              <w:pStyle w:val="Default"/>
              <w:spacing w:after="60" w:line="276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2E40BA1B" w14:textId="77777777" w:rsidR="00591220" w:rsidRPr="003452E1" w:rsidRDefault="00591220" w:rsidP="00591220">
            <w:pPr>
              <w:pStyle w:val="Default"/>
              <w:numPr>
                <w:ilvl w:val="0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wyłączenia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04305D47" w14:textId="062297D1" w:rsidR="00591220" w:rsidRPr="003452E1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brak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odpowiedzi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dwóch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kolejnych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sesjach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podania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leku</w:t>
            </w:r>
            <w:r w:rsidR="00B65D3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4E771A80" w14:textId="77777777" w:rsidR="00591220" w:rsidRPr="003452E1" w:rsidRDefault="00591220" w:rsidP="00591220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Odpowiedź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definiowana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jest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jako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spadek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napięcia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mięśniowego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punkt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zmodyfikowanej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skali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Ashwortha</w:t>
            </w:r>
            <w:proofErr w:type="spellEnd"/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–MAS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względem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wartości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wyjściowych;</w:t>
            </w:r>
          </w:p>
          <w:p w14:paraId="4A4072B2" w14:textId="77777777" w:rsidR="00591220" w:rsidRPr="003452E1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utrwalony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przykurcz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kończyny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górnej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dolnej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zanik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mięśni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porażonej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kończynie;</w:t>
            </w:r>
          </w:p>
          <w:p w14:paraId="257CFA78" w14:textId="77777777" w:rsidR="00591220" w:rsidRPr="003452E1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chorób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stanów,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które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opinii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lekarza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prowadzącego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uniemożliwiają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dalsze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prowadzenie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leczenia;</w:t>
            </w:r>
          </w:p>
          <w:p w14:paraId="46A1A556" w14:textId="77777777" w:rsidR="00591220" w:rsidRPr="003452E1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działań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niepożądanych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uniemożliwiających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kontynuację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decyzją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lekarza;</w:t>
            </w:r>
          </w:p>
          <w:p w14:paraId="4250A29E" w14:textId="77777777" w:rsidR="00591220" w:rsidRPr="003452E1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nadwrażliwości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substancję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pomocniczą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uniemożliwiające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kontynuację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leczenia;</w:t>
            </w:r>
          </w:p>
          <w:p w14:paraId="2A7B6117" w14:textId="77777777" w:rsidR="00591220" w:rsidRPr="003452E1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wystąpienie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zagrażającej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życiu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albo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nieakceptowalnej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toksyczności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pomimo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zastosowania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adekwatnego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postępowania;</w:t>
            </w:r>
          </w:p>
          <w:p w14:paraId="5A487317" w14:textId="77777777" w:rsidR="00591220" w:rsidRPr="003452E1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lekarskich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28741AFD" w14:textId="77777777" w:rsidR="0012110E" w:rsidRDefault="00591220" w:rsidP="00591220">
            <w:pPr>
              <w:pStyle w:val="Default"/>
              <w:numPr>
                <w:ilvl w:val="3"/>
                <w:numId w:val="6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ciąża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karmienie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452E1">
              <w:rPr>
                <w:rFonts w:ascii="Times New Roman" w:hAnsi="Times New Roman" w:cs="Times New Roman"/>
                <w:bCs/>
                <w:sz w:val="20"/>
                <w:szCs w:val="20"/>
              </w:rPr>
              <w:t>piersią.</w:t>
            </w:r>
          </w:p>
          <w:p w14:paraId="093C2964" w14:textId="77777777" w:rsidR="00591220" w:rsidRPr="00591220" w:rsidRDefault="00591220" w:rsidP="0059122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C8DC2" w14:textId="77777777" w:rsidR="00591220" w:rsidRPr="00591220" w:rsidRDefault="00591220" w:rsidP="00591220">
            <w:pPr>
              <w:pStyle w:val="Default"/>
              <w:numPr>
                <w:ilvl w:val="0"/>
                <w:numId w:val="8"/>
              </w:numPr>
              <w:spacing w:before="12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122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Dawkowanie </w:t>
            </w:r>
          </w:p>
          <w:p w14:paraId="50A740AA" w14:textId="77777777" w:rsidR="00591220" w:rsidRPr="00461B08" w:rsidRDefault="00591220" w:rsidP="00591220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Sposób podawania oraz ewentualne czasowe </w:t>
            </w:r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wstrzymania leczenia, prowadzone zgodnie z aktualnymi Charakterystykami Produktu Leczniczego (</w:t>
            </w:r>
            <w:proofErr w:type="spellStart"/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ChPL</w:t>
            </w:r>
            <w:proofErr w:type="spellEnd"/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) lub przyjętą praktyką kliniczną.</w:t>
            </w:r>
          </w:p>
          <w:p w14:paraId="3B6896E5" w14:textId="58B0C35F" w:rsidR="00591220" w:rsidRPr="00461B08" w:rsidRDefault="00591220" w:rsidP="00591220">
            <w:pPr>
              <w:pStyle w:val="Default"/>
              <w:spacing w:before="120"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Maksymalne </w:t>
            </w:r>
            <w:r w:rsidR="00F57717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dawkowanie</w:t>
            </w:r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14:paraId="0BE52137" w14:textId="77777777" w:rsidR="00F57717" w:rsidRPr="00461B08" w:rsidRDefault="00591220" w:rsidP="00591220">
            <w:pPr>
              <w:pStyle w:val="Default"/>
              <w:numPr>
                <w:ilvl w:val="3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Botox</w:t>
            </w:r>
            <w:proofErr w:type="spellEnd"/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</w:p>
          <w:p w14:paraId="3671A090" w14:textId="5B9F5CC8" w:rsidR="00591220" w:rsidRPr="00461B08" w:rsidRDefault="00F57717" w:rsidP="00F57717">
            <w:pPr>
              <w:pStyle w:val="Default"/>
              <w:numPr>
                <w:ilvl w:val="4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dawkowanie na sesję: </w:t>
            </w:r>
            <w:r w:rsidR="00591220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kończyna</w:t>
            </w:r>
            <w:r w:rsidR="003F29B7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F29B7" w:rsidRPr="00461B08">
              <w:rPr>
                <w:rFonts w:ascii="Times New Roman" w:hAnsi="Times New Roman"/>
                <w:bCs/>
                <w:sz w:val="20"/>
                <w:szCs w:val="20"/>
              </w:rPr>
              <w:t>kończyny</w:t>
            </w:r>
            <w:r w:rsidR="00591220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górna</w:t>
            </w:r>
            <w:r w:rsidR="003F29B7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F29B7" w:rsidRPr="00461B08">
              <w:rPr>
                <w:rFonts w:ascii="Times New Roman" w:hAnsi="Times New Roman"/>
                <w:bCs/>
                <w:sz w:val="20"/>
                <w:szCs w:val="20"/>
              </w:rPr>
              <w:t>górne</w:t>
            </w:r>
            <w:r w:rsidR="00591220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 dolna</w:t>
            </w:r>
            <w:r w:rsidR="003F29B7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F29B7" w:rsidRPr="00461B08">
              <w:rPr>
                <w:rFonts w:ascii="Times New Roman" w:hAnsi="Times New Roman"/>
                <w:bCs/>
                <w:sz w:val="20"/>
                <w:szCs w:val="20"/>
              </w:rPr>
              <w:t>dolne</w:t>
            </w:r>
            <w:r w:rsidR="00591220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8 j./kg mc. lub 300 j. – w zależności, która dawka jest niższa (tylko </w:t>
            </w:r>
            <w:r w:rsidR="003F29B7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j</w:t>
            </w:r>
            <w:r w:rsidR="003F29B7" w:rsidRPr="00461B08">
              <w:rPr>
                <w:rFonts w:ascii="Times New Roman" w:hAnsi="Times New Roman"/>
                <w:bCs/>
                <w:sz w:val="20"/>
                <w:szCs w:val="20"/>
              </w:rPr>
              <w:t xml:space="preserve">edna </w:t>
            </w:r>
            <w:r w:rsidR="00591220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kończyna górna – 6 j./kg mc., tylko </w:t>
            </w:r>
            <w:r w:rsidR="003F29B7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j</w:t>
            </w:r>
            <w:r w:rsidR="003F29B7" w:rsidRPr="00461B08">
              <w:rPr>
                <w:rFonts w:ascii="Times New Roman" w:hAnsi="Times New Roman"/>
                <w:bCs/>
                <w:sz w:val="20"/>
                <w:szCs w:val="20"/>
              </w:rPr>
              <w:t xml:space="preserve">edna </w:t>
            </w:r>
            <w:r w:rsidR="00591220"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kończyna dolna – 8 j./kg mc. lub 300 j. – w zależności, która dawka jest niższa),</w:t>
            </w:r>
          </w:p>
          <w:p w14:paraId="43AC2867" w14:textId="0F039B6C" w:rsidR="00F57717" w:rsidRPr="00461B08" w:rsidRDefault="00F57717" w:rsidP="00F57717">
            <w:pPr>
              <w:pStyle w:val="Default"/>
              <w:spacing w:after="60" w:line="276" w:lineRule="auto"/>
              <w:ind w:left="45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albo</w:t>
            </w:r>
          </w:p>
          <w:p w14:paraId="5EA2FEE2" w14:textId="4195C3FD" w:rsidR="00F57717" w:rsidRPr="00461B08" w:rsidRDefault="00F57717" w:rsidP="00F57717">
            <w:pPr>
              <w:pStyle w:val="Default"/>
              <w:numPr>
                <w:ilvl w:val="4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maksymalna dawka całkowita leku na rok leczenia to 24 j/kg, podzielonych na poszczególne mięśnie i sesje terapeutyczne zgodnie z wzorcem spastyczności i oceną lekarza.</w:t>
            </w:r>
          </w:p>
          <w:p w14:paraId="1066B9FE" w14:textId="77777777" w:rsidR="00F57717" w:rsidRPr="00461B08" w:rsidRDefault="00591220" w:rsidP="00591220">
            <w:pPr>
              <w:pStyle w:val="Default"/>
              <w:numPr>
                <w:ilvl w:val="3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Dysport</w:t>
            </w:r>
            <w:proofErr w:type="spellEnd"/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</w:p>
          <w:p w14:paraId="40299831" w14:textId="43A9C710" w:rsidR="00591220" w:rsidRPr="00591220" w:rsidRDefault="00F57717" w:rsidP="00F57717">
            <w:pPr>
              <w:pStyle w:val="Default"/>
              <w:numPr>
                <w:ilvl w:val="4"/>
                <w:numId w:val="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1B08">
              <w:rPr>
                <w:rFonts w:ascii="Times New Roman" w:hAnsi="Times New Roman" w:cs="Times New Roman"/>
                <w:bCs/>
                <w:sz w:val="20"/>
                <w:szCs w:val="20"/>
              </w:rPr>
              <w:t>dawkowanie na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sesję: </w:t>
            </w:r>
            <w:r w:rsidR="00591220"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t>kończyna</w:t>
            </w:r>
            <w:r w:rsidR="003F29B7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F29B7" w:rsidRPr="00F57717">
              <w:rPr>
                <w:rFonts w:ascii="Times New Roman" w:hAnsi="Times New Roman" w:cs="Times New Roman"/>
                <w:bCs/>
                <w:sz w:val="20"/>
                <w:szCs w:val="20"/>
              </w:rPr>
              <w:t>kończyny</w:t>
            </w:r>
            <w:r w:rsidR="00591220"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górna</w:t>
            </w:r>
            <w:r w:rsidR="003F29B7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F29B7" w:rsidRPr="00F57717">
              <w:rPr>
                <w:rFonts w:ascii="Times New Roman" w:hAnsi="Times New Roman" w:cs="Times New Roman"/>
                <w:bCs/>
                <w:sz w:val="20"/>
                <w:szCs w:val="20"/>
              </w:rPr>
              <w:t>górne</w:t>
            </w:r>
            <w:r w:rsidR="00591220"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 dolna</w:t>
            </w:r>
            <w:r w:rsidR="003F29B7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3F29B7" w:rsidRPr="00F57717">
              <w:rPr>
                <w:rFonts w:ascii="Times New Roman" w:hAnsi="Times New Roman" w:cs="Times New Roman"/>
                <w:bCs/>
                <w:sz w:val="20"/>
                <w:szCs w:val="20"/>
              </w:rPr>
              <w:t>dolne</w:t>
            </w:r>
            <w:r w:rsidR="00591220"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30 j./kg mc. lub 1000 </w:t>
            </w:r>
            <w:r w:rsidR="00591220"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j. – w zależności, która dawka jest niższa (tylko </w:t>
            </w:r>
            <w:r w:rsidR="003F29B7">
              <w:rPr>
                <w:rFonts w:ascii="Times New Roman" w:hAnsi="Times New Roman" w:cs="Times New Roman"/>
                <w:bCs/>
                <w:sz w:val="20"/>
                <w:szCs w:val="20"/>
              </w:rPr>
              <w:t>j</w:t>
            </w:r>
            <w:r w:rsidR="003F29B7" w:rsidRPr="00F5771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edna </w:t>
            </w:r>
            <w:r w:rsidR="00591220"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kończyna górna – 21 j./kg mc. lub 840 j. – w zależności, która dawka jest niższa, tylko </w:t>
            </w:r>
            <w:r w:rsidR="003F29B7">
              <w:rPr>
                <w:rFonts w:ascii="Times New Roman" w:hAnsi="Times New Roman" w:cs="Times New Roman"/>
                <w:bCs/>
                <w:sz w:val="20"/>
                <w:szCs w:val="20"/>
              </w:rPr>
              <w:t>j</w:t>
            </w:r>
            <w:r w:rsidR="003F29B7" w:rsidRPr="00F5771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edna </w:t>
            </w:r>
            <w:r w:rsidR="00591220" w:rsidRPr="00591220">
              <w:rPr>
                <w:rFonts w:ascii="Times New Roman" w:hAnsi="Times New Roman" w:cs="Times New Roman"/>
                <w:bCs/>
                <w:sz w:val="20"/>
                <w:szCs w:val="20"/>
              </w:rPr>
              <w:t>kończyna dolna – 30 j./kg mc. lub 1000 j. – w zależności, która dawka jest niższa)</w:t>
            </w:r>
            <w:r w:rsidR="00591220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16C06E83" w14:textId="77777777" w:rsidR="00591220" w:rsidRPr="00591220" w:rsidRDefault="00591220" w:rsidP="0059122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5C61D7" w14:textId="77777777" w:rsidR="00591220" w:rsidRPr="00591220" w:rsidRDefault="00591220" w:rsidP="00591220">
            <w:pPr>
              <w:pStyle w:val="Default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1220">
              <w:rPr>
                <w:rFonts w:ascii="Times New Roman" w:hAnsi="Times New Roman" w:cs="Times New Roman"/>
                <w:sz w:val="20"/>
                <w:szCs w:val="20"/>
              </w:rPr>
              <w:t xml:space="preserve">Częstość podawania leku zależy od stanu klinicznego pacjenta – maksymalnie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591220">
              <w:rPr>
                <w:rFonts w:ascii="Times New Roman" w:hAnsi="Times New Roman" w:cs="Times New Roman"/>
                <w:sz w:val="20"/>
                <w:szCs w:val="20"/>
              </w:rPr>
              <w:t xml:space="preserve"> podania preparatu na każdą leczoną kończynę w każdym roku, nie częściej niż co 12 tygodni.</w:t>
            </w:r>
          </w:p>
          <w:p w14:paraId="46227588" w14:textId="77777777" w:rsidR="00591220" w:rsidRDefault="00591220" w:rsidP="00591220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  <w:r w:rsidRPr="00591220">
              <w:rPr>
                <w:color w:val="000000"/>
                <w:sz w:val="20"/>
                <w:szCs w:val="20"/>
              </w:rPr>
              <w:t xml:space="preserve">Zalecane podawanie pod kontrolą elektromiografii (EMG), stymulacji elektrycznej </w:t>
            </w:r>
            <w:r w:rsidRPr="003452E1">
              <w:rPr>
                <w:sz w:val="20"/>
                <w:szCs w:val="20"/>
              </w:rPr>
              <w:t>mięśnia</w:t>
            </w:r>
            <w:r>
              <w:rPr>
                <w:sz w:val="20"/>
                <w:szCs w:val="20"/>
              </w:rPr>
              <w:t xml:space="preserve"> </w:t>
            </w:r>
            <w:r w:rsidRPr="003452E1">
              <w:rPr>
                <w:sz w:val="20"/>
                <w:szCs w:val="20"/>
              </w:rPr>
              <w:t>lub</w:t>
            </w:r>
            <w:r>
              <w:rPr>
                <w:sz w:val="20"/>
                <w:szCs w:val="20"/>
              </w:rPr>
              <w:t xml:space="preserve"> </w:t>
            </w:r>
            <w:r w:rsidRPr="003452E1">
              <w:rPr>
                <w:sz w:val="20"/>
                <w:szCs w:val="20"/>
              </w:rPr>
              <w:t>ultrasonografii</w:t>
            </w:r>
            <w:r>
              <w:rPr>
                <w:sz w:val="20"/>
                <w:szCs w:val="20"/>
              </w:rPr>
              <w:t xml:space="preserve"> </w:t>
            </w:r>
            <w:r w:rsidRPr="00591220">
              <w:rPr>
                <w:color w:val="000000"/>
                <w:sz w:val="20"/>
                <w:szCs w:val="20"/>
              </w:rPr>
              <w:t>(USG).</w:t>
            </w:r>
          </w:p>
          <w:p w14:paraId="3303C922" w14:textId="77777777" w:rsidR="0012110E" w:rsidRPr="00747A3B" w:rsidRDefault="0012110E" w:rsidP="00602913">
            <w:pPr>
              <w:autoSpaceDE w:val="0"/>
              <w:autoSpaceDN w:val="0"/>
              <w:adjustRightInd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7F851" w14:textId="77777777" w:rsidR="00591220" w:rsidRPr="00591220" w:rsidRDefault="00591220" w:rsidP="00591220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591220">
              <w:rPr>
                <w:b/>
                <w:color w:val="000000"/>
                <w:sz w:val="20"/>
                <w:szCs w:val="20"/>
              </w:rPr>
              <w:lastRenderedPageBreak/>
              <w:t>Badania przy kwalifikacji</w:t>
            </w:r>
          </w:p>
          <w:p w14:paraId="6B0E0288" w14:textId="77777777" w:rsidR="00591220" w:rsidRPr="00591220" w:rsidRDefault="00591220" w:rsidP="00591220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>badanie neurologiczne:</w:t>
            </w:r>
          </w:p>
          <w:p w14:paraId="4A8F0A99" w14:textId="7917638D" w:rsidR="00591220" w:rsidRPr="00FE09AE" w:rsidRDefault="00591220" w:rsidP="00FE09AE">
            <w:pPr>
              <w:widowControl w:val="0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461B08">
              <w:rPr>
                <w:bCs/>
                <w:color w:val="000000"/>
                <w:sz w:val="20"/>
                <w:szCs w:val="20"/>
              </w:rPr>
              <w:t xml:space="preserve">ocena spastyczności w zmodyfikowanej skali </w:t>
            </w:r>
            <w:proofErr w:type="spellStart"/>
            <w:r w:rsidRPr="00461B08">
              <w:rPr>
                <w:bCs/>
                <w:sz w:val="20"/>
                <w:szCs w:val="20"/>
              </w:rPr>
              <w:t>Ashwortha</w:t>
            </w:r>
            <w:proofErr w:type="spellEnd"/>
            <w:r w:rsidRPr="00461B08">
              <w:rPr>
                <w:b/>
                <w:sz w:val="20"/>
                <w:szCs w:val="20"/>
              </w:rPr>
              <w:t xml:space="preserve"> –</w:t>
            </w:r>
            <w:r w:rsidRPr="00461B08">
              <w:rPr>
                <w:bCs/>
                <w:sz w:val="20"/>
                <w:szCs w:val="20"/>
              </w:rPr>
              <w:t xml:space="preserve"> MAS</w:t>
            </w:r>
            <w:r w:rsidRPr="00461B08">
              <w:rPr>
                <w:bCs/>
                <w:color w:val="000000"/>
                <w:sz w:val="20"/>
                <w:szCs w:val="20"/>
              </w:rPr>
              <w:t>,</w:t>
            </w:r>
          </w:p>
          <w:p w14:paraId="6C96733C" w14:textId="77777777" w:rsidR="00591220" w:rsidRPr="00591220" w:rsidRDefault="00591220" w:rsidP="00591220">
            <w:pPr>
              <w:widowControl w:val="0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461B08">
              <w:rPr>
                <w:bCs/>
                <w:color w:val="000000"/>
                <w:sz w:val="20"/>
                <w:szCs w:val="20"/>
              </w:rPr>
              <w:t>ocena stanu ruchowego z opisową oceną czynności możliwych do wykonania</w:t>
            </w:r>
            <w:r w:rsidRPr="00591220">
              <w:rPr>
                <w:bCs/>
                <w:color w:val="000000"/>
                <w:sz w:val="20"/>
                <w:szCs w:val="20"/>
              </w:rPr>
              <w:t xml:space="preserve"> kończyną ze spastycznością;</w:t>
            </w:r>
          </w:p>
          <w:p w14:paraId="62CFB4F6" w14:textId="77777777" w:rsidR="00591220" w:rsidRPr="00591220" w:rsidRDefault="00591220" w:rsidP="00591220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 xml:space="preserve">u pacjentów przyjmujących leki </w:t>
            </w:r>
            <w:proofErr w:type="spellStart"/>
            <w:r w:rsidRPr="00591220">
              <w:rPr>
                <w:bCs/>
                <w:color w:val="000000"/>
                <w:sz w:val="20"/>
                <w:szCs w:val="20"/>
              </w:rPr>
              <w:t>antykoagulacyjne</w:t>
            </w:r>
            <w:proofErr w:type="spellEnd"/>
            <w:r w:rsidRPr="00591220">
              <w:rPr>
                <w:bCs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591220">
              <w:rPr>
                <w:bCs/>
                <w:color w:val="000000"/>
                <w:sz w:val="20"/>
                <w:szCs w:val="20"/>
              </w:rPr>
              <w:t>acenokumarol</w:t>
            </w:r>
            <w:proofErr w:type="spellEnd"/>
            <w:r w:rsidRPr="00591220">
              <w:rPr>
                <w:bCs/>
                <w:color w:val="000000"/>
                <w:sz w:val="20"/>
                <w:szCs w:val="20"/>
              </w:rPr>
              <w:t xml:space="preserve"> lub </w:t>
            </w:r>
            <w:proofErr w:type="spellStart"/>
            <w:r w:rsidRPr="00591220">
              <w:rPr>
                <w:bCs/>
                <w:color w:val="000000"/>
                <w:sz w:val="20"/>
                <w:szCs w:val="20"/>
              </w:rPr>
              <w:t>warfarynę</w:t>
            </w:r>
            <w:proofErr w:type="spellEnd"/>
            <w:r w:rsidRPr="00591220">
              <w:rPr>
                <w:bCs/>
                <w:color w:val="000000"/>
                <w:sz w:val="20"/>
                <w:szCs w:val="20"/>
              </w:rPr>
              <w:t>, wykonuje się badanie INR (dopuszczalna wartość INR ≤ 2,5).</w:t>
            </w:r>
          </w:p>
          <w:p w14:paraId="555E3E6C" w14:textId="77777777" w:rsidR="00591220" w:rsidRPr="00591220" w:rsidRDefault="00591220" w:rsidP="00591220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1B8D9525" w14:textId="77777777" w:rsidR="00591220" w:rsidRPr="00591220" w:rsidRDefault="00591220" w:rsidP="00591220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591220">
              <w:rPr>
                <w:b/>
                <w:color w:val="000000"/>
                <w:sz w:val="20"/>
                <w:szCs w:val="20"/>
              </w:rPr>
              <w:t>Monitorowanie leczenia</w:t>
            </w:r>
          </w:p>
          <w:p w14:paraId="219F731A" w14:textId="77777777" w:rsidR="00591220" w:rsidRPr="003F29B7" w:rsidRDefault="00591220" w:rsidP="00591220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591220">
              <w:rPr>
                <w:bCs/>
                <w:sz w:val="20"/>
                <w:szCs w:val="20"/>
              </w:rPr>
              <w:t xml:space="preserve">Odpowiedź na leczenie jest weryfikowana podczas wizyt kontrolnych. Dwie pierwsze wizyty monitorujące powinny zostać wykonane 4 – 8 </w:t>
            </w:r>
            <w:r w:rsidR="007C5BAC" w:rsidRPr="007C5BAC">
              <w:rPr>
                <w:bCs/>
                <w:sz w:val="20"/>
                <w:szCs w:val="20"/>
              </w:rPr>
              <w:t>tygodni po podaniu pierwszej i drugiej dawki leku, a kolejne przed podaniem pacjentowi kolejnej dawki leku lub wg decyzji lekarza prowadzącego ale nie rzadziej niż raz na 12 miesięcy</w:t>
            </w:r>
            <w:r w:rsidRPr="00C61D84">
              <w:rPr>
                <w:bCs/>
                <w:sz w:val="20"/>
                <w:szCs w:val="20"/>
              </w:rPr>
              <w:t>.</w:t>
            </w:r>
          </w:p>
          <w:p w14:paraId="7D0F6AEF" w14:textId="77777777" w:rsidR="00591220" w:rsidRPr="00591220" w:rsidRDefault="00591220" w:rsidP="00591220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>Podczas wizyt kontrolnych wykonuje się:</w:t>
            </w:r>
          </w:p>
          <w:p w14:paraId="53863F65" w14:textId="77777777" w:rsidR="00591220" w:rsidRPr="00591220" w:rsidRDefault="00591220" w:rsidP="00591220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 xml:space="preserve">ocenę odpowiedzi na zastosowane leczenie mierzoną w zmodyfikowanej skali </w:t>
            </w:r>
            <w:proofErr w:type="spellStart"/>
            <w:r w:rsidRPr="00591220">
              <w:rPr>
                <w:bCs/>
                <w:color w:val="000000"/>
                <w:sz w:val="20"/>
                <w:szCs w:val="20"/>
              </w:rPr>
              <w:t>Ashwortha</w:t>
            </w:r>
            <w:proofErr w:type="spellEnd"/>
            <w:r w:rsidRPr="00591220">
              <w:rPr>
                <w:bCs/>
                <w:color w:val="000000"/>
                <w:sz w:val="20"/>
                <w:szCs w:val="20"/>
              </w:rPr>
              <w:t>–MAS (poprawa o minimum 1 punkt), która stanowi kryterium podania kolejnych dawek leku;</w:t>
            </w:r>
          </w:p>
          <w:p w14:paraId="4EC368E3" w14:textId="659659DF" w:rsidR="00591220" w:rsidRPr="00FE09AE" w:rsidRDefault="00591220" w:rsidP="00FE09AE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461B08">
              <w:rPr>
                <w:bCs/>
                <w:color w:val="000000"/>
                <w:sz w:val="20"/>
                <w:szCs w:val="20"/>
              </w:rPr>
              <w:lastRenderedPageBreak/>
              <w:t>ocenę efektu podania leku według lekarza i według pacjenta przeprowadzaną za pomocą skali CGI–IS (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Clinical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 xml:space="preserve"> Global 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Impression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Improvement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Scale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>);</w:t>
            </w:r>
          </w:p>
          <w:p w14:paraId="399BA781" w14:textId="77777777" w:rsidR="00591220" w:rsidRPr="00591220" w:rsidRDefault="00591220" w:rsidP="00591220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461B08">
              <w:rPr>
                <w:bCs/>
                <w:color w:val="000000"/>
                <w:sz w:val="20"/>
                <w:szCs w:val="20"/>
              </w:rPr>
              <w:t>ocenę stanu ruchowego</w:t>
            </w:r>
            <w:r w:rsidRPr="00591220">
              <w:rPr>
                <w:bCs/>
                <w:color w:val="000000"/>
                <w:sz w:val="20"/>
                <w:szCs w:val="20"/>
              </w:rPr>
              <w:t xml:space="preserve"> z opisową oceną czynności możliwych do wykonania kończyną ze spastycznością.</w:t>
            </w:r>
          </w:p>
          <w:p w14:paraId="2375CDF1" w14:textId="77777777" w:rsidR="00591220" w:rsidRPr="00591220" w:rsidRDefault="00591220" w:rsidP="00591220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>W dokumentacji medycznej pacjenta zamieszcza się informację o rodzaju i formie prowadzonej u pacjenta rehabilitacji, jeśli dotyczy.</w:t>
            </w:r>
          </w:p>
          <w:p w14:paraId="796A545D" w14:textId="77777777" w:rsidR="00591220" w:rsidRPr="00591220" w:rsidRDefault="00591220" w:rsidP="00591220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7F336E5D" w14:textId="77777777" w:rsidR="00591220" w:rsidRPr="00591220" w:rsidRDefault="00591220" w:rsidP="00591220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591220">
              <w:rPr>
                <w:b/>
                <w:color w:val="000000"/>
                <w:sz w:val="20"/>
                <w:szCs w:val="20"/>
              </w:rPr>
              <w:t xml:space="preserve">Monitorowanie programu </w:t>
            </w:r>
          </w:p>
          <w:p w14:paraId="731DEC47" w14:textId="77777777" w:rsidR="00591220" w:rsidRPr="00591220" w:rsidRDefault="00591220" w:rsidP="00591220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5DFE61CB" w14:textId="77777777" w:rsidR="00591220" w:rsidRPr="00591220" w:rsidRDefault="00591220" w:rsidP="00591220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 xml:space="preserve">uzupełnienie danych zawartych w elektronicznym systemie monitorowania programów lekowych dostępnym za pomocą aplikacji internetowej udostępnionej przez OW NFZ, </w:t>
            </w:r>
            <w:r w:rsidRPr="00591220">
              <w:rPr>
                <w:sz w:val="20"/>
                <w:szCs w:val="20"/>
              </w:rPr>
              <w:t>w tym również parametrów dotyczących skuteczności leczenia:</w:t>
            </w:r>
          </w:p>
          <w:p w14:paraId="02FA8849" w14:textId="77777777" w:rsidR="00591220" w:rsidRPr="00591220" w:rsidRDefault="00591220" w:rsidP="00591220">
            <w:pPr>
              <w:widowControl w:val="0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sz w:val="20"/>
                <w:szCs w:val="20"/>
              </w:rPr>
              <w:t xml:space="preserve">zmiana wyniku w zmodyfikowanej skali </w:t>
            </w:r>
            <w:proofErr w:type="spellStart"/>
            <w:r w:rsidRPr="00591220">
              <w:rPr>
                <w:sz w:val="20"/>
                <w:szCs w:val="20"/>
              </w:rPr>
              <w:t>Ashwortha</w:t>
            </w:r>
            <w:proofErr w:type="spellEnd"/>
            <w:r w:rsidRPr="00591220">
              <w:rPr>
                <w:sz w:val="20"/>
                <w:szCs w:val="20"/>
              </w:rPr>
              <w:t xml:space="preserve">–MAS, </w:t>
            </w:r>
          </w:p>
          <w:p w14:paraId="37BF4257" w14:textId="729DEF04" w:rsidR="00591220" w:rsidRPr="00FE09AE" w:rsidRDefault="00591220" w:rsidP="00FE09AE">
            <w:pPr>
              <w:widowControl w:val="0"/>
              <w:numPr>
                <w:ilvl w:val="4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 xml:space="preserve">efekt podania leku według lekarza i według pacjenta </w:t>
            </w:r>
            <w:r w:rsidRPr="00461B08">
              <w:rPr>
                <w:bCs/>
                <w:color w:val="000000"/>
                <w:sz w:val="20"/>
                <w:szCs w:val="20"/>
              </w:rPr>
              <w:t>monitorowany za pomocą skali CGI–IS (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Clinical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 xml:space="preserve"> Global 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Impression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Improvement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1B08">
              <w:rPr>
                <w:bCs/>
                <w:color w:val="000000"/>
                <w:sz w:val="20"/>
                <w:szCs w:val="20"/>
              </w:rPr>
              <w:t>Scale</w:t>
            </w:r>
            <w:proofErr w:type="spellEnd"/>
            <w:r w:rsidRPr="00461B08">
              <w:rPr>
                <w:bCs/>
                <w:color w:val="000000"/>
                <w:sz w:val="20"/>
                <w:szCs w:val="20"/>
              </w:rPr>
              <w:t>),</w:t>
            </w:r>
          </w:p>
          <w:p w14:paraId="3F60DEF2" w14:textId="77777777" w:rsidR="00591220" w:rsidRPr="00591220" w:rsidRDefault="00591220" w:rsidP="00591220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bCs/>
                <w:color w:val="000000"/>
                <w:sz w:val="20"/>
                <w:szCs w:val="20"/>
              </w:rPr>
            </w:pPr>
            <w:r w:rsidRPr="00461B08">
              <w:rPr>
                <w:bCs/>
                <w:color w:val="000000"/>
                <w:sz w:val="20"/>
                <w:szCs w:val="20"/>
              </w:rPr>
              <w:t>z częstotliwością zgodną z opisem</w:t>
            </w:r>
            <w:r w:rsidRPr="00591220">
              <w:rPr>
                <w:bCs/>
                <w:color w:val="000000"/>
                <w:sz w:val="20"/>
                <w:szCs w:val="20"/>
              </w:rPr>
              <w:t xml:space="preserve"> programu oraz na zakończenie leczenia;</w:t>
            </w:r>
          </w:p>
          <w:p w14:paraId="0255AD81" w14:textId="77777777" w:rsidR="0012110E" w:rsidRPr="00591220" w:rsidRDefault="00591220" w:rsidP="00591220">
            <w:pPr>
              <w:widowControl w:val="0"/>
              <w:numPr>
                <w:ilvl w:val="3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591220">
              <w:rPr>
                <w:bCs/>
                <w:color w:val="000000"/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NFZ</w:t>
            </w:r>
            <w:r>
              <w:rPr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5EFEE2E2" w14:textId="77777777" w:rsidR="00743C43" w:rsidRDefault="00743C43"/>
    <w:sectPr w:rsidR="00743C43" w:rsidSect="00A572B3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KBKD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091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11540642"/>
    <w:multiLevelType w:val="hybridMultilevel"/>
    <w:tmpl w:val="81C4A2B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BE7B18"/>
    <w:multiLevelType w:val="hybridMultilevel"/>
    <w:tmpl w:val="1A5216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667A4"/>
    <w:multiLevelType w:val="hybridMultilevel"/>
    <w:tmpl w:val="4A5638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5576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" w15:restartNumberingAfterBreak="0">
    <w:nsid w:val="5C1E4332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" w15:restartNumberingAfterBreak="0">
    <w:nsid w:val="5FAC1755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62390210"/>
    <w:multiLevelType w:val="hybridMultilevel"/>
    <w:tmpl w:val="BBF8C15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1640EC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9" w15:restartNumberingAfterBreak="0">
    <w:nsid w:val="6E755E51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708018484">
    <w:abstractNumId w:val="7"/>
  </w:num>
  <w:num w:numId="2" w16cid:durableId="1490948337">
    <w:abstractNumId w:val="3"/>
  </w:num>
  <w:num w:numId="3" w16cid:durableId="711728827">
    <w:abstractNumId w:val="1"/>
  </w:num>
  <w:num w:numId="4" w16cid:durableId="352419209">
    <w:abstractNumId w:val="2"/>
  </w:num>
  <w:num w:numId="5" w16cid:durableId="1353654332">
    <w:abstractNumId w:val="0"/>
  </w:num>
  <w:num w:numId="6" w16cid:durableId="1667900635">
    <w:abstractNumId w:val="5"/>
  </w:num>
  <w:num w:numId="7" w16cid:durableId="746414861">
    <w:abstractNumId w:val="9"/>
  </w:num>
  <w:num w:numId="8" w16cid:durableId="972054756">
    <w:abstractNumId w:val="4"/>
  </w:num>
  <w:num w:numId="9" w16cid:durableId="1303147984">
    <w:abstractNumId w:val="8"/>
  </w:num>
  <w:num w:numId="10" w16cid:durableId="209994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85285"/>
    <w:rsid w:val="000B40B9"/>
    <w:rsid w:val="001205FC"/>
    <w:rsid w:val="0012110E"/>
    <w:rsid w:val="00144C47"/>
    <w:rsid w:val="00216963"/>
    <w:rsid w:val="002F4AEF"/>
    <w:rsid w:val="00327539"/>
    <w:rsid w:val="003F29B7"/>
    <w:rsid w:val="003F4A58"/>
    <w:rsid w:val="004311BB"/>
    <w:rsid w:val="00461B08"/>
    <w:rsid w:val="00472B65"/>
    <w:rsid w:val="00530A6E"/>
    <w:rsid w:val="00591220"/>
    <w:rsid w:val="00602913"/>
    <w:rsid w:val="00660125"/>
    <w:rsid w:val="00743C43"/>
    <w:rsid w:val="00747A3B"/>
    <w:rsid w:val="007C5BAC"/>
    <w:rsid w:val="007D188D"/>
    <w:rsid w:val="00843875"/>
    <w:rsid w:val="008C0027"/>
    <w:rsid w:val="008F710F"/>
    <w:rsid w:val="00907EE9"/>
    <w:rsid w:val="009530A8"/>
    <w:rsid w:val="009777BA"/>
    <w:rsid w:val="00995174"/>
    <w:rsid w:val="00A572B3"/>
    <w:rsid w:val="00A9730B"/>
    <w:rsid w:val="00AA0359"/>
    <w:rsid w:val="00B65D38"/>
    <w:rsid w:val="00C2602F"/>
    <w:rsid w:val="00C5687A"/>
    <w:rsid w:val="00C61D84"/>
    <w:rsid w:val="00CA491B"/>
    <w:rsid w:val="00CD7BE2"/>
    <w:rsid w:val="00CF47B8"/>
    <w:rsid w:val="00D10E4C"/>
    <w:rsid w:val="00D1719C"/>
    <w:rsid w:val="00D24D72"/>
    <w:rsid w:val="00DA6460"/>
    <w:rsid w:val="00DB568E"/>
    <w:rsid w:val="00DD38A7"/>
    <w:rsid w:val="00DF5257"/>
    <w:rsid w:val="00EE1904"/>
    <w:rsid w:val="00F57717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7F47FA"/>
  <w15:chartTrackingRefBased/>
  <w15:docId w15:val="{DD2FE24A-E0F1-457A-98B2-2DFB53BA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uiPriority w:val="99"/>
    <w:rsid w:val="000B40B9"/>
    <w:pPr>
      <w:widowControl w:val="0"/>
      <w:autoSpaceDE w:val="0"/>
      <w:autoSpaceDN w:val="0"/>
      <w:adjustRightInd w:val="0"/>
    </w:pPr>
    <w:rPr>
      <w:rFonts w:ascii="CKBKDC+Arial" w:hAnsi="CKBKDC+Arial" w:cs="CKBKDC+Arial"/>
      <w:color w:val="000000"/>
      <w:sz w:val="24"/>
      <w:szCs w:val="24"/>
    </w:rPr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,aotm_załączniki"/>
    <w:basedOn w:val="Normalny"/>
    <w:link w:val="AkapitzlistZnak"/>
    <w:uiPriority w:val="34"/>
    <w:qFormat/>
    <w:rsid w:val="000B40B9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/>
      <w:sz w:val="20"/>
      <w:szCs w:val="20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34"/>
    <w:qFormat/>
    <w:locked/>
    <w:rsid w:val="000B40B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922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keywords/>
  <cp:lastModifiedBy>Wilk Justyna</cp:lastModifiedBy>
  <cp:revision>3</cp:revision>
  <cp:lastPrinted>2015-10-28T10:19:00Z</cp:lastPrinted>
  <dcterms:created xsi:type="dcterms:W3CDTF">2025-05-21T11:51:00Z</dcterms:created>
  <dcterms:modified xsi:type="dcterms:W3CDTF">2025-05-21T11:54:00Z</dcterms:modified>
</cp:coreProperties>
</file>