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7DAA" w14:textId="1E4FD38C" w:rsidR="00AA3E18" w:rsidRPr="00AA3E18" w:rsidRDefault="00AA3E18" w:rsidP="00AA3E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AA3E18">
        <w:rPr>
          <w:rFonts w:ascii="Times New Roman" w:eastAsia="Times New Roman" w:hAnsi="Times New Roman" w:cs="Times New Roman"/>
          <w:szCs w:val="24"/>
          <w:lang w:eastAsia="pl-PL"/>
        </w:rPr>
        <w:t>Załącznik</w:t>
      </w:r>
      <w:r>
        <w:rPr>
          <w:rFonts w:ascii="Times New Roman" w:eastAsia="Times New Roman" w:hAnsi="Times New Roman" w:cs="Times New Roman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szCs w:val="24"/>
          <w:lang w:eastAsia="pl-PL"/>
        </w:rPr>
        <w:t>B.31.</w:t>
      </w:r>
    </w:p>
    <w:p w14:paraId="39198C45" w14:textId="77777777" w:rsidR="00AA3E18" w:rsidRPr="00AA3E18" w:rsidRDefault="00AA3E18" w:rsidP="00AA3E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</w:p>
    <w:p w14:paraId="2426FEAC" w14:textId="04A32669" w:rsidR="00AA3E18" w:rsidRPr="00AA3E18" w:rsidRDefault="00AA3E18" w:rsidP="00AA3E1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LECZENIE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TĘTNICZEGO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NADCIŚNIENIA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PŁUCNEGO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(TNP)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(ICD-10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I27,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Pr="00AA3E1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I27.0)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692"/>
      </w:tblGrid>
      <w:tr w:rsidR="004833C7" w:rsidRPr="0048533E" w14:paraId="753B17C9" w14:textId="77777777" w:rsidTr="00AA3E18">
        <w:trPr>
          <w:trHeight w:val="567"/>
          <w:jc w:val="center"/>
        </w:trPr>
        <w:tc>
          <w:tcPr>
            <w:tcW w:w="15388" w:type="dxa"/>
            <w:gridSpan w:val="2"/>
            <w:vAlign w:val="center"/>
          </w:tcPr>
          <w:p w14:paraId="5A5E7854" w14:textId="056EEF29" w:rsidR="004833C7" w:rsidRPr="0048533E" w:rsidRDefault="004833C7" w:rsidP="00AA3E18">
            <w:pPr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ZAKRES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ŚWIADCZENIA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GWARANTOWANEGO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–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KRYTERIA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OGÓLNE</w:t>
            </w:r>
          </w:p>
        </w:tc>
      </w:tr>
      <w:tr w:rsidR="004833C7" w:rsidRPr="0048533E" w14:paraId="7EA6B926" w14:textId="77777777" w:rsidTr="0052754C">
        <w:trPr>
          <w:jc w:val="center"/>
        </w:trPr>
        <w:tc>
          <w:tcPr>
            <w:tcW w:w="1696" w:type="dxa"/>
          </w:tcPr>
          <w:p w14:paraId="770C8216" w14:textId="26511158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Kryteria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włączenia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br/>
            </w:r>
          </w:p>
        </w:tc>
        <w:tc>
          <w:tcPr>
            <w:tcW w:w="13692" w:type="dxa"/>
          </w:tcPr>
          <w:p w14:paraId="35E780CD" w14:textId="73018FF3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1)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zdiagnozowane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oraz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udokumentowane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tętnicze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nadciśnienie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płucne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(wg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aktualnej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klasyfikacji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towarzystw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naukowych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ESC,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ERS,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AEPC);</w:t>
            </w:r>
          </w:p>
          <w:p w14:paraId="0D45073A" w14:textId="0861AB7C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2)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udokumentowany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aktualnie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przeszłości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brak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spadku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ciśnienia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tętnicy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płucnej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ostrym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hemodynamicznym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teście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wazoreaktywności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(według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aktualnych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kryteriów)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niezadowalający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skutek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nietolerancja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przewlekłego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leczenia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lekami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blokującymi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kanał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wapniowy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pomimo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spadku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ciśnienia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tętnicy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płucnej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ostrym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hemodynamicznym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teście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wazoreaktywności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(według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aktualnych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kryteriów);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wymóg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przeprowadzenia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ostrego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testu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wazoreaktywności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dotyczy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pacjentów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idiopatycznym,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polekowym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dziedziczonym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tętniczym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nadciśnieniem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płucnym;</w:t>
            </w:r>
          </w:p>
          <w:p w14:paraId="2C32EBE0" w14:textId="76BFF538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3)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dodatkowe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kryteria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przedstawione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punkcie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„Kryteria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włączenia”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dla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poszczególnych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leków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połączeń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lekowych</w:t>
            </w:r>
            <w:r>
              <w:rPr>
                <w:szCs w:val="24"/>
              </w:rPr>
              <w:t>.</w:t>
            </w:r>
          </w:p>
          <w:p w14:paraId="388FC5DE" w14:textId="7FD61FE3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Kryteria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włączenia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muszą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być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spełnione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łącznie,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chyba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że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opisie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programu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wskazane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jest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inaczej.</w:t>
            </w:r>
          </w:p>
        </w:tc>
      </w:tr>
      <w:tr w:rsidR="004833C7" w:rsidRPr="0048533E" w14:paraId="32069B12" w14:textId="77777777" w:rsidTr="0052754C">
        <w:trPr>
          <w:jc w:val="center"/>
        </w:trPr>
        <w:tc>
          <w:tcPr>
            <w:tcW w:w="1696" w:type="dxa"/>
          </w:tcPr>
          <w:p w14:paraId="5D19EF66" w14:textId="2EDF8CEE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Czas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leczenia</w:t>
            </w:r>
            <w:r w:rsidR="00AA3E18">
              <w:rPr>
                <w:b/>
                <w:szCs w:val="24"/>
              </w:rPr>
              <w:t xml:space="preserve"> </w:t>
            </w:r>
          </w:p>
        </w:tc>
        <w:tc>
          <w:tcPr>
            <w:tcW w:w="13692" w:type="dxa"/>
          </w:tcPr>
          <w:p w14:paraId="4701FAFD" w14:textId="64DF798F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Czas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leczenia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programie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określa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lekarz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podstawie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kryteriów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wyłączenia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programu.</w:t>
            </w:r>
          </w:p>
        </w:tc>
      </w:tr>
      <w:tr w:rsidR="004833C7" w:rsidRPr="0048533E" w14:paraId="57A4F2F6" w14:textId="77777777" w:rsidTr="0052754C">
        <w:trPr>
          <w:jc w:val="center"/>
        </w:trPr>
        <w:tc>
          <w:tcPr>
            <w:tcW w:w="1696" w:type="dxa"/>
          </w:tcPr>
          <w:p w14:paraId="4277CF3D" w14:textId="7DCFB74D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Kryteria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wyłączenia</w:t>
            </w:r>
            <w:r w:rsidR="00AA3E18">
              <w:rPr>
                <w:b/>
                <w:szCs w:val="24"/>
              </w:rPr>
              <w:t xml:space="preserve"> </w:t>
            </w:r>
          </w:p>
        </w:tc>
        <w:tc>
          <w:tcPr>
            <w:tcW w:w="13692" w:type="dxa"/>
          </w:tcPr>
          <w:p w14:paraId="09563EDD" w14:textId="4833773C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1)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brak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współpracy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strony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pacjenta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zakresie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prowadzenia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terapii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okresowej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kontroli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jej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skuteczności;</w:t>
            </w:r>
          </w:p>
          <w:p w14:paraId="4CB666BF" w14:textId="5B514E2B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2)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nadwrażliwość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substancję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czynna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substancje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pomocnicze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leku;</w:t>
            </w:r>
          </w:p>
          <w:p w14:paraId="0C908BA6" w14:textId="49A94440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3)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inne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okoliczności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uzasadnione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względami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medycznymi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które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wskazują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konieczność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zmiany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terapii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inną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(w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obrębie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poza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programem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leczenia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TNP)</w:t>
            </w:r>
            <w:r>
              <w:rPr>
                <w:szCs w:val="24"/>
              </w:rPr>
              <w:t>;</w:t>
            </w:r>
          </w:p>
          <w:p w14:paraId="204A261D" w14:textId="454DF3EB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4)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dodatkowe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kryteria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przedstawione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punkcie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„Kryteria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wyłączenia”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dla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poszczególnych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leków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lub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połączeń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lekowych</w:t>
            </w:r>
            <w:r>
              <w:rPr>
                <w:szCs w:val="24"/>
              </w:rPr>
              <w:t>.</w:t>
            </w:r>
          </w:p>
        </w:tc>
      </w:tr>
      <w:tr w:rsidR="004833C7" w:rsidRPr="0048533E" w14:paraId="75752954" w14:textId="77777777" w:rsidTr="0052754C">
        <w:trPr>
          <w:trHeight w:val="572"/>
          <w:jc w:val="center"/>
        </w:trPr>
        <w:tc>
          <w:tcPr>
            <w:tcW w:w="1696" w:type="dxa"/>
          </w:tcPr>
          <w:p w14:paraId="6E09ABB2" w14:textId="184C97A5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Ocena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klasy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czynnościowej</w:t>
            </w:r>
          </w:p>
        </w:tc>
        <w:tc>
          <w:tcPr>
            <w:tcW w:w="13692" w:type="dxa"/>
          </w:tcPr>
          <w:p w14:paraId="040CADD3" w14:textId="5EC1DD98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Oceny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klasy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czynnościowej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należy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dokonywać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zgodnie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klasyfikacją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Światowej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Organizacji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Zdrowia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(WHO)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opublikowaną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Wytycznych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Europejskiego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Towarzystwa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Kardiologicznego.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równorzędną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należy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uznać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klasyfikację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New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York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Heart</w:t>
            </w:r>
            <w:proofErr w:type="spellEnd"/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Association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(NYHA)</w:t>
            </w:r>
            <w:r>
              <w:rPr>
                <w:szCs w:val="24"/>
              </w:rPr>
              <w:t>.</w:t>
            </w:r>
          </w:p>
        </w:tc>
      </w:tr>
      <w:tr w:rsidR="004833C7" w:rsidRPr="0048533E" w14:paraId="743A161E" w14:textId="77777777" w:rsidTr="0052754C">
        <w:trPr>
          <w:trHeight w:val="200"/>
          <w:jc w:val="center"/>
        </w:trPr>
        <w:tc>
          <w:tcPr>
            <w:tcW w:w="1696" w:type="dxa"/>
          </w:tcPr>
          <w:p w14:paraId="2ABF65C4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Zalecenia</w:t>
            </w:r>
          </w:p>
        </w:tc>
        <w:tc>
          <w:tcPr>
            <w:tcW w:w="13692" w:type="dxa"/>
          </w:tcPr>
          <w:p w14:paraId="0BAFD990" w14:textId="38D86C05" w:rsidR="004833C7" w:rsidRPr="0048533E" w:rsidRDefault="004833C7" w:rsidP="004833C7">
            <w:pPr>
              <w:spacing w:line="276" w:lineRule="auto"/>
              <w:jc w:val="both"/>
              <w:rPr>
                <w:szCs w:val="24"/>
              </w:rPr>
            </w:pPr>
            <w:r w:rsidRPr="0048533E">
              <w:rPr>
                <w:szCs w:val="24"/>
              </w:rPr>
              <w:t>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miesiączkujących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dziewcząt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i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kobiet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wieku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rozrodczym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należy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zalecać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stosowanie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skutecznej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metody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antykoncepcji.</w:t>
            </w:r>
          </w:p>
        </w:tc>
      </w:tr>
    </w:tbl>
    <w:p w14:paraId="736F6E90" w14:textId="77777777" w:rsidR="004833C7" w:rsidRPr="0048533E" w:rsidRDefault="004833C7" w:rsidP="004833C7">
      <w:pPr>
        <w:spacing w:after="120" w:line="276" w:lineRule="auto"/>
        <w:rPr>
          <w:rFonts w:ascii="Times New Roman" w:eastAsia="Times New Roman" w:hAnsi="Times New Roman"/>
          <w:b/>
          <w:sz w:val="24"/>
          <w:szCs w:val="24"/>
          <w:lang w:eastAsia="pl-PL"/>
        </w:rPr>
      </w:pPr>
    </w:p>
    <w:tbl>
      <w:tblPr>
        <w:tblStyle w:val="Tabela-Siatka1"/>
        <w:tblW w:w="5000" w:type="pct"/>
        <w:tblLook w:val="04A0" w:firstRow="1" w:lastRow="0" w:firstColumn="1" w:lastColumn="0" w:noHBand="0" w:noVBand="1"/>
      </w:tblPr>
      <w:tblGrid>
        <w:gridCol w:w="2018"/>
        <w:gridCol w:w="6608"/>
        <w:gridCol w:w="945"/>
        <w:gridCol w:w="5817"/>
      </w:tblGrid>
      <w:tr w:rsidR="004833C7" w:rsidRPr="0048533E" w14:paraId="0EC69973" w14:textId="77777777" w:rsidTr="00AA3E18">
        <w:trPr>
          <w:trHeight w:val="567"/>
        </w:trPr>
        <w:tc>
          <w:tcPr>
            <w:tcW w:w="5000" w:type="pct"/>
            <w:gridSpan w:val="4"/>
            <w:vAlign w:val="center"/>
          </w:tcPr>
          <w:p w14:paraId="14F17949" w14:textId="70D466F1" w:rsidR="004833C7" w:rsidRPr="0048533E" w:rsidRDefault="004833C7" w:rsidP="00AA3E18">
            <w:pPr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WYKAZ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SKRÓTÓW</w:t>
            </w:r>
          </w:p>
        </w:tc>
      </w:tr>
      <w:tr w:rsidR="004833C7" w:rsidRPr="0048533E" w14:paraId="4090D869" w14:textId="77777777" w:rsidTr="00AA3E18">
        <w:trPr>
          <w:trHeight w:val="281"/>
        </w:trPr>
        <w:tc>
          <w:tcPr>
            <w:tcW w:w="656" w:type="pct"/>
          </w:tcPr>
          <w:p w14:paraId="73F97F88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NFZ</w:t>
            </w:r>
          </w:p>
        </w:tc>
        <w:tc>
          <w:tcPr>
            <w:tcW w:w="2147" w:type="pct"/>
          </w:tcPr>
          <w:p w14:paraId="459E6B6F" w14:textId="16C4E8AB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r w:rsidRPr="0048533E">
              <w:rPr>
                <w:szCs w:val="24"/>
              </w:rPr>
              <w:t>Narodowy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Fundusz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Zdrowia</w:t>
            </w:r>
          </w:p>
        </w:tc>
        <w:tc>
          <w:tcPr>
            <w:tcW w:w="307" w:type="pct"/>
          </w:tcPr>
          <w:p w14:paraId="698C51DF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proofErr w:type="spellStart"/>
            <w:r w:rsidRPr="0048533E">
              <w:rPr>
                <w:b/>
                <w:szCs w:val="24"/>
              </w:rPr>
              <w:t>ChPL</w:t>
            </w:r>
            <w:proofErr w:type="spellEnd"/>
          </w:p>
        </w:tc>
        <w:tc>
          <w:tcPr>
            <w:tcW w:w="1890" w:type="pct"/>
          </w:tcPr>
          <w:p w14:paraId="472DBBF7" w14:textId="3CCABD72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r w:rsidRPr="0048533E">
              <w:rPr>
                <w:szCs w:val="24"/>
              </w:rPr>
              <w:t>Charakterystyka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produktu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leczniczego</w:t>
            </w:r>
          </w:p>
        </w:tc>
      </w:tr>
      <w:tr w:rsidR="004833C7" w:rsidRPr="0048533E" w14:paraId="46039B21" w14:textId="77777777" w:rsidTr="00AA3E18">
        <w:trPr>
          <w:trHeight w:val="281"/>
        </w:trPr>
        <w:tc>
          <w:tcPr>
            <w:tcW w:w="656" w:type="pct"/>
          </w:tcPr>
          <w:p w14:paraId="0FCAFA48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proofErr w:type="spellStart"/>
            <w:r w:rsidRPr="0048533E">
              <w:rPr>
                <w:b/>
                <w:szCs w:val="24"/>
              </w:rPr>
              <w:t>AsPAT</w:t>
            </w:r>
            <w:proofErr w:type="spellEnd"/>
          </w:p>
        </w:tc>
        <w:tc>
          <w:tcPr>
            <w:tcW w:w="2147" w:type="pct"/>
          </w:tcPr>
          <w:p w14:paraId="78F0503A" w14:textId="4FAF63BC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r w:rsidRPr="0048533E">
              <w:rPr>
                <w:szCs w:val="24"/>
              </w:rPr>
              <w:t>Aminotransferaza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asparginowa</w:t>
            </w:r>
          </w:p>
        </w:tc>
        <w:tc>
          <w:tcPr>
            <w:tcW w:w="307" w:type="pct"/>
          </w:tcPr>
          <w:p w14:paraId="3642CA7D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TNP</w:t>
            </w:r>
          </w:p>
        </w:tc>
        <w:tc>
          <w:tcPr>
            <w:tcW w:w="1890" w:type="pct"/>
          </w:tcPr>
          <w:p w14:paraId="3B5EFC58" w14:textId="356F25D7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r w:rsidRPr="0048533E">
              <w:rPr>
                <w:szCs w:val="24"/>
              </w:rPr>
              <w:t>Tętnicze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nadciśnienie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płucne</w:t>
            </w:r>
          </w:p>
        </w:tc>
      </w:tr>
      <w:tr w:rsidR="004833C7" w:rsidRPr="0048533E" w14:paraId="46C03800" w14:textId="77777777" w:rsidTr="00AA3E18">
        <w:trPr>
          <w:trHeight w:val="297"/>
        </w:trPr>
        <w:tc>
          <w:tcPr>
            <w:tcW w:w="656" w:type="pct"/>
          </w:tcPr>
          <w:p w14:paraId="13630EB1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bookmarkStart w:id="0" w:name="_Hlk520629621"/>
            <w:proofErr w:type="spellStart"/>
            <w:r w:rsidRPr="0048533E">
              <w:rPr>
                <w:b/>
                <w:szCs w:val="24"/>
              </w:rPr>
              <w:t>AlAT</w:t>
            </w:r>
            <w:proofErr w:type="spellEnd"/>
          </w:p>
        </w:tc>
        <w:tc>
          <w:tcPr>
            <w:tcW w:w="2147" w:type="pct"/>
          </w:tcPr>
          <w:p w14:paraId="5A375DA3" w14:textId="4680888C" w:rsidR="004833C7" w:rsidRPr="0048533E" w:rsidRDefault="004833C7" w:rsidP="004833C7">
            <w:pPr>
              <w:spacing w:line="276" w:lineRule="auto"/>
              <w:rPr>
                <w:color w:val="FF0000"/>
                <w:szCs w:val="24"/>
              </w:rPr>
            </w:pPr>
            <w:r w:rsidRPr="0048533E">
              <w:rPr>
                <w:szCs w:val="24"/>
              </w:rPr>
              <w:t>Aminotransferaza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alaninowa</w:t>
            </w:r>
          </w:p>
        </w:tc>
        <w:tc>
          <w:tcPr>
            <w:tcW w:w="307" w:type="pct"/>
          </w:tcPr>
          <w:p w14:paraId="19101F0B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WHO</w:t>
            </w:r>
          </w:p>
        </w:tc>
        <w:tc>
          <w:tcPr>
            <w:tcW w:w="1890" w:type="pct"/>
          </w:tcPr>
          <w:p w14:paraId="1A83A0E5" w14:textId="6D917619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r w:rsidRPr="0048533E">
              <w:rPr>
                <w:szCs w:val="24"/>
              </w:rPr>
              <w:t>Światowa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Organizacja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Zdrowia</w:t>
            </w:r>
          </w:p>
        </w:tc>
      </w:tr>
      <w:bookmarkEnd w:id="0"/>
      <w:tr w:rsidR="004833C7" w:rsidRPr="0048533E" w14:paraId="4674E92D" w14:textId="77777777" w:rsidTr="00AA3E18">
        <w:trPr>
          <w:trHeight w:val="281"/>
        </w:trPr>
        <w:tc>
          <w:tcPr>
            <w:tcW w:w="656" w:type="pct"/>
          </w:tcPr>
          <w:p w14:paraId="5731246D" w14:textId="24596820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BNP/</w:t>
            </w:r>
            <w:r w:rsidR="00AA3E18">
              <w:rPr>
                <w:b/>
                <w:szCs w:val="24"/>
              </w:rPr>
              <w:t xml:space="preserve"> </w:t>
            </w:r>
            <w:r w:rsidRPr="0048533E">
              <w:rPr>
                <w:b/>
                <w:szCs w:val="24"/>
              </w:rPr>
              <w:t>NT-</w:t>
            </w:r>
            <w:proofErr w:type="spellStart"/>
            <w:r w:rsidRPr="0048533E">
              <w:rPr>
                <w:b/>
                <w:szCs w:val="24"/>
              </w:rPr>
              <w:t>proBNP</w:t>
            </w:r>
            <w:proofErr w:type="spellEnd"/>
          </w:p>
        </w:tc>
        <w:tc>
          <w:tcPr>
            <w:tcW w:w="2147" w:type="pct"/>
          </w:tcPr>
          <w:p w14:paraId="134F4DEE" w14:textId="7B6D2C92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r w:rsidRPr="0048533E">
              <w:rPr>
                <w:szCs w:val="24"/>
              </w:rPr>
              <w:t>Peptyd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natriuretyczny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typu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B/N-końcowy</w:t>
            </w:r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fragment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proBNP</w:t>
            </w:r>
            <w:proofErr w:type="spellEnd"/>
            <w:r w:rsidR="00AA3E18">
              <w:rPr>
                <w:szCs w:val="24"/>
              </w:rPr>
              <w:t xml:space="preserve"> </w:t>
            </w:r>
          </w:p>
        </w:tc>
        <w:tc>
          <w:tcPr>
            <w:tcW w:w="307" w:type="pct"/>
          </w:tcPr>
          <w:p w14:paraId="646D5F40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ESC</w:t>
            </w:r>
          </w:p>
        </w:tc>
        <w:tc>
          <w:tcPr>
            <w:tcW w:w="1890" w:type="pct"/>
          </w:tcPr>
          <w:p w14:paraId="52EC1881" w14:textId="542971DE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proofErr w:type="spellStart"/>
            <w:r w:rsidRPr="0048533E">
              <w:rPr>
                <w:szCs w:val="24"/>
              </w:rPr>
              <w:t>European</w:t>
            </w:r>
            <w:proofErr w:type="spellEnd"/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Society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of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Cardiology</w:t>
            </w:r>
            <w:proofErr w:type="spellEnd"/>
          </w:p>
        </w:tc>
      </w:tr>
      <w:tr w:rsidR="004833C7" w:rsidRPr="00471C19" w14:paraId="4888598F" w14:textId="77777777" w:rsidTr="00AA3E18">
        <w:trPr>
          <w:trHeight w:val="281"/>
        </w:trPr>
        <w:tc>
          <w:tcPr>
            <w:tcW w:w="656" w:type="pct"/>
          </w:tcPr>
          <w:p w14:paraId="0E2234CC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ERS</w:t>
            </w:r>
          </w:p>
        </w:tc>
        <w:tc>
          <w:tcPr>
            <w:tcW w:w="2147" w:type="pct"/>
          </w:tcPr>
          <w:p w14:paraId="51503A98" w14:textId="254E5960" w:rsidR="004833C7" w:rsidRPr="0048533E" w:rsidRDefault="004833C7" w:rsidP="004833C7">
            <w:pPr>
              <w:spacing w:line="276" w:lineRule="auto"/>
              <w:rPr>
                <w:szCs w:val="24"/>
              </w:rPr>
            </w:pPr>
            <w:proofErr w:type="spellStart"/>
            <w:r w:rsidRPr="0048533E">
              <w:rPr>
                <w:szCs w:val="24"/>
              </w:rPr>
              <w:t>European</w:t>
            </w:r>
            <w:proofErr w:type="spellEnd"/>
            <w:r w:rsidR="00AA3E18">
              <w:rPr>
                <w:szCs w:val="24"/>
              </w:rPr>
              <w:t xml:space="preserve"> </w:t>
            </w:r>
            <w:r w:rsidRPr="0048533E">
              <w:rPr>
                <w:szCs w:val="24"/>
              </w:rPr>
              <w:t>Respiratory</w:t>
            </w:r>
            <w:r w:rsidR="00AA3E18">
              <w:rPr>
                <w:szCs w:val="24"/>
              </w:rPr>
              <w:t xml:space="preserve"> </w:t>
            </w:r>
            <w:proofErr w:type="spellStart"/>
            <w:r w:rsidRPr="0048533E">
              <w:rPr>
                <w:szCs w:val="24"/>
              </w:rPr>
              <w:t>Society</w:t>
            </w:r>
            <w:proofErr w:type="spellEnd"/>
          </w:p>
        </w:tc>
        <w:tc>
          <w:tcPr>
            <w:tcW w:w="307" w:type="pct"/>
          </w:tcPr>
          <w:p w14:paraId="0DE4B3CF" w14:textId="77777777" w:rsidR="004833C7" w:rsidRPr="0048533E" w:rsidRDefault="004833C7" w:rsidP="004833C7">
            <w:pPr>
              <w:spacing w:line="276" w:lineRule="auto"/>
              <w:rPr>
                <w:b/>
                <w:szCs w:val="24"/>
              </w:rPr>
            </w:pPr>
            <w:r w:rsidRPr="0048533E">
              <w:rPr>
                <w:b/>
                <w:szCs w:val="24"/>
              </w:rPr>
              <w:t>AEPC</w:t>
            </w:r>
          </w:p>
        </w:tc>
        <w:tc>
          <w:tcPr>
            <w:tcW w:w="1890" w:type="pct"/>
          </w:tcPr>
          <w:p w14:paraId="19D2D6D5" w14:textId="2A4383A5" w:rsidR="004833C7" w:rsidRPr="0048533E" w:rsidRDefault="004833C7" w:rsidP="004833C7">
            <w:pPr>
              <w:spacing w:line="276" w:lineRule="auto"/>
              <w:rPr>
                <w:szCs w:val="24"/>
                <w:lang w:val="en-US"/>
              </w:rPr>
            </w:pPr>
            <w:r w:rsidRPr="0048533E">
              <w:rPr>
                <w:szCs w:val="24"/>
                <w:lang w:val="en-US"/>
              </w:rPr>
              <w:t>Association</w:t>
            </w:r>
            <w:r w:rsidR="00AA3E18">
              <w:rPr>
                <w:szCs w:val="24"/>
                <w:lang w:val="en-US"/>
              </w:rPr>
              <w:t xml:space="preserve"> </w:t>
            </w:r>
            <w:r w:rsidRPr="0048533E">
              <w:rPr>
                <w:szCs w:val="24"/>
                <w:lang w:val="en-US"/>
              </w:rPr>
              <w:t>for</w:t>
            </w:r>
            <w:r w:rsidR="00AA3E18">
              <w:rPr>
                <w:szCs w:val="24"/>
                <w:lang w:val="en-US"/>
              </w:rPr>
              <w:t xml:space="preserve"> </w:t>
            </w:r>
            <w:r w:rsidRPr="0048533E">
              <w:rPr>
                <w:szCs w:val="24"/>
                <w:lang w:val="en-US"/>
              </w:rPr>
              <w:t>European</w:t>
            </w:r>
            <w:r w:rsidR="00AA3E18">
              <w:rPr>
                <w:szCs w:val="24"/>
                <w:lang w:val="en-US"/>
              </w:rPr>
              <w:t xml:space="preserve"> </w:t>
            </w:r>
            <w:r w:rsidRPr="0048533E">
              <w:rPr>
                <w:szCs w:val="24"/>
                <w:lang w:val="en-US"/>
              </w:rPr>
              <w:t>Pediatric</w:t>
            </w:r>
            <w:r w:rsidR="00AA3E18">
              <w:rPr>
                <w:szCs w:val="24"/>
                <w:lang w:val="en-US"/>
              </w:rPr>
              <w:t xml:space="preserve"> </w:t>
            </w:r>
            <w:r w:rsidRPr="0048533E">
              <w:rPr>
                <w:szCs w:val="24"/>
                <w:lang w:val="en-US"/>
              </w:rPr>
              <w:t>Cardiology</w:t>
            </w:r>
          </w:p>
        </w:tc>
      </w:tr>
    </w:tbl>
    <w:p w14:paraId="223F3642" w14:textId="77777777" w:rsidR="004833C7" w:rsidRPr="0052754C" w:rsidRDefault="004833C7">
      <w:pPr>
        <w:rPr>
          <w:lang w:val="en-GB"/>
        </w:rPr>
      </w:pPr>
    </w:p>
    <w:tbl>
      <w:tblPr>
        <w:tblpPr w:leftFromText="141" w:rightFromText="141" w:horzAnchor="margin" w:tblpY="45"/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7"/>
        <w:gridCol w:w="4221"/>
        <w:gridCol w:w="4224"/>
      </w:tblGrid>
      <w:tr w:rsidR="004833C7" w:rsidRPr="004833C7" w14:paraId="26CC02D7" w14:textId="77777777" w:rsidTr="00E024EA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13FDD" w14:textId="5D2378A3" w:rsidR="004833C7" w:rsidRPr="004833C7" w:rsidRDefault="004833C7" w:rsidP="00E02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ZAKRES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SZCZEGÓŁOWE</w:t>
            </w:r>
          </w:p>
        </w:tc>
      </w:tr>
      <w:tr w:rsidR="004833C7" w:rsidRPr="004833C7" w14:paraId="02364599" w14:textId="77777777" w:rsidTr="00AA3E18">
        <w:trPr>
          <w:trHeight w:val="567"/>
        </w:trPr>
        <w:tc>
          <w:tcPr>
            <w:tcW w:w="2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5A7D3" w14:textId="77777777" w:rsidR="004833C7" w:rsidRPr="004833C7" w:rsidRDefault="004833C7" w:rsidP="00E02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452EC" w14:textId="0C1CF08F" w:rsidR="004833C7" w:rsidRPr="004833C7" w:rsidRDefault="004833C7" w:rsidP="00E02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DF895" w14:textId="72F16AE8" w:rsidR="004833C7" w:rsidRPr="004833C7" w:rsidRDefault="004833C7" w:rsidP="00E02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AA3E1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833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4833C7" w:rsidRPr="004833C7" w14:paraId="4A661888" w14:textId="77777777" w:rsidTr="00AA3E18">
        <w:trPr>
          <w:trHeight w:val="20"/>
        </w:trPr>
        <w:tc>
          <w:tcPr>
            <w:tcW w:w="22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8AD69" w14:textId="7979F2E9" w:rsidR="004833C7" w:rsidRPr="0052754C" w:rsidRDefault="0052754C" w:rsidP="00E024EA">
            <w:pPr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A.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dorosłych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(≥18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lat)</w:t>
            </w:r>
          </w:p>
          <w:p w14:paraId="02D0DF83" w14:textId="56ED8FD6" w:rsidR="004833C7" w:rsidRPr="0052754C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I.</w:t>
            </w:r>
            <w:r w:rsidR="003F5D02"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A.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POCZĄTKOWE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(MONOTERAPIA)</w:t>
            </w:r>
          </w:p>
          <w:p w14:paraId="0E44F365" w14:textId="4D3DB032" w:rsidR="004833C7" w:rsidRPr="0052754C" w:rsidRDefault="004833C7" w:rsidP="008367DA">
            <w:pPr>
              <w:pStyle w:val="Akapitzlist"/>
              <w:numPr>
                <w:ilvl w:val="0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Bosentan</w:t>
            </w:r>
            <w:proofErr w:type="spellEnd"/>
          </w:p>
          <w:p w14:paraId="063A3227" w14:textId="783859C4" w:rsidR="004833C7" w:rsidRPr="0052754C" w:rsidRDefault="004833C7" w:rsidP="008367DA">
            <w:pPr>
              <w:pStyle w:val="Akapitzlist"/>
              <w:numPr>
                <w:ilvl w:val="1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01A2A816" w14:textId="19BB5217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czynnościowa.</w:t>
            </w:r>
          </w:p>
          <w:p w14:paraId="054F74EA" w14:textId="77777777" w:rsidR="003F5D02" w:rsidRPr="0052754C" w:rsidRDefault="003F5D02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8170405" w14:textId="034AEE60" w:rsidR="004833C7" w:rsidRPr="0052754C" w:rsidRDefault="004833C7" w:rsidP="008367DA">
            <w:pPr>
              <w:pStyle w:val="Akapitzlist"/>
              <w:numPr>
                <w:ilvl w:val="1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06021E38" w14:textId="1E3ED5CD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najmniej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przeciwskazań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A4E0697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E5F83D5" w14:textId="22F06B7C" w:rsidR="004833C7" w:rsidRPr="0052754C" w:rsidRDefault="004833C7" w:rsidP="008367DA">
            <w:pPr>
              <w:pStyle w:val="Akapitzlist"/>
              <w:numPr>
                <w:ilvl w:val="0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>Sildenafil</w:t>
            </w:r>
            <w:proofErr w:type="spellEnd"/>
          </w:p>
          <w:p w14:paraId="715145F6" w14:textId="7DD06582" w:rsidR="004833C7" w:rsidRPr="0052754C" w:rsidRDefault="004833C7" w:rsidP="008367DA">
            <w:pPr>
              <w:pStyle w:val="Akapitzlist"/>
              <w:numPr>
                <w:ilvl w:val="1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1E49C49A" w14:textId="486C72E0" w:rsid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</w:p>
          <w:p w14:paraId="55F5E86D" w14:textId="5A0C71B0" w:rsidR="004833C7" w:rsidRPr="0052754C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</w:p>
          <w:p w14:paraId="55E27364" w14:textId="0596A7DD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jeżeli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ukończenia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leczony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inhibitorem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PDE5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zespołem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Eisenmengera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20C4195B" w14:textId="77777777" w:rsidR="003F5D02" w:rsidRPr="0052754C" w:rsidRDefault="003F5D02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B719C57" w14:textId="7EA54848" w:rsidR="004833C7" w:rsidRPr="0052754C" w:rsidRDefault="004833C7" w:rsidP="008367DA">
            <w:pPr>
              <w:pStyle w:val="Akapitzlist"/>
              <w:numPr>
                <w:ilvl w:val="1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0087ADB8" w14:textId="42F31CA3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powikłania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terapii;</w:t>
            </w:r>
          </w:p>
          <w:p w14:paraId="702025E9" w14:textId="16DA14C2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udar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mózgu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ostatnich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90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dni;</w:t>
            </w:r>
          </w:p>
          <w:p w14:paraId="1C5B5315" w14:textId="124081BD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mięśnia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ostatnich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90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dni;</w:t>
            </w:r>
          </w:p>
          <w:p w14:paraId="768F202C" w14:textId="0791F2B8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niedociśnienie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tętnicze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(&lt;90/50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mmHg)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jeżeli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prawej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komory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wtórnej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TNP;</w:t>
            </w:r>
          </w:p>
          <w:p w14:paraId="6BD22620" w14:textId="0D7A1EF7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konieczność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azotanów,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przeciwgrzybicznych,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przeciwwirusowych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powodujących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interakcje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sildenafilem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80D9A6C" w14:textId="1528D078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retinitis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pigmetosa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utrata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wzroku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nietętniczej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przedniej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niedokrwiennej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neuropatii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nerwu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wzrokowego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(NAION);</w:t>
            </w:r>
          </w:p>
          <w:p w14:paraId="3CEA2ABA" w14:textId="5C10D112" w:rsidR="004833C7" w:rsidRPr="0052754C" w:rsidRDefault="004833C7" w:rsidP="008367DA">
            <w:pPr>
              <w:pStyle w:val="Akapitzlist"/>
              <w:numPr>
                <w:ilvl w:val="2"/>
                <w:numId w:val="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hAnsi="Times New Roman"/>
                <w:sz w:val="20"/>
                <w:szCs w:val="20"/>
                <w:lang w:eastAsia="pl-PL"/>
              </w:rPr>
              <w:t>(klasa</w:t>
            </w:r>
            <w:r w:rsidR="00AA3E18">
              <w:rPr>
                <w:rFonts w:ascii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hAnsi="Times New Roman"/>
                <w:sz w:val="20"/>
                <w:szCs w:val="20"/>
                <w:lang w:eastAsia="pl-PL"/>
              </w:rPr>
              <w:t>C</w:t>
            </w:r>
            <w:r w:rsidR="00AA3E18">
              <w:rPr>
                <w:rFonts w:ascii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hAnsi="Times New Roman"/>
                <w:sz w:val="20"/>
                <w:szCs w:val="20"/>
                <w:lang w:eastAsia="pl-PL"/>
              </w:rPr>
              <w:t>wg</w:t>
            </w:r>
            <w:r w:rsidR="00AA3E18">
              <w:rPr>
                <w:rFonts w:ascii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hAnsi="Times New Roman"/>
                <w:sz w:val="20"/>
                <w:szCs w:val="20"/>
                <w:lang w:eastAsia="pl-PL"/>
              </w:rPr>
              <w:t>Child-</w:t>
            </w:r>
            <w:proofErr w:type="spellStart"/>
            <w:r w:rsidRPr="0052754C">
              <w:rPr>
                <w:rFonts w:ascii="Times New Roman" w:hAnsi="Times New Roman"/>
                <w:sz w:val="20"/>
                <w:szCs w:val="20"/>
                <w:lang w:eastAsia="pl-PL"/>
              </w:rPr>
              <w:t>Pugh</w:t>
            </w:r>
            <w:proofErr w:type="spellEnd"/>
            <w:r w:rsidRPr="0052754C">
              <w:rPr>
                <w:rFonts w:ascii="Times New Roman" w:hAnsi="Times New Roman"/>
                <w:sz w:val="20"/>
                <w:szCs w:val="20"/>
                <w:lang w:eastAsia="pl-PL"/>
              </w:rPr>
              <w:t>)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7F061352" w14:textId="77777777" w:rsidR="003F5D02" w:rsidRPr="0052754C" w:rsidRDefault="003F5D02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7E760765" w14:textId="3C7395BC" w:rsidR="004833C7" w:rsidRPr="0052754C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RZUTU</w:t>
            </w:r>
          </w:p>
          <w:p w14:paraId="476CA5F9" w14:textId="0761B299" w:rsidR="004833C7" w:rsidRPr="0052754C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II.A.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MONOTERAPIA</w:t>
            </w:r>
          </w:p>
          <w:p w14:paraId="51813D3E" w14:textId="610F3E49" w:rsidR="004833C7" w:rsidRPr="0052754C" w:rsidRDefault="004833C7" w:rsidP="008367DA">
            <w:pPr>
              <w:pStyle w:val="Akapitzlist"/>
              <w:numPr>
                <w:ilvl w:val="0"/>
                <w:numId w:val="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iloprost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treprostinil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2564ACF4" w14:textId="366C7D92" w:rsidR="004833C7" w:rsidRPr="0052754C" w:rsidRDefault="004833C7" w:rsidP="008367DA">
            <w:pPr>
              <w:pStyle w:val="Akapitzlist"/>
              <w:numPr>
                <w:ilvl w:val="1"/>
                <w:numId w:val="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224BCD88" w14:textId="052833D1" w:rsidR="004833C7" w:rsidRPr="0052754C" w:rsidRDefault="004833C7" w:rsidP="008367DA">
            <w:pPr>
              <w:pStyle w:val="Akapitzlist"/>
              <w:numPr>
                <w:ilvl w:val="2"/>
                <w:numId w:val="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5118996C" w14:textId="77777777" w:rsidR="004833C7" w:rsidRPr="0052754C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37C294DC" w14:textId="67814651" w:rsidR="004833C7" w:rsidRPr="0052754C" w:rsidRDefault="004833C7" w:rsidP="008367DA">
            <w:pPr>
              <w:pStyle w:val="Akapitzlist"/>
              <w:numPr>
                <w:ilvl w:val="2"/>
                <w:numId w:val="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IV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momencie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leczenia.</w:t>
            </w:r>
          </w:p>
          <w:p w14:paraId="3ED5807B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FAED03E" w14:textId="1A3CC67A" w:rsidR="004833C7" w:rsidRPr="0052754C" w:rsidRDefault="004833C7" w:rsidP="008367DA">
            <w:pPr>
              <w:pStyle w:val="Akapitzlist"/>
              <w:numPr>
                <w:ilvl w:val="1"/>
                <w:numId w:val="2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15F6FEBE" w14:textId="77777777" w:rsidR="0052754C" w:rsidRDefault="004833C7" w:rsidP="008367DA">
            <w:pPr>
              <w:pStyle w:val="Akapitzlist"/>
              <w:numPr>
                <w:ilvl w:val="3"/>
                <w:numId w:val="2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bosentan</w:t>
            </w:r>
            <w:proofErr w:type="spellEnd"/>
          </w:p>
          <w:p w14:paraId="586986D2" w14:textId="759D4347" w:rsidR="004833C7" w:rsidRDefault="0052754C" w:rsidP="00E024EA">
            <w:pPr>
              <w:pStyle w:val="Akapitzlist"/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najmniej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przeciwskazań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</w:p>
          <w:p w14:paraId="43E1783D" w14:textId="77777777" w:rsidR="0052754C" w:rsidRPr="0052754C" w:rsidRDefault="0052754C" w:rsidP="00E024EA">
            <w:pPr>
              <w:pStyle w:val="Akapitzlist"/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F2A951A" w14:textId="63AFA89C" w:rsidR="004833C7" w:rsidRPr="0052754C" w:rsidRDefault="004833C7" w:rsidP="008367DA">
            <w:pPr>
              <w:pStyle w:val="Akapitzlist"/>
              <w:numPr>
                <w:ilvl w:val="3"/>
                <w:numId w:val="2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iloprost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7FA6EC6B" w14:textId="24A72C91" w:rsidR="004833C7" w:rsidRPr="0052754C" w:rsidRDefault="004833C7" w:rsidP="008367DA">
            <w:pPr>
              <w:pStyle w:val="Akapitzlist"/>
              <w:numPr>
                <w:ilvl w:val="2"/>
                <w:numId w:val="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niedokrwienna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niestabilna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dławica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piersiowa;</w:t>
            </w:r>
          </w:p>
          <w:p w14:paraId="41C8CD3E" w14:textId="78952BAA" w:rsidR="004833C7" w:rsidRPr="0052754C" w:rsidRDefault="004833C7" w:rsidP="008367DA">
            <w:pPr>
              <w:pStyle w:val="Akapitzlist"/>
              <w:numPr>
                <w:ilvl w:val="2"/>
                <w:numId w:val="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mięśnia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przebyty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ostatnich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miesięcy;</w:t>
            </w:r>
          </w:p>
          <w:p w14:paraId="4F768D7A" w14:textId="12FBD841" w:rsidR="004833C7" w:rsidRPr="0052754C" w:rsidRDefault="004833C7" w:rsidP="008367DA">
            <w:pPr>
              <w:pStyle w:val="Akapitzlist"/>
              <w:numPr>
                <w:ilvl w:val="2"/>
                <w:numId w:val="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niewyrównana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jeśli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spowodowana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TNP;</w:t>
            </w:r>
          </w:p>
          <w:p w14:paraId="121E65E1" w14:textId="36F8E397" w:rsidR="004833C7" w:rsidRPr="0052754C" w:rsidRDefault="004833C7" w:rsidP="008367DA">
            <w:pPr>
              <w:pStyle w:val="Akapitzlist"/>
              <w:numPr>
                <w:ilvl w:val="2"/>
                <w:numId w:val="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rytmu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serca;</w:t>
            </w:r>
          </w:p>
          <w:p w14:paraId="33371313" w14:textId="4DA24A82" w:rsidR="004833C7" w:rsidRPr="0052754C" w:rsidRDefault="004833C7" w:rsidP="008367DA">
            <w:pPr>
              <w:pStyle w:val="Akapitzlist"/>
              <w:numPr>
                <w:ilvl w:val="2"/>
                <w:numId w:val="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wrodzone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zastawkowe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mięśnia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niezwiązanymi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płucnym;</w:t>
            </w:r>
          </w:p>
          <w:p w14:paraId="62E38B6E" w14:textId="1E31CF80" w:rsidR="004833C7" w:rsidRDefault="004833C7" w:rsidP="008367DA">
            <w:pPr>
              <w:pStyle w:val="Akapitzlist"/>
              <w:numPr>
                <w:ilvl w:val="2"/>
                <w:numId w:val="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stany,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wpływ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iloprostu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płytki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ryzyko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krwotoku.</w:t>
            </w:r>
          </w:p>
          <w:p w14:paraId="7D2CC8E3" w14:textId="77777777" w:rsidR="0052754C" w:rsidRPr="0052754C" w:rsidRDefault="0052754C" w:rsidP="00E024EA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E65D595" w14:textId="747F6D2B" w:rsidR="004833C7" w:rsidRPr="0052754C" w:rsidRDefault="004833C7" w:rsidP="008367DA">
            <w:pPr>
              <w:pStyle w:val="Akapitzlist"/>
              <w:numPr>
                <w:ilvl w:val="3"/>
                <w:numId w:val="2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treprostinil</w:t>
            </w:r>
            <w:proofErr w:type="spellEnd"/>
          </w:p>
          <w:p w14:paraId="63BF9556" w14:textId="695BC3D1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potwierdzoną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zarostową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płucnych;</w:t>
            </w:r>
          </w:p>
          <w:p w14:paraId="47D0E6C6" w14:textId="2AD36488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zastoinowa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spowodowana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lewej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komory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serca;</w:t>
            </w:r>
          </w:p>
          <w:p w14:paraId="34320E4D" w14:textId="46E3AF71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Child-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Pugh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F5B67AD" w14:textId="06912FBB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wrzodowa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przewodu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pokarmowego,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krwawienie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śródczaszkowe,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zranienie,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rodzaj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krwawienia;</w:t>
            </w:r>
          </w:p>
          <w:p w14:paraId="70A55187" w14:textId="6CA6F840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wrodzone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nabyte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zastawkowe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znaczącymi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mięśnia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niezwiązanymi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płucnym;</w:t>
            </w:r>
          </w:p>
          <w:p w14:paraId="1135A7A6" w14:textId="16456070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postać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niedokrwiennej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niestabilna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postać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dławicy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piersiowej;</w:t>
            </w:r>
          </w:p>
          <w:p w14:paraId="526D4BAB" w14:textId="04E794E1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mięśnia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przebyty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ostatnich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miesięcy;</w:t>
            </w:r>
          </w:p>
          <w:p w14:paraId="45FCBA16" w14:textId="59AAC1AA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nieleczona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serca;</w:t>
            </w:r>
          </w:p>
          <w:p w14:paraId="0B7BA51A" w14:textId="4073D42C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rytmu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serca;</w:t>
            </w:r>
          </w:p>
          <w:p w14:paraId="50D7BB72" w14:textId="06DEEFF6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tętnicze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poniżej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90/50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mmHg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jeśli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spowodowane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TNP.</w:t>
            </w:r>
          </w:p>
          <w:p w14:paraId="5778BCD4" w14:textId="77777777" w:rsidR="007436A4" w:rsidRPr="0052754C" w:rsidRDefault="007436A4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F3EE811" w14:textId="1F9723EB" w:rsidR="004833C7" w:rsidRPr="0052754C" w:rsidRDefault="004833C7" w:rsidP="008367DA">
            <w:pPr>
              <w:pStyle w:val="Akapitzlist"/>
              <w:numPr>
                <w:ilvl w:val="0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Epoprostenol</w:t>
            </w:r>
            <w:proofErr w:type="spellEnd"/>
          </w:p>
          <w:p w14:paraId="2DCE3AAA" w14:textId="2447846D" w:rsidR="004833C7" w:rsidRPr="0052754C" w:rsidRDefault="004833C7" w:rsidP="008367DA">
            <w:pPr>
              <w:pStyle w:val="Akapitzlist"/>
              <w:numPr>
                <w:ilvl w:val="1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5BAD454D" w14:textId="5C5758DD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14887FF" w14:textId="77777777" w:rsidR="004833C7" w:rsidRPr="0052754C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76960020" w14:textId="58266F11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IV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momencie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</w:p>
          <w:p w14:paraId="738FB831" w14:textId="77777777" w:rsidR="004833C7" w:rsidRPr="0052754C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6B9A37A5" w14:textId="2402F1DB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TNP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uniemożliwiające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przeszczepienie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wrotnym.</w:t>
            </w:r>
          </w:p>
          <w:p w14:paraId="16559AEC" w14:textId="7387D5E5" w:rsidR="004833C7" w:rsidRPr="0052754C" w:rsidRDefault="004833C7" w:rsidP="00E024EA">
            <w:pPr>
              <w:spacing w:after="60" w:line="276" w:lineRule="auto"/>
              <w:ind w:firstLine="4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250B73" w14:textId="7F88BE4E" w:rsidR="004833C7" w:rsidRPr="0052754C" w:rsidRDefault="004833C7" w:rsidP="008367DA">
            <w:pPr>
              <w:pStyle w:val="Akapitzlist"/>
              <w:numPr>
                <w:ilvl w:val="1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41353210" w14:textId="609359D5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zastoinowa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spowodowana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lewej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komory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serca;</w:t>
            </w:r>
          </w:p>
          <w:p w14:paraId="30CE703F" w14:textId="0C8330EA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obrzęku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zakresu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dawek;</w:t>
            </w:r>
          </w:p>
          <w:p w14:paraId="7AB4F1F5" w14:textId="1FE3ED7E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laktacja;</w:t>
            </w:r>
          </w:p>
          <w:p w14:paraId="0AB33260" w14:textId="5BD05A3E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przeciwwskazania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7A055C8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D07A960" w14:textId="3A12EA1F" w:rsidR="004833C7" w:rsidRPr="0052754C" w:rsidRDefault="004833C7" w:rsidP="008367DA">
            <w:pPr>
              <w:pStyle w:val="Akapitzlist"/>
              <w:numPr>
                <w:ilvl w:val="0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Riocyguat</w:t>
            </w:r>
            <w:proofErr w:type="spellEnd"/>
          </w:p>
          <w:p w14:paraId="7004676C" w14:textId="4B8933D1" w:rsidR="004833C7" w:rsidRPr="0052754C" w:rsidRDefault="004833C7" w:rsidP="008367DA">
            <w:pPr>
              <w:pStyle w:val="Akapitzlist"/>
              <w:numPr>
                <w:ilvl w:val="1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53AAC99B" w14:textId="7FB384C3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czynnościowa;</w:t>
            </w:r>
          </w:p>
          <w:p w14:paraId="5A052D3A" w14:textId="4A6AA0C5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jako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początkowe.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3A4F5D2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A773468" w14:textId="4C412A1F" w:rsidR="004833C7" w:rsidRPr="0052754C" w:rsidRDefault="004833C7" w:rsidP="008367DA">
            <w:pPr>
              <w:pStyle w:val="Akapitzlist"/>
              <w:numPr>
                <w:ilvl w:val="1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0A225FB0" w14:textId="3AFA7F20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inhibitorów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PDE-5;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63BD979C" w14:textId="0BBECD63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(stopień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Child-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Pugh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</w:p>
          <w:p w14:paraId="7B6E301B" w14:textId="728E6DB9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ciąża;</w:t>
            </w:r>
          </w:p>
          <w:p w14:paraId="4D38865A" w14:textId="017C93C4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azotanów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uwalniających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tlenek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(takimi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azotyn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amylu);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0C86FEFE" w14:textId="11EAA9DA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skurczowe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&lt;95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początku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31F11703" w14:textId="711E4A95" w:rsidR="004833C7" w:rsidRPr="0052754C" w:rsidRDefault="004833C7" w:rsidP="008367DA">
            <w:pPr>
              <w:pStyle w:val="Akapitzlist"/>
              <w:numPr>
                <w:ilvl w:val="2"/>
                <w:numId w:val="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nawracająca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redukcji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hipotensja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skurczowym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&lt;95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Hg.</w:t>
            </w:r>
          </w:p>
          <w:p w14:paraId="090CA589" w14:textId="6723BE45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083E03D" w14:textId="2DC155D1" w:rsidR="004833C7" w:rsidRPr="0052754C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II.B.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TERAPIA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SKOJARZONA</w:t>
            </w:r>
          </w:p>
          <w:p w14:paraId="0BDF3E33" w14:textId="480F7252" w:rsidR="004833C7" w:rsidRPr="0052754C" w:rsidRDefault="004833C7" w:rsidP="008367DA">
            <w:pPr>
              <w:pStyle w:val="Akapitzlist"/>
              <w:numPr>
                <w:ilvl w:val="0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sildenafilem</w:t>
            </w:r>
            <w:proofErr w:type="spellEnd"/>
          </w:p>
          <w:p w14:paraId="5A8EC98B" w14:textId="399A95F4" w:rsidR="004833C7" w:rsidRPr="0052754C" w:rsidRDefault="004833C7" w:rsidP="008367DA">
            <w:pPr>
              <w:pStyle w:val="Akapitzlist"/>
              <w:numPr>
                <w:ilvl w:val="1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32D6C864" w14:textId="2B4A5C06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skojarzonej;</w:t>
            </w:r>
          </w:p>
          <w:p w14:paraId="74D27792" w14:textId="77701181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czynnościowa;</w:t>
            </w:r>
          </w:p>
          <w:p w14:paraId="494214AC" w14:textId="796E3209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przeciwwskazań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70167856" w14:textId="7D84484C" w:rsidR="004833C7" w:rsidRPr="0052754C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nietolerancji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sildenafilu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kontynuacja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01113C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913681D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88DF786" w14:textId="7E1BE0A0" w:rsidR="004833C7" w:rsidRPr="0052754C" w:rsidRDefault="004833C7" w:rsidP="008367DA">
            <w:pPr>
              <w:pStyle w:val="Akapitzlist"/>
              <w:numPr>
                <w:ilvl w:val="1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0E534A68" w14:textId="69C8AC23" w:rsidR="004833C7" w:rsidRPr="00471C19" w:rsidRDefault="004833C7" w:rsidP="00471C19">
            <w:pPr>
              <w:pStyle w:val="Akapitzlist"/>
              <w:numPr>
                <w:ilvl w:val="3"/>
                <w:numId w:val="6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471C1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I.2.2,</w:t>
            </w:r>
          </w:p>
          <w:p w14:paraId="2C5A37C6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C1A5F0E" w14:textId="0B0C52BE" w:rsidR="004833C7" w:rsidRPr="0052754C" w:rsidRDefault="004833C7" w:rsidP="008367DA">
            <w:pPr>
              <w:pStyle w:val="Akapitzlist"/>
              <w:numPr>
                <w:ilvl w:val="3"/>
                <w:numId w:val="6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macytentan</w:t>
            </w:r>
            <w:proofErr w:type="spellEnd"/>
          </w:p>
          <w:p w14:paraId="3ABD516F" w14:textId="75A0CDBE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zapobiegania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kobiety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rozrodczym;</w:t>
            </w:r>
          </w:p>
          <w:p w14:paraId="0BE9F5C1" w14:textId="518E7C26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ciąża;</w:t>
            </w:r>
          </w:p>
          <w:p w14:paraId="2985AC34" w14:textId="26FE4983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karmienie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piersią;</w:t>
            </w:r>
          </w:p>
          <w:p w14:paraId="082C1E7C" w14:textId="0860D53F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wątroby;</w:t>
            </w:r>
          </w:p>
          <w:p w14:paraId="1F9A3B7D" w14:textId="51AC0E77" w:rsidR="004833C7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wyjściowa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aminotransferaz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&gt;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granicy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normy.</w:t>
            </w:r>
          </w:p>
          <w:p w14:paraId="78C83419" w14:textId="77777777" w:rsidR="007D0F68" w:rsidRPr="0052754C" w:rsidRDefault="007D0F68" w:rsidP="00E024EA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3CB912B" w14:textId="45C3972F" w:rsidR="004833C7" w:rsidRPr="0052754C" w:rsidRDefault="004833C7" w:rsidP="008367DA">
            <w:pPr>
              <w:pStyle w:val="Akapitzlist"/>
              <w:numPr>
                <w:ilvl w:val="0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Riocyguat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bosentanem</w:t>
            </w:r>
            <w:proofErr w:type="spellEnd"/>
          </w:p>
          <w:p w14:paraId="14637EAD" w14:textId="39237EA4" w:rsidR="004833C7" w:rsidRPr="0052754C" w:rsidRDefault="004833C7" w:rsidP="008367DA">
            <w:pPr>
              <w:pStyle w:val="Akapitzlist"/>
              <w:numPr>
                <w:ilvl w:val="1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2EEAEE76" w14:textId="27EC57E6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czynnościowa;</w:t>
            </w:r>
          </w:p>
          <w:p w14:paraId="536CE789" w14:textId="4A470B00" w:rsidR="004833C7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skojarzonej.</w:t>
            </w:r>
          </w:p>
          <w:p w14:paraId="7FC62ADB" w14:textId="77777777" w:rsidR="007D0F68" w:rsidRPr="0052754C" w:rsidRDefault="007D0F68" w:rsidP="00E024EA">
            <w:pPr>
              <w:pStyle w:val="Akapitzlist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3FB4AAA" w14:textId="4F81B276" w:rsidR="004833C7" w:rsidRPr="0052754C" w:rsidRDefault="004833C7" w:rsidP="008367DA">
            <w:pPr>
              <w:pStyle w:val="Akapitzlist"/>
              <w:numPr>
                <w:ilvl w:val="1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wyłączenia:</w:t>
            </w:r>
          </w:p>
          <w:p w14:paraId="2A6C11B5" w14:textId="0B4D8312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inhibitorów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PDE-5;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0EF01E34" w14:textId="04B1C97B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umiarkowane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tj.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klasyfikacji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Child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Pugh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CC37560" w14:textId="1B005948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większa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trzykrotna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granicy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normy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większa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ośmiokrotna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GGN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trakcie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617ABE76" w14:textId="3A49D29C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cyklosporyny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CE9A5DC" w14:textId="47FCFEE5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azotanów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uwalniających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tlenek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(takimi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azotyn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amylu;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6A8CBF76" w14:textId="4824F4AA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skurczowe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&lt;95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początku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349A0A34" w14:textId="241BBCA4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ciąża;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4863BCB" w14:textId="2C2045C1" w:rsidR="004833C7" w:rsidRPr="0052754C" w:rsidRDefault="004833C7" w:rsidP="008367DA">
            <w:pPr>
              <w:pStyle w:val="Akapitzlist"/>
              <w:numPr>
                <w:ilvl w:val="2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nawracająca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redukcji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hipotensja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skurczowym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&lt;95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mmHg.</w:t>
            </w:r>
          </w:p>
          <w:p w14:paraId="1DD6C0AA" w14:textId="1B05C238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zamiana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uszkodzenia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podczas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większa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trzykrotność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granicy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normy)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warunkiem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zmniejszenia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transaminaz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odstawieniu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bosentanu</w:t>
            </w:r>
            <w:proofErr w:type="spellEnd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2A9F7B9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5D91565D" w14:textId="2BC35C72" w:rsidR="004833C7" w:rsidRPr="0052754C" w:rsidRDefault="004833C7" w:rsidP="008367DA">
            <w:pPr>
              <w:pStyle w:val="Akapitzlist"/>
              <w:numPr>
                <w:ilvl w:val="0"/>
                <w:numId w:val="5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Terapia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skojarzona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zastosowaniem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dwóch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trzech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poniższych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preparatów: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2BAB05AD" w14:textId="1F559A18" w:rsidR="004833C7" w:rsidRPr="0052754C" w:rsidRDefault="004833C7" w:rsidP="008367DA">
            <w:pPr>
              <w:pStyle w:val="Tekstkomentarza"/>
              <w:numPr>
                <w:ilvl w:val="3"/>
                <w:numId w:val="5"/>
              </w:numPr>
              <w:spacing w:after="60" w:line="276" w:lineRule="auto"/>
              <w:ind w:left="492" w:hanging="367"/>
              <w:rPr>
                <w:i/>
                <w:iCs/>
              </w:rPr>
            </w:pPr>
            <w:proofErr w:type="spellStart"/>
            <w:r w:rsidRPr="0052754C">
              <w:rPr>
                <w:b/>
              </w:rPr>
              <w:t>bosentan</w:t>
            </w:r>
            <w:proofErr w:type="spellEnd"/>
            <w:r w:rsidR="00AA3E18">
              <w:rPr>
                <w:b/>
              </w:rPr>
              <w:t xml:space="preserve"> </w:t>
            </w:r>
          </w:p>
          <w:p w14:paraId="5B059A28" w14:textId="088BB13C" w:rsidR="004833C7" w:rsidRPr="0052754C" w:rsidRDefault="004833C7" w:rsidP="008367DA">
            <w:pPr>
              <w:pStyle w:val="Akapitzlist"/>
              <w:numPr>
                <w:ilvl w:val="3"/>
                <w:numId w:val="5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</w:t>
            </w:r>
            <w:proofErr w:type="spellEnd"/>
          </w:p>
          <w:p w14:paraId="00F7E859" w14:textId="745FF727" w:rsidR="004833C7" w:rsidRPr="0052754C" w:rsidRDefault="004833C7" w:rsidP="008367DA">
            <w:pPr>
              <w:pStyle w:val="Akapitzlist"/>
              <w:numPr>
                <w:ilvl w:val="3"/>
                <w:numId w:val="5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iloprost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treprostinil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epoprostenol</w:t>
            </w:r>
            <w:proofErr w:type="spellEnd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41993C74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2EB108BB" w14:textId="3D2AC71B" w:rsidR="004833C7" w:rsidRPr="0052754C" w:rsidRDefault="004833C7" w:rsidP="008367DA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58A8C406" w14:textId="5C92F3B1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</w:p>
          <w:p w14:paraId="5D750F11" w14:textId="77777777" w:rsidR="004833C7" w:rsidRPr="007D0F68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lub</w:t>
            </w:r>
          </w:p>
          <w:p w14:paraId="6ECFE6CD" w14:textId="62C45E7B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IV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momencie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</w:p>
          <w:p w14:paraId="38D62854" w14:textId="77777777" w:rsidR="004833C7" w:rsidRPr="007D0F68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0AD6010D" w14:textId="7BEA77C0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uniemożliwiające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przeszczepienie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wrotnym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epoprostenolu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AFCB6A3" w14:textId="1D6E0E5A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01455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łącznie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antagonistami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receptora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endoteliny</w:t>
            </w:r>
            <w:proofErr w:type="spellEnd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1B244CB" w14:textId="6EC0FBF2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zamiana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uszkodzenia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podczas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większa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trzykrotność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granicy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normy)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warunkiem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zmniejszenia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transaminaz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odstawieniu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bosentanu</w:t>
            </w:r>
            <w:proofErr w:type="spellEnd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65304B0C" w14:textId="012AA497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Kolejność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poszczególnych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składowych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lekarza.</w:t>
            </w:r>
          </w:p>
          <w:p w14:paraId="08BBFCF4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EE3DE34" w14:textId="75076CCB" w:rsidR="004833C7" w:rsidRPr="0052754C" w:rsidRDefault="004833C7" w:rsidP="008367DA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76D04841" w14:textId="50110ACC" w:rsidR="004833C7" w:rsidRPr="0052754C" w:rsidRDefault="004833C7" w:rsidP="008367DA">
            <w:pPr>
              <w:pStyle w:val="Akapitzlist"/>
              <w:numPr>
                <w:ilvl w:val="3"/>
                <w:numId w:val="7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1.2,</w:t>
            </w:r>
          </w:p>
          <w:p w14:paraId="2F70DDE0" w14:textId="65D65FF8" w:rsidR="004833C7" w:rsidRPr="0052754C" w:rsidRDefault="004833C7" w:rsidP="008367DA">
            <w:pPr>
              <w:pStyle w:val="Akapitzlist"/>
              <w:numPr>
                <w:ilvl w:val="3"/>
                <w:numId w:val="7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2.2,</w:t>
            </w:r>
          </w:p>
          <w:p w14:paraId="17FCA262" w14:textId="21399CEC" w:rsidR="004833C7" w:rsidRPr="0052754C" w:rsidRDefault="004833C7" w:rsidP="008367DA">
            <w:pPr>
              <w:pStyle w:val="Akapitzlist"/>
              <w:numPr>
                <w:ilvl w:val="3"/>
                <w:numId w:val="7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iloprost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b,</w:t>
            </w:r>
          </w:p>
          <w:p w14:paraId="51EE526E" w14:textId="420F87F3" w:rsidR="004833C7" w:rsidRPr="0052754C" w:rsidRDefault="004833C7" w:rsidP="008367DA">
            <w:pPr>
              <w:pStyle w:val="Akapitzlist"/>
              <w:numPr>
                <w:ilvl w:val="3"/>
                <w:numId w:val="7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treprostinil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c,</w:t>
            </w:r>
          </w:p>
          <w:p w14:paraId="3EDD3514" w14:textId="1AA0F4A1" w:rsidR="004833C7" w:rsidRPr="0052754C" w:rsidRDefault="004833C7" w:rsidP="008367DA">
            <w:pPr>
              <w:pStyle w:val="Akapitzlist"/>
              <w:numPr>
                <w:ilvl w:val="3"/>
                <w:numId w:val="7"/>
              </w:numPr>
              <w:spacing w:after="60"/>
              <w:ind w:left="492" w:hanging="425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epoprostenol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2.2.</w:t>
            </w:r>
          </w:p>
          <w:p w14:paraId="474A286A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02FD56C9" w14:textId="38F29FA1" w:rsidR="004833C7" w:rsidRPr="0052754C" w:rsidRDefault="004833C7" w:rsidP="008367DA">
            <w:pPr>
              <w:pStyle w:val="Akapitzlist"/>
              <w:numPr>
                <w:ilvl w:val="0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Epoprostenol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bosentanem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epoprostenol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macytentanem</w:t>
            </w:r>
            <w:proofErr w:type="spellEnd"/>
          </w:p>
          <w:p w14:paraId="5D35ACDB" w14:textId="3ADDC226" w:rsidR="004833C7" w:rsidRPr="0052754C" w:rsidRDefault="004833C7" w:rsidP="008367DA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6F354238" w14:textId="16F29281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IV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momencie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693A576D" w14:textId="3B38DB58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przeciwwskazań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66C8D92E" w14:textId="5606A93C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Kolejność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poszczególnych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składowych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lekarza.</w:t>
            </w:r>
          </w:p>
          <w:p w14:paraId="4240B139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  <w:lang w:eastAsia="pl-PL"/>
              </w:rPr>
            </w:pPr>
          </w:p>
          <w:p w14:paraId="46DBA6AE" w14:textId="3D1229FB" w:rsidR="004833C7" w:rsidRPr="0052754C" w:rsidRDefault="004833C7" w:rsidP="008367DA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pacing w:val="1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  <w:lang w:eastAsia="pl-PL"/>
              </w:rPr>
              <w:t>wyłączenia</w:t>
            </w:r>
          </w:p>
          <w:p w14:paraId="73964C48" w14:textId="2E7A9B1E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471C1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1.2,</w:t>
            </w:r>
          </w:p>
          <w:p w14:paraId="67F955A6" w14:textId="37E7E179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471C1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1.2.b,</w:t>
            </w:r>
          </w:p>
          <w:p w14:paraId="6357A5EE" w14:textId="460E0FF7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471C1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I.2.2,</w:t>
            </w:r>
          </w:p>
          <w:p w14:paraId="3485997E" w14:textId="52D04A2C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471C19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epoprostenol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2.2.</w:t>
            </w:r>
          </w:p>
          <w:p w14:paraId="045E3E2F" w14:textId="77777777" w:rsidR="004833C7" w:rsidRPr="0052754C" w:rsidRDefault="004833C7" w:rsidP="00E024EA">
            <w:pPr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E844886" w14:textId="35D1103E" w:rsidR="004833C7" w:rsidRPr="0052754C" w:rsidRDefault="004833C7" w:rsidP="008367DA">
            <w:pPr>
              <w:pStyle w:val="Akapitzlist"/>
              <w:numPr>
                <w:ilvl w:val="0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Seleksypag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bosentanem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(lub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macytentanem</w:t>
            </w:r>
            <w:proofErr w:type="spellEnd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)</w:t>
            </w:r>
          </w:p>
          <w:p w14:paraId="3D1164C9" w14:textId="42B8E4E2" w:rsidR="004833C7" w:rsidRPr="0052754C" w:rsidRDefault="004833C7" w:rsidP="008367DA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włączenia</w:t>
            </w:r>
          </w:p>
          <w:p w14:paraId="5F545519" w14:textId="0E7263D7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skojarzonej;</w:t>
            </w:r>
          </w:p>
          <w:p w14:paraId="4151975E" w14:textId="35CA17CB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leczenia.</w:t>
            </w:r>
          </w:p>
          <w:p w14:paraId="22FD1234" w14:textId="27CE6114" w:rsidR="004833C7" w:rsidRPr="007D0F68" w:rsidRDefault="007D0F68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olejność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poszczególnych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składowych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lekarza.</w:t>
            </w:r>
          </w:p>
          <w:p w14:paraId="61B01D0B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C572C20" w14:textId="43F5866B" w:rsidR="004833C7" w:rsidRPr="0052754C" w:rsidRDefault="004833C7" w:rsidP="008367DA">
            <w:pPr>
              <w:pStyle w:val="Akapitzlist"/>
              <w:numPr>
                <w:ilvl w:val="1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wyłączenia</w:t>
            </w:r>
          </w:p>
          <w:p w14:paraId="7744AE80" w14:textId="3A4AC153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Nadwrażliwość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którąkolwiek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pomocniczą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charakterystyce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produktu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leczniczego;</w:t>
            </w:r>
          </w:p>
          <w:p w14:paraId="20E74D67" w14:textId="5EBD2B50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(grupa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Child-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Pugha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</w:p>
          <w:p w14:paraId="64912748" w14:textId="4D62514F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wieńcowa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niestabilna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dławica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piersiowa;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F9CDE35" w14:textId="0A404DDB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mięśnia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ostatnich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miesięcy;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005640F" w14:textId="7264E006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Niewyrównana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niewydolność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krążenia,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jeśli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ścisłą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obserwacją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59DC4DE4" w14:textId="532BABD9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arytmie;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73A517BD" w14:textId="359FABDC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Zdarzenia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mózgowo-naczyniowe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(np.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przemijający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napad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niedokrwienny,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udar)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ostatnich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miesięcy;</w:t>
            </w:r>
          </w:p>
          <w:p w14:paraId="1F8CADCA" w14:textId="7E65AC02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Wrodzone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nabyte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zastawkowe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płucnym;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72F3E93C" w14:textId="6BEA62B0" w:rsidR="004833C7" w:rsidRPr="0052754C" w:rsidRDefault="004833C7" w:rsidP="008367DA">
            <w:pPr>
              <w:pStyle w:val="Akapitzlist"/>
              <w:numPr>
                <w:ilvl w:val="2"/>
                <w:numId w:val="7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pozostałych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dwóch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doustnych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punktami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2.2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1.2.b.</w:t>
            </w:r>
          </w:p>
          <w:p w14:paraId="5E28CCA5" w14:textId="51A23670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wynikających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działań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ubocznych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trzech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istnieje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użyciu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dwóch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pozostałych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leków.</w:t>
            </w:r>
          </w:p>
          <w:p w14:paraId="4CE57637" w14:textId="65A00D5A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Selexipag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powinien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dołączany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bosentanem</w:t>
            </w:r>
            <w:proofErr w:type="spellEnd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dodanie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seleksypagu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jeśli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zamiast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powodu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uszkodzenia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podczas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bosentanem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większa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trzykrotność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granicy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normy)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ustąpiło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odstawieniu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seleksypag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+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+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było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dołączenie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rzutu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wiązało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poprawą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nadal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zostały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osiągnięte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terapeutyczne.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229AEDE" w14:textId="77777777" w:rsidR="00801455" w:rsidRPr="0052754C" w:rsidRDefault="00801455" w:rsidP="00E024EA">
            <w:pPr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350F104" w14:textId="49971358" w:rsidR="004833C7" w:rsidRPr="007D0F68" w:rsidRDefault="007D0F68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</w:pPr>
            <w:r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B.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dzieci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(&lt;18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lat)</w:t>
            </w:r>
          </w:p>
          <w:p w14:paraId="48C67795" w14:textId="1255942F" w:rsidR="004833C7" w:rsidRPr="007D0F68" w:rsidRDefault="007D0F68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POCZĄTKOWE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="004833C7"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(MONOTERAPIA)</w:t>
            </w:r>
          </w:p>
          <w:p w14:paraId="2366D77B" w14:textId="1C19B4F7" w:rsidR="004833C7" w:rsidRPr="0052754C" w:rsidRDefault="004833C7" w:rsidP="008367DA">
            <w:pPr>
              <w:pStyle w:val="Akapitzlist"/>
              <w:numPr>
                <w:ilvl w:val="0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Bosentan</w:t>
            </w:r>
            <w:proofErr w:type="spellEnd"/>
          </w:p>
          <w:p w14:paraId="3A68D735" w14:textId="5EE8CD8A" w:rsidR="004833C7" w:rsidRPr="0052754C" w:rsidRDefault="004833C7" w:rsidP="008367DA">
            <w:pPr>
              <w:pStyle w:val="Akapitzlist"/>
              <w:numPr>
                <w:ilvl w:val="1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6314F168" w14:textId="0F515F37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czynnościowa.</w:t>
            </w:r>
          </w:p>
          <w:p w14:paraId="357E04DD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E8D6335" w14:textId="07A64844" w:rsidR="004833C7" w:rsidRPr="0052754C" w:rsidRDefault="004833C7" w:rsidP="008367DA">
            <w:pPr>
              <w:pStyle w:val="Akapitzlist"/>
              <w:numPr>
                <w:ilvl w:val="1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5123C8B0" w14:textId="53385E6C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wrodzona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wada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płucnym,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istnieje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operacyjnego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oczekiwania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zabiegu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operacyjnego);</w:t>
            </w:r>
          </w:p>
          <w:p w14:paraId="64D6D902" w14:textId="48E7902E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umiarkowane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wątroby;</w:t>
            </w:r>
          </w:p>
          <w:p w14:paraId="21501019" w14:textId="776FE023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aktywność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&gt;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górnej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granicy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normy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(GGN)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&gt;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8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GGN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trakcie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178657EA" w14:textId="572099BC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antykoncepcji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miesiączkujących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dziewcząt;</w:t>
            </w:r>
          </w:p>
          <w:p w14:paraId="17E774C4" w14:textId="455F5FF7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przeciwwskazania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257744FE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B9E8A2E" w14:textId="27209B0C" w:rsidR="004833C7" w:rsidRPr="0052754C" w:rsidRDefault="004833C7" w:rsidP="008367DA">
            <w:pPr>
              <w:pStyle w:val="Akapitzlist"/>
              <w:numPr>
                <w:ilvl w:val="0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639313BA" w14:textId="083C636F" w:rsidR="004833C7" w:rsidRPr="0052754C" w:rsidRDefault="004833C7" w:rsidP="008367DA">
            <w:pPr>
              <w:pStyle w:val="Akapitzlist"/>
              <w:numPr>
                <w:ilvl w:val="1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1C68A43C" w14:textId="34250738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I-III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czynnościowa.</w:t>
            </w:r>
          </w:p>
          <w:p w14:paraId="75714738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15C61CBE" w14:textId="164603E4" w:rsidR="004833C7" w:rsidRPr="0052754C" w:rsidRDefault="004833C7" w:rsidP="008367DA">
            <w:pPr>
              <w:pStyle w:val="Akapitzlist"/>
              <w:numPr>
                <w:ilvl w:val="1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6C495FFD" w14:textId="7862637F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wrodzona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wada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płucnym,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istnieje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operacyjnego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oczekiwania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zabiegu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operacyjnego);</w:t>
            </w:r>
          </w:p>
          <w:p w14:paraId="55F46B3D" w14:textId="71A5EDAE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ciężkie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zaburzenie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Child-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Pugh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);</w:t>
            </w:r>
          </w:p>
          <w:p w14:paraId="1CC2E698" w14:textId="4EB7F517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jednoczesne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przeciwgrzybiczych,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przeciwwirusowych,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immunosupresyjnych,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glibenklamidu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rifampicyny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C150A1D" w14:textId="20245617" w:rsidR="004833C7" w:rsidRPr="0052754C" w:rsidRDefault="004833C7" w:rsidP="008367DA">
            <w:pPr>
              <w:pStyle w:val="Akapitzlist"/>
              <w:numPr>
                <w:ilvl w:val="2"/>
                <w:numId w:val="8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retinitis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pigmetosa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utrata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wzroku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nietętniczej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przedniej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niedokrwiennej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neuropatii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nerwu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wzrokowego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(NAION).</w:t>
            </w:r>
          </w:p>
          <w:p w14:paraId="4E3203E1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FCBA6A0" w14:textId="3687DAF9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</w:t>
            </w:r>
            <w:r w:rsid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RZUTU</w:t>
            </w:r>
          </w:p>
          <w:p w14:paraId="6F766BEB" w14:textId="2F6375B7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II.A.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MONOTERAPIA</w:t>
            </w:r>
          </w:p>
          <w:p w14:paraId="2D17014C" w14:textId="623D5E34" w:rsidR="004833C7" w:rsidRPr="0052754C" w:rsidRDefault="004833C7" w:rsidP="008367DA">
            <w:pPr>
              <w:numPr>
                <w:ilvl w:val="0"/>
                <w:numId w:val="9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Monoterapia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treprostinilem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iloprostem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epoprostenolem</w:t>
            </w:r>
            <w:proofErr w:type="spellEnd"/>
          </w:p>
          <w:p w14:paraId="29323437" w14:textId="19CAFD9A" w:rsidR="004833C7" w:rsidRPr="0052754C" w:rsidRDefault="004833C7" w:rsidP="008367DA">
            <w:pPr>
              <w:numPr>
                <w:ilvl w:val="1"/>
                <w:numId w:val="9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0609F4C8" w14:textId="650C8AB6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A.II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zastrzeżeniem,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kryterium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stosuje.</w:t>
            </w:r>
          </w:p>
          <w:p w14:paraId="4700451E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0686D08" w14:textId="7B673F3E" w:rsidR="004833C7" w:rsidRPr="007D0F68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II.B.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TERAPIA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7D0F6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SKOJARZONA</w:t>
            </w:r>
          </w:p>
          <w:p w14:paraId="36FD4E9C" w14:textId="5EF88AB4" w:rsidR="004833C7" w:rsidRPr="0052754C" w:rsidRDefault="004833C7" w:rsidP="008367DA">
            <w:pPr>
              <w:pStyle w:val="Akapitzlist"/>
              <w:numPr>
                <w:ilvl w:val="0"/>
                <w:numId w:val="10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Terapia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skojarzona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zastosowaniem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dwóch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trzech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poniższych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preparatów: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2EBD7D08" w14:textId="1CEBA54B" w:rsidR="004833C7" w:rsidRPr="0052754C" w:rsidRDefault="004833C7" w:rsidP="008367DA">
            <w:pPr>
              <w:pStyle w:val="Akapitzlist"/>
              <w:numPr>
                <w:ilvl w:val="3"/>
                <w:numId w:val="10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</w:p>
          <w:p w14:paraId="367264E3" w14:textId="2A130053" w:rsidR="004833C7" w:rsidRPr="0052754C" w:rsidRDefault="004833C7" w:rsidP="008367DA">
            <w:pPr>
              <w:pStyle w:val="Akapitzlist"/>
              <w:numPr>
                <w:ilvl w:val="3"/>
                <w:numId w:val="10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</w:p>
          <w:p w14:paraId="5D952F28" w14:textId="226B002C" w:rsidR="004833C7" w:rsidRPr="0052754C" w:rsidRDefault="004833C7" w:rsidP="008367DA">
            <w:pPr>
              <w:pStyle w:val="Akapitzlist"/>
              <w:numPr>
                <w:ilvl w:val="3"/>
                <w:numId w:val="10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iloprost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treprostinil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epoprostenol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F3EF171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CC142B5" w14:textId="574AD13D" w:rsidR="004833C7" w:rsidRPr="0052754C" w:rsidRDefault="004833C7" w:rsidP="008367DA">
            <w:pPr>
              <w:pStyle w:val="Akapitzlist"/>
              <w:numPr>
                <w:ilvl w:val="1"/>
                <w:numId w:val="1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włączenia</w:t>
            </w:r>
          </w:p>
          <w:p w14:paraId="4D28FE9B" w14:textId="4078F918" w:rsidR="004833C7" w:rsidRPr="0052754C" w:rsidRDefault="004833C7" w:rsidP="008367DA">
            <w:pPr>
              <w:pStyle w:val="Akapitzlist"/>
              <w:numPr>
                <w:ilvl w:val="2"/>
                <w:numId w:val="1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nieskuteczne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źle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przewidzianych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</w:p>
          <w:p w14:paraId="38BC6D08" w14:textId="77777777" w:rsidR="004833C7" w:rsidRPr="00E024EA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2FAF94E3" w14:textId="49A66DBA" w:rsidR="004833C7" w:rsidRPr="0052754C" w:rsidRDefault="004833C7" w:rsidP="008367DA">
            <w:pPr>
              <w:pStyle w:val="Akapitzlist"/>
              <w:numPr>
                <w:ilvl w:val="2"/>
                <w:numId w:val="1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IV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czynnościowa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momencie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</w:p>
          <w:p w14:paraId="7DEF9F27" w14:textId="77777777" w:rsidR="004833C7" w:rsidRPr="00E024EA" w:rsidRDefault="004833C7" w:rsidP="00E024EA">
            <w:pPr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6CB9A170" w14:textId="54682650" w:rsidR="004833C7" w:rsidRPr="0052754C" w:rsidRDefault="004833C7" w:rsidP="008367DA">
            <w:pPr>
              <w:pStyle w:val="Akapitzlist"/>
              <w:numPr>
                <w:ilvl w:val="2"/>
                <w:numId w:val="1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uniemożliwiające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przeszczepienie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wątroby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nadciśnieniem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wrotnym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epoprostenolu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666D2EAE" w14:textId="65129997" w:rsidR="004833C7" w:rsidRPr="00E024EA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łącznie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antagonistami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receptora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endoteliny</w:t>
            </w:r>
            <w:proofErr w:type="spellEnd"/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BE9EF0A" w14:textId="6520D9A1" w:rsidR="004833C7" w:rsidRPr="00E024EA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Kolejność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poszczególnych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składowych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lekarza.</w:t>
            </w:r>
          </w:p>
          <w:p w14:paraId="78840B93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BD0866" w14:textId="05529C48" w:rsidR="004833C7" w:rsidRPr="0052754C" w:rsidRDefault="004833C7" w:rsidP="008367DA">
            <w:pPr>
              <w:pStyle w:val="Akapitzlist"/>
              <w:numPr>
                <w:ilvl w:val="1"/>
                <w:numId w:val="11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wyłączenia</w:t>
            </w:r>
          </w:p>
          <w:p w14:paraId="7AF836F3" w14:textId="3EB0E2F1" w:rsidR="004833C7" w:rsidRPr="0052754C" w:rsidRDefault="004833C7" w:rsidP="008367DA">
            <w:pPr>
              <w:pStyle w:val="Akapitzlist"/>
              <w:numPr>
                <w:ilvl w:val="3"/>
                <w:numId w:val="11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861D4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</w:t>
            </w:r>
            <w:r w:rsid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1F60F8E6" w14:textId="050155D9" w:rsidR="004833C7" w:rsidRPr="0052754C" w:rsidRDefault="004833C7" w:rsidP="008367DA">
            <w:pPr>
              <w:pStyle w:val="Akapitzlist"/>
              <w:numPr>
                <w:ilvl w:val="3"/>
                <w:numId w:val="11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861D4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2.2</w:t>
            </w:r>
            <w:r w:rsid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66394354" w14:textId="4BB7C89C" w:rsidR="004833C7" w:rsidRPr="0052754C" w:rsidRDefault="004833C7" w:rsidP="008367DA">
            <w:pPr>
              <w:pStyle w:val="Akapitzlist"/>
              <w:numPr>
                <w:ilvl w:val="3"/>
                <w:numId w:val="11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iloprost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</w:t>
            </w:r>
            <w:r w:rsid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DD8DB10" w14:textId="1D5A42F8" w:rsidR="004833C7" w:rsidRPr="0052754C" w:rsidRDefault="004833C7" w:rsidP="008367DA">
            <w:pPr>
              <w:pStyle w:val="Akapitzlist"/>
              <w:numPr>
                <w:ilvl w:val="3"/>
                <w:numId w:val="11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treprostinil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</w:t>
            </w:r>
            <w:r w:rsid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358BDB8" w14:textId="6FF5C443" w:rsidR="004833C7" w:rsidRPr="0052754C" w:rsidRDefault="004833C7" w:rsidP="008367DA">
            <w:pPr>
              <w:pStyle w:val="Akapitzlist"/>
              <w:numPr>
                <w:ilvl w:val="3"/>
                <w:numId w:val="11"/>
              </w:numPr>
              <w:spacing w:after="60"/>
              <w:ind w:left="492" w:hanging="36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epoprostenol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punkcie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II.A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2.2</w:t>
            </w:r>
            <w:r w:rsid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3E730B91" w14:textId="77777777" w:rsidR="004833C7" w:rsidRPr="0052754C" w:rsidRDefault="004833C7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E8F9DB4" w14:textId="4FD73E2C" w:rsidR="004833C7" w:rsidRPr="00E024EA" w:rsidRDefault="00E024EA" w:rsidP="00E024E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</w:pPr>
            <w:r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lastRenderedPageBreak/>
              <w:t>C.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KONTYNUACJA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OSÓB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PRZEKRACZAJĄCYCH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WIEK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18</w:t>
            </w:r>
            <w:r w:rsidR="00AA3E18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 w:cs="Times New Roman"/>
                <w:b/>
                <w:u w:val="single"/>
                <w:lang w:eastAsia="pl-PL"/>
              </w:rPr>
              <w:t>LAT</w:t>
            </w:r>
          </w:p>
          <w:p w14:paraId="2702AC59" w14:textId="2195C84F" w:rsidR="004833C7" w:rsidRDefault="004833C7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ukończył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był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wcześniej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leczony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ramach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ośrodku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pediatrycznym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stanowi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kontynuację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udziału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wymaga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ponownej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kwalifikacji.</w:t>
            </w:r>
          </w:p>
          <w:p w14:paraId="4D5C14A5" w14:textId="0D483AC1" w:rsidR="00E024EA" w:rsidRPr="00E024EA" w:rsidRDefault="00E024EA" w:rsidP="00E024EA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0D8C1" w14:textId="71E5BC40" w:rsidR="004833C7" w:rsidRPr="00E024EA" w:rsidRDefault="00E024EA" w:rsidP="00E024EA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u w:val="single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lastRenderedPageBreak/>
              <w:t>A.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dorosłych</w:t>
            </w:r>
          </w:p>
          <w:p w14:paraId="2FD843A6" w14:textId="1831DEC0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bosentanu</w:t>
            </w:r>
            <w:proofErr w:type="spellEnd"/>
          </w:p>
          <w:p w14:paraId="16A8017D" w14:textId="2187E797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464DC524" w14:textId="0AD30644" w:rsidR="004833C7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analogiczne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3EACD2AB" w14:textId="77777777" w:rsidR="00E024EA" w:rsidRPr="0052754C" w:rsidRDefault="00E024EA" w:rsidP="00E024EA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090E0C7" w14:textId="1D5A4063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iloprostu</w:t>
            </w:r>
            <w:proofErr w:type="spellEnd"/>
          </w:p>
          <w:p w14:paraId="410BFEF2" w14:textId="79284AD1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04405CCA" w14:textId="4196E73E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analogiczne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343460D0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5872E493" w14:textId="7D532B24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treprostinilu</w:t>
            </w:r>
            <w:proofErr w:type="spellEnd"/>
          </w:p>
          <w:p w14:paraId="4AB7D383" w14:textId="3515EDD3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dostosowywana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od:</w:t>
            </w:r>
          </w:p>
          <w:p w14:paraId="093A28F4" w14:textId="423F435D" w:rsidR="004833C7" w:rsidRPr="0052754C" w:rsidRDefault="004833C7" w:rsidP="008367DA">
            <w:pPr>
              <w:numPr>
                <w:ilvl w:val="2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pacjenta;</w:t>
            </w:r>
          </w:p>
          <w:p w14:paraId="1741BC62" w14:textId="56819DEA" w:rsidR="004833C7" w:rsidRPr="0052754C" w:rsidRDefault="004833C7" w:rsidP="008367DA">
            <w:pPr>
              <w:numPr>
                <w:ilvl w:val="2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leczenie;</w:t>
            </w:r>
          </w:p>
          <w:p w14:paraId="4FE4C7BA" w14:textId="706D86D6" w:rsidR="004833C7" w:rsidRPr="0052754C" w:rsidRDefault="004833C7" w:rsidP="008367DA">
            <w:pPr>
              <w:numPr>
                <w:ilvl w:val="2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6CF1964" w14:textId="27DAB470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dążenia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osiągnięcia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terapeutycznych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towarzystwa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naukowe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ESC,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ERS,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AEPC.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20DDD9B" w14:textId="4B8D65ED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Przykładowe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przedstawione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2DAD126D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3A8B6BD" w14:textId="3A036069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sildenafilu</w:t>
            </w:r>
            <w:proofErr w:type="spellEnd"/>
          </w:p>
          <w:p w14:paraId="5A775404" w14:textId="1E122B06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podstawowa: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dziennie.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2EDEF1C0" w14:textId="71B49C98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udokumentowanej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nieinwazyjnymi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cewnikowaniem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serca,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opisem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istnieje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maksymalnie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dziennie.</w:t>
            </w:r>
          </w:p>
          <w:p w14:paraId="571179DA" w14:textId="615EC18F" w:rsidR="004833C7" w:rsidRPr="00E024EA" w:rsidRDefault="004833C7" w:rsidP="00E024EA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</w:pPr>
            <w:proofErr w:type="spellStart"/>
            <w:r w:rsidRPr="00E024EA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>postaci</w:t>
            </w:r>
            <w:r w:rsidR="00AA3E18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>zawiesiny</w:t>
            </w:r>
            <w:r w:rsidR="00AA3E18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>doustnej</w:t>
            </w:r>
            <w:r w:rsidR="00AA3E18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stosuje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się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wyłącznie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nietolerancji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niemożliwości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podania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postaci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pacing w:val="-1"/>
                <w:sz w:val="20"/>
                <w:szCs w:val="20"/>
                <w:lang w:eastAsia="pl-PL"/>
              </w:rPr>
              <w:t>stałej.</w:t>
            </w:r>
          </w:p>
          <w:p w14:paraId="547C790F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63D1E9F" w14:textId="792D0FF3" w:rsidR="004833C7" w:rsidRPr="0052754C" w:rsidRDefault="004833C7" w:rsidP="008367DA">
            <w:pPr>
              <w:widowControl w:val="0"/>
              <w:numPr>
                <w:ilvl w:val="0"/>
                <w:numId w:val="1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epoprostenolu</w:t>
            </w:r>
            <w:proofErr w:type="spellEnd"/>
          </w:p>
          <w:p w14:paraId="31CCA25D" w14:textId="5C44C765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dostosowywana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od:</w:t>
            </w:r>
          </w:p>
          <w:p w14:paraId="127D9325" w14:textId="4DC45C65" w:rsidR="004833C7" w:rsidRPr="0052754C" w:rsidRDefault="004833C7" w:rsidP="008367DA">
            <w:pPr>
              <w:numPr>
                <w:ilvl w:val="2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pacjenta;</w:t>
            </w:r>
          </w:p>
          <w:p w14:paraId="76829F3F" w14:textId="24C17F29" w:rsidR="004833C7" w:rsidRPr="0052754C" w:rsidRDefault="004833C7" w:rsidP="008367DA">
            <w:pPr>
              <w:numPr>
                <w:ilvl w:val="2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leczenie;</w:t>
            </w:r>
          </w:p>
          <w:p w14:paraId="0C24258E" w14:textId="21F61BB9" w:rsidR="004833C7" w:rsidRPr="0052754C" w:rsidRDefault="004833C7" w:rsidP="008367DA">
            <w:pPr>
              <w:numPr>
                <w:ilvl w:val="2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1C18131" w14:textId="5CCB73C8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dążenia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osiągnięcia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terapeutycznych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towarzystwa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naukowe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ESC,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ERS,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AEPC.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57860F03" w14:textId="51DF6C15" w:rsidR="004833C7" w:rsidRPr="0052754C" w:rsidRDefault="004833C7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Przykładowe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schematy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przedstawione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4CFADA9A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EA13118" w14:textId="37F2F9F5" w:rsidR="004833C7" w:rsidRPr="0052754C" w:rsidRDefault="004833C7" w:rsidP="008367DA">
            <w:pPr>
              <w:widowControl w:val="0"/>
              <w:numPr>
                <w:ilvl w:val="0"/>
                <w:numId w:val="12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macytentanu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sildenafilu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skojarzonej</w:t>
            </w:r>
          </w:p>
          <w:p w14:paraId="18E535D2" w14:textId="3D89E8AF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</w:pPr>
            <w:r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D</w:t>
            </w:r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macytentanu</w:t>
            </w:r>
            <w:proofErr w:type="spellEnd"/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:</w:t>
            </w:r>
            <w:r w:rsidR="00AA3E18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10</w:t>
            </w:r>
            <w:r w:rsidR="00AA3E18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raz</w:t>
            </w:r>
            <w:r w:rsidR="00AA3E18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hAnsi="Times New Roman"/>
                <w:bCs/>
                <w:sz w:val="20"/>
                <w:szCs w:val="20"/>
                <w:lang w:eastAsia="pl-PL"/>
              </w:rPr>
              <w:t>dziennie;</w:t>
            </w:r>
          </w:p>
          <w:p w14:paraId="2C4E736F" w14:textId="6FDA5D70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D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sildenafilu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dziennie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albo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dziennie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otrzymywali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taką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8AF415D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  <w:p w14:paraId="566B7708" w14:textId="4AB8E193" w:rsidR="004833C7" w:rsidRPr="0052754C" w:rsidRDefault="004833C7" w:rsidP="008367DA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riocyguatu</w:t>
            </w:r>
            <w:proofErr w:type="spellEnd"/>
          </w:p>
          <w:p w14:paraId="73C25D79" w14:textId="6531439F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BB1B1F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0288D68F" w14:textId="5F35C90B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analogiczne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69BD921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3E5B523" w14:textId="5511174A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seleksypagu</w:t>
            </w:r>
            <w:proofErr w:type="spellEnd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sildeanfilu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bosentanu</w:t>
            </w:r>
            <w:proofErr w:type="spellEnd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/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macytentanu</w:t>
            </w:r>
            <w:proofErr w:type="spellEnd"/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skojarzonej</w:t>
            </w:r>
          </w:p>
          <w:p w14:paraId="7F04E7FD" w14:textId="48BEAC6D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seleksypagu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EF70A4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(dawka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dobrana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dla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wynosić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μg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podawanych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1600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μg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podawanych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początkowa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seleksypagu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wynosi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μg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odstępie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h;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seleksypagu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następuje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przyrostach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μg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odstępach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tygodniowych).</w:t>
            </w:r>
          </w:p>
          <w:p w14:paraId="7A44E31F" w14:textId="1BACAFA8" w:rsidR="00EF70A4" w:rsidRPr="0052754C" w:rsidRDefault="00EF70A4" w:rsidP="00E024EA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Opakowanie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zawierajcie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140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tabletek,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200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μg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seleksypagu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początkowym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(etap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miareczkowania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stabilizacji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dawki)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ilości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nieprzekraczającej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opakowań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dla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pacjenta.</w:t>
            </w:r>
          </w:p>
          <w:p w14:paraId="3FCA132C" w14:textId="1CEC2795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sildenafilu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: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464E6303" w14:textId="7CDC24D1" w:rsidR="004833C7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bosentanu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5AC152AC" w14:textId="494ACEEC" w:rsidR="0001113C" w:rsidRPr="0052754C" w:rsidRDefault="00636E10" w:rsidP="008367DA">
            <w:pPr>
              <w:pStyle w:val="Akapitzlist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proofErr w:type="spellEnd"/>
            <w:r w:rsidR="004833C7"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458D6B4C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D5A2224" w14:textId="31668413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początkowym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mogą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zamiennie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leczenia.</w:t>
            </w:r>
          </w:p>
          <w:p w14:paraId="65DCAF9E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E4A39DB" w14:textId="4682FD36" w:rsidR="004833C7" w:rsidRPr="0052754C" w:rsidRDefault="004833C7" w:rsidP="008367DA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czynne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rzutu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macytentan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sildenafilem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iloprost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treprostinil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epoprostenol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riocyguat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riocyguat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bosentanem</w:t>
            </w:r>
            <w:proofErr w:type="spellEnd"/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dwulekowe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trójlekowe)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mogą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zamiennie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leczenia.</w:t>
            </w:r>
          </w:p>
          <w:p w14:paraId="44A8D2FF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</w:pPr>
          </w:p>
          <w:p w14:paraId="1BB35BAD" w14:textId="653EB51B" w:rsidR="004833C7" w:rsidRPr="00E024EA" w:rsidRDefault="00E024EA" w:rsidP="00E024E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B.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TNP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u</w:t>
            </w:r>
            <w:r w:rsidR="00AA3E18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/>
                <w:bCs/>
                <w:u w:val="single"/>
                <w:lang w:eastAsia="pl-PL"/>
              </w:rPr>
              <w:t>dzieci</w:t>
            </w:r>
          </w:p>
          <w:p w14:paraId="04641A66" w14:textId="49D5E0F0" w:rsidR="00E024EA" w:rsidRDefault="004833C7" w:rsidP="008367DA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bosentanem</w:t>
            </w:r>
            <w:proofErr w:type="spellEnd"/>
          </w:p>
          <w:p w14:paraId="46DF46EA" w14:textId="65F9177C" w:rsidR="004833C7" w:rsidRPr="00E024EA" w:rsidRDefault="00E024EA" w:rsidP="00E024EA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</w:t>
            </w:r>
            <w:r w:rsidR="004833C7"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awkowanie</w:t>
            </w:r>
            <w:r w:rsidR="00AA3E18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="004833C7"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skojarzonej:</w:t>
            </w:r>
          </w:p>
          <w:p w14:paraId="7EB05339" w14:textId="7341D0F5" w:rsidR="004833C7" w:rsidRPr="0052754C" w:rsidRDefault="004833C7" w:rsidP="008367DA">
            <w:pPr>
              <w:numPr>
                <w:ilvl w:val="2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równa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mniejsza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podtrzymująca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wynosi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mg/kg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m.c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dobę;</w:t>
            </w:r>
          </w:p>
          <w:p w14:paraId="4D75B834" w14:textId="2BC2DADE" w:rsidR="004833C7" w:rsidRPr="0052754C" w:rsidRDefault="004833C7" w:rsidP="008367DA">
            <w:pPr>
              <w:numPr>
                <w:ilvl w:val="2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masa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ciała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40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kg,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początkowa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(4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tygodnie)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31,25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dobę,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podtrzymująca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62,5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dobę;</w:t>
            </w:r>
          </w:p>
          <w:p w14:paraId="38287E87" w14:textId="62B64189" w:rsidR="004833C7" w:rsidRPr="0052754C" w:rsidRDefault="004833C7" w:rsidP="008367DA">
            <w:pPr>
              <w:numPr>
                <w:ilvl w:val="2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masa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ciała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większa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niż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40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kg,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początkowa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(4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tygodnie)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62,5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dobę,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dawka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podtrzymująca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125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dwa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dobę.</w:t>
            </w:r>
          </w:p>
          <w:p w14:paraId="048AE081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5ED37813" w14:textId="35EBB38B" w:rsidR="004833C7" w:rsidRPr="0052754C" w:rsidRDefault="004833C7" w:rsidP="008367DA">
            <w:pPr>
              <w:widowControl w:val="0"/>
              <w:numPr>
                <w:ilvl w:val="0"/>
                <w:numId w:val="1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eastAsia="pl-PL"/>
              </w:rPr>
              <w:t>L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  <w:lang w:eastAsia="pl-PL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  <w:lang w:eastAsia="pl-PL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 w:cs="Times New Roman"/>
                <w:b/>
                <w:spacing w:val="-7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pacing w:val="-7"/>
                <w:sz w:val="20"/>
                <w:szCs w:val="20"/>
                <w:lang w:eastAsia="pl-PL"/>
              </w:rPr>
              <w:t>sildenafilem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pacing w:val="-7"/>
                <w:sz w:val="20"/>
                <w:szCs w:val="20"/>
                <w:lang w:eastAsia="pl-PL"/>
              </w:rPr>
              <w:t xml:space="preserve"> </w:t>
            </w:r>
          </w:p>
          <w:p w14:paraId="71B2481E" w14:textId="7FE539E9" w:rsidR="004833C7" w:rsidRPr="00E024EA" w:rsidRDefault="004833C7" w:rsidP="00E024EA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skojarzonej:</w:t>
            </w:r>
          </w:p>
          <w:p w14:paraId="5F859138" w14:textId="4F4699D0" w:rsidR="004833C7" w:rsidRPr="0052754C" w:rsidRDefault="004833C7" w:rsidP="008367DA">
            <w:pPr>
              <w:widowControl w:val="0"/>
              <w:numPr>
                <w:ilvl w:val="2"/>
                <w:numId w:val="1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≤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kg: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dziennie;</w:t>
            </w:r>
          </w:p>
          <w:p w14:paraId="222107F5" w14:textId="5C1CD3EB" w:rsidR="004833C7" w:rsidRPr="0052754C" w:rsidRDefault="004833C7" w:rsidP="008367DA">
            <w:pPr>
              <w:widowControl w:val="0"/>
              <w:numPr>
                <w:ilvl w:val="2"/>
                <w:numId w:val="1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masa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ciała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&gt;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kg: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dziennie.</w:t>
            </w:r>
          </w:p>
          <w:p w14:paraId="683B0A15" w14:textId="77777777" w:rsidR="004833C7" w:rsidRPr="0052754C" w:rsidRDefault="004833C7" w:rsidP="00E024EA">
            <w:pPr>
              <w:widowControl w:val="0"/>
              <w:spacing w:after="60" w:line="276" w:lineRule="auto"/>
              <w:ind w:firstLine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BFEBDCB" w14:textId="22CCDF88" w:rsidR="00636E10" w:rsidRPr="0052754C" w:rsidRDefault="004833C7" w:rsidP="008367DA">
            <w:pPr>
              <w:widowControl w:val="0"/>
              <w:numPr>
                <w:ilvl w:val="0"/>
                <w:numId w:val="1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Leczenie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iloprostem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epoprostenolem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treprostynilem</w:t>
            </w:r>
            <w:proofErr w:type="spellEnd"/>
          </w:p>
          <w:p w14:paraId="36C3D962" w14:textId="6C890DDD" w:rsidR="004833C7" w:rsidRPr="00E024EA" w:rsidRDefault="00636E10" w:rsidP="00E024EA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awka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dostosowywana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833C7"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od:</w:t>
            </w:r>
          </w:p>
          <w:p w14:paraId="127746C4" w14:textId="6C71A930" w:rsidR="004833C7" w:rsidRPr="0052754C" w:rsidRDefault="004833C7" w:rsidP="008367DA">
            <w:pPr>
              <w:pStyle w:val="Akapitzlist"/>
              <w:widowControl w:val="0"/>
              <w:numPr>
                <w:ilvl w:val="2"/>
                <w:numId w:val="1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pacjenta;</w:t>
            </w:r>
          </w:p>
          <w:p w14:paraId="04E28F98" w14:textId="3055D3A1" w:rsidR="004833C7" w:rsidRPr="0052754C" w:rsidRDefault="004833C7" w:rsidP="008367DA">
            <w:pPr>
              <w:pStyle w:val="Akapitzlist"/>
              <w:widowControl w:val="0"/>
              <w:numPr>
                <w:ilvl w:val="2"/>
                <w:numId w:val="1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leczenie;</w:t>
            </w:r>
          </w:p>
          <w:p w14:paraId="02AB6B27" w14:textId="1B11C704" w:rsidR="004833C7" w:rsidRPr="0052754C" w:rsidRDefault="004833C7" w:rsidP="008367DA">
            <w:pPr>
              <w:pStyle w:val="Akapitzlist"/>
              <w:widowControl w:val="0"/>
              <w:numPr>
                <w:ilvl w:val="2"/>
                <w:numId w:val="13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053A5BBD" w14:textId="6CB42348" w:rsidR="004833C7" w:rsidRDefault="004833C7" w:rsidP="00E024EA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Zwiększenie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dążenia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osiągnięcia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terapeutycznych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towarzystwa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naukowe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ESC,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ERS,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E024EA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AEPC.</w:t>
            </w:r>
          </w:p>
          <w:p w14:paraId="41870D1B" w14:textId="77777777" w:rsidR="00E024EA" w:rsidRPr="00E024EA" w:rsidRDefault="00E024EA" w:rsidP="00E024EA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ADE075A" w14:textId="02FA20F5" w:rsidR="004833C7" w:rsidRDefault="004833C7" w:rsidP="008367DA">
            <w:pPr>
              <w:widowControl w:val="0"/>
              <w:numPr>
                <w:ilvl w:val="0"/>
                <w:numId w:val="1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sildenafil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monoterapii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mogą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zamiennie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</w:p>
          <w:p w14:paraId="4C7EBCC3" w14:textId="77777777" w:rsidR="00E024EA" w:rsidRPr="0052754C" w:rsidRDefault="00E024EA" w:rsidP="00E024EA">
            <w:pPr>
              <w:widowControl w:val="0"/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2CCE02E" w14:textId="2E85D47F" w:rsidR="004833C7" w:rsidRPr="0052754C" w:rsidRDefault="004833C7" w:rsidP="008367DA">
            <w:pPr>
              <w:widowControl w:val="0"/>
              <w:numPr>
                <w:ilvl w:val="0"/>
                <w:numId w:val="13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rzutu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bosentan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iloprost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treprostinil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epoprostenol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skojarzone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dwulekowe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skojarzone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trójlekowe)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mogą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zamiennie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tolerancji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leczenia.</w:t>
            </w:r>
          </w:p>
          <w:p w14:paraId="664D4AD6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CD902" w14:textId="3ADE3D3E" w:rsidR="004833C7" w:rsidRPr="0052754C" w:rsidRDefault="004833C7" w:rsidP="008367DA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Badania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przy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3F5DFB0B" w14:textId="0ADF30A2" w:rsidR="004833C7" w:rsidRPr="0052754C" w:rsidRDefault="004833C7" w:rsidP="008367DA">
            <w:pPr>
              <w:pStyle w:val="Akapitzlist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nieinwazyjne:</w:t>
            </w:r>
          </w:p>
          <w:p w14:paraId="13749C42" w14:textId="0EFE5D67" w:rsidR="004833C7" w:rsidRPr="0052754C" w:rsidRDefault="004833C7" w:rsidP="008367DA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klasy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czynnościowej</w:t>
            </w:r>
          </w:p>
          <w:p w14:paraId="7B9B397C" w14:textId="5DE43992" w:rsidR="004833C7" w:rsidRPr="0052754C" w:rsidRDefault="004833C7" w:rsidP="008367DA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6-minutowego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marszu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CF93C04" w14:textId="4304E8D5" w:rsidR="004833C7" w:rsidRPr="0052754C" w:rsidRDefault="004833C7" w:rsidP="008367DA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IV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klasie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czynnościowej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klinicznymi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objawami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zdekompensowanej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niewydolności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prawej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komory</w:t>
            </w:r>
          </w:p>
          <w:p w14:paraId="50802391" w14:textId="0D552A0F" w:rsidR="004833C7" w:rsidRPr="0052754C" w:rsidRDefault="004833C7" w:rsidP="008367DA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parametry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rozwojowe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umożliwiają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badania;</w:t>
            </w:r>
          </w:p>
          <w:p w14:paraId="5EE161C4" w14:textId="73BB0766" w:rsidR="004833C7" w:rsidRPr="0052754C" w:rsidRDefault="004833C7" w:rsidP="008367DA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NT-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proBNP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BNP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zależności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dostępności),</w:t>
            </w:r>
          </w:p>
          <w:p w14:paraId="07709238" w14:textId="51ACBFEE" w:rsidR="004833C7" w:rsidRDefault="004833C7" w:rsidP="008367DA">
            <w:pPr>
              <w:numPr>
                <w:ilvl w:val="2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echokardiograficzne.</w:t>
            </w:r>
          </w:p>
          <w:p w14:paraId="3149AF09" w14:textId="77777777" w:rsidR="00E024EA" w:rsidRPr="0052754C" w:rsidRDefault="00E024EA" w:rsidP="00E024EA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04A6250C" w14:textId="5BD5510C" w:rsidR="004833C7" w:rsidRPr="0052754C" w:rsidRDefault="004833C7" w:rsidP="008367DA">
            <w:pPr>
              <w:pStyle w:val="Akapitzlist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AA3E1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inwazyjne</w:t>
            </w:r>
          </w:p>
          <w:p w14:paraId="74E7E166" w14:textId="3689EC4E" w:rsidR="004833C7" w:rsidRPr="00AA3E18" w:rsidRDefault="00AA3E18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1.2.1.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Cewnikowanie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prawego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serca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(badanie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hemodynamiczne)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oceną: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</w:p>
          <w:p w14:paraId="7EBEEE0D" w14:textId="522AF092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ciśnienia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zaklinowania;</w:t>
            </w:r>
          </w:p>
          <w:p w14:paraId="7DBF6D6B" w14:textId="2753121A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naczyniowego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oporu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płucnego;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  <w:p w14:paraId="33D59616" w14:textId="0CB46218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pojemności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minutowej;</w:t>
            </w:r>
          </w:p>
          <w:p w14:paraId="23EB9958" w14:textId="2A893764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saturacji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mieszanej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krwi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żylnej</w:t>
            </w:r>
          </w:p>
          <w:p w14:paraId="20668629" w14:textId="3FC232F2" w:rsidR="004833C7" w:rsidRPr="00AA3E18" w:rsidRDefault="004833C7" w:rsidP="000E4EF9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przeprowadzeniem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ostrego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testu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wazoreaktywności</w:t>
            </w:r>
            <w:proofErr w:type="spellEnd"/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wybranych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przypadkach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określonych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kryteriach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włączenia.</w:t>
            </w:r>
          </w:p>
          <w:p w14:paraId="1835876C" w14:textId="7DD2737D" w:rsidR="004833C7" w:rsidRPr="000E4EF9" w:rsidRDefault="004833C7" w:rsidP="000E4EF9">
            <w:pPr>
              <w:widowControl w:val="0"/>
              <w:tabs>
                <w:tab w:val="left" w:pos="281"/>
              </w:tabs>
              <w:spacing w:after="6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lastRenderedPageBreak/>
              <w:t>Badanie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to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musi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być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wykonane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nie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więcej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niż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8-12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tygodni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przed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włączeniem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do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programu.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Kryterium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czasu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nie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jest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wymagane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pacjentów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&lt;18</w:t>
            </w:r>
            <w:r w:rsidR="00AA3E18"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0E4EF9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r.ż.</w:t>
            </w:r>
          </w:p>
          <w:p w14:paraId="1F4EEAA6" w14:textId="77777777" w:rsidR="00AA3E18" w:rsidRPr="0052754C" w:rsidRDefault="00AA3E18" w:rsidP="00AA3E18">
            <w:pPr>
              <w:pStyle w:val="Akapitzlist"/>
              <w:widowControl w:val="0"/>
              <w:tabs>
                <w:tab w:val="left" w:pos="281"/>
              </w:tabs>
              <w:spacing w:after="60"/>
              <w:ind w:left="227"/>
              <w:contextualSpacing w:val="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</w:p>
          <w:p w14:paraId="5898FA5F" w14:textId="01C786EF" w:rsidR="004833C7" w:rsidRDefault="00AA3E18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1.2.2.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przypadku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ciężkiego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stanu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pacjenta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diagnostyczne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cewnikowanie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prawego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serca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można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odłożyć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czasu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uzyskania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stabilizacji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klinicznej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wyłącznie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pod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warunkiem,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że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było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ono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wykonane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wcześniej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potwierdziło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rozpoznanie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TNP.</w:t>
            </w:r>
          </w:p>
          <w:p w14:paraId="7B99D176" w14:textId="77777777" w:rsidR="00AA3E18" w:rsidRPr="00AA3E18" w:rsidRDefault="00AA3E18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</w:p>
          <w:p w14:paraId="7FC9FAEE" w14:textId="1C222A5D" w:rsidR="004833C7" w:rsidRPr="00AA3E18" w:rsidRDefault="00AA3E18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1.2.3.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Wymóg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cewnikowania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prawego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serca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przy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kwalifikacji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nie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dotyczy:</w:t>
            </w:r>
          </w:p>
          <w:p w14:paraId="02AC764C" w14:textId="6352A6DC" w:rsidR="004833C7" w:rsidRPr="0052754C" w:rsidRDefault="004833C7" w:rsidP="008367DA">
            <w:pPr>
              <w:widowControl w:val="0"/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pacjentów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uprzednio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leczonych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lekami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dostępnymi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ramach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programów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lekowych,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których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TNP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było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potwierdzone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cewnikowaniem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prawego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serca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przeszłości,</w:t>
            </w:r>
          </w:p>
          <w:p w14:paraId="2D430293" w14:textId="13BC05D9" w:rsidR="004833C7" w:rsidRPr="0052754C" w:rsidRDefault="004833C7" w:rsidP="008367DA">
            <w:pPr>
              <w:widowControl w:val="0"/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pacjentów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zespołem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Eisenmengera</w:t>
            </w:r>
            <w:proofErr w:type="spellEnd"/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,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jeśli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cewnikowanie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prawego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serca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było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wykonane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nich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przeszłości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potwierdziło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rozpoznanie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TNP.</w:t>
            </w:r>
          </w:p>
          <w:p w14:paraId="7EC68762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</w:p>
          <w:p w14:paraId="2144C479" w14:textId="3E0F405E" w:rsidR="004833C7" w:rsidRPr="0052754C" w:rsidRDefault="004833C7" w:rsidP="008367DA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leczenia</w:t>
            </w:r>
          </w:p>
          <w:p w14:paraId="663211D3" w14:textId="2EDF1B5B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Oc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tę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lec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ia</w:t>
            </w:r>
            <w:r w:rsidR="00AA3E18"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b</w:t>
            </w:r>
            <w:r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yk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/>
                <w:spacing w:val="-8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ż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 w:rsidR="00AA3E18"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ak</w:t>
            </w:r>
            <w:r w:rsidR="00AA3E18"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rd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ziej</w:t>
            </w:r>
            <w:r w:rsidR="00AA3E18"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ta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</w:t>
            </w:r>
            <w:r w:rsidRPr="00AA3E18"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ym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14:paraId="29E2AA83" w14:textId="1FBA93E6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Możliwe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jest,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wyrażeniu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zgody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lekarza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prowadzącego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terapię,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przeprowadzenie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wizyty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programie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formie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zdalnej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konsultacji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przesunięcie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wykonania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badań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programie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późniejszy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okres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ile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stanowi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zagrożenia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dla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zdrowia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pozostaje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wpływu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skuteczność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bezpieczeństwo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prowadzonej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terapii.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takiej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sytuacji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możliwe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dostarczenie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szpital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miejsca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zamieszkania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wydanie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leków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osobie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upoważnionej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ilości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każdorazowo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większej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niezbędna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zabezpieczenia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3-4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miesięcy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(w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zależności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indywidualnego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dawkowania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wielkości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opakowań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poszczególnych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leków).</w:t>
            </w:r>
          </w:p>
          <w:p w14:paraId="77B43BC7" w14:textId="2F2737DF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Opisane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powyżej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postępowanie,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wynik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zdalnej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konsultacji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ocena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stanu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zdrowia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dokonana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lekarza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prowadzącego,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powinno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zostać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odnotowane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dokumentacji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medycznej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SMPT.</w:t>
            </w:r>
          </w:p>
          <w:p w14:paraId="66631692" w14:textId="2B7D233E" w:rsidR="007E0D3F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Osobiste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stawiennictwo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ośrodku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prowadzącym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być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jednak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rzadsze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razy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ciągu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każdych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kolejnych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miesięcy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wyjątkiem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sytuacji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nadzwyczajnych,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zjawisk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epidemicznych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kiedy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dopuszcza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się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osobiste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stawiennictwo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ośrodku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prowadzącym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rzadziej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niż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ciągu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każdych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kolejnych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miesięcy.</w:t>
            </w:r>
          </w:p>
          <w:p w14:paraId="18D06398" w14:textId="2AEC0E2D" w:rsidR="007E0D3F" w:rsidRPr="0052754C" w:rsidRDefault="007E0D3F" w:rsidP="00E024EA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CB7A49" w14:textId="5F3F3FD8" w:rsidR="004833C7" w:rsidRPr="0052754C" w:rsidRDefault="004833C7" w:rsidP="008367DA">
            <w:pPr>
              <w:pStyle w:val="Akapitzlist"/>
              <w:widowControl w:val="0"/>
              <w:numPr>
                <w:ilvl w:val="1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ia</w:t>
            </w:r>
            <w:r w:rsidR="00AA3E18">
              <w:rPr>
                <w:rFonts w:ascii="Times New Roman" w:eastAsia="Times New Roman" w:hAnsi="Times New Roman"/>
                <w:b/>
                <w:spacing w:val="-7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iei</w:t>
            </w:r>
            <w:r w:rsidRPr="0052754C">
              <w:rPr>
                <w:rFonts w:ascii="Times New Roman" w:eastAsia="Times New Roman" w:hAnsi="Times New Roman"/>
                <w:b/>
                <w:spacing w:val="3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/>
                <w:b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/>
                <w:b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/>
                <w:b/>
                <w:spacing w:val="-4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e</w:t>
            </w:r>
          </w:p>
          <w:p w14:paraId="021F3564" w14:textId="7E318C6F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AA3E1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ś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 w:rsidRPr="0052754C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ej;</w:t>
            </w:r>
          </w:p>
          <w:p w14:paraId="024FDBFA" w14:textId="7719EA66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AA3E18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6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nu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AA3E18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m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(z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wyjątkiem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pacjentów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klasie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czynnościowej);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przypadku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dzieci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dotyczy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pacjentów,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których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parametry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rozwojowe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umożliwiają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wykonanie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badania)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CB6C476" w14:textId="3DFA6D0D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 w:rsidR="00AA3E18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proofErr w:type="spellStart"/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pr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proofErr w:type="spellEnd"/>
            <w:r w:rsidR="00AA3E1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lub</w:t>
            </w:r>
            <w:r w:rsidR="00AA3E1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BNP</w:t>
            </w:r>
            <w:r w:rsidR="00AA3E1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(w</w:t>
            </w:r>
            <w:r w:rsidR="00AA3E1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zależności</w:t>
            </w:r>
            <w:r w:rsidR="00AA3E1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od</w:t>
            </w:r>
            <w:r w:rsidR="00AA3E18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dostępności)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1A9BCE03" w14:textId="7FE27761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 w:rsidR="00AA3E18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icz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AA3E18"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pr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ież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ś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ó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ań</w:t>
            </w:r>
            <w:r w:rsidR="00AA3E18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lastRenderedPageBreak/>
              <w:t>pod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)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63B118B" w14:textId="2DA707BB" w:rsidR="004833C7" w:rsidRPr="00AA3E18" w:rsidRDefault="00AA3E18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 xml:space="preserve">– 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kon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ię</w:t>
            </w:r>
            <w:r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ies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i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ęc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terminie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wcześniejszym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zależności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wskazań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klinicznych,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przypadku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pogorszenia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samopoczucia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stanu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chorego.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pod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ę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te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spacing w:val="-1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ą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b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ć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ż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ó</w:t>
            </w:r>
            <w:r w:rsidR="004833C7" w:rsidRPr="00AA3E18"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ież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yk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t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yn</w:t>
            </w:r>
            <w:r w:rsidR="004833C7" w:rsidRPr="00AA3E18">
              <w:rPr>
                <w:rFonts w:ascii="Times New Roman" w:eastAsia="Times New Roman" w:hAnsi="Times New Roman"/>
                <w:spacing w:val="6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ej</w:t>
            </w:r>
            <w:r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tr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6"/>
                <w:sz w:val="20"/>
                <w:szCs w:val="20"/>
              </w:rPr>
              <w:t>3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-6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ię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ale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ó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ież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dk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spacing w:val="-9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or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opo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cia</w:t>
            </w:r>
            <w:r>
              <w:rPr>
                <w:rFonts w:ascii="Times New Roman" w:eastAsia="Times New Roman" w:hAnsi="Times New Roman"/>
                <w:spacing w:val="-10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l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pogorszenia</w:t>
            </w:r>
            <w:r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pacjenta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tej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t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od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tęp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7"/>
                <w:sz w:val="20"/>
                <w:szCs w:val="20"/>
              </w:rPr>
              <w:t>3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-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ię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/>
                <w:spacing w:val="-10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astę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p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spacing w:val="-10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ru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t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/>
                <w:spacing w:val="-1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ań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tr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/>
                <w:spacing w:val="-12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/>
                <w:spacing w:val="-8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ż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że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lic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ć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spacing w:val="-1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dod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at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/>
                <w:spacing w:val="-9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b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ań</w:t>
            </w:r>
            <w:r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ep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="004833C7" w:rsidRPr="00AA3E18"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on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/>
                <w:spacing w:val="-14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r</w:t>
            </w:r>
            <w:r w:rsidR="004833C7"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e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śn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/>
                <w:spacing w:val="-13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ze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s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z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ń</w:t>
            </w:r>
            <w:r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icz</w:t>
            </w:r>
            <w:r w:rsidR="004833C7"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="004833C7"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c</w:t>
            </w:r>
            <w:r w:rsidR="004833C7"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h</w:t>
            </w:r>
            <w:r w:rsidR="004833C7" w:rsidRPr="00AA3E1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14:paraId="73BF6721" w14:textId="77777777" w:rsidR="006809F9" w:rsidRPr="0052754C" w:rsidRDefault="006809F9" w:rsidP="00E024EA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</w:p>
          <w:p w14:paraId="08CEB91C" w14:textId="6A9B290A" w:rsidR="004833C7" w:rsidRPr="0052754C" w:rsidRDefault="004833C7" w:rsidP="008367DA">
            <w:pPr>
              <w:pStyle w:val="Akapitzlist"/>
              <w:widowControl w:val="0"/>
              <w:numPr>
                <w:ilvl w:val="1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/>
                <w:b/>
                <w:spacing w:val="-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nia</w:t>
            </w:r>
            <w:r w:rsidR="00AA3E18">
              <w:rPr>
                <w:rFonts w:ascii="Times New Roman" w:eastAsia="Times New Roman" w:hAnsi="Times New Roman"/>
                <w:b/>
                <w:spacing w:val="-9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in</w:t>
            </w:r>
            <w:r w:rsidRPr="0052754C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/>
                <w:b/>
                <w:spacing w:val="-2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/>
                <w:b/>
                <w:spacing w:val="1"/>
                <w:sz w:val="20"/>
                <w:szCs w:val="20"/>
              </w:rPr>
              <w:t>yj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</w:rPr>
              <w:t>ne</w:t>
            </w:r>
          </w:p>
          <w:p w14:paraId="7DA02B35" w14:textId="5BE6B605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Symbol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C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 w:rsidR="00AA3E18">
              <w:rPr>
                <w:rFonts w:ascii="Times New Roman" w:eastAsia="Times New Roman" w:hAnsi="Times New Roman"/>
                <w:spacing w:val="-12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pr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AA3E18"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ca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(b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d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ie</w:t>
            </w:r>
            <w:r w:rsidR="00AA3E18"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h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m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d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yn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c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e)</w:t>
            </w:r>
            <w:r w:rsidR="00AA3E18">
              <w:rPr>
                <w:rFonts w:ascii="Times New Roman" w:eastAsia="Times New Roman" w:hAnsi="Times New Roman"/>
                <w:spacing w:val="-1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ą</w:t>
            </w:r>
            <w:r w:rsidR="00AA3E18"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ciśnie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ia</w:t>
            </w:r>
            <w:r w:rsidR="00AA3E18"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ia,</w:t>
            </w:r>
            <w:r w:rsidR="00AA3E18">
              <w:rPr>
                <w:rFonts w:ascii="Times New Roman" w:eastAsia="Times New Roman" w:hAnsi="Times New Roman"/>
                <w:spacing w:val="-8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z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AA3E18">
              <w:rPr>
                <w:rFonts w:ascii="Times New Roman" w:eastAsia="Times New Roman" w:hAnsi="Times New Roman"/>
                <w:spacing w:val="-1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opor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ł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g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p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mn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ś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ci</w:t>
            </w:r>
            <w:r w:rsidR="00AA3E18"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m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u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o</w:t>
            </w:r>
            <w:r w:rsidRPr="00AA3E18"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ej</w:t>
            </w:r>
            <w:r w:rsidR="00AA3E18">
              <w:rPr>
                <w:rFonts w:ascii="Times New Roman" w:eastAsia="Times New Roman" w:hAnsi="Times New Roman"/>
                <w:spacing w:val="-6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sa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t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r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c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pacing w:val="-7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3"/>
                <w:sz w:val="20"/>
                <w:szCs w:val="20"/>
              </w:rPr>
              <w:t>m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e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a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ej</w:t>
            </w:r>
            <w:r w:rsidR="00AA3E18">
              <w:rPr>
                <w:rFonts w:ascii="Times New Roman" w:eastAsia="Times New Roman" w:hAnsi="Times New Roman"/>
                <w:spacing w:val="-5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r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3"/>
                <w:sz w:val="20"/>
                <w:szCs w:val="20"/>
              </w:rPr>
              <w:t>ż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y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>w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y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AA3E18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on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Pr="00AA3E18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j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ię:</w:t>
            </w:r>
          </w:p>
          <w:p w14:paraId="04A67E65" w14:textId="652F471F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przed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włączeniem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terapii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II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rzutu,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tym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że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przypadku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ciężkiego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stanu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pacjenta</w:t>
            </w:r>
            <w:r w:rsidR="00AA3E18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>(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AA3E18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ś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 w:rsidRPr="0052754C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)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można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odłożyć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cewnikowanie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czasu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uzyskania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stabilizacji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klinicznej;</w:t>
            </w:r>
          </w:p>
          <w:p w14:paraId="024B8D7C" w14:textId="77777777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eżeli:</w:t>
            </w:r>
          </w:p>
          <w:p w14:paraId="277F88A5" w14:textId="58D9C62D" w:rsidR="004833C7" w:rsidRPr="0052754C" w:rsidRDefault="004833C7" w:rsidP="008367DA">
            <w:pPr>
              <w:widowControl w:val="0"/>
              <w:numPr>
                <w:ilvl w:val="3"/>
                <w:numId w:val="14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ań</w:t>
            </w:r>
            <w:r w:rsidR="00AA3E18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iei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="00AA3E18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AA3E18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iez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ad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ala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ą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AA3E18"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lec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zgodnie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obowiązującymi</w:t>
            </w:r>
            <w:r w:rsidR="00AA3E18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standardami</w:t>
            </w:r>
          </w:p>
          <w:p w14:paraId="62A9D711" w14:textId="1FA75D32" w:rsidR="004833C7" w:rsidRPr="00AA3E18" w:rsidRDefault="004833C7" w:rsidP="00AA3E18">
            <w:pPr>
              <w:widowControl w:val="0"/>
              <w:tabs>
                <w:tab w:val="left" w:pos="360"/>
              </w:tabs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</w:t>
            </w:r>
            <w:r w:rsidRPr="00AA3E18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u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</w:t>
            </w:r>
            <w:r w:rsidR="00AA3E18">
              <w:rPr>
                <w:rFonts w:ascii="Times New Roman" w:eastAsia="Times New Roman" w:hAnsi="Times New Roman"/>
                <w:spacing w:val="-2"/>
                <w:sz w:val="20"/>
                <w:szCs w:val="20"/>
              </w:rPr>
              <w:t xml:space="preserve"> </w:t>
            </w:r>
          </w:p>
          <w:p w14:paraId="28AC8FB4" w14:textId="43728618" w:rsidR="004833C7" w:rsidRPr="0052754C" w:rsidRDefault="004833C7" w:rsidP="008367DA">
            <w:pPr>
              <w:widowControl w:val="0"/>
              <w:numPr>
                <w:ilvl w:val="3"/>
                <w:numId w:val="14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lastRenderedPageBreak/>
              <w:t>o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az</w:t>
            </w:r>
            <w:r w:rsidR="00AA3E18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AA3E18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ań</w:t>
            </w:r>
            <w:r w:rsidR="00AA3E18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="00AA3E18"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ą</w:t>
            </w:r>
            <w:r w:rsidR="00AA3E1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 w:rsidRPr="0052754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52754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 w:rsidRPr="0052754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z</w:t>
            </w:r>
            <w:r w:rsidRPr="0052754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e;</w:t>
            </w:r>
          </w:p>
          <w:p w14:paraId="7F11AEC6" w14:textId="273CC261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tabs>
                <w:tab w:val="left" w:pos="360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miesięcy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dla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oceny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dynamiki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</w:rPr>
              <w:t>choroby.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310487E" w14:textId="54462C5A" w:rsidR="004833C7" w:rsidRPr="00AA3E18" w:rsidRDefault="004833C7" w:rsidP="00AA3E18">
            <w:pPr>
              <w:widowControl w:val="0"/>
              <w:tabs>
                <w:tab w:val="left" w:pos="360"/>
              </w:tabs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każdym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lekarz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prowadzący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zdecydować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odłożeniu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lub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zrezygnowaniu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cewnikowania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prawego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serca,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biorąc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pod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uwagę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całokształt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przebiegu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choroby,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realne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możliwości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modyfikacji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oparciu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wyniki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cewnikowania,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także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oceniane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indywidualnie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ryzyko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powikłań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związanych.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4517F943" w14:textId="14A9E27A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Wykonanie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cewnikowania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prawego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serca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wymagane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wieku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poniżej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18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lat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zespołem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Eisenmengera</w:t>
            </w:r>
            <w:proofErr w:type="spellEnd"/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ani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celu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monitorowania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ani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celu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zmiany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sposobu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leczenia.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0883B09" w14:textId="0502045F" w:rsidR="004833C7" w:rsidRPr="00AA3E18" w:rsidRDefault="004833C7" w:rsidP="00AA3E18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Skuteczność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ocenia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się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podstawie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przebiegu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choroby,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indywidualnych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kryteriów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prognostycznych,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zgodnie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obowiązującymi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standardami.</w:t>
            </w:r>
          </w:p>
          <w:p w14:paraId="187D00F7" w14:textId="41CA9F7B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Zmiana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obrębie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początkowego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oraz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zmiana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ramach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rzutu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wymaga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cewnikowania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prawego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serca.</w:t>
            </w:r>
          </w:p>
          <w:p w14:paraId="64B4ACE9" w14:textId="09A0A274" w:rsidR="004833C7" w:rsidRPr="00AA3E18" w:rsidRDefault="004833C7" w:rsidP="00AA3E18">
            <w:pPr>
              <w:widowControl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przypadku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nietolerancji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leczenia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rzutu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możliwy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jest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powrót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terapii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początkowej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bez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dodatkowej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kwalifikacji</w:t>
            </w:r>
            <w:r w:rsidR="00AA3E18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AA3E18">
              <w:rPr>
                <w:rFonts w:ascii="Times New Roman" w:eastAsia="Times New Roman" w:hAnsi="Times New Roman"/>
                <w:sz w:val="20"/>
                <w:szCs w:val="20"/>
              </w:rPr>
              <w:t>pacjenta.</w:t>
            </w:r>
          </w:p>
          <w:p w14:paraId="025A4B0D" w14:textId="77777777" w:rsidR="004833C7" w:rsidRPr="0052754C" w:rsidRDefault="004833C7" w:rsidP="00E024EA">
            <w:pPr>
              <w:widowControl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FDF47B" w14:textId="71EEE64D" w:rsidR="004833C7" w:rsidRPr="0052754C" w:rsidRDefault="004833C7" w:rsidP="008367DA">
            <w:pPr>
              <w:pStyle w:val="Akapitzlist"/>
              <w:widowControl w:val="0"/>
              <w:numPr>
                <w:ilvl w:val="0"/>
                <w:numId w:val="14"/>
              </w:numPr>
              <w:spacing w:after="6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Monitorowanie</w:t>
            </w:r>
            <w:r w:rsidR="00AA3E18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15990CD2" w14:textId="43F68F46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gromadzenie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dokumentacji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każdorazowe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przedstawianie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żądanie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kontrolerów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NFZ;</w:t>
            </w:r>
          </w:p>
          <w:p w14:paraId="2B8DA19E" w14:textId="6BF1192D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uzupełnienie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elektronicznym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systemie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monitorowania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programów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dostępnym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pomocą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aplikacji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internetowej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udostępnionej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Oddział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Wojewódzki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częstotliwością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zgodną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zakończenie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leczenia;</w:t>
            </w:r>
          </w:p>
          <w:p w14:paraId="737DEF41" w14:textId="7FB8D5F8" w:rsidR="004833C7" w:rsidRPr="0052754C" w:rsidRDefault="004833C7" w:rsidP="008367DA">
            <w:pPr>
              <w:widowControl w:val="0"/>
              <w:numPr>
                <w:ilvl w:val="2"/>
                <w:numId w:val="14"/>
              </w:num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przekazywanie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sprawozdawczo-rozliczeniowych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NFZ: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informacje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przekazuje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papierowej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formie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elektronicznej,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wymaganiami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opublikowanymi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AA3E1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52754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NFZ.</w:t>
            </w:r>
          </w:p>
          <w:p w14:paraId="41508E0B" w14:textId="77777777" w:rsidR="004833C7" w:rsidRPr="0052754C" w:rsidRDefault="004833C7" w:rsidP="00E024E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49C7FFC2" w14:textId="77777777" w:rsidR="004833C7" w:rsidRDefault="004833C7"/>
    <w:sectPr w:rsidR="004833C7" w:rsidSect="00AA3E18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KBKDC+Arial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707"/>
    <w:multiLevelType w:val="multilevel"/>
    <w:tmpl w:val="4F0AA6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1BC50E0C"/>
    <w:multiLevelType w:val="multilevel"/>
    <w:tmpl w:val="C0FAD1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E496B95"/>
    <w:multiLevelType w:val="multilevel"/>
    <w:tmpl w:val="714AA67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324D6106"/>
    <w:multiLevelType w:val="multilevel"/>
    <w:tmpl w:val="714AA67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351B1C35"/>
    <w:multiLevelType w:val="multilevel"/>
    <w:tmpl w:val="DED054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40EB4018"/>
    <w:multiLevelType w:val="multilevel"/>
    <w:tmpl w:val="C0FAD1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A753D37"/>
    <w:multiLevelType w:val="multilevel"/>
    <w:tmpl w:val="1040E924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5BA22180"/>
    <w:multiLevelType w:val="multilevel"/>
    <w:tmpl w:val="AFCCD3F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5F0A5410"/>
    <w:multiLevelType w:val="multilevel"/>
    <w:tmpl w:val="714AA67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627C0190"/>
    <w:multiLevelType w:val="multilevel"/>
    <w:tmpl w:val="3716D7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64B70176"/>
    <w:multiLevelType w:val="multilevel"/>
    <w:tmpl w:val="C0FAD1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78BF7D11"/>
    <w:multiLevelType w:val="multilevel"/>
    <w:tmpl w:val="C0FAD1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7B4F59F6"/>
    <w:multiLevelType w:val="multilevel"/>
    <w:tmpl w:val="4F0AA6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7D4E716C"/>
    <w:multiLevelType w:val="multilevel"/>
    <w:tmpl w:val="1EFE80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  <w:b/>
        <w:bCs/>
        <w:i w:val="0"/>
        <w:iCs w:val="0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12"/>
  </w:num>
  <w:num w:numId="13">
    <w:abstractNumId w:val="0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C7"/>
    <w:rsid w:val="0001113C"/>
    <w:rsid w:val="000A16C4"/>
    <w:rsid w:val="000E4EF9"/>
    <w:rsid w:val="00142E30"/>
    <w:rsid w:val="00223C73"/>
    <w:rsid w:val="00376CAF"/>
    <w:rsid w:val="003C69CC"/>
    <w:rsid w:val="003F5D02"/>
    <w:rsid w:val="00471C19"/>
    <w:rsid w:val="004833C7"/>
    <w:rsid w:val="0052754C"/>
    <w:rsid w:val="00550DD4"/>
    <w:rsid w:val="00625F63"/>
    <w:rsid w:val="00636E10"/>
    <w:rsid w:val="006809F9"/>
    <w:rsid w:val="007436A4"/>
    <w:rsid w:val="00756714"/>
    <w:rsid w:val="007D0F68"/>
    <w:rsid w:val="007E0D3F"/>
    <w:rsid w:val="00801455"/>
    <w:rsid w:val="00830F25"/>
    <w:rsid w:val="008367DA"/>
    <w:rsid w:val="00856497"/>
    <w:rsid w:val="008861D4"/>
    <w:rsid w:val="00926A3E"/>
    <w:rsid w:val="00AA3E18"/>
    <w:rsid w:val="00AE4EEA"/>
    <w:rsid w:val="00B84C8C"/>
    <w:rsid w:val="00BB1B1F"/>
    <w:rsid w:val="00E024EA"/>
    <w:rsid w:val="00E32622"/>
    <w:rsid w:val="00E8480E"/>
    <w:rsid w:val="00E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522A"/>
  <w15:chartTrackingRefBased/>
  <w15:docId w15:val="{516A057C-0A41-419E-A47D-D6804C0B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4833C7"/>
    <w:pPr>
      <w:keepNext/>
      <w:keepLines/>
      <w:spacing w:before="240" w:after="0" w:line="276" w:lineRule="auto"/>
      <w:outlineLvl w:val="0"/>
    </w:pPr>
    <w:rPr>
      <w:rFonts w:ascii="Cambria" w:eastAsia="SimSun" w:hAnsi="Cambria" w:cs="Times New Roman"/>
      <w:b/>
      <w:bCs/>
      <w:color w:val="365F91"/>
      <w:sz w:val="28"/>
      <w:szCs w:val="28"/>
      <w:lang w:eastAsia="pl-PL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4833C7"/>
    <w:pPr>
      <w:keepNext/>
      <w:keepLines/>
      <w:spacing w:before="40" w:after="0" w:line="276" w:lineRule="auto"/>
      <w:outlineLvl w:val="2"/>
    </w:pPr>
    <w:rPr>
      <w:rFonts w:ascii="Cambria" w:eastAsia="SimSun" w:hAnsi="Cambria" w:cs="Times New Roman"/>
      <w:color w:val="243F6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basedOn w:val="Standardowy"/>
    <w:next w:val="Tabela-Siatka"/>
    <w:rsid w:val="00483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39"/>
    <w:rsid w:val="0048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4833C7"/>
    <w:rPr>
      <w:rFonts w:ascii="Cambria" w:eastAsia="SimSun" w:hAnsi="Cambria" w:cs="Times New Roman"/>
      <w:b/>
      <w:bCs/>
      <w:color w:val="365F91"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semiHidden/>
    <w:rsid w:val="004833C7"/>
    <w:rPr>
      <w:rFonts w:ascii="Cambria" w:eastAsia="SimSun" w:hAnsi="Cambria" w:cs="Times New Roman"/>
      <w:color w:val="243F60"/>
      <w:sz w:val="24"/>
      <w:szCs w:val="24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4833C7"/>
  </w:style>
  <w:style w:type="paragraph" w:styleId="Tekstdymka">
    <w:name w:val="Balloon Text"/>
    <w:basedOn w:val="Normalny"/>
    <w:link w:val="TekstdymkaZnak"/>
    <w:unhideWhenUsed/>
    <w:rsid w:val="004833C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4833C7"/>
    <w:rPr>
      <w:rFonts w:ascii="Tahoma" w:eastAsia="Calibri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4833C7"/>
    <w:rPr>
      <w:color w:val="808080"/>
    </w:rPr>
  </w:style>
  <w:style w:type="paragraph" w:customStyle="1" w:styleId="adresat">
    <w:name w:val="adresat"/>
    <w:basedOn w:val="Normalny"/>
    <w:link w:val="adresatZnak"/>
    <w:rsid w:val="004833C7"/>
    <w:pPr>
      <w:spacing w:after="120" w:line="360" w:lineRule="auto"/>
    </w:pPr>
    <w:rPr>
      <w:rFonts w:ascii="Calibri" w:eastAsia="Calibri" w:hAnsi="Calibri" w:cs="Times New Roman"/>
    </w:rPr>
  </w:style>
  <w:style w:type="paragraph" w:customStyle="1" w:styleId="pismamz">
    <w:name w:val="pisma_mz"/>
    <w:basedOn w:val="Normalny"/>
    <w:link w:val="pismamzZnak"/>
    <w:qFormat/>
    <w:rsid w:val="004833C7"/>
    <w:pPr>
      <w:spacing w:after="0" w:line="360" w:lineRule="auto"/>
      <w:contextualSpacing/>
      <w:jc w:val="both"/>
    </w:pPr>
    <w:rPr>
      <w:rFonts w:ascii="Arial" w:eastAsia="Calibri" w:hAnsi="Arial" w:cs="Times New Roman"/>
    </w:rPr>
  </w:style>
  <w:style w:type="character" w:customStyle="1" w:styleId="adresatZnak">
    <w:name w:val="adresat Znak"/>
    <w:basedOn w:val="Domylnaczcionkaakapitu"/>
    <w:link w:val="adresat"/>
    <w:rsid w:val="004833C7"/>
    <w:rPr>
      <w:rFonts w:ascii="Calibri" w:eastAsia="Calibri" w:hAnsi="Calibri" w:cs="Times New Roman"/>
    </w:rPr>
  </w:style>
  <w:style w:type="character" w:customStyle="1" w:styleId="pismamzZnak">
    <w:name w:val="pisma_mz Znak"/>
    <w:link w:val="pismamz"/>
    <w:rsid w:val="004833C7"/>
    <w:rPr>
      <w:rFonts w:ascii="Arial" w:eastAsia="Calibri" w:hAnsi="Arial" w:cs="Times New Roman"/>
    </w:rPr>
  </w:style>
  <w:style w:type="paragraph" w:styleId="Nagwek">
    <w:name w:val="header"/>
    <w:basedOn w:val="Normalny"/>
    <w:link w:val="NagwekZnak"/>
    <w:uiPriority w:val="99"/>
    <w:unhideWhenUsed/>
    <w:rsid w:val="004833C7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4833C7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4833C7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4833C7"/>
    <w:rPr>
      <w:rFonts w:ascii="Calibri" w:eastAsia="Calibri" w:hAnsi="Calibri" w:cs="Times New Roman"/>
    </w:rPr>
  </w:style>
  <w:style w:type="paragraph" w:styleId="Akapitzlist">
    <w:name w:val="List Paragraph"/>
    <w:aliases w:val="Styl moj,Bullet1,List Paragraph1,Akapit z listą11,List Paragraph"/>
    <w:basedOn w:val="Normalny"/>
    <w:link w:val="AkapitzlistZnak"/>
    <w:uiPriority w:val="34"/>
    <w:qFormat/>
    <w:rsid w:val="004833C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ela-Siatka2">
    <w:name w:val="Tabela - Siatka2"/>
    <w:basedOn w:val="Standardowy"/>
    <w:next w:val="Tabela-Siatka"/>
    <w:uiPriority w:val="59"/>
    <w:rsid w:val="004833C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aliases w:val="Styl moj Znak,Bullet1 Znak,List Paragraph1 Znak,Akapit z listą11 Znak,List Paragraph Znak"/>
    <w:link w:val="Akapitzlist"/>
    <w:uiPriority w:val="34"/>
    <w:locked/>
    <w:rsid w:val="004833C7"/>
    <w:rPr>
      <w:rFonts w:ascii="Calibri" w:eastAsia="Calibri" w:hAnsi="Calibri" w:cs="Times New Roman"/>
    </w:rPr>
  </w:style>
  <w:style w:type="paragraph" w:customStyle="1" w:styleId="Nagwek11">
    <w:name w:val="Nagłówek 11"/>
    <w:basedOn w:val="Normalny"/>
    <w:next w:val="Normalny"/>
    <w:qFormat/>
    <w:rsid w:val="004833C7"/>
    <w:pPr>
      <w:keepNext/>
      <w:keepLines/>
      <w:spacing w:before="480" w:after="0" w:line="240" w:lineRule="auto"/>
      <w:outlineLvl w:val="0"/>
    </w:pPr>
    <w:rPr>
      <w:rFonts w:ascii="Cambria" w:eastAsia="SimSun" w:hAnsi="Cambria" w:cs="Times New Roman"/>
      <w:b/>
      <w:bCs/>
      <w:color w:val="365F91"/>
      <w:sz w:val="28"/>
      <w:szCs w:val="28"/>
      <w:lang w:eastAsia="pl-PL"/>
    </w:rPr>
  </w:style>
  <w:style w:type="paragraph" w:customStyle="1" w:styleId="Nagwek31">
    <w:name w:val="Nagłówek 31"/>
    <w:basedOn w:val="Normalny"/>
    <w:next w:val="Normalny"/>
    <w:semiHidden/>
    <w:unhideWhenUsed/>
    <w:qFormat/>
    <w:rsid w:val="004833C7"/>
    <w:pPr>
      <w:keepNext/>
      <w:keepLines/>
      <w:spacing w:before="40" w:after="0" w:line="240" w:lineRule="auto"/>
      <w:outlineLvl w:val="2"/>
    </w:pPr>
    <w:rPr>
      <w:rFonts w:ascii="Cambria" w:eastAsia="SimSun" w:hAnsi="Cambria" w:cs="Times New Roman"/>
      <w:color w:val="243F60"/>
      <w:sz w:val="24"/>
      <w:szCs w:val="24"/>
      <w:lang w:eastAsia="pl-PL"/>
    </w:rPr>
  </w:style>
  <w:style w:type="numbering" w:customStyle="1" w:styleId="Bezlisty11">
    <w:name w:val="Bez listy11"/>
    <w:next w:val="Bezlisty"/>
    <w:uiPriority w:val="99"/>
    <w:semiHidden/>
    <w:unhideWhenUsed/>
    <w:rsid w:val="004833C7"/>
  </w:style>
  <w:style w:type="character" w:styleId="Odwoaniedokomentarza">
    <w:name w:val="annotation reference"/>
    <w:uiPriority w:val="99"/>
    <w:rsid w:val="004833C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483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833C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rsid w:val="004833C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4833C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Poprawka">
    <w:name w:val="Revision"/>
    <w:hidden/>
    <w:uiPriority w:val="99"/>
    <w:semiHidden/>
    <w:rsid w:val="00483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uiPriority w:val="99"/>
    <w:rsid w:val="004833C7"/>
    <w:pPr>
      <w:widowControl w:val="0"/>
      <w:autoSpaceDE w:val="0"/>
      <w:autoSpaceDN w:val="0"/>
      <w:adjustRightInd w:val="0"/>
      <w:spacing w:after="0" w:line="240" w:lineRule="auto"/>
    </w:pPr>
    <w:rPr>
      <w:rFonts w:ascii="CKBKDC+Arial" w:eastAsia="Times New Roman" w:hAnsi="CKBKDC+Arial" w:cs="CKBKDC+Arial"/>
      <w:color w:val="000000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8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833C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483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semiHidden/>
    <w:unhideWhenUsed/>
    <w:rsid w:val="004833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4833C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semiHidden/>
    <w:unhideWhenUsed/>
    <w:rsid w:val="004833C7"/>
    <w:rPr>
      <w:vertAlign w:val="superscript"/>
    </w:rPr>
  </w:style>
  <w:style w:type="paragraph" w:customStyle="1" w:styleId="xmsocommenttext">
    <w:name w:val="x_msocommenttext"/>
    <w:basedOn w:val="Normalny"/>
    <w:rsid w:val="004833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character" w:customStyle="1" w:styleId="Nagwek1Znak1">
    <w:name w:val="Nagłówek 1 Znak1"/>
    <w:basedOn w:val="Domylnaczcionkaakapitu"/>
    <w:uiPriority w:val="9"/>
    <w:rsid w:val="00483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Nagwek3Znak1">
    <w:name w:val="Nagłówek 3 Znak1"/>
    <w:basedOn w:val="Domylnaczcionkaakapitu"/>
    <w:uiPriority w:val="9"/>
    <w:semiHidden/>
    <w:rsid w:val="004833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E63F-988D-4A47-93B0-5EA6D919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3588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Królak-Buzakowska Joanna</cp:lastModifiedBy>
  <cp:revision>4</cp:revision>
  <dcterms:created xsi:type="dcterms:W3CDTF">2020-11-26T15:46:00Z</dcterms:created>
  <dcterms:modified xsi:type="dcterms:W3CDTF">2020-11-26T16:56:00Z</dcterms:modified>
</cp:coreProperties>
</file>