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9B2D" w14:textId="000072C1" w:rsidR="0041237C" w:rsidRPr="0074375C" w:rsidRDefault="00B30C27" w:rsidP="00B30C27">
      <w:pPr>
        <w:autoSpaceDE w:val="0"/>
        <w:autoSpaceDN w:val="0"/>
        <w:adjustRightInd w:val="0"/>
        <w:rPr>
          <w:bCs/>
          <w:sz w:val="20"/>
          <w:szCs w:val="20"/>
        </w:rPr>
      </w:pPr>
      <w:r w:rsidRPr="0074375C">
        <w:rPr>
          <w:sz w:val="22"/>
          <w:szCs w:val="22"/>
        </w:rPr>
        <w:t>Załącznik</w:t>
      </w:r>
      <w:r w:rsidR="00DC4413" w:rsidRPr="0074375C">
        <w:rPr>
          <w:sz w:val="22"/>
          <w:szCs w:val="22"/>
        </w:rPr>
        <w:t xml:space="preserve"> </w:t>
      </w:r>
      <w:r w:rsidRPr="0074375C">
        <w:rPr>
          <w:sz w:val="22"/>
          <w:szCs w:val="22"/>
        </w:rPr>
        <w:t>B.32</w:t>
      </w:r>
      <w:r w:rsidR="00615028" w:rsidRPr="0074375C">
        <w:rPr>
          <w:sz w:val="22"/>
          <w:szCs w:val="22"/>
        </w:rPr>
        <w:t>.</w:t>
      </w:r>
    </w:p>
    <w:p w14:paraId="2429F5BA" w14:textId="77777777" w:rsidR="00A2374E" w:rsidRPr="0074375C" w:rsidRDefault="00A2374E" w:rsidP="00B30C27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78C49504" w14:textId="05AA12BD" w:rsidR="0041237C" w:rsidRPr="0074375C" w:rsidRDefault="00222437" w:rsidP="00B30C27">
      <w:pPr>
        <w:autoSpaceDE w:val="0"/>
        <w:autoSpaceDN w:val="0"/>
        <w:adjustRightInd w:val="0"/>
        <w:spacing w:after="240"/>
        <w:rPr>
          <w:b/>
          <w:bCs/>
          <w:sz w:val="28"/>
        </w:rPr>
      </w:pPr>
      <w:r w:rsidRPr="0074375C">
        <w:rPr>
          <w:b/>
          <w:bCs/>
          <w:sz w:val="28"/>
        </w:rPr>
        <w:t>LECZENIE</w:t>
      </w:r>
      <w:r w:rsidR="00DC4413" w:rsidRPr="0074375C">
        <w:rPr>
          <w:b/>
          <w:bCs/>
          <w:sz w:val="28"/>
        </w:rPr>
        <w:t xml:space="preserve"> </w:t>
      </w:r>
      <w:r w:rsidR="00CB3930" w:rsidRPr="0074375C">
        <w:rPr>
          <w:b/>
          <w:bCs/>
          <w:sz w:val="28"/>
        </w:rPr>
        <w:t>PACJENTÓW</w:t>
      </w:r>
      <w:r w:rsidR="00DC4413" w:rsidRPr="0074375C">
        <w:rPr>
          <w:b/>
          <w:bCs/>
          <w:sz w:val="28"/>
        </w:rPr>
        <w:t xml:space="preserve"> </w:t>
      </w:r>
      <w:r w:rsidR="00A0300D" w:rsidRPr="0074375C">
        <w:rPr>
          <w:b/>
          <w:bCs/>
          <w:sz w:val="28"/>
        </w:rPr>
        <w:t>Z</w:t>
      </w:r>
      <w:r w:rsidR="00DC4413" w:rsidRPr="0074375C">
        <w:rPr>
          <w:b/>
          <w:bCs/>
          <w:sz w:val="28"/>
        </w:rPr>
        <w:t xml:space="preserve"> </w:t>
      </w:r>
      <w:r w:rsidRPr="0074375C">
        <w:rPr>
          <w:b/>
          <w:bCs/>
          <w:sz w:val="28"/>
        </w:rPr>
        <w:t>CHOROB</w:t>
      </w:r>
      <w:r w:rsidR="00A0300D" w:rsidRPr="0074375C">
        <w:rPr>
          <w:b/>
          <w:bCs/>
          <w:sz w:val="28"/>
        </w:rPr>
        <w:t>Ą</w:t>
      </w:r>
      <w:r w:rsidR="00DC4413" w:rsidRPr="0074375C">
        <w:rPr>
          <w:b/>
          <w:bCs/>
          <w:sz w:val="28"/>
        </w:rPr>
        <w:t xml:space="preserve"> </w:t>
      </w:r>
      <w:r w:rsidRPr="0074375C">
        <w:rPr>
          <w:b/>
          <w:bCs/>
          <w:sz w:val="28"/>
        </w:rPr>
        <w:t>LEŚ</w:t>
      </w:r>
      <w:r w:rsidR="0041237C" w:rsidRPr="0074375C">
        <w:rPr>
          <w:b/>
          <w:bCs/>
          <w:sz w:val="28"/>
        </w:rPr>
        <w:t>NIO</w:t>
      </w:r>
      <w:r w:rsidR="008F3EC7" w:rsidRPr="0074375C">
        <w:rPr>
          <w:b/>
          <w:bCs/>
          <w:sz w:val="28"/>
        </w:rPr>
        <w:t>WSKIEGO</w:t>
      </w:r>
      <w:r w:rsidR="00DC4413" w:rsidRPr="0074375C">
        <w:rPr>
          <w:b/>
          <w:bCs/>
          <w:sz w:val="28"/>
        </w:rPr>
        <w:t xml:space="preserve"> – </w:t>
      </w:r>
      <w:r w:rsidR="008F3EC7" w:rsidRPr="0074375C">
        <w:rPr>
          <w:b/>
          <w:bCs/>
          <w:sz w:val="28"/>
        </w:rPr>
        <w:t>CROHNA</w:t>
      </w:r>
      <w:r w:rsidR="00DC4413" w:rsidRPr="0074375C">
        <w:rPr>
          <w:b/>
          <w:bCs/>
          <w:sz w:val="28"/>
        </w:rPr>
        <w:t xml:space="preserve"> </w:t>
      </w:r>
      <w:r w:rsidR="008F3EC7" w:rsidRPr="0074375C">
        <w:rPr>
          <w:b/>
          <w:bCs/>
          <w:sz w:val="28"/>
        </w:rPr>
        <w:t>(ICD-</w:t>
      </w:r>
      <w:r w:rsidR="001D59BF" w:rsidRPr="0074375C">
        <w:rPr>
          <w:b/>
          <w:bCs/>
          <w:sz w:val="28"/>
        </w:rPr>
        <w:t>10</w:t>
      </w:r>
      <w:r w:rsidR="00DC4413" w:rsidRPr="0074375C">
        <w:rPr>
          <w:b/>
          <w:bCs/>
          <w:sz w:val="28"/>
        </w:rPr>
        <w:t xml:space="preserve">: </w:t>
      </w:r>
      <w:r w:rsidR="0041237C" w:rsidRPr="0074375C">
        <w:rPr>
          <w:b/>
          <w:bCs/>
          <w:sz w:val="28"/>
        </w:rPr>
        <w:t>K50)</w:t>
      </w:r>
    </w:p>
    <w:tbl>
      <w:tblPr>
        <w:tblpPr w:leftFromText="181" w:rightFromText="181" w:vertAnchor="text" w:horzAnchor="margin" w:tblpXSpec="center" w:tblpY="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1"/>
        <w:gridCol w:w="3969"/>
        <w:gridCol w:w="4480"/>
      </w:tblGrid>
      <w:tr w:rsidR="00AC348A" w:rsidRPr="0074375C" w14:paraId="140106F4" w14:textId="77777777" w:rsidTr="00246B8C">
        <w:trPr>
          <w:trHeight w:val="567"/>
          <w:jc w:val="center"/>
        </w:trPr>
        <w:tc>
          <w:tcPr>
            <w:tcW w:w="15390" w:type="dxa"/>
            <w:gridSpan w:val="3"/>
            <w:tcBorders>
              <w:bottom w:val="single" w:sz="4" w:space="0" w:color="auto"/>
            </w:tcBorders>
            <w:vAlign w:val="center"/>
          </w:tcPr>
          <w:p w14:paraId="2895C05A" w14:textId="48CDB4DD" w:rsidR="004C23D8" w:rsidRPr="0074375C" w:rsidRDefault="004C23D8" w:rsidP="000C0385">
            <w:pPr>
              <w:jc w:val="center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ZAKRES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ŚWIADCZENIA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GWARANTOWANEGO</w:t>
            </w:r>
          </w:p>
        </w:tc>
      </w:tr>
      <w:tr w:rsidR="00AC348A" w:rsidRPr="0074375C" w14:paraId="7039D6CB" w14:textId="77777777" w:rsidTr="00A679D9">
        <w:trPr>
          <w:trHeight w:val="567"/>
          <w:jc w:val="center"/>
        </w:trPr>
        <w:tc>
          <w:tcPr>
            <w:tcW w:w="6941" w:type="dxa"/>
            <w:vAlign w:val="center"/>
          </w:tcPr>
          <w:p w14:paraId="06747258" w14:textId="77777777" w:rsidR="004C23D8" w:rsidRPr="0074375C" w:rsidRDefault="004C23D8" w:rsidP="000C0385">
            <w:pPr>
              <w:jc w:val="center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ŚWIADCZENIOBIORCY</w:t>
            </w:r>
          </w:p>
        </w:tc>
        <w:tc>
          <w:tcPr>
            <w:tcW w:w="3969" w:type="dxa"/>
            <w:vAlign w:val="center"/>
          </w:tcPr>
          <w:p w14:paraId="13F94FBD" w14:textId="12C6B2C6" w:rsidR="00F40C1D" w:rsidRPr="0074375C" w:rsidRDefault="004C23D8" w:rsidP="000C0385">
            <w:pPr>
              <w:jc w:val="center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SCHEMAT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DAWKOWANIA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LEK</w:t>
            </w:r>
            <w:r w:rsidR="001F2BF2" w:rsidRPr="0074375C">
              <w:rPr>
                <w:b/>
                <w:sz w:val="20"/>
                <w:szCs w:val="20"/>
              </w:rPr>
              <w:t>ÓW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</w:p>
          <w:p w14:paraId="3C535A2F" w14:textId="02AA5993" w:rsidR="004C23D8" w:rsidRPr="0074375C" w:rsidRDefault="004C23D8" w:rsidP="000C0385">
            <w:pPr>
              <w:jc w:val="center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W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PROGRAMIE</w:t>
            </w:r>
          </w:p>
        </w:tc>
        <w:tc>
          <w:tcPr>
            <w:tcW w:w="4480" w:type="dxa"/>
            <w:vAlign w:val="center"/>
          </w:tcPr>
          <w:p w14:paraId="64B78A19" w14:textId="6718A609" w:rsidR="004C23D8" w:rsidRPr="0074375C" w:rsidRDefault="004C23D8" w:rsidP="000C0385">
            <w:pPr>
              <w:jc w:val="center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BADANIA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DIAGNOSTYCZNE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WYKONYWANE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W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RAMACH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PROGRAMU</w:t>
            </w:r>
          </w:p>
        </w:tc>
      </w:tr>
      <w:tr w:rsidR="00AC348A" w:rsidRPr="00AC348A" w14:paraId="0D8FC348" w14:textId="77777777" w:rsidTr="00A679D9">
        <w:trPr>
          <w:jc w:val="center"/>
        </w:trPr>
        <w:tc>
          <w:tcPr>
            <w:tcW w:w="6941" w:type="dxa"/>
          </w:tcPr>
          <w:p w14:paraId="7638CAE6" w14:textId="45B92D99" w:rsidR="00065256" w:rsidRPr="0074375C" w:rsidRDefault="00065256" w:rsidP="00065256">
            <w:p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W ramach programu lekowego finansowane są następujące terapie</w:t>
            </w:r>
            <w:r w:rsidR="006574F3" w:rsidRPr="0074375C">
              <w:rPr>
                <w:sz w:val="20"/>
                <w:szCs w:val="20"/>
              </w:rPr>
              <w:t xml:space="preserve"> choroby Leśniowskiego–Crohna (ChL-C)</w:t>
            </w:r>
            <w:r w:rsidRPr="0074375C">
              <w:rPr>
                <w:sz w:val="20"/>
                <w:szCs w:val="20"/>
              </w:rPr>
              <w:t>:</w:t>
            </w:r>
          </w:p>
          <w:p w14:paraId="0B20CC48" w14:textId="77777777" w:rsidR="00065256" w:rsidRPr="00A679D9" w:rsidRDefault="00065256" w:rsidP="00A679D9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A679D9">
              <w:rPr>
                <w:i/>
                <w:iCs/>
                <w:sz w:val="20"/>
                <w:szCs w:val="20"/>
              </w:rPr>
              <w:t>infliksymab;</w:t>
            </w:r>
          </w:p>
          <w:p w14:paraId="61A86A77" w14:textId="2D34D758" w:rsidR="00065256" w:rsidRPr="00A679D9" w:rsidRDefault="00065256" w:rsidP="00A679D9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A679D9">
              <w:rPr>
                <w:i/>
                <w:iCs/>
                <w:sz w:val="20"/>
                <w:szCs w:val="20"/>
              </w:rPr>
              <w:t>adalimumab;</w:t>
            </w:r>
          </w:p>
          <w:p w14:paraId="0449AC25" w14:textId="77777777" w:rsidR="00065256" w:rsidRPr="00A679D9" w:rsidRDefault="00065256" w:rsidP="00A679D9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A679D9">
              <w:rPr>
                <w:i/>
                <w:iCs/>
                <w:sz w:val="20"/>
                <w:szCs w:val="20"/>
              </w:rPr>
              <w:t>wedolizumab;</w:t>
            </w:r>
          </w:p>
          <w:p w14:paraId="39D8F210" w14:textId="24A89E97" w:rsidR="00065256" w:rsidRPr="00A679D9" w:rsidRDefault="00065256" w:rsidP="00A679D9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A679D9">
              <w:rPr>
                <w:i/>
                <w:iCs/>
                <w:sz w:val="20"/>
                <w:szCs w:val="20"/>
              </w:rPr>
              <w:t>ustekinumab</w:t>
            </w:r>
            <w:r w:rsidR="00A969F7" w:rsidRPr="00A679D9">
              <w:rPr>
                <w:i/>
                <w:iCs/>
                <w:sz w:val="20"/>
                <w:szCs w:val="20"/>
              </w:rPr>
              <w:t>;</w:t>
            </w:r>
          </w:p>
          <w:p w14:paraId="36BA0895" w14:textId="47230042" w:rsidR="00A969F7" w:rsidRPr="00A679D9" w:rsidRDefault="00A969F7" w:rsidP="00A679D9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A679D9">
              <w:rPr>
                <w:i/>
                <w:iCs/>
                <w:sz w:val="20"/>
                <w:szCs w:val="20"/>
              </w:rPr>
              <w:t>upadacytynib.</w:t>
            </w:r>
          </w:p>
          <w:p w14:paraId="23314624" w14:textId="77777777" w:rsidR="003C1865" w:rsidRPr="0074375C" w:rsidRDefault="003C1865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1CAF7E8" w14:textId="322CC216" w:rsidR="003C1865" w:rsidRPr="0074375C" w:rsidRDefault="003C1865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Dopuszcza się zamianę infliksymab</w:t>
            </w:r>
            <w:r w:rsidR="00B95A7D" w:rsidRPr="0074375C">
              <w:rPr>
                <w:sz w:val="20"/>
                <w:szCs w:val="20"/>
              </w:rPr>
              <w:t>u</w:t>
            </w:r>
            <w:r w:rsidRPr="0074375C">
              <w:rPr>
                <w:sz w:val="20"/>
                <w:szCs w:val="20"/>
              </w:rPr>
              <w:t xml:space="preserve"> albo adalimumab</w:t>
            </w:r>
            <w:r w:rsidR="00B95A7D" w:rsidRPr="0074375C">
              <w:rPr>
                <w:sz w:val="20"/>
                <w:szCs w:val="20"/>
              </w:rPr>
              <w:t>u</w:t>
            </w:r>
            <w:r w:rsidRPr="0074375C">
              <w:rPr>
                <w:sz w:val="20"/>
                <w:szCs w:val="20"/>
              </w:rPr>
              <w:t xml:space="preserve"> albo wedolizumab</w:t>
            </w:r>
            <w:r w:rsidR="00B95A7D" w:rsidRPr="0074375C">
              <w:rPr>
                <w:sz w:val="20"/>
                <w:szCs w:val="20"/>
              </w:rPr>
              <w:t>u</w:t>
            </w:r>
            <w:r w:rsidRPr="0074375C">
              <w:rPr>
                <w:sz w:val="20"/>
                <w:szCs w:val="20"/>
              </w:rPr>
              <w:t xml:space="preserve"> albo ustekinumab</w:t>
            </w:r>
            <w:r w:rsidR="00B95A7D" w:rsidRPr="0074375C">
              <w:rPr>
                <w:sz w:val="20"/>
                <w:szCs w:val="20"/>
              </w:rPr>
              <w:t>u</w:t>
            </w:r>
            <w:r w:rsidRPr="0074375C">
              <w:rPr>
                <w:sz w:val="20"/>
                <w:szCs w:val="20"/>
              </w:rPr>
              <w:t xml:space="preserve"> </w:t>
            </w:r>
            <w:r w:rsidR="00A969F7" w:rsidRPr="0074375C">
              <w:rPr>
                <w:sz w:val="20"/>
                <w:szCs w:val="20"/>
              </w:rPr>
              <w:t xml:space="preserve">albo upadacytynibu </w:t>
            </w:r>
            <w:r w:rsidRPr="0074375C">
              <w:rPr>
                <w:sz w:val="20"/>
                <w:szCs w:val="20"/>
              </w:rPr>
              <w:t>w przypadku wystąpienia nieakceptowalnych objawów niepożądanych lub nietolerancji leczenia lub braku odpowiedzi na leczenie zdefiniowanej w punkcie 3. poniżej. W momencie zmiany leczenia w ramach programu lekowego nie ma konieczności powtarzania wszystkich badań kwalifikacyjnych, o zakresie tych badań decyduje sytuacja kliniczna.</w:t>
            </w:r>
          </w:p>
          <w:p w14:paraId="22954F4F" w14:textId="754A0E12" w:rsidR="003C1865" w:rsidRPr="0074375C" w:rsidRDefault="003C1865" w:rsidP="00A679D9">
            <w:p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t xml:space="preserve">W ramach programu </w:t>
            </w:r>
            <w:r w:rsidR="00043623" w:rsidRPr="0074375C">
              <w:rPr>
                <w:sz w:val="20"/>
                <w:szCs w:val="20"/>
                <w:lang w:eastAsia="pl-PL"/>
              </w:rPr>
              <w:t xml:space="preserve">lekowego </w:t>
            </w:r>
            <w:r w:rsidRPr="0074375C">
              <w:rPr>
                <w:sz w:val="20"/>
                <w:szCs w:val="20"/>
                <w:lang w:eastAsia="pl-PL"/>
              </w:rPr>
              <w:t>nie dopuszcza się możliwości ponownej kwalifikacji do terapii substancją czynną, którą pacjent był leczony w przeszłości nieskutecznie.</w:t>
            </w:r>
          </w:p>
          <w:p w14:paraId="06F2E865" w14:textId="77777777" w:rsidR="004638A6" w:rsidRPr="0074375C" w:rsidRDefault="004638A6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5F2114B" w14:textId="39D502D7" w:rsidR="00EE42F2" w:rsidRPr="0074375C" w:rsidRDefault="00615028" w:rsidP="00A679D9">
            <w:pPr>
              <w:numPr>
                <w:ilvl w:val="0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b/>
                <w:bCs/>
                <w:iCs/>
                <w:sz w:val="20"/>
                <w:szCs w:val="20"/>
              </w:rPr>
              <w:t>Kr</w:t>
            </w:r>
            <w:r w:rsidR="00912B4F" w:rsidRPr="0074375C">
              <w:rPr>
                <w:b/>
                <w:bCs/>
                <w:iCs/>
                <w:sz w:val="20"/>
                <w:szCs w:val="20"/>
              </w:rPr>
              <w:t>yteria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/>
                <w:bCs/>
                <w:iCs/>
                <w:sz w:val="20"/>
                <w:szCs w:val="20"/>
              </w:rPr>
              <w:t>kwalifikacji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/>
                <w:bCs/>
                <w:iCs/>
                <w:sz w:val="20"/>
                <w:szCs w:val="20"/>
              </w:rPr>
              <w:t>do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leczenia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EE42F2" w:rsidRPr="0074375C">
              <w:rPr>
                <w:b/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EE42F2" w:rsidRPr="0074375C">
              <w:rPr>
                <w:b/>
                <w:bCs/>
                <w:iCs/>
                <w:sz w:val="20"/>
                <w:szCs w:val="20"/>
              </w:rPr>
              <w:t>programie</w:t>
            </w:r>
          </w:p>
          <w:p w14:paraId="49F394FB" w14:textId="0BFC0473" w:rsidR="00912B4F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w</w:t>
            </w:r>
            <w:r w:rsidR="00040781" w:rsidRPr="0074375C">
              <w:rPr>
                <w:bCs/>
                <w:iCs/>
                <w:sz w:val="20"/>
                <w:szCs w:val="20"/>
              </w:rPr>
              <w:t>iek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od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6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przy</w:t>
            </w:r>
            <w:r w:rsidR="0012187D" w:rsidRPr="0074375C">
              <w:rPr>
                <w:bCs/>
                <w:iCs/>
                <w:sz w:val="20"/>
                <w:szCs w:val="20"/>
              </w:rPr>
              <w:t>padku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2187D" w:rsidRPr="0074375C">
              <w:rPr>
                <w:bCs/>
                <w:iCs/>
                <w:sz w:val="20"/>
                <w:szCs w:val="20"/>
              </w:rPr>
              <w:t>terapii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2187D" w:rsidRPr="0074375C">
              <w:rPr>
                <w:bCs/>
                <w:iCs/>
                <w:sz w:val="20"/>
                <w:szCs w:val="20"/>
              </w:rPr>
              <w:t>infliksymabem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73E20" w:rsidRPr="0074375C">
              <w:rPr>
                <w:bCs/>
                <w:iCs/>
                <w:sz w:val="20"/>
                <w:szCs w:val="20"/>
              </w:rPr>
              <w:t xml:space="preserve">w postaci dożylnej </w:t>
            </w:r>
            <w:r w:rsidR="0012187D" w:rsidRPr="0074375C">
              <w:rPr>
                <w:bCs/>
                <w:iCs/>
                <w:sz w:val="20"/>
                <w:szCs w:val="20"/>
              </w:rPr>
              <w:t>lub</w:t>
            </w:r>
            <w:r w:rsidR="00173E20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adalimumabem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albo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wiek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od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18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przypadku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terapii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73E20" w:rsidRPr="0074375C">
              <w:rPr>
                <w:bCs/>
                <w:iCs/>
                <w:sz w:val="20"/>
                <w:szCs w:val="20"/>
              </w:rPr>
              <w:t xml:space="preserve">infliksymabem w </w:t>
            </w:r>
            <w:r w:rsidR="00173E20" w:rsidRPr="0074375C">
              <w:rPr>
                <w:bCs/>
                <w:iCs/>
                <w:sz w:val="20"/>
                <w:szCs w:val="20"/>
              </w:rPr>
              <w:lastRenderedPageBreak/>
              <w:t>postaci podskórnej</w:t>
            </w:r>
            <w:r w:rsidR="000D78B2" w:rsidRPr="0074375C">
              <w:rPr>
                <w:bCs/>
                <w:iCs/>
                <w:sz w:val="20"/>
                <w:szCs w:val="20"/>
              </w:rPr>
              <w:t xml:space="preserve"> lub </w:t>
            </w:r>
            <w:r w:rsidR="00B63311" w:rsidRPr="0074375C">
              <w:rPr>
                <w:bCs/>
                <w:iCs/>
                <w:sz w:val="20"/>
                <w:szCs w:val="20"/>
              </w:rPr>
              <w:t>ustekinumabem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B63311" w:rsidRPr="0074375C">
              <w:rPr>
                <w:bCs/>
                <w:iCs/>
                <w:sz w:val="20"/>
                <w:szCs w:val="20"/>
              </w:rPr>
              <w:t>lub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B63311" w:rsidRPr="0074375C">
              <w:rPr>
                <w:bCs/>
                <w:iCs/>
                <w:sz w:val="20"/>
                <w:szCs w:val="20"/>
              </w:rPr>
              <w:t>wedolizumabem</w:t>
            </w:r>
            <w:r w:rsidR="00A969F7" w:rsidRPr="0074375C">
              <w:rPr>
                <w:bCs/>
                <w:iCs/>
                <w:sz w:val="20"/>
                <w:szCs w:val="20"/>
              </w:rPr>
              <w:t xml:space="preserve"> lub upadacytynibem</w:t>
            </w:r>
            <w:r w:rsidR="00B63311" w:rsidRPr="0074375C">
              <w:rPr>
                <w:bCs/>
                <w:iCs/>
                <w:sz w:val="20"/>
                <w:szCs w:val="20"/>
              </w:rPr>
              <w:t>;</w:t>
            </w:r>
          </w:p>
          <w:p w14:paraId="491A3300" w14:textId="5CED2CC2" w:rsidR="002C2EC6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c</w:t>
            </w:r>
            <w:r w:rsidR="00EF495A" w:rsidRPr="0074375C">
              <w:rPr>
                <w:bCs/>
                <w:iCs/>
                <w:sz w:val="20"/>
                <w:szCs w:val="20"/>
              </w:rPr>
              <w:t>iężka</w:t>
            </w:r>
            <w:r w:rsidRPr="0074375C">
              <w:rPr>
                <w:bCs/>
                <w:iCs/>
                <w:sz w:val="20"/>
                <w:szCs w:val="20"/>
              </w:rPr>
              <w:t xml:space="preserve"> lub umiarkowana</w:t>
            </w:r>
            <w:r w:rsidR="00EF495A" w:rsidRPr="0074375C">
              <w:rPr>
                <w:bCs/>
                <w:iCs/>
                <w:sz w:val="20"/>
                <w:szCs w:val="20"/>
              </w:rPr>
              <w:t>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czyn</w:t>
            </w:r>
            <w:r w:rsidR="00912B4F" w:rsidRPr="0074375C">
              <w:rPr>
                <w:bCs/>
                <w:iCs/>
                <w:sz w:val="20"/>
                <w:szCs w:val="20"/>
              </w:rPr>
              <w:t>na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postać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6574F3" w:rsidRPr="0074375C">
              <w:rPr>
                <w:bCs/>
                <w:iCs/>
                <w:sz w:val="20"/>
                <w:szCs w:val="20"/>
              </w:rPr>
              <w:t>ChL-C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94DC3" w:rsidRPr="0074375C">
              <w:rPr>
                <w:bCs/>
                <w:iCs/>
                <w:sz w:val="20"/>
                <w:szCs w:val="20"/>
              </w:rPr>
              <w:t>(</w:t>
            </w:r>
            <w:r w:rsidR="00EF495A" w:rsidRPr="0074375C">
              <w:rPr>
                <w:bCs/>
                <w:iCs/>
                <w:sz w:val="20"/>
                <w:szCs w:val="20"/>
              </w:rPr>
              <w:t>wynik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skali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PCDA</w:t>
            </w:r>
            <w:r w:rsidR="00912B4F" w:rsidRPr="0074375C">
              <w:rPr>
                <w:bCs/>
                <w:iCs/>
                <w:sz w:val="20"/>
                <w:szCs w:val="20"/>
              </w:rPr>
              <w:t>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≥30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punktów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przypadku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pacjentów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od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6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do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momentu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ukończenia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18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albo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sz w:val="20"/>
                <w:szCs w:val="20"/>
                <w:lang w:eastAsia="pl-PL"/>
              </w:rPr>
              <w:t>wynik</w:t>
            </w:r>
            <w:r w:rsidR="00DC4413" w:rsidRPr="0074375C">
              <w:rPr>
                <w:sz w:val="20"/>
                <w:szCs w:val="20"/>
                <w:lang w:eastAsia="pl-PL"/>
              </w:rPr>
              <w:t xml:space="preserve"> </w:t>
            </w:r>
            <w:r w:rsidR="00912B4F" w:rsidRPr="0074375C">
              <w:rPr>
                <w:sz w:val="20"/>
                <w:szCs w:val="20"/>
                <w:lang w:eastAsia="pl-PL"/>
              </w:rPr>
              <w:t>w</w:t>
            </w:r>
            <w:r w:rsidR="00DC4413" w:rsidRPr="0074375C">
              <w:rPr>
                <w:sz w:val="20"/>
                <w:szCs w:val="20"/>
                <w:lang w:eastAsia="pl-PL"/>
              </w:rPr>
              <w:t xml:space="preserve"> </w:t>
            </w:r>
            <w:r w:rsidR="00912B4F" w:rsidRPr="0074375C">
              <w:rPr>
                <w:sz w:val="20"/>
                <w:szCs w:val="20"/>
                <w:lang w:eastAsia="pl-PL"/>
              </w:rPr>
              <w:t>skali</w:t>
            </w:r>
            <w:r w:rsidR="00DC4413" w:rsidRPr="0074375C">
              <w:rPr>
                <w:sz w:val="20"/>
                <w:szCs w:val="20"/>
                <w:lang w:eastAsia="pl-PL"/>
              </w:rPr>
              <w:t xml:space="preserve"> </w:t>
            </w:r>
            <w:r w:rsidR="00912B4F" w:rsidRPr="0074375C">
              <w:rPr>
                <w:sz w:val="20"/>
                <w:szCs w:val="20"/>
                <w:lang w:eastAsia="pl-PL"/>
              </w:rPr>
              <w:t>CDAI</w:t>
            </w:r>
            <w:r w:rsidR="00DC4413" w:rsidRPr="0074375C">
              <w:rPr>
                <w:sz w:val="20"/>
                <w:szCs w:val="20"/>
                <w:lang w:eastAsia="pl-PL"/>
              </w:rPr>
              <w:t xml:space="preserve"> </w:t>
            </w:r>
            <w:r w:rsidRPr="0074375C">
              <w:rPr>
                <w:sz w:val="20"/>
                <w:szCs w:val="20"/>
                <w:lang w:eastAsia="pl-PL"/>
              </w:rPr>
              <w:t>&gt;</w:t>
            </w:r>
            <w:r w:rsidR="00065256" w:rsidRPr="0074375C">
              <w:rPr>
                <w:sz w:val="20"/>
                <w:szCs w:val="20"/>
                <w:lang w:eastAsia="pl-PL"/>
              </w:rPr>
              <w:t xml:space="preserve">220 </w:t>
            </w:r>
            <w:r w:rsidR="00912B4F" w:rsidRPr="0074375C">
              <w:rPr>
                <w:sz w:val="20"/>
                <w:szCs w:val="20"/>
                <w:lang w:eastAsia="pl-PL"/>
              </w:rPr>
              <w:t>punktów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dorosłych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pacjentów</w:t>
            </w:r>
            <w:r w:rsidR="00194DC3" w:rsidRPr="0074375C">
              <w:rPr>
                <w:bCs/>
                <w:iCs/>
                <w:sz w:val="20"/>
                <w:szCs w:val="20"/>
              </w:rPr>
              <w:t>)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</w:t>
            </w:r>
            <w:r w:rsidR="00EF495A" w:rsidRPr="0074375C">
              <w:rPr>
                <w:bCs/>
                <w:iCs/>
                <w:sz w:val="20"/>
                <w:szCs w:val="20"/>
              </w:rPr>
              <w:t>rzy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braku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odpowiedzi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na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leczenie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glikokortykosteroidami,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lekami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immunosupresyjnymi,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innymi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inhibitorami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TNF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alfa,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</w:t>
            </w:r>
            <w:r w:rsidR="001F48A9" w:rsidRPr="0074375C">
              <w:rPr>
                <w:bCs/>
                <w:iCs/>
                <w:sz w:val="20"/>
                <w:szCs w:val="20"/>
              </w:rPr>
              <w:t>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784445" w:rsidRPr="0074375C">
              <w:rPr>
                <w:bCs/>
                <w:iCs/>
                <w:sz w:val="20"/>
                <w:szCs w:val="20"/>
              </w:rPr>
              <w:t>przy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F48A9" w:rsidRPr="0074375C">
              <w:rPr>
                <w:bCs/>
                <w:iCs/>
                <w:sz w:val="20"/>
                <w:szCs w:val="20"/>
              </w:rPr>
              <w:t>występowaniu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F48A9" w:rsidRPr="0074375C">
              <w:rPr>
                <w:bCs/>
                <w:iCs/>
                <w:sz w:val="20"/>
                <w:szCs w:val="20"/>
              </w:rPr>
              <w:t>przeciwwskazań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objawów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E42F2" w:rsidRPr="0074375C">
              <w:rPr>
                <w:bCs/>
                <w:iCs/>
                <w:sz w:val="20"/>
                <w:szCs w:val="20"/>
              </w:rPr>
              <w:t>nietolerancji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E42F2" w:rsidRPr="0074375C">
              <w:rPr>
                <w:bCs/>
                <w:iCs/>
                <w:sz w:val="20"/>
                <w:szCs w:val="20"/>
              </w:rPr>
              <w:t>takiego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E42F2" w:rsidRPr="0074375C">
              <w:rPr>
                <w:bCs/>
                <w:iCs/>
                <w:sz w:val="20"/>
                <w:szCs w:val="20"/>
              </w:rPr>
              <w:t>leczenia</w:t>
            </w:r>
          </w:p>
          <w:p w14:paraId="20A741C5" w14:textId="11DAF6DB" w:rsidR="00EF495A" w:rsidRPr="0074375C" w:rsidRDefault="002C2EC6" w:rsidP="00A679D9">
            <w:pPr>
              <w:spacing w:after="60" w:line="276" w:lineRule="auto"/>
              <w:ind w:left="454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lub</w:t>
            </w:r>
          </w:p>
          <w:p w14:paraId="4B92DB36" w14:textId="3CE58DDC" w:rsidR="00EF495A" w:rsidRPr="0074375C" w:rsidRDefault="002C2EC6" w:rsidP="00A679D9">
            <w:pPr>
              <w:spacing w:after="60" w:line="276" w:lineRule="auto"/>
              <w:ind w:left="454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p</w:t>
            </w:r>
            <w:r w:rsidR="001F48A9" w:rsidRPr="0074375C">
              <w:rPr>
                <w:bCs/>
                <w:iCs/>
                <w:sz w:val="20"/>
                <w:szCs w:val="20"/>
              </w:rPr>
              <w:t>acjenci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F48A9" w:rsidRPr="0074375C">
              <w:rPr>
                <w:bCs/>
                <w:iCs/>
                <w:sz w:val="20"/>
                <w:szCs w:val="20"/>
              </w:rPr>
              <w:t>z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6574F3" w:rsidRPr="0074375C">
              <w:rPr>
                <w:bCs/>
                <w:iCs/>
                <w:sz w:val="20"/>
                <w:szCs w:val="20"/>
              </w:rPr>
              <w:t xml:space="preserve">ChL-C </w:t>
            </w:r>
            <w:r w:rsidR="00EF495A" w:rsidRPr="0074375C">
              <w:rPr>
                <w:bCs/>
                <w:iCs/>
                <w:sz w:val="20"/>
                <w:szCs w:val="20"/>
              </w:rPr>
              <w:t>cechującą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się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wytworzeniem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przetok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okołoodbytowych,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którzy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odpowiedzieli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na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leczenie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podstawowe: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antybiotyki,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leki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immunosupresyjne,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leczenie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chirurgiczne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-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niezależnie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EF495A" w:rsidRPr="0074375C">
              <w:rPr>
                <w:bCs/>
                <w:iCs/>
                <w:sz w:val="20"/>
                <w:szCs w:val="20"/>
              </w:rPr>
              <w:t>od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12086" w:rsidRPr="0074375C">
              <w:rPr>
                <w:bCs/>
                <w:iCs/>
                <w:sz w:val="20"/>
                <w:szCs w:val="20"/>
              </w:rPr>
              <w:t>nasilenia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12086" w:rsidRPr="0074375C">
              <w:rPr>
                <w:bCs/>
                <w:iCs/>
                <w:sz w:val="20"/>
                <w:szCs w:val="20"/>
              </w:rPr>
              <w:t>choroby</w:t>
            </w:r>
            <w:r w:rsidR="00AC348A" w:rsidRPr="0074375C">
              <w:rPr>
                <w:bCs/>
                <w:iCs/>
                <w:sz w:val="20"/>
                <w:szCs w:val="20"/>
              </w:rPr>
              <w:t xml:space="preserve"> (leczenie wedolizumabem lub ustekinumabem </w:t>
            </w:r>
            <w:r w:rsidR="00A969F7" w:rsidRPr="0074375C">
              <w:rPr>
                <w:bCs/>
                <w:iCs/>
                <w:sz w:val="20"/>
                <w:szCs w:val="20"/>
              </w:rPr>
              <w:t xml:space="preserve">lub upadacytynibem </w:t>
            </w:r>
            <w:r w:rsidR="00AC348A" w:rsidRPr="0074375C">
              <w:rPr>
                <w:bCs/>
                <w:iCs/>
                <w:sz w:val="20"/>
                <w:szCs w:val="20"/>
              </w:rPr>
              <w:t>wyłącznie po wcześniejszym niepowodzeniu anty-TNF w tej grupie pacjentów)</w:t>
            </w:r>
          </w:p>
          <w:p w14:paraId="20751AE5" w14:textId="5215F8AF" w:rsidR="00B47601" w:rsidRPr="0074375C" w:rsidRDefault="00B47601" w:rsidP="00A679D9">
            <w:pPr>
              <w:spacing w:after="60" w:line="276" w:lineRule="auto"/>
              <w:ind w:left="454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lub</w:t>
            </w:r>
          </w:p>
          <w:p w14:paraId="7C05848D" w14:textId="14E04F78" w:rsidR="00B47601" w:rsidRPr="0074375C" w:rsidRDefault="00B47601" w:rsidP="00A679D9">
            <w:pPr>
              <w:spacing w:after="60" w:line="276" w:lineRule="auto"/>
              <w:ind w:left="454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 xml:space="preserve">pacjenci po odcinkowej resekcji jelita z powodu </w:t>
            </w:r>
            <w:r w:rsidR="006574F3" w:rsidRPr="0074375C">
              <w:rPr>
                <w:bCs/>
                <w:iCs/>
                <w:sz w:val="20"/>
                <w:szCs w:val="20"/>
              </w:rPr>
              <w:t>ChL-C</w:t>
            </w:r>
            <w:r w:rsidRPr="0074375C">
              <w:rPr>
                <w:bCs/>
                <w:iCs/>
                <w:sz w:val="20"/>
                <w:szCs w:val="20"/>
              </w:rPr>
              <w:t>, u których badanie endoskopowe wykonane w ramach nadzoru wykazało zmiany zapalne w okolicy zespolenia (≥ 2 punktów w skali Rutgeertsa) lub w innych odcinkach jelita, pomimo stosowanego leczenia immunosupresyjnego lub po przerwaniu leczenia immunosupresyjnego z powodu powikłań lub nietolerancji – wyłącznie w przypadku leczenia infliksymabem lub adalimumabem;</w:t>
            </w:r>
          </w:p>
          <w:p w14:paraId="1A994A2C" w14:textId="77777777" w:rsidR="002C2EC6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05BF3A34" w14:textId="77777777" w:rsidR="002C2EC6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brak przeciwskazań do stosowania zgodnie z aktualną Charakterystyką Produktu Leczniczego (ChPL);</w:t>
            </w:r>
          </w:p>
          <w:p w14:paraId="1428838E" w14:textId="77777777" w:rsidR="002C2EC6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nieobecność istotnych schorzeń współistniejących lub stanów klinicznych stanowiących przeciwskazanie do terapii stwierdzonych przez lekarza prowadzącego w oparciu o aktualną ChPL;</w:t>
            </w:r>
          </w:p>
          <w:p w14:paraId="714BADEF" w14:textId="5207CF73" w:rsidR="002C2EC6" w:rsidRPr="0074375C" w:rsidRDefault="002C2EC6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lastRenderedPageBreak/>
              <w:t>zgoda pacjenta na prowadzenie antykoncepcji zgodnie z aktualną</w:t>
            </w:r>
            <w:r w:rsidR="00CF5D2A">
              <w:rPr>
                <w:bCs/>
                <w:iCs/>
                <w:sz w:val="20"/>
                <w:szCs w:val="20"/>
              </w:rPr>
              <w:t xml:space="preserve"> </w:t>
            </w:r>
            <w:r w:rsidR="00CF5D2A" w:rsidRPr="00CB14B4">
              <w:rPr>
                <w:bCs/>
                <w:iCs/>
                <w:sz w:val="20"/>
                <w:szCs w:val="20"/>
              </w:rPr>
              <w:t>ChPL</w:t>
            </w:r>
            <w:r w:rsidR="00CF5D2A" w:rsidRPr="00CB14B4">
              <w:rPr>
                <w:sz w:val="20"/>
                <w:szCs w:val="20"/>
              </w:rPr>
              <w:t xml:space="preserve"> lub z aktualnymi </w:t>
            </w:r>
            <w:r w:rsidR="00B417B7" w:rsidRPr="00CB14B4">
              <w:rPr>
                <w:bCs/>
                <w:color w:val="000000"/>
                <w:sz w:val="20"/>
                <w:szCs w:val="20"/>
              </w:rPr>
              <w:t>wytycznymi</w:t>
            </w:r>
            <w:r w:rsidR="00CF5D2A" w:rsidRPr="00CB14B4">
              <w:rPr>
                <w:bCs/>
                <w:color w:val="000000"/>
                <w:sz w:val="20"/>
                <w:szCs w:val="20"/>
              </w:rPr>
              <w:t xml:space="preserve"> European Crohn´s and Colitis Organisation (ECCO) lub Polskiego Towarzystwa Gastroenterologii (PTG-E)</w:t>
            </w:r>
            <w:r w:rsidRPr="00CB14B4">
              <w:rPr>
                <w:bCs/>
                <w:iCs/>
                <w:sz w:val="20"/>
                <w:szCs w:val="20"/>
              </w:rPr>
              <w:t xml:space="preserve"> (jeśli dotyczy).</w:t>
            </w:r>
          </w:p>
          <w:p w14:paraId="7F5C915F" w14:textId="77777777" w:rsidR="002C2EC6" w:rsidRPr="0074375C" w:rsidRDefault="002C2EC6" w:rsidP="00A679D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74375C">
              <w:rPr>
                <w:sz w:val="20"/>
                <w:szCs w:val="20"/>
                <w:u w:val="single"/>
              </w:rPr>
              <w:t>Powyższe kryteria kwalifikacji muszą być spełnione łącznie.</w:t>
            </w:r>
          </w:p>
          <w:p w14:paraId="37C02462" w14:textId="77777777" w:rsidR="002C2EC6" w:rsidRPr="0074375C" w:rsidRDefault="002C2EC6" w:rsidP="00A679D9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</w:p>
          <w:p w14:paraId="1DECD11E" w14:textId="3EAC2C74" w:rsidR="00D940B0" w:rsidRPr="0074375C" w:rsidRDefault="00D940B0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Ponadto do programu lekowego kwalifikowani są również pacjenci wymagający kontynuacji leczenia infliksymabem albo adalimumabem albo wedolizumabem albo ustekinumabem</w:t>
            </w:r>
            <w:r w:rsidR="00A969F7" w:rsidRPr="0074375C">
              <w:rPr>
                <w:sz w:val="20"/>
                <w:szCs w:val="20"/>
              </w:rPr>
              <w:t xml:space="preserve"> albo upadacytynibem</w:t>
            </w:r>
            <w:r w:rsidRPr="0074375C">
              <w:rPr>
                <w:sz w:val="20"/>
                <w:szCs w:val="20"/>
              </w:rPr>
              <w:t>, którzy byli leczeni w ramach innego sposobu finansowania terapii, za wyjątkiem trwających badań klinicznych tych leków, pod warunkiem, że w chwili rozpoczęcia leczenia spełniali kryteria kwalifikacji do programu lekowego.</w:t>
            </w:r>
          </w:p>
          <w:p w14:paraId="2F87606F" w14:textId="77777777" w:rsidR="000C0385" w:rsidRPr="0074375C" w:rsidRDefault="000C0385" w:rsidP="00A679D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</w:p>
          <w:p w14:paraId="54A0B210" w14:textId="5606EB80" w:rsidR="00C83B0D" w:rsidRPr="0074375C" w:rsidRDefault="00C83B0D" w:rsidP="00A679D9">
            <w:pPr>
              <w:numPr>
                <w:ilvl w:val="0"/>
                <w:numId w:val="31"/>
              </w:numPr>
              <w:spacing w:after="60" w:line="276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74375C">
              <w:rPr>
                <w:b/>
                <w:bCs/>
                <w:iCs/>
                <w:sz w:val="20"/>
                <w:szCs w:val="20"/>
              </w:rPr>
              <w:t>Określenie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czasu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leczenia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programie</w:t>
            </w:r>
          </w:p>
          <w:p w14:paraId="4CD0DC39" w14:textId="77777777" w:rsidR="003C1865" w:rsidRPr="0074375C" w:rsidRDefault="003C1865" w:rsidP="00A679D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74375C"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  <w:t>Po podaniu ostatniej dawki w terapii indukcyjnej należy dokonać oceny odpowiedzi na leczenie przy użyciu skali PCDAI albo CDAI. Pacjenci z odpowiedzią kliniczną przechodzą do leczenia podtrzymującego.</w:t>
            </w:r>
          </w:p>
          <w:p w14:paraId="4B4C7845" w14:textId="7E93BCB5" w:rsidR="003C1865" w:rsidRPr="0074375C" w:rsidRDefault="003C1865" w:rsidP="00A679D9">
            <w:pPr>
              <w:pStyle w:val="Default"/>
              <w:spacing w:after="60" w:line="276" w:lineRule="auto"/>
              <w:jc w:val="both"/>
              <w:rPr>
                <w:sz w:val="20"/>
                <w:szCs w:val="20"/>
                <w:lang w:eastAsia="ar-SA"/>
              </w:rPr>
            </w:pPr>
            <w:r w:rsidRPr="0074375C"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  <w:t>Odpowiedź kliniczna definiowana jest jako zmniejszenie wskaźnika CDAI o co najmniej 70 punktów oraz o co najmniej 25% względem wartości początkowej albo zmniejszenie wskaźnika PCDAI o co najmniej 12,5 punktów względem wartości początkowej oraz PCDAI</w:t>
            </w:r>
            <w:r w:rsidR="00B319A8" w:rsidRPr="0074375C"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  <w:t>&lt;</w:t>
            </w:r>
            <w:r w:rsidRPr="0074375C">
              <w:rPr>
                <w:rFonts w:ascii="Times New Roman" w:hAnsi="Times New Roman" w:cs="Times New Roman"/>
                <w:color w:val="auto"/>
                <w:sz w:val="20"/>
                <w:szCs w:val="20"/>
                <w:lang w:eastAsia="ar-SA"/>
              </w:rPr>
              <w:t xml:space="preserve"> 30 punktów.</w:t>
            </w:r>
          </w:p>
          <w:p w14:paraId="1A347416" w14:textId="024B9BA1" w:rsidR="00912B4F" w:rsidRPr="0074375C" w:rsidRDefault="00D940B0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i</w:t>
            </w:r>
            <w:r w:rsidR="00912B4F" w:rsidRPr="0074375C">
              <w:rPr>
                <w:bCs/>
                <w:iCs/>
                <w:sz w:val="20"/>
                <w:szCs w:val="20"/>
              </w:rPr>
              <w:t>nfliksymab</w:t>
            </w:r>
          </w:p>
          <w:p w14:paraId="69563F1D" w14:textId="4BDA0EEA" w:rsidR="00912B4F" w:rsidRPr="0074375C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t</w:t>
            </w:r>
            <w:r w:rsidR="00912B4F" w:rsidRPr="0074375C">
              <w:rPr>
                <w:bCs/>
                <w:iCs/>
                <w:sz w:val="20"/>
                <w:szCs w:val="20"/>
              </w:rPr>
              <w:t>erapia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indukcyjna: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6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tygodni</w:t>
            </w:r>
            <w:r w:rsidR="00173E20" w:rsidRPr="0074375C">
              <w:rPr>
                <w:bCs/>
                <w:iCs/>
                <w:sz w:val="20"/>
                <w:szCs w:val="20"/>
              </w:rPr>
              <w:t xml:space="preserve"> (terapia indukcyjna w formie infuzji dożylnej),</w:t>
            </w:r>
          </w:p>
          <w:p w14:paraId="2CC0348C" w14:textId="0FF933C3" w:rsidR="00912B4F" w:rsidRPr="00CB14B4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l</w:t>
            </w:r>
            <w:r w:rsidR="00912B4F" w:rsidRPr="0074375C">
              <w:rPr>
                <w:bCs/>
                <w:iCs/>
                <w:sz w:val="20"/>
                <w:szCs w:val="20"/>
              </w:rPr>
              <w:t>eczenie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74375C">
              <w:rPr>
                <w:bCs/>
                <w:iCs/>
                <w:sz w:val="20"/>
                <w:szCs w:val="20"/>
              </w:rPr>
              <w:t>podtrzymujące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infliksymabem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3C2FBE" w:rsidRPr="00CB14B4">
              <w:rPr>
                <w:bCs/>
                <w:iCs/>
                <w:sz w:val="20"/>
                <w:szCs w:val="20"/>
              </w:rPr>
              <w:t>może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trwać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aż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do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momentu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stwierdzenia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braku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odpowiedzi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na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12B4F" w:rsidRPr="00CB14B4">
              <w:rPr>
                <w:bCs/>
                <w:iCs/>
                <w:sz w:val="20"/>
                <w:szCs w:val="20"/>
              </w:rPr>
              <w:t>leczenie</w:t>
            </w:r>
            <w:r w:rsidR="005A7107" w:rsidRPr="00CB14B4">
              <w:rPr>
                <w:bCs/>
                <w:iCs/>
                <w:sz w:val="20"/>
                <w:szCs w:val="20"/>
              </w:rPr>
              <w:t>.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Ocena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zasadności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kontynuacji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leczenia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powinna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być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przeprowadzona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co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najmniej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raz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12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miesięcy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w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oparciu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wskaźnik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5A7107" w:rsidRPr="00CB14B4">
              <w:rPr>
                <w:bCs/>
                <w:sz w:val="20"/>
                <w:szCs w:val="20"/>
              </w:rPr>
              <w:t>CDAI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173851" w:rsidRPr="00CB14B4">
              <w:rPr>
                <w:bCs/>
                <w:sz w:val="20"/>
                <w:szCs w:val="20"/>
              </w:rPr>
              <w:t>lub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173851" w:rsidRPr="00CB14B4">
              <w:rPr>
                <w:bCs/>
                <w:sz w:val="20"/>
                <w:szCs w:val="20"/>
              </w:rPr>
              <w:t>PCDAI</w:t>
            </w:r>
            <w:r w:rsidR="00040781" w:rsidRPr="00CB14B4">
              <w:rPr>
                <w:bCs/>
                <w:iCs/>
                <w:sz w:val="20"/>
                <w:szCs w:val="20"/>
              </w:rPr>
              <w:t>;</w:t>
            </w:r>
          </w:p>
          <w:p w14:paraId="64AC9FBF" w14:textId="3348888D" w:rsidR="00912B4F" w:rsidRPr="00CB14B4" w:rsidRDefault="00D940B0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bCs/>
                <w:iCs/>
                <w:sz w:val="20"/>
                <w:szCs w:val="20"/>
              </w:rPr>
              <w:t>a</w:t>
            </w:r>
            <w:r w:rsidR="00912B4F" w:rsidRPr="00CB14B4">
              <w:rPr>
                <w:bCs/>
                <w:iCs/>
                <w:sz w:val="20"/>
                <w:szCs w:val="20"/>
              </w:rPr>
              <w:t>dalimumab</w:t>
            </w:r>
          </w:p>
          <w:p w14:paraId="4D7947C4" w14:textId="4968F578" w:rsidR="00912B4F" w:rsidRPr="00CB14B4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sz w:val="20"/>
                <w:szCs w:val="20"/>
              </w:rPr>
              <w:t>t</w:t>
            </w:r>
            <w:r w:rsidR="00912B4F" w:rsidRPr="00CB14B4">
              <w:rPr>
                <w:sz w:val="20"/>
                <w:szCs w:val="20"/>
              </w:rPr>
              <w:t>erapia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912B4F" w:rsidRPr="00CB14B4">
              <w:rPr>
                <w:sz w:val="20"/>
                <w:szCs w:val="20"/>
              </w:rPr>
              <w:t>indukcyjna: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12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tygodni</w:t>
            </w:r>
            <w:r w:rsidR="00D940B0" w:rsidRPr="00CB14B4">
              <w:rPr>
                <w:sz w:val="20"/>
                <w:szCs w:val="20"/>
              </w:rPr>
              <w:t>,</w:t>
            </w:r>
          </w:p>
          <w:p w14:paraId="40C2FAD4" w14:textId="66438512" w:rsidR="00C83B0D" w:rsidRPr="0074375C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sz w:val="20"/>
                <w:szCs w:val="20"/>
              </w:rPr>
              <w:t>l</w:t>
            </w:r>
            <w:r w:rsidR="00C83B0D" w:rsidRPr="00CB14B4">
              <w:rPr>
                <w:sz w:val="20"/>
                <w:szCs w:val="20"/>
              </w:rPr>
              <w:t>eczenie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podtrzymujące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912B4F" w:rsidRPr="00CB14B4">
              <w:rPr>
                <w:sz w:val="20"/>
                <w:szCs w:val="20"/>
              </w:rPr>
              <w:t>adalimumabem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3C2FBE" w:rsidRPr="00CB14B4">
              <w:rPr>
                <w:sz w:val="20"/>
                <w:szCs w:val="20"/>
              </w:rPr>
              <w:t>może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trwać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aż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do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momentu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stwierdzenia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braku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odpowiedzi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C83B0D" w:rsidRPr="00CB14B4">
              <w:rPr>
                <w:sz w:val="20"/>
                <w:szCs w:val="20"/>
              </w:rPr>
              <w:t>na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890880" w:rsidRPr="00CB14B4">
              <w:rPr>
                <w:sz w:val="20"/>
                <w:szCs w:val="20"/>
              </w:rPr>
              <w:t>leczenie.</w:t>
            </w:r>
            <w:r w:rsidR="00890880" w:rsidRPr="00CB14B4">
              <w:rPr>
                <w:bCs/>
                <w:sz w:val="20"/>
                <w:szCs w:val="20"/>
              </w:rPr>
              <w:t xml:space="preserve"> Ocena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zasadności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kontynuacji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lastRenderedPageBreak/>
              <w:t>leczenia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powinna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być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przeprowadzona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co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najmniej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raz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na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12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miesięcy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w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oparciu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o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wskaźnik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CDAI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lub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755A5" w:rsidRPr="0074375C">
              <w:rPr>
                <w:bCs/>
                <w:sz w:val="20"/>
                <w:szCs w:val="20"/>
              </w:rPr>
              <w:t>PCDAI</w:t>
            </w:r>
            <w:r w:rsidR="00040781" w:rsidRPr="0074375C">
              <w:rPr>
                <w:sz w:val="20"/>
                <w:szCs w:val="20"/>
              </w:rPr>
              <w:t>;</w:t>
            </w:r>
          </w:p>
          <w:p w14:paraId="131D5B94" w14:textId="5A9DCE57" w:rsidR="00040781" w:rsidRPr="0074375C" w:rsidRDefault="00D940B0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u</w:t>
            </w:r>
            <w:r w:rsidR="00040781" w:rsidRPr="0074375C">
              <w:rPr>
                <w:bCs/>
                <w:iCs/>
                <w:sz w:val="20"/>
                <w:szCs w:val="20"/>
              </w:rPr>
              <w:t>stekinumab</w:t>
            </w:r>
          </w:p>
          <w:p w14:paraId="684EF7F5" w14:textId="3F5FFE10" w:rsidR="00040781" w:rsidRPr="0074375C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t</w:t>
            </w:r>
            <w:r w:rsidR="00040781" w:rsidRPr="0074375C">
              <w:rPr>
                <w:sz w:val="20"/>
                <w:szCs w:val="20"/>
              </w:rPr>
              <w:t>erapia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040781" w:rsidRPr="0074375C">
              <w:rPr>
                <w:sz w:val="20"/>
                <w:szCs w:val="20"/>
              </w:rPr>
              <w:t>indukcyjna: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4A24EF" w:rsidRPr="0074375C">
              <w:rPr>
                <w:sz w:val="20"/>
                <w:szCs w:val="20"/>
              </w:rPr>
              <w:t>16-24 tygodni (dawka inicjująca w formie infuzji dożylnej, kolejne dawki w formie iniekcji podskórnej),</w:t>
            </w:r>
          </w:p>
          <w:p w14:paraId="388B5EE0" w14:textId="4754FD73" w:rsidR="00040781" w:rsidRPr="00CB14B4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l</w:t>
            </w:r>
            <w:r w:rsidR="00040781" w:rsidRPr="0074375C">
              <w:rPr>
                <w:bCs/>
                <w:iCs/>
                <w:sz w:val="20"/>
                <w:szCs w:val="20"/>
              </w:rPr>
              <w:t>eczenie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74375C">
              <w:rPr>
                <w:bCs/>
                <w:iCs/>
                <w:sz w:val="20"/>
                <w:szCs w:val="20"/>
              </w:rPr>
              <w:t>podtrzymujące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ustekinumabem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3C2FBE" w:rsidRPr="00CB14B4">
              <w:rPr>
                <w:bCs/>
                <w:iCs/>
                <w:sz w:val="20"/>
                <w:szCs w:val="20"/>
              </w:rPr>
              <w:t>może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trwać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aż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do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momentu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stwierdzenia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braku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odpowiedzi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40781" w:rsidRPr="00CB14B4">
              <w:rPr>
                <w:bCs/>
                <w:iCs/>
                <w:sz w:val="20"/>
                <w:szCs w:val="20"/>
              </w:rPr>
              <w:t>na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AB1BE8" w:rsidRPr="00CB14B4">
              <w:rPr>
                <w:bCs/>
                <w:iCs/>
                <w:sz w:val="20"/>
                <w:szCs w:val="20"/>
              </w:rPr>
              <w:t>leczenie</w:t>
            </w:r>
            <w:r w:rsidR="009755A5" w:rsidRPr="00CB14B4">
              <w:rPr>
                <w:bCs/>
                <w:iCs/>
                <w:sz w:val="20"/>
                <w:szCs w:val="20"/>
              </w:rPr>
              <w:t>.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Ocena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zasadności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kontynuacji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leczenia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powinna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być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przeprowadzona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co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najmniej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raz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12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miesięcy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w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oparciu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wskaźnik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9755A5" w:rsidRPr="00CB14B4">
              <w:rPr>
                <w:bCs/>
                <w:sz w:val="20"/>
                <w:szCs w:val="20"/>
              </w:rPr>
              <w:t>CDAI</w:t>
            </w:r>
            <w:r w:rsidR="00040781" w:rsidRPr="00CB14B4">
              <w:rPr>
                <w:bCs/>
                <w:iCs/>
                <w:sz w:val="20"/>
                <w:szCs w:val="20"/>
              </w:rPr>
              <w:t>;</w:t>
            </w:r>
          </w:p>
          <w:p w14:paraId="55C38E4A" w14:textId="26E5FD0D" w:rsidR="00065350" w:rsidRPr="00CB14B4" w:rsidRDefault="00D940B0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bCs/>
                <w:iCs/>
                <w:sz w:val="20"/>
                <w:szCs w:val="20"/>
              </w:rPr>
              <w:t>w</w:t>
            </w:r>
            <w:r w:rsidR="00065350" w:rsidRPr="00CB14B4">
              <w:rPr>
                <w:bCs/>
                <w:iCs/>
                <w:sz w:val="20"/>
                <w:szCs w:val="20"/>
              </w:rPr>
              <w:t>edolizumab</w:t>
            </w:r>
          </w:p>
          <w:p w14:paraId="4A36A1B2" w14:textId="60F04F1B" w:rsidR="00065350" w:rsidRPr="00CB14B4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sz w:val="20"/>
                <w:szCs w:val="20"/>
              </w:rPr>
              <w:t>t</w:t>
            </w:r>
            <w:r w:rsidR="00065350" w:rsidRPr="00CB14B4">
              <w:rPr>
                <w:sz w:val="20"/>
                <w:szCs w:val="20"/>
              </w:rPr>
              <w:t>erapia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065350" w:rsidRPr="00CB14B4">
              <w:rPr>
                <w:sz w:val="20"/>
                <w:szCs w:val="20"/>
              </w:rPr>
              <w:t>indukcyjna: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D940B0" w:rsidRPr="00CB14B4">
              <w:rPr>
                <w:sz w:val="20"/>
                <w:szCs w:val="20"/>
              </w:rPr>
              <w:t>6</w:t>
            </w:r>
            <w:r w:rsidR="00DC4413" w:rsidRPr="00CB14B4">
              <w:rPr>
                <w:sz w:val="20"/>
                <w:szCs w:val="20"/>
              </w:rPr>
              <w:t xml:space="preserve"> </w:t>
            </w:r>
            <w:r w:rsidR="00065350" w:rsidRPr="00CB14B4">
              <w:rPr>
                <w:sz w:val="20"/>
                <w:szCs w:val="20"/>
              </w:rPr>
              <w:t>tygodni</w:t>
            </w:r>
            <w:r w:rsidR="00D940B0" w:rsidRPr="00CB14B4">
              <w:rPr>
                <w:sz w:val="20"/>
                <w:szCs w:val="20"/>
              </w:rPr>
              <w:t>,  z możliwością dodatkowego podania leku w 10 tygodniu w przypadku braku odpowiedzi na leczenie</w:t>
            </w:r>
            <w:r w:rsidR="00043623" w:rsidRPr="00CB14B4">
              <w:rPr>
                <w:sz w:val="20"/>
                <w:szCs w:val="20"/>
              </w:rPr>
              <w:t xml:space="preserve"> (terapia indukcyjna w formie infuzji dożylnej)</w:t>
            </w:r>
            <w:r w:rsidR="00D940B0" w:rsidRPr="00CB14B4">
              <w:rPr>
                <w:sz w:val="20"/>
                <w:szCs w:val="20"/>
              </w:rPr>
              <w:t>,</w:t>
            </w:r>
          </w:p>
          <w:p w14:paraId="6697E7FB" w14:textId="228BEC90" w:rsidR="00341CA6" w:rsidRPr="00CB14B4" w:rsidRDefault="000C0385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bCs/>
                <w:iCs/>
                <w:sz w:val="20"/>
                <w:szCs w:val="20"/>
              </w:rPr>
              <w:t>l</w:t>
            </w:r>
            <w:r w:rsidR="00065350" w:rsidRPr="00CB14B4">
              <w:rPr>
                <w:bCs/>
                <w:iCs/>
                <w:sz w:val="20"/>
                <w:szCs w:val="20"/>
              </w:rPr>
              <w:t>eczenie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podtrzymujące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wedolizumabem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27F77" w:rsidRPr="00CB14B4">
              <w:rPr>
                <w:bCs/>
                <w:iCs/>
                <w:sz w:val="20"/>
                <w:szCs w:val="20"/>
              </w:rPr>
              <w:t>może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trwać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aż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do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momentu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stwierdzenia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braku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odpowiedzi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na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065350" w:rsidRPr="00CB14B4">
              <w:rPr>
                <w:bCs/>
                <w:iCs/>
                <w:sz w:val="20"/>
                <w:szCs w:val="20"/>
              </w:rPr>
              <w:t>leczenie</w:t>
            </w:r>
            <w:r w:rsidR="008315C1" w:rsidRPr="00CB14B4">
              <w:rPr>
                <w:bCs/>
                <w:iCs/>
                <w:sz w:val="20"/>
                <w:szCs w:val="20"/>
              </w:rPr>
              <w:t>.</w:t>
            </w:r>
            <w:r w:rsidR="00DC4413" w:rsidRPr="00CB14B4">
              <w:rPr>
                <w:bCs/>
                <w:i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Ocena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zasadności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kontynuacji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leczenia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powinna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być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przeprowadzona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co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najmniej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raz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na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12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miesięcy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w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oparciu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o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wskaźnik</w:t>
            </w:r>
            <w:r w:rsidR="00DC4413" w:rsidRPr="00CB14B4">
              <w:rPr>
                <w:bCs/>
                <w:sz w:val="20"/>
                <w:szCs w:val="20"/>
              </w:rPr>
              <w:t xml:space="preserve"> </w:t>
            </w:r>
            <w:r w:rsidR="008315C1" w:rsidRPr="00CB14B4">
              <w:rPr>
                <w:bCs/>
                <w:sz w:val="20"/>
                <w:szCs w:val="20"/>
              </w:rPr>
              <w:t>CDAI</w:t>
            </w:r>
            <w:r w:rsidR="00A969F7" w:rsidRPr="00CB14B4">
              <w:rPr>
                <w:bCs/>
                <w:iCs/>
                <w:sz w:val="20"/>
                <w:szCs w:val="20"/>
              </w:rPr>
              <w:t>;</w:t>
            </w:r>
          </w:p>
          <w:p w14:paraId="50BB0E50" w14:textId="79CD6401" w:rsidR="00A969F7" w:rsidRPr="00CB14B4" w:rsidRDefault="00A969F7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bCs/>
                <w:iCs/>
                <w:sz w:val="20"/>
                <w:szCs w:val="20"/>
              </w:rPr>
              <w:t>upadacytynib</w:t>
            </w:r>
          </w:p>
          <w:p w14:paraId="2E5D95EE" w14:textId="591E5E9F" w:rsidR="00A969F7" w:rsidRPr="00CB14B4" w:rsidRDefault="00A969F7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sz w:val="20"/>
                <w:szCs w:val="20"/>
              </w:rPr>
              <w:t>terapia indukcyjna: 12 – 24 tygodni,</w:t>
            </w:r>
          </w:p>
          <w:p w14:paraId="35AB5CDE" w14:textId="6CFF043C" w:rsidR="00A969F7" w:rsidRPr="0074375C" w:rsidRDefault="00A969F7" w:rsidP="00A679D9">
            <w:pPr>
              <w:numPr>
                <w:ilvl w:val="4"/>
                <w:numId w:val="31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CB14B4">
              <w:rPr>
                <w:bCs/>
                <w:iCs/>
                <w:sz w:val="20"/>
                <w:szCs w:val="20"/>
              </w:rPr>
              <w:t xml:space="preserve">leczenie podtrzymujące upadacytynibem </w:t>
            </w:r>
            <w:r w:rsidR="00027F77" w:rsidRPr="00CB14B4">
              <w:rPr>
                <w:bCs/>
                <w:iCs/>
                <w:sz w:val="20"/>
                <w:szCs w:val="20"/>
              </w:rPr>
              <w:t>może</w:t>
            </w:r>
            <w:r w:rsidRPr="0074375C">
              <w:rPr>
                <w:bCs/>
                <w:iCs/>
                <w:sz w:val="20"/>
                <w:szCs w:val="20"/>
              </w:rPr>
              <w:t xml:space="preserve"> trwać aż do momentu stwierdzenia braku odpowiedzi na leczenie. </w:t>
            </w:r>
            <w:r w:rsidRPr="0074375C">
              <w:rPr>
                <w:bCs/>
                <w:sz w:val="20"/>
                <w:szCs w:val="20"/>
              </w:rPr>
              <w:t>Ocena zasadności kontynuacji leczenia powinna być przeprowadzona co najmniej raz na 12 miesięcy w oparciu o wskaźnik CDAI</w:t>
            </w:r>
            <w:r w:rsidRPr="0074375C">
              <w:rPr>
                <w:bCs/>
                <w:iCs/>
                <w:sz w:val="20"/>
                <w:szCs w:val="20"/>
              </w:rPr>
              <w:t>.</w:t>
            </w:r>
          </w:p>
          <w:p w14:paraId="23179527" w14:textId="77777777" w:rsidR="000C0385" w:rsidRPr="0074375C" w:rsidRDefault="000C0385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CDEF016" w14:textId="66DF1F20" w:rsidR="006503A0" w:rsidRPr="0074375C" w:rsidRDefault="006503A0" w:rsidP="00A679D9">
            <w:pPr>
              <w:numPr>
                <w:ilvl w:val="0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Zakończenie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leczenia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w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programie</w:t>
            </w:r>
          </w:p>
          <w:p w14:paraId="3F001DC1" w14:textId="26FB12CD" w:rsidR="003C1865" w:rsidRPr="0074375C" w:rsidRDefault="003C1865" w:rsidP="00A679D9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 xml:space="preserve">stwierdzenia braku odpowiedzi na leczenie definiowanej jako </w:t>
            </w:r>
            <w:r w:rsidRPr="0074375C">
              <w:rPr>
                <w:sz w:val="20"/>
                <w:szCs w:val="20"/>
                <w:lang w:eastAsia="ar-SA"/>
              </w:rPr>
              <w:t xml:space="preserve">zmniejszenie wskaźnika CDAI o co najmniej 70 punktów oraz o co najmniej 25% względem wartości początkowej albo zmniejszenie wskaźnika PCDAI o co najmniej 12,5 punktów względem wartości początkowej oraz PCDAI </w:t>
            </w:r>
            <w:r w:rsidR="00B319A8" w:rsidRPr="0074375C">
              <w:rPr>
                <w:sz w:val="20"/>
                <w:szCs w:val="20"/>
                <w:lang w:eastAsia="ar-SA"/>
              </w:rPr>
              <w:t>&lt;</w:t>
            </w:r>
            <w:r w:rsidRPr="0074375C">
              <w:rPr>
                <w:sz w:val="20"/>
                <w:szCs w:val="20"/>
                <w:lang w:eastAsia="ar-SA"/>
              </w:rPr>
              <w:t xml:space="preserve"> 30 punktów;</w:t>
            </w:r>
          </w:p>
          <w:p w14:paraId="02825600" w14:textId="77777777" w:rsidR="003C1865" w:rsidRPr="0074375C" w:rsidRDefault="003C1865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lastRenderedPageBreak/>
              <w:t>wystąpienie chorób lub stanów, które w opinii lekarza prowadzącego uniemożliwiają dalsze prowadzenie leczenia;</w:t>
            </w:r>
          </w:p>
          <w:p w14:paraId="5D29EC28" w14:textId="77777777" w:rsidR="003C1865" w:rsidRPr="0074375C" w:rsidRDefault="003C1865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2C55902E" w14:textId="77777777" w:rsidR="003C1865" w:rsidRPr="0074375C" w:rsidRDefault="003C1865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t>wystąpienie toksyczności wymagającej zakończenia leczenia w opinii lekarza prowadzącego zgodnie z aktualną ChPL;</w:t>
            </w:r>
          </w:p>
          <w:p w14:paraId="6988F06D" w14:textId="77777777" w:rsidR="003C1865" w:rsidRPr="0074375C" w:rsidRDefault="003C1865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t>pogorszenie jakości życia o istotnym znaczeniu w opinii lekarza prowadzącego;</w:t>
            </w:r>
          </w:p>
          <w:p w14:paraId="168DF340" w14:textId="5AADA811" w:rsidR="00341CA6" w:rsidRPr="0074375C" w:rsidRDefault="003C1865" w:rsidP="00A679D9">
            <w:pPr>
              <w:numPr>
                <w:ilvl w:val="3"/>
                <w:numId w:val="31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 w:rsidRPr="0074375C">
              <w:rPr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</w:tc>
        <w:tc>
          <w:tcPr>
            <w:tcW w:w="3969" w:type="dxa"/>
          </w:tcPr>
          <w:p w14:paraId="5EB99F23" w14:textId="450D6CDF" w:rsidR="002510F2" w:rsidRPr="0074375C" w:rsidRDefault="002510F2" w:rsidP="00341CA6">
            <w:pPr>
              <w:numPr>
                <w:ilvl w:val="0"/>
                <w:numId w:val="26"/>
              </w:num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b/>
                <w:bCs/>
                <w:iCs/>
                <w:sz w:val="20"/>
                <w:szCs w:val="20"/>
              </w:rPr>
              <w:lastRenderedPageBreak/>
              <w:t>Dawkowanie</w:t>
            </w:r>
          </w:p>
          <w:p w14:paraId="19551837" w14:textId="2FBB5B6D" w:rsidR="00B47601" w:rsidRPr="0074375C" w:rsidRDefault="002510F2" w:rsidP="00A679D9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74375C">
              <w:rPr>
                <w:bCs/>
                <w:sz w:val="20"/>
                <w:szCs w:val="20"/>
              </w:rPr>
              <w:t>Dawkowanie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B47601" w:rsidRPr="0074375C">
              <w:rPr>
                <w:bCs/>
                <w:sz w:val="20"/>
                <w:szCs w:val="20"/>
              </w:rPr>
              <w:t>infliksymabu, adalimumabu,  wedolizumabu, ustekinumabu,</w:t>
            </w:r>
            <w:r w:rsidR="00A969F7" w:rsidRPr="0074375C">
              <w:rPr>
                <w:bCs/>
                <w:sz w:val="20"/>
                <w:szCs w:val="20"/>
              </w:rPr>
              <w:t xml:space="preserve"> upadacytynibu</w:t>
            </w:r>
            <w:r w:rsidR="00B47601" w:rsidRPr="0074375C">
              <w:rPr>
                <w:bCs/>
                <w:sz w:val="20"/>
                <w:szCs w:val="20"/>
              </w:rPr>
              <w:t xml:space="preserve"> prowadzone jest zgodnie z dawkowaniem określonym w aktualnej ChPL</w:t>
            </w:r>
            <w:r w:rsidR="00541997" w:rsidRPr="0074375C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6858C1">
              <w:rPr>
                <w:bCs/>
                <w:color w:val="000000"/>
                <w:sz w:val="20"/>
                <w:szCs w:val="20"/>
              </w:rPr>
              <w:t>lub</w:t>
            </w:r>
            <w:r w:rsidR="00541997" w:rsidRPr="0074375C">
              <w:rPr>
                <w:bCs/>
                <w:color w:val="000000"/>
                <w:sz w:val="20"/>
                <w:szCs w:val="20"/>
              </w:rPr>
              <w:t xml:space="preserve"> w aktualnych rekomendacjach ECCO lub PTG-E</w:t>
            </w:r>
            <w:r w:rsidR="00B47601" w:rsidRPr="0074375C">
              <w:rPr>
                <w:bCs/>
                <w:sz w:val="20"/>
                <w:szCs w:val="20"/>
              </w:rPr>
              <w:t>.</w:t>
            </w:r>
          </w:p>
          <w:p w14:paraId="72396A42" w14:textId="77777777" w:rsidR="00541997" w:rsidRPr="0074375C" w:rsidRDefault="00541997" w:rsidP="00A679D9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  <w:p w14:paraId="708EA2DC" w14:textId="77777777" w:rsidR="00B47601" w:rsidRPr="0074375C" w:rsidRDefault="00B47601" w:rsidP="00A679D9">
            <w:pPr>
              <w:numPr>
                <w:ilvl w:val="0"/>
                <w:numId w:val="26"/>
              </w:numPr>
              <w:spacing w:after="60" w:line="276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74375C">
              <w:rPr>
                <w:b/>
                <w:bCs/>
                <w:iCs/>
                <w:sz w:val="20"/>
                <w:szCs w:val="20"/>
              </w:rPr>
              <w:t>Modyfikacje dawkowania</w:t>
            </w:r>
          </w:p>
          <w:p w14:paraId="2B0ACA8F" w14:textId="267352AD" w:rsidR="00B47601" w:rsidRPr="0074375C" w:rsidRDefault="00B47601" w:rsidP="00A679D9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 xml:space="preserve">Sposób podawania oraz ewentualne czasowe wstrzymania </w:t>
            </w:r>
            <w:r w:rsidRPr="00CB14B4">
              <w:rPr>
                <w:sz w:val="20"/>
                <w:szCs w:val="20"/>
              </w:rPr>
              <w:t>leczenia, prowadzone zgodnie z aktualną C</w:t>
            </w:r>
            <w:r w:rsidR="00344755" w:rsidRPr="00CB14B4">
              <w:rPr>
                <w:sz w:val="20"/>
                <w:szCs w:val="20"/>
              </w:rPr>
              <w:t>h</w:t>
            </w:r>
            <w:r w:rsidRPr="00CB14B4">
              <w:rPr>
                <w:sz w:val="20"/>
                <w:szCs w:val="20"/>
              </w:rPr>
              <w:t>PL</w:t>
            </w:r>
            <w:r w:rsidR="00FF6203" w:rsidRPr="00CB14B4">
              <w:rPr>
                <w:sz w:val="20"/>
                <w:szCs w:val="20"/>
              </w:rPr>
              <w:t xml:space="preserve"> lub z aktualnymi </w:t>
            </w:r>
            <w:r w:rsidR="00FF6203" w:rsidRPr="00CB14B4">
              <w:rPr>
                <w:bCs/>
                <w:color w:val="000000"/>
                <w:sz w:val="20"/>
                <w:szCs w:val="20"/>
              </w:rPr>
              <w:t>rekomendacjami ECCO lub PTG-E</w:t>
            </w:r>
            <w:r w:rsidRPr="00CB14B4">
              <w:rPr>
                <w:sz w:val="20"/>
                <w:szCs w:val="20"/>
              </w:rPr>
              <w:t>.</w:t>
            </w:r>
          </w:p>
          <w:p w14:paraId="061770E7" w14:textId="401D8DB8" w:rsidR="005C0214" w:rsidRPr="0074375C" w:rsidRDefault="005C0214" w:rsidP="00B4760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4480" w:type="dxa"/>
          </w:tcPr>
          <w:p w14:paraId="4C530836" w14:textId="3A8E3B76" w:rsidR="00C91316" w:rsidRPr="0074375C" w:rsidRDefault="00C91316" w:rsidP="00BA3BF2">
            <w:pPr>
              <w:numPr>
                <w:ilvl w:val="0"/>
                <w:numId w:val="27"/>
              </w:num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b/>
                <w:bCs/>
                <w:iCs/>
                <w:sz w:val="20"/>
                <w:szCs w:val="20"/>
              </w:rPr>
              <w:t>Badania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przy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kwalifikacji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do</w:t>
            </w:r>
            <w:r w:rsidR="00DC4413" w:rsidRPr="0074375C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/>
                <w:bCs/>
                <w:iCs/>
                <w:sz w:val="20"/>
                <w:szCs w:val="20"/>
              </w:rPr>
              <w:t>leczenia</w:t>
            </w:r>
          </w:p>
          <w:p w14:paraId="286EE599" w14:textId="2ABCB10C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m</w:t>
            </w:r>
            <w:r w:rsidR="00C91316" w:rsidRPr="0074375C">
              <w:rPr>
                <w:sz w:val="20"/>
                <w:szCs w:val="20"/>
              </w:rPr>
              <w:t>orfologia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krwi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obwodowej</w:t>
            </w:r>
            <w:r w:rsidR="00A969F7" w:rsidRPr="0074375C">
              <w:rPr>
                <w:sz w:val="20"/>
                <w:szCs w:val="20"/>
              </w:rPr>
              <w:t xml:space="preserve">, </w:t>
            </w:r>
            <w:r w:rsidR="00A969F7" w:rsidRPr="0074375C">
              <w:rPr>
                <w:color w:val="000000"/>
                <w:sz w:val="20"/>
                <w:szCs w:val="20"/>
              </w:rPr>
              <w:t>a w przypadku pacjentów kwalifikowanych do leczenia upadacytynibem - morfologia krwi z rozmazem oraz oznaczeniem bezwzględnej liczby granulocytów obojętnochłonnych i bezwzględnej liczby limfocytów;</w:t>
            </w:r>
          </w:p>
          <w:p w14:paraId="416ADA3A" w14:textId="55530EED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a</w:t>
            </w:r>
            <w:r w:rsidR="00C91316" w:rsidRPr="0074375C">
              <w:rPr>
                <w:sz w:val="20"/>
                <w:szCs w:val="20"/>
              </w:rPr>
              <w:t>minotransferaza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alaninowa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(AlAT);</w:t>
            </w:r>
          </w:p>
          <w:p w14:paraId="3B42AD06" w14:textId="6E707103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a</w:t>
            </w:r>
            <w:r w:rsidR="00C91316" w:rsidRPr="0074375C">
              <w:rPr>
                <w:sz w:val="20"/>
                <w:szCs w:val="20"/>
              </w:rPr>
              <w:t>minotrans</w:t>
            </w:r>
            <w:r w:rsidR="00832571" w:rsidRPr="0074375C">
              <w:rPr>
                <w:sz w:val="20"/>
                <w:szCs w:val="20"/>
              </w:rPr>
              <w:t>feraza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asparaginianowa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(AspAT);</w:t>
            </w:r>
          </w:p>
          <w:p w14:paraId="07F4A3BD" w14:textId="6AAC74E7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k</w:t>
            </w:r>
            <w:r w:rsidR="007024D8" w:rsidRPr="0074375C">
              <w:rPr>
                <w:sz w:val="20"/>
                <w:szCs w:val="20"/>
              </w:rPr>
              <w:t>reatynina</w:t>
            </w:r>
            <w:r w:rsidR="00C91316" w:rsidRPr="0074375C">
              <w:rPr>
                <w:sz w:val="20"/>
                <w:szCs w:val="20"/>
              </w:rPr>
              <w:t>;</w:t>
            </w:r>
          </w:p>
          <w:p w14:paraId="4F3A33FE" w14:textId="750DA2A6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b</w:t>
            </w:r>
            <w:r w:rsidR="00C91316" w:rsidRPr="0074375C">
              <w:rPr>
                <w:sz w:val="20"/>
                <w:szCs w:val="20"/>
              </w:rPr>
              <w:t>ia</w:t>
            </w:r>
            <w:r w:rsidR="00832571" w:rsidRPr="0074375C">
              <w:rPr>
                <w:sz w:val="20"/>
                <w:szCs w:val="20"/>
              </w:rPr>
              <w:t>łko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C-reaktywne;</w:t>
            </w:r>
          </w:p>
          <w:p w14:paraId="06E9892B" w14:textId="2725A741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b</w:t>
            </w:r>
            <w:r w:rsidR="00832571" w:rsidRPr="0074375C">
              <w:rPr>
                <w:sz w:val="20"/>
                <w:szCs w:val="20"/>
              </w:rPr>
              <w:t>adanie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ogólne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moczu;</w:t>
            </w:r>
          </w:p>
          <w:p w14:paraId="483FEDB1" w14:textId="6A8E2048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t</w:t>
            </w:r>
            <w:r w:rsidR="00832571" w:rsidRPr="0074375C">
              <w:rPr>
                <w:sz w:val="20"/>
                <w:szCs w:val="20"/>
              </w:rPr>
              <w:t>est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Quantiferon;</w:t>
            </w:r>
          </w:p>
          <w:p w14:paraId="578E8C8C" w14:textId="697968C8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a</w:t>
            </w:r>
            <w:r w:rsidR="00C91316" w:rsidRPr="0074375C">
              <w:rPr>
                <w:sz w:val="20"/>
                <w:szCs w:val="20"/>
              </w:rPr>
              <w:t>ntygen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HBs;</w:t>
            </w:r>
          </w:p>
          <w:p w14:paraId="12B2AA42" w14:textId="71B5BFCF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p</w:t>
            </w:r>
            <w:r w:rsidR="00270E9E" w:rsidRPr="0074375C">
              <w:rPr>
                <w:sz w:val="20"/>
                <w:szCs w:val="20"/>
              </w:rPr>
              <w:t>r</w:t>
            </w:r>
            <w:r w:rsidR="00832571" w:rsidRPr="0074375C">
              <w:rPr>
                <w:sz w:val="20"/>
                <w:szCs w:val="20"/>
              </w:rPr>
              <w:t>zeciwciała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anty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832571" w:rsidRPr="0074375C">
              <w:rPr>
                <w:sz w:val="20"/>
                <w:szCs w:val="20"/>
              </w:rPr>
              <w:t>HCV;</w:t>
            </w:r>
          </w:p>
          <w:p w14:paraId="6B3A5FD2" w14:textId="648C4B67" w:rsidR="00C91316" w:rsidRPr="0092489E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92489E">
              <w:rPr>
                <w:sz w:val="20"/>
                <w:szCs w:val="20"/>
              </w:rPr>
              <w:t>a</w:t>
            </w:r>
            <w:r w:rsidR="004754AC" w:rsidRPr="0092489E">
              <w:rPr>
                <w:sz w:val="20"/>
                <w:szCs w:val="20"/>
              </w:rPr>
              <w:t>ntygen</w:t>
            </w:r>
            <w:r w:rsidR="00DC4413" w:rsidRPr="0092489E">
              <w:rPr>
                <w:sz w:val="20"/>
                <w:szCs w:val="20"/>
              </w:rPr>
              <w:t xml:space="preserve"> </w:t>
            </w:r>
            <w:r w:rsidR="004754AC" w:rsidRPr="0092489E">
              <w:rPr>
                <w:sz w:val="20"/>
                <w:szCs w:val="20"/>
              </w:rPr>
              <w:t>wirusa</w:t>
            </w:r>
            <w:r w:rsidR="00DC4413" w:rsidRPr="0092489E">
              <w:rPr>
                <w:sz w:val="20"/>
                <w:szCs w:val="20"/>
              </w:rPr>
              <w:t xml:space="preserve"> </w:t>
            </w:r>
            <w:r w:rsidR="004754AC" w:rsidRPr="0092489E">
              <w:rPr>
                <w:sz w:val="20"/>
                <w:szCs w:val="20"/>
              </w:rPr>
              <w:t>HIV(HIV</w:t>
            </w:r>
            <w:r w:rsidR="00DC4413" w:rsidRPr="0092489E">
              <w:rPr>
                <w:sz w:val="20"/>
                <w:szCs w:val="20"/>
              </w:rPr>
              <w:t xml:space="preserve"> </w:t>
            </w:r>
            <w:r w:rsidR="004754AC" w:rsidRPr="0092489E">
              <w:rPr>
                <w:sz w:val="20"/>
                <w:szCs w:val="20"/>
              </w:rPr>
              <w:t>Ag/Ab</w:t>
            </w:r>
            <w:r w:rsidR="00DC4413" w:rsidRPr="0092489E">
              <w:rPr>
                <w:sz w:val="20"/>
                <w:szCs w:val="20"/>
              </w:rPr>
              <w:t xml:space="preserve"> </w:t>
            </w:r>
            <w:r w:rsidR="004754AC" w:rsidRPr="0092489E">
              <w:rPr>
                <w:sz w:val="20"/>
                <w:szCs w:val="20"/>
              </w:rPr>
              <w:t>Combo);</w:t>
            </w:r>
          </w:p>
          <w:p w14:paraId="397ADDD2" w14:textId="75359B23" w:rsidR="00C91316" w:rsidRPr="0074375C" w:rsidRDefault="00DF0048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s</w:t>
            </w:r>
            <w:r w:rsidR="00C91316" w:rsidRPr="0074375C">
              <w:rPr>
                <w:sz w:val="20"/>
                <w:szCs w:val="20"/>
              </w:rPr>
              <w:t>tężenie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elektrolitów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C91316" w:rsidRPr="0074375C">
              <w:rPr>
                <w:sz w:val="20"/>
                <w:szCs w:val="20"/>
              </w:rPr>
              <w:t>surowicy;</w:t>
            </w:r>
          </w:p>
          <w:p w14:paraId="399C95BC" w14:textId="22FFA616" w:rsidR="00C91316" w:rsidRPr="0074375C" w:rsidRDefault="00C91316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RTG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klatki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piersiowej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(maksymalnie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do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3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miesięcy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przed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9436C7" w:rsidRPr="0074375C">
              <w:rPr>
                <w:bCs/>
                <w:sz w:val="20"/>
                <w:szCs w:val="20"/>
              </w:rPr>
              <w:t>kwalifikacją)</w:t>
            </w:r>
            <w:r w:rsidRPr="0074375C">
              <w:rPr>
                <w:sz w:val="20"/>
                <w:szCs w:val="20"/>
              </w:rPr>
              <w:t>;</w:t>
            </w:r>
          </w:p>
          <w:p w14:paraId="47291BF9" w14:textId="3F4D3A41" w:rsidR="00C91316" w:rsidRPr="0074375C" w:rsidRDefault="00C91316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EKG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z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opisem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(wymagane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wyłącznie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u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dorosłych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pacjentów);</w:t>
            </w:r>
          </w:p>
          <w:p w14:paraId="4C8A2FDA" w14:textId="7AFE2FA5" w:rsidR="00CC2951" w:rsidRPr="0074375C" w:rsidRDefault="00B95A7D" w:rsidP="00BA3BF2">
            <w:pPr>
              <w:numPr>
                <w:ilvl w:val="3"/>
                <w:numId w:val="27"/>
              </w:numPr>
              <w:spacing w:after="60" w:line="276" w:lineRule="auto"/>
              <w:rPr>
                <w:bCs/>
                <w:sz w:val="20"/>
                <w:szCs w:val="20"/>
              </w:rPr>
            </w:pPr>
            <w:r w:rsidRPr="0074375C">
              <w:rPr>
                <w:bCs/>
                <w:sz w:val="20"/>
                <w:szCs w:val="20"/>
              </w:rPr>
              <w:lastRenderedPageBreak/>
              <w:t>a</w:t>
            </w:r>
            <w:r w:rsidR="00CC2951" w:rsidRPr="0074375C">
              <w:rPr>
                <w:bCs/>
                <w:sz w:val="20"/>
                <w:szCs w:val="20"/>
              </w:rPr>
              <w:t>nty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CC2951" w:rsidRPr="0074375C">
              <w:rPr>
                <w:bCs/>
                <w:sz w:val="20"/>
                <w:szCs w:val="20"/>
              </w:rPr>
              <w:t>HBc</w:t>
            </w:r>
            <w:r w:rsidR="00DC4413" w:rsidRPr="0074375C">
              <w:rPr>
                <w:bCs/>
                <w:sz w:val="20"/>
                <w:szCs w:val="20"/>
              </w:rPr>
              <w:t xml:space="preserve"> </w:t>
            </w:r>
            <w:r w:rsidR="00CC2951" w:rsidRPr="0074375C">
              <w:rPr>
                <w:bCs/>
                <w:sz w:val="20"/>
                <w:szCs w:val="20"/>
              </w:rPr>
              <w:t>total</w:t>
            </w:r>
            <w:r w:rsidR="00DF0048" w:rsidRPr="0074375C">
              <w:rPr>
                <w:bCs/>
                <w:sz w:val="20"/>
                <w:szCs w:val="20"/>
              </w:rPr>
              <w:t>;</w:t>
            </w:r>
          </w:p>
          <w:p w14:paraId="06E1A35D" w14:textId="185BC365" w:rsidR="00DF0048" w:rsidRPr="0074375C" w:rsidRDefault="00DF0048" w:rsidP="00A56AF1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określenie początkowej wartości wskaźnika CDAI u dorosłych albo PCDAI u dzieci i młodzieży</w:t>
            </w:r>
            <w:r w:rsidR="00A969F7" w:rsidRPr="0074375C">
              <w:rPr>
                <w:sz w:val="20"/>
                <w:szCs w:val="20"/>
              </w:rPr>
              <w:t>;</w:t>
            </w:r>
          </w:p>
          <w:p w14:paraId="4E0D1589" w14:textId="12514DC8" w:rsidR="00A969F7" w:rsidRPr="0074375C" w:rsidRDefault="00A969F7" w:rsidP="00887EC5">
            <w:pPr>
              <w:numPr>
                <w:ilvl w:val="3"/>
                <w:numId w:val="27"/>
              </w:numPr>
              <w:spacing w:after="60" w:line="276" w:lineRule="auto"/>
              <w:rPr>
                <w:bCs/>
                <w:sz w:val="20"/>
                <w:szCs w:val="20"/>
              </w:rPr>
            </w:pPr>
            <w:r w:rsidRPr="0074375C">
              <w:rPr>
                <w:color w:val="000000"/>
                <w:sz w:val="20"/>
                <w:szCs w:val="20"/>
              </w:rPr>
              <w:t>lipidogram (całkowity cholesterol, HDL i LDL) oraz trójglicerydy przed rozpoczęciem leczenia upadacytynibem.</w:t>
            </w:r>
          </w:p>
          <w:p w14:paraId="1B2015D5" w14:textId="77777777" w:rsidR="000C0385" w:rsidRPr="0074375C" w:rsidRDefault="000C0385" w:rsidP="00F23761">
            <w:pPr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4A2A7CA5" w14:textId="0DDD68F3" w:rsidR="00C91316" w:rsidRPr="0074375C" w:rsidRDefault="00A141B0" w:rsidP="00BA3BF2">
            <w:pPr>
              <w:numPr>
                <w:ilvl w:val="0"/>
                <w:numId w:val="27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Monitorowanie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terapii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64252E" w:rsidRPr="0074375C">
              <w:rPr>
                <w:b/>
                <w:sz w:val="20"/>
                <w:szCs w:val="20"/>
              </w:rPr>
              <w:t>infliksymabem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64252E" w:rsidRPr="0074375C">
              <w:rPr>
                <w:b/>
                <w:sz w:val="20"/>
                <w:szCs w:val="20"/>
              </w:rPr>
              <w:t>lub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3561A2" w:rsidRPr="0074375C">
              <w:rPr>
                <w:b/>
                <w:sz w:val="20"/>
                <w:szCs w:val="20"/>
              </w:rPr>
              <w:t>adalimumabem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3561A2" w:rsidRPr="0074375C">
              <w:rPr>
                <w:b/>
                <w:sz w:val="20"/>
                <w:szCs w:val="20"/>
              </w:rPr>
              <w:t>lub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3561A2" w:rsidRPr="0074375C">
              <w:rPr>
                <w:b/>
                <w:sz w:val="20"/>
                <w:szCs w:val="20"/>
              </w:rPr>
              <w:t>ustekinumabem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3561A2" w:rsidRPr="0074375C">
              <w:rPr>
                <w:b/>
                <w:sz w:val="20"/>
                <w:szCs w:val="20"/>
              </w:rPr>
              <w:t>lub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="003561A2" w:rsidRPr="0074375C">
              <w:rPr>
                <w:b/>
                <w:sz w:val="20"/>
                <w:szCs w:val="20"/>
              </w:rPr>
              <w:t>wedolizumabem</w:t>
            </w:r>
            <w:r w:rsidR="00A969F7" w:rsidRPr="0074375C">
              <w:rPr>
                <w:b/>
                <w:sz w:val="20"/>
                <w:szCs w:val="20"/>
              </w:rPr>
              <w:t xml:space="preserve"> lub upadacytynibem</w:t>
            </w:r>
          </w:p>
          <w:p w14:paraId="5AFCA912" w14:textId="451D088D" w:rsidR="0028720C" w:rsidRPr="0074375C" w:rsidRDefault="000D145B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p</w:t>
            </w:r>
            <w:r w:rsidR="0028720C" w:rsidRPr="0074375C">
              <w:rPr>
                <w:bCs/>
                <w:iCs/>
                <w:sz w:val="20"/>
                <w:szCs w:val="20"/>
              </w:rPr>
              <w:t>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zakończeniu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leczenia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indukcyjnego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świadczeniodawca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wykonuje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pacjenta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następujące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badania: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morfologia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krw</w:t>
            </w:r>
            <w:r w:rsidR="00242E40" w:rsidRPr="0074375C">
              <w:rPr>
                <w:bCs/>
                <w:iCs/>
                <w:sz w:val="20"/>
                <w:szCs w:val="20"/>
              </w:rPr>
              <w:t>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42E40" w:rsidRPr="0074375C">
              <w:rPr>
                <w:bCs/>
                <w:iCs/>
                <w:sz w:val="20"/>
                <w:szCs w:val="20"/>
              </w:rPr>
              <w:t>obwodowej</w:t>
            </w:r>
            <w:r w:rsidR="00A969F7" w:rsidRPr="0074375C">
              <w:rPr>
                <w:bCs/>
                <w:iCs/>
                <w:sz w:val="20"/>
                <w:szCs w:val="20"/>
              </w:rPr>
              <w:t xml:space="preserve"> (w przypadku pacjentów zakwalifikowanych do leczenia upadacytynibem – morfologia krwi z rozmazem z oznaczeniem</w:t>
            </w:r>
            <w:r w:rsidR="00A969F7" w:rsidRPr="0074375C">
              <w:rPr>
                <w:sz w:val="20"/>
                <w:szCs w:val="20"/>
              </w:rPr>
              <w:t xml:space="preserve"> bezwzględnej liczby granulocytów obojętnochłonnych i bezwzględnej liczby limfocytów)</w:t>
            </w:r>
            <w:r w:rsidR="00A969F7" w:rsidRPr="0074375C">
              <w:rPr>
                <w:bCs/>
                <w:iCs/>
                <w:sz w:val="20"/>
                <w:szCs w:val="20"/>
              </w:rPr>
              <w:t xml:space="preserve">, </w:t>
            </w:r>
            <w:r w:rsidR="00242E40" w:rsidRPr="0074375C">
              <w:rPr>
                <w:bCs/>
                <w:iCs/>
                <w:sz w:val="20"/>
                <w:szCs w:val="20"/>
              </w:rPr>
              <w:t>CRP,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42E40" w:rsidRPr="0074375C">
              <w:rPr>
                <w:bCs/>
                <w:iCs/>
                <w:sz w:val="20"/>
                <w:szCs w:val="20"/>
              </w:rPr>
              <w:t>AlAT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42E40" w:rsidRPr="0074375C">
              <w:rPr>
                <w:bCs/>
                <w:iCs/>
                <w:sz w:val="20"/>
                <w:szCs w:val="20"/>
              </w:rPr>
              <w:t>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42E40" w:rsidRPr="0074375C">
              <w:rPr>
                <w:bCs/>
                <w:iCs/>
                <w:sz w:val="20"/>
                <w:szCs w:val="20"/>
              </w:rPr>
              <w:t>AspAT</w:t>
            </w:r>
            <w:r w:rsidR="000B670C" w:rsidRPr="0074375C">
              <w:rPr>
                <w:bCs/>
                <w:iCs/>
                <w:sz w:val="20"/>
                <w:szCs w:val="20"/>
              </w:rPr>
              <w:t>, d</w:t>
            </w:r>
            <w:r w:rsidR="00887EC5" w:rsidRPr="0074375C">
              <w:rPr>
                <w:bCs/>
                <w:iCs/>
                <w:sz w:val="20"/>
                <w:szCs w:val="20"/>
              </w:rPr>
              <w:t>odatkowo w przypadku leczenia upadacytynibem</w:t>
            </w:r>
            <w:r w:rsidR="00887EC5" w:rsidRPr="0074375C">
              <w:rPr>
                <w:sz w:val="20"/>
                <w:szCs w:val="20"/>
              </w:rPr>
              <w:t xml:space="preserve"> wykonuje się oznaczenia stężenia cholesterolu całkowitego, LDL, HDL i trójglicerydów. </w:t>
            </w:r>
            <w:r w:rsidR="0028720C" w:rsidRPr="0074375C">
              <w:rPr>
                <w:bCs/>
                <w:iCs/>
                <w:sz w:val="20"/>
                <w:szCs w:val="20"/>
              </w:rPr>
              <w:t>Wtedy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też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należy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przeprowadzić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ocenę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wskaźnika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CDAI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albo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PCDAI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(jeśli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dotyczy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dzieci);</w:t>
            </w:r>
          </w:p>
          <w:p w14:paraId="29EEFD4B" w14:textId="48325D8B" w:rsidR="0028720C" w:rsidRPr="0074375C" w:rsidRDefault="000D145B" w:rsidP="00BA3BF2">
            <w:pPr>
              <w:numPr>
                <w:ilvl w:val="3"/>
                <w:numId w:val="27"/>
              </w:num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leczeniu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podtrzymującym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świadczeniodawca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jest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bCs/>
                <w:iCs/>
                <w:sz w:val="20"/>
                <w:szCs w:val="20"/>
              </w:rPr>
              <w:t>zobowiązany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wykonywać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morfologię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krwi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obwodowej</w:t>
            </w:r>
            <w:r w:rsidR="00A969F7" w:rsidRPr="0074375C">
              <w:rPr>
                <w:sz w:val="20"/>
                <w:szCs w:val="20"/>
              </w:rPr>
              <w:t xml:space="preserve"> </w:t>
            </w:r>
            <w:r w:rsidR="00A969F7" w:rsidRPr="0074375C">
              <w:rPr>
                <w:bCs/>
                <w:iCs/>
                <w:sz w:val="20"/>
                <w:szCs w:val="20"/>
              </w:rPr>
              <w:t xml:space="preserve">(w przypadku pacjentów zakwalifikowanych do leczenia upadacytynibem – morfologię krwi z rozmazem z oznaczeniem </w:t>
            </w:r>
            <w:r w:rsidR="00A969F7" w:rsidRPr="0074375C">
              <w:rPr>
                <w:sz w:val="20"/>
                <w:szCs w:val="20"/>
              </w:rPr>
              <w:t xml:space="preserve"> bezwzględnej liczby granulocytów </w:t>
            </w:r>
            <w:r w:rsidR="00A969F7" w:rsidRPr="0074375C">
              <w:rPr>
                <w:sz w:val="20"/>
                <w:szCs w:val="20"/>
              </w:rPr>
              <w:lastRenderedPageBreak/>
              <w:t>obojętnochłonnych i bezwzględnej liczby limfocytów</w:t>
            </w:r>
            <w:r w:rsidR="00A969F7" w:rsidRPr="0074375C">
              <w:rPr>
                <w:bCs/>
                <w:iCs/>
                <w:sz w:val="20"/>
                <w:szCs w:val="20"/>
              </w:rPr>
              <w:t>),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CRP,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AlA</w:t>
            </w:r>
            <w:r w:rsidR="00242E40" w:rsidRPr="0074375C">
              <w:rPr>
                <w:sz w:val="20"/>
                <w:szCs w:val="20"/>
              </w:rPr>
              <w:t>T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AspAT</w:t>
            </w:r>
            <w:r w:rsidR="00887EC5" w:rsidRPr="0074375C">
              <w:rPr>
                <w:sz w:val="20"/>
                <w:szCs w:val="20"/>
              </w:rPr>
              <w:t xml:space="preserve"> oraz</w:t>
            </w:r>
            <w:r w:rsidR="00887EC5" w:rsidRPr="0074375C">
              <w:rPr>
                <w:bCs/>
                <w:iCs/>
                <w:sz w:val="20"/>
                <w:szCs w:val="20"/>
              </w:rPr>
              <w:t xml:space="preserve"> stężenie</w:t>
            </w:r>
            <w:r w:rsidR="00887EC5" w:rsidRPr="0074375C">
              <w:rPr>
                <w:sz w:val="20"/>
                <w:szCs w:val="20"/>
              </w:rPr>
              <w:t xml:space="preserve"> cholesterolu całkowitego, LDL, HDL i trójglicerydów (wyłącznie w przypadku upadacytynibu) </w:t>
            </w:r>
            <w:r w:rsidR="00242E40" w:rsidRPr="0074375C">
              <w:rPr>
                <w:sz w:val="20"/>
                <w:szCs w:val="20"/>
              </w:rPr>
              <w:t>oraz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ocenę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CDAI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albo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8720C" w:rsidRPr="0074375C">
              <w:rPr>
                <w:sz w:val="20"/>
                <w:szCs w:val="20"/>
              </w:rPr>
              <w:t>PCDAI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(jeśli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dotyczy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242E40" w:rsidRPr="0074375C">
              <w:rPr>
                <w:sz w:val="20"/>
                <w:szCs w:val="20"/>
              </w:rPr>
              <w:t>dzieci)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BA3BF2" w:rsidRPr="0074375C">
              <w:rPr>
                <w:sz w:val="20"/>
                <w:szCs w:val="20"/>
              </w:rPr>
              <w:t xml:space="preserve"> przynajmniej co 16 tygodni. W przypadku leczenia podtrzymującego preparatem podskórnym i podawania preparatu w domu, można odstępy między powyższymi badaniami wydłużyć maksymalnie do 24 tygodni.</w:t>
            </w:r>
          </w:p>
          <w:p w14:paraId="5E7101AF" w14:textId="57A2A4FB" w:rsidR="00195F6C" w:rsidRPr="0074375C" w:rsidRDefault="00195F6C" w:rsidP="00341CA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celu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optymalizacji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leczenia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B92125" w:rsidRPr="0074375C">
              <w:rPr>
                <w:sz w:val="20"/>
                <w:szCs w:val="20"/>
              </w:rPr>
              <w:t>biologicznego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oraz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oceny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ryzyka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wtórnej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utraty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skuteczności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leczenia,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0D6F6B" w:rsidRPr="0074375C">
              <w:rPr>
                <w:sz w:val="20"/>
                <w:szCs w:val="20"/>
              </w:rPr>
              <w:t>można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wykonać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oznaczenie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poziomu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leku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biologicznego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przed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kolejną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dawką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oraz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stężenia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przeciwciał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przeciwko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lekowi,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jednak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częściej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niż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dwa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razy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roku.</w:t>
            </w:r>
          </w:p>
          <w:p w14:paraId="305A7330" w14:textId="30CACC7B" w:rsidR="00195F6C" w:rsidRPr="0074375C" w:rsidRDefault="00195F6C" w:rsidP="00341CA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Dodatkowo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="001C6BBF" w:rsidRPr="0074375C">
              <w:rPr>
                <w:sz w:val="20"/>
                <w:szCs w:val="20"/>
              </w:rPr>
              <w:t>można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wykonać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oznaczanie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kalprotektyny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kale,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jednak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nie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częściej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niż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dwa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razy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do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roku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w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trakcie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trwania</w:t>
            </w:r>
            <w:r w:rsidR="00DC4413" w:rsidRPr="0074375C">
              <w:rPr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>leczenia.</w:t>
            </w:r>
            <w:r w:rsidR="00DC4413" w:rsidRPr="0074375C">
              <w:rPr>
                <w:sz w:val="20"/>
                <w:szCs w:val="20"/>
              </w:rPr>
              <w:t xml:space="preserve"> </w:t>
            </w:r>
          </w:p>
          <w:p w14:paraId="1901BF66" w14:textId="1C8F2493" w:rsidR="00195F6C" w:rsidRPr="0074375C" w:rsidRDefault="00195F6C" w:rsidP="00341CA6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Ponadto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="001C6BBF" w:rsidRPr="0074375C">
              <w:rPr>
                <w:bCs/>
                <w:iCs/>
                <w:sz w:val="20"/>
                <w:szCs w:val="20"/>
              </w:rPr>
              <w:t>można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wykonać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ileokolonoskopię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i/lub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badanie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techniką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rezonansu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magnetycznego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ramach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monitorowania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skuteczności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leczenia.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Badanie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wykonywane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nie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częściej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niż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raz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do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roku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w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trakcie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wszystkich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lat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leczenia.</w:t>
            </w:r>
          </w:p>
          <w:p w14:paraId="7318600D" w14:textId="678A4E51" w:rsidR="00195F6C" w:rsidRPr="0074375C" w:rsidRDefault="00195F6C" w:rsidP="00341CA6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4375C">
              <w:rPr>
                <w:bCs/>
                <w:iCs/>
                <w:sz w:val="20"/>
                <w:szCs w:val="20"/>
              </w:rPr>
              <w:t>Decyzję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dotyczącą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wykonania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powyższych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badań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diagnostycznych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i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oznaczeń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mających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na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celu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optymalizację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leczenia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podejmuje</w:t>
            </w:r>
            <w:r w:rsidR="00DC4413" w:rsidRPr="0074375C">
              <w:rPr>
                <w:bCs/>
                <w:iCs/>
                <w:sz w:val="20"/>
                <w:szCs w:val="20"/>
              </w:rPr>
              <w:t xml:space="preserve"> </w:t>
            </w:r>
            <w:r w:rsidRPr="0074375C">
              <w:rPr>
                <w:bCs/>
                <w:iCs/>
                <w:sz w:val="20"/>
                <w:szCs w:val="20"/>
              </w:rPr>
              <w:t>świadczeniodawca.</w:t>
            </w:r>
          </w:p>
          <w:p w14:paraId="7F6F3BF4" w14:textId="77777777" w:rsidR="00A969F7" w:rsidRPr="0074375C" w:rsidRDefault="00A969F7" w:rsidP="00341CA6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</w:p>
          <w:p w14:paraId="613BECA1" w14:textId="618FD412" w:rsidR="00887EC5" w:rsidRPr="0074375C" w:rsidRDefault="00A969F7" w:rsidP="00887EC5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Monitorowanie skuteczności leczenia</w:t>
            </w:r>
          </w:p>
          <w:p w14:paraId="3EBD5C24" w14:textId="77777777" w:rsidR="00887EC5" w:rsidRPr="0074375C" w:rsidRDefault="00887EC5" w:rsidP="00887EC5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lastRenderedPageBreak/>
              <w:t>Na podstawie ww. badań w celu monitorowania skuteczności leczenia przekazywane są dane dotyczące wskaźników skuteczności terapii finansowanych w programie, dla których jest możliwe ich określenie przez lekarza prowadzącego dla indywidualnego pacjenta, tj.:</w:t>
            </w:r>
          </w:p>
          <w:p w14:paraId="0184B2B7" w14:textId="3D1886BB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odpowiedź na leczenie rozumiana jako stwierdzenie spadku aktywności CDAI o co najmniej 70 pkt oraz o co najmniej 25% względem wartości początkowej albo zmniejszenie wskaźnika PCDAI o co najmniej 12,5 punktów względem wartości początkowej oraz PCDAI &lt; 30 punktów – ocena na koniec okresu leczenia indukcyjnego;</w:t>
            </w:r>
          </w:p>
          <w:p w14:paraId="5AC8BD97" w14:textId="13E89DA9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remisja kliniczna rozumiana jako CDAI poniżej 150 pkt albo PCDAI &lt; 30 punktów, przy jednoczesnym braku konieczności stosowania steroidów i braku leczenia chirurgicznego, w przypadku gdy oceniany lek był stosowany nieprzerwanie przez 12 miesięcy – ocena co 12 miesięcy  +/- 4 tygodnie od początku leczenia;</w:t>
            </w:r>
          </w:p>
          <w:p w14:paraId="621E4304" w14:textId="1FE7133C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brak odpowiedzi na leczenie rozumiany jako brak spełnienia kryteriów odpowiedzi na leczenie (powyżej) na koniec okresu leczenia indukcyjnego;</w:t>
            </w:r>
          </w:p>
          <w:p w14:paraId="3DFDCABE" w14:textId="161FC69E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utrata skuteczności leczenia rozumiana jako konieczność zmiany leczenia u osób, które miały odpowiedź na leczenie indukcyjne - ocena co najmniej raz na 12 miesięcy  +/- 4 tygodnie od początku leczenia;</w:t>
            </w:r>
          </w:p>
          <w:p w14:paraId="4C57B024" w14:textId="6EA877CF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lastRenderedPageBreak/>
              <w:t>konieczność leczenia chirurgicznego oceniana co najmniej raz na 12 miesięcy +/- 4 tygodnie od początku leczenia;</w:t>
            </w:r>
          </w:p>
          <w:p w14:paraId="312545F9" w14:textId="5CBEFF66" w:rsidR="00887EC5" w:rsidRPr="0074375C" w:rsidRDefault="00887EC5" w:rsidP="00887EC5">
            <w:pPr>
              <w:pStyle w:val="Akapitzlist"/>
              <w:numPr>
                <w:ilvl w:val="0"/>
                <w:numId w:val="3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wystąpienie istotnych działań niepożądanych rozumiane jako konieczność zaprzestania terapii danym lekiem z powodu działań niepożądanych - ocena co najmniej raz na 12 miesięcy +/- 4 tygodnie od początku leczenia.</w:t>
            </w:r>
          </w:p>
          <w:p w14:paraId="1BF746EC" w14:textId="77777777" w:rsidR="00A969F7" w:rsidRPr="0074375C" w:rsidRDefault="00A969F7" w:rsidP="00887EC5">
            <w:pPr>
              <w:pStyle w:val="Akapitzlist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077F359" w14:textId="4219E70C" w:rsidR="005729A1" w:rsidRPr="0074375C" w:rsidRDefault="005729A1" w:rsidP="00BA3BF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74375C">
              <w:rPr>
                <w:b/>
                <w:sz w:val="20"/>
                <w:szCs w:val="20"/>
              </w:rPr>
              <w:t>Monitorowanie</w:t>
            </w:r>
            <w:r w:rsidR="00DC4413" w:rsidRPr="0074375C">
              <w:rPr>
                <w:b/>
                <w:sz w:val="20"/>
                <w:szCs w:val="20"/>
              </w:rPr>
              <w:t xml:space="preserve"> </w:t>
            </w:r>
            <w:r w:rsidRPr="0074375C">
              <w:rPr>
                <w:b/>
                <w:sz w:val="20"/>
                <w:szCs w:val="20"/>
              </w:rPr>
              <w:t>programu</w:t>
            </w:r>
          </w:p>
          <w:p w14:paraId="14EDE0E4" w14:textId="77777777" w:rsidR="00BA3BF2" w:rsidRPr="0074375C" w:rsidRDefault="00BA3BF2" w:rsidP="00BA3BF2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4D94A5F" w14:textId="6E241F3E" w:rsidR="00BA3BF2" w:rsidRPr="0074375C" w:rsidRDefault="00BA3BF2" w:rsidP="00BA3BF2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uzupełnienie danych zawartych w elektronicznym systemie monitorowania programów lekowych</w:t>
            </w:r>
            <w:r w:rsidR="00A969F7" w:rsidRPr="0074375C">
              <w:rPr>
                <w:sz w:val="20"/>
                <w:szCs w:val="20"/>
              </w:rPr>
              <w:t xml:space="preserve">, </w:t>
            </w:r>
            <w:r w:rsidR="00A969F7" w:rsidRPr="0074375C">
              <w:rPr>
                <w:color w:val="000000"/>
                <w:sz w:val="20"/>
                <w:szCs w:val="20"/>
              </w:rPr>
              <w:t xml:space="preserve">w tym przekazywanie danych dotyczących wskaźników skuteczności terapii zawartych w pkt </w:t>
            </w:r>
            <w:r w:rsidR="00A969F7" w:rsidRPr="0074375C">
              <w:rPr>
                <w:i/>
                <w:iCs/>
                <w:color w:val="000000"/>
                <w:sz w:val="20"/>
                <w:szCs w:val="20"/>
              </w:rPr>
              <w:t>3</w:t>
            </w:r>
            <w:r w:rsidR="00887EC5" w:rsidRPr="0074375C">
              <w:rPr>
                <w:i/>
                <w:iCs/>
                <w:color w:val="000000"/>
                <w:sz w:val="20"/>
                <w:szCs w:val="20"/>
              </w:rPr>
              <w:t>. Monitorowanie skuteczności leczenia</w:t>
            </w:r>
            <w:r w:rsidR="00887EC5" w:rsidRPr="0074375C">
              <w:rPr>
                <w:color w:val="000000"/>
                <w:sz w:val="20"/>
                <w:szCs w:val="20"/>
              </w:rPr>
              <w:t xml:space="preserve"> </w:t>
            </w:r>
            <w:r w:rsidR="00A969F7" w:rsidRPr="0074375C">
              <w:rPr>
                <w:color w:val="000000"/>
                <w:sz w:val="20"/>
                <w:szCs w:val="20"/>
              </w:rPr>
              <w:t xml:space="preserve"> </w:t>
            </w:r>
            <w:r w:rsidRPr="0074375C">
              <w:rPr>
                <w:sz w:val="20"/>
                <w:szCs w:val="20"/>
              </w:rPr>
              <w:t xml:space="preserve"> dostępnym za pomocą aplikacji internetowej udostępnionej przez OW NFZ, z częstotliwością zgodną z opisem programu oraz na zakończenie leczenia;</w:t>
            </w:r>
          </w:p>
          <w:p w14:paraId="1F06D330" w14:textId="77777777" w:rsidR="00BA3BF2" w:rsidRPr="0074375C" w:rsidRDefault="00BA3BF2" w:rsidP="00BA3BF2">
            <w:pPr>
              <w:pStyle w:val="Akapitzlist"/>
              <w:numPr>
                <w:ilvl w:val="3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4375C">
              <w:rPr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  <w:p w14:paraId="514635EE" w14:textId="77777777" w:rsidR="00C91316" w:rsidRPr="00A56AF1" w:rsidRDefault="00C91316" w:rsidP="00F237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5F435022" w14:textId="77777777" w:rsidR="00E1363E" w:rsidRPr="00A56AF1" w:rsidRDefault="00E1363E" w:rsidP="000C0385">
      <w:pPr>
        <w:autoSpaceDE w:val="0"/>
        <w:autoSpaceDN w:val="0"/>
        <w:adjustRightInd w:val="0"/>
        <w:spacing w:after="60" w:line="360" w:lineRule="auto"/>
        <w:jc w:val="both"/>
        <w:rPr>
          <w:b/>
          <w:bCs/>
          <w:sz w:val="20"/>
          <w:szCs w:val="20"/>
        </w:rPr>
      </w:pPr>
    </w:p>
    <w:sectPr w:rsidR="00E1363E" w:rsidRPr="00A56AF1" w:rsidSect="006D471A">
      <w:pgSz w:w="16840" w:h="11907" w:orient="landscape" w:code="1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1A24275C"/>
    <w:name w:val="WWNum22"/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7" w:hanging="227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97" w:hanging="227"/>
      </w:pPr>
      <w:rPr>
        <w:b w:val="0"/>
        <w:bCs/>
      </w:rPr>
    </w:lvl>
    <w:lvl w:ilvl="3">
      <w:start w:val="1"/>
      <w:numFmt w:val="lowerLetter"/>
      <w:lvlText w:val="%2.%3.%4)"/>
      <w:lvlJc w:val="left"/>
      <w:pPr>
        <w:tabs>
          <w:tab w:val="num" w:pos="0"/>
        </w:tabs>
        <w:ind w:left="567" w:hanging="227"/>
      </w:pPr>
    </w:lvl>
    <w:lvl w:ilvl="4">
      <w:start w:val="1"/>
      <w:numFmt w:val="bullet"/>
      <w:lvlText w:val=""/>
      <w:lvlJc w:val="left"/>
      <w:pPr>
        <w:tabs>
          <w:tab w:val="num" w:pos="0"/>
        </w:tabs>
        <w:ind w:left="680" w:hanging="170"/>
      </w:pPr>
      <w:rPr>
        <w:rFonts w:ascii="Symbol" w:hAnsi="Symbol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94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44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5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26" w:hanging="1440"/>
      </w:pPr>
    </w:lvl>
  </w:abstractNum>
  <w:abstractNum w:abstractNumId="1" w15:restartNumberingAfterBreak="0">
    <w:nsid w:val="06372AC0"/>
    <w:multiLevelType w:val="hybridMultilevel"/>
    <w:tmpl w:val="983CD596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9C5D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92707"/>
    <w:multiLevelType w:val="hybridMultilevel"/>
    <w:tmpl w:val="79622438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C4ACEAA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4C8E7C26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11054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3B412DB"/>
    <w:multiLevelType w:val="hybridMultilevel"/>
    <w:tmpl w:val="0C6A81A8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7">
      <w:start w:val="1"/>
      <w:numFmt w:val="lowerLetter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83D12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84C58FD"/>
    <w:multiLevelType w:val="multilevel"/>
    <w:tmpl w:val="6D6ADB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9AA54E8"/>
    <w:multiLevelType w:val="multilevel"/>
    <w:tmpl w:val="6D6ADB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FFE1610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4C265A7"/>
    <w:multiLevelType w:val="hybridMultilevel"/>
    <w:tmpl w:val="1A3A6AE2"/>
    <w:lvl w:ilvl="0" w:tplc="4C8E7C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A078C4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2C00269C"/>
    <w:multiLevelType w:val="hybridMultilevel"/>
    <w:tmpl w:val="38BCD2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02CF5"/>
    <w:multiLevelType w:val="hybridMultilevel"/>
    <w:tmpl w:val="C1F43ADC"/>
    <w:lvl w:ilvl="0" w:tplc="8EEC6A30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734A1"/>
    <w:multiLevelType w:val="hybridMultilevel"/>
    <w:tmpl w:val="38BCD2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6267B"/>
    <w:multiLevelType w:val="hybridMultilevel"/>
    <w:tmpl w:val="708404FC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A552EA86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B73987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88C717E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DBF6362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4FB35023"/>
    <w:multiLevelType w:val="hybridMultilevel"/>
    <w:tmpl w:val="903A6560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1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C73892"/>
    <w:multiLevelType w:val="hybridMultilevel"/>
    <w:tmpl w:val="14FC6DAE"/>
    <w:lvl w:ilvl="0" w:tplc="CC4ACEA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786" w:hanging="360"/>
      </w:pPr>
    </w:lvl>
    <w:lvl w:ilvl="2" w:tplc="3D403B3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D29B3"/>
    <w:multiLevelType w:val="hybridMultilevel"/>
    <w:tmpl w:val="85E89436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CF4938"/>
    <w:multiLevelType w:val="hybridMultilevel"/>
    <w:tmpl w:val="79F8ABDC"/>
    <w:lvl w:ilvl="0" w:tplc="4C8E7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4CB"/>
    <w:multiLevelType w:val="hybridMultilevel"/>
    <w:tmpl w:val="2DF0B72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779B5"/>
    <w:multiLevelType w:val="hybridMultilevel"/>
    <w:tmpl w:val="B7EC8BF2"/>
    <w:lvl w:ilvl="0" w:tplc="42B4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53B5C"/>
    <w:multiLevelType w:val="multilevel"/>
    <w:tmpl w:val="DD9E7A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F531DAC"/>
    <w:multiLevelType w:val="hybridMultilevel"/>
    <w:tmpl w:val="85E89436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F44E7E4">
      <w:start w:val="1"/>
      <w:numFmt w:val="decimal"/>
      <w:lvlText w:val="1.%2"/>
      <w:lvlJc w:val="left"/>
      <w:pPr>
        <w:ind w:left="502" w:hanging="360"/>
      </w:pPr>
      <w:rPr>
        <w:rFonts w:hint="default"/>
        <w:b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4B452B"/>
    <w:multiLevelType w:val="hybridMultilevel"/>
    <w:tmpl w:val="38BCD2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B0087"/>
    <w:multiLevelType w:val="multilevel"/>
    <w:tmpl w:val="DF8C8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4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56" w:hanging="1440"/>
      </w:pPr>
      <w:rPr>
        <w:rFonts w:hint="default"/>
      </w:rPr>
    </w:lvl>
  </w:abstractNum>
  <w:abstractNum w:abstractNumId="29" w15:restartNumberingAfterBreak="0">
    <w:nsid w:val="75645859"/>
    <w:multiLevelType w:val="multilevel"/>
    <w:tmpl w:val="6D6ADB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78E9660C"/>
    <w:multiLevelType w:val="multilevel"/>
    <w:tmpl w:val="46B61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5A7B24"/>
    <w:multiLevelType w:val="hybridMultilevel"/>
    <w:tmpl w:val="F3CA5052"/>
    <w:lvl w:ilvl="0" w:tplc="42B4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76C69"/>
    <w:multiLevelType w:val="hybridMultilevel"/>
    <w:tmpl w:val="E91A1434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5D8E9B48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EC4544"/>
    <w:multiLevelType w:val="hybridMultilevel"/>
    <w:tmpl w:val="0F92AF9C"/>
    <w:lvl w:ilvl="0" w:tplc="A16076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8EEC6A30">
      <w:start w:val="1"/>
      <w:numFmt w:val="decimal"/>
      <w:lvlText w:val="%2)"/>
      <w:lvlJc w:val="left"/>
      <w:pPr>
        <w:ind w:left="502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9276403">
    <w:abstractNumId w:val="26"/>
  </w:num>
  <w:num w:numId="2" w16cid:durableId="457844564">
    <w:abstractNumId w:val="3"/>
  </w:num>
  <w:num w:numId="3" w16cid:durableId="274795827">
    <w:abstractNumId w:val="20"/>
  </w:num>
  <w:num w:numId="4" w16cid:durableId="1109659702">
    <w:abstractNumId w:val="33"/>
  </w:num>
  <w:num w:numId="5" w16cid:durableId="1881281567">
    <w:abstractNumId w:val="19"/>
  </w:num>
  <w:num w:numId="6" w16cid:durableId="1805346301">
    <w:abstractNumId w:val="10"/>
  </w:num>
  <w:num w:numId="7" w16cid:durableId="1783112354">
    <w:abstractNumId w:val="32"/>
  </w:num>
  <w:num w:numId="8" w16cid:durableId="1021199122">
    <w:abstractNumId w:val="21"/>
  </w:num>
  <w:num w:numId="9" w16cid:durableId="1375427678">
    <w:abstractNumId w:val="15"/>
  </w:num>
  <w:num w:numId="10" w16cid:durableId="256377235">
    <w:abstractNumId w:val="23"/>
  </w:num>
  <w:num w:numId="11" w16cid:durableId="2106613216">
    <w:abstractNumId w:val="12"/>
  </w:num>
  <w:num w:numId="12" w16cid:durableId="498544637">
    <w:abstractNumId w:val="13"/>
  </w:num>
  <w:num w:numId="13" w16cid:durableId="282925954">
    <w:abstractNumId w:val="22"/>
  </w:num>
  <w:num w:numId="14" w16cid:durableId="661158569">
    <w:abstractNumId w:val="5"/>
  </w:num>
  <w:num w:numId="15" w16cid:durableId="216598335">
    <w:abstractNumId w:val="27"/>
  </w:num>
  <w:num w:numId="16" w16cid:durableId="1299648120">
    <w:abstractNumId w:val="14"/>
  </w:num>
  <w:num w:numId="17" w16cid:durableId="1088424782">
    <w:abstractNumId w:val="1"/>
  </w:num>
  <w:num w:numId="18" w16cid:durableId="433016528">
    <w:abstractNumId w:val="2"/>
  </w:num>
  <w:num w:numId="19" w16cid:durableId="1012680500">
    <w:abstractNumId w:val="30"/>
  </w:num>
  <w:num w:numId="20" w16cid:durableId="1461995315">
    <w:abstractNumId w:val="7"/>
  </w:num>
  <w:num w:numId="21" w16cid:durableId="1900047096">
    <w:abstractNumId w:val="8"/>
  </w:num>
  <w:num w:numId="22" w16cid:durableId="208340964">
    <w:abstractNumId w:val="29"/>
  </w:num>
  <w:num w:numId="23" w16cid:durableId="468865955">
    <w:abstractNumId w:val="0"/>
  </w:num>
  <w:num w:numId="24" w16cid:durableId="970750341">
    <w:abstractNumId w:val="28"/>
  </w:num>
  <w:num w:numId="25" w16cid:durableId="243220067">
    <w:abstractNumId w:val="18"/>
  </w:num>
  <w:num w:numId="26" w16cid:durableId="1130593433">
    <w:abstractNumId w:val="25"/>
  </w:num>
  <w:num w:numId="27" w16cid:durableId="1446927964">
    <w:abstractNumId w:val="17"/>
  </w:num>
  <w:num w:numId="28" w16cid:durableId="204636141">
    <w:abstractNumId w:val="9"/>
  </w:num>
  <w:num w:numId="29" w16cid:durableId="1976523115">
    <w:abstractNumId w:val="16"/>
  </w:num>
  <w:num w:numId="30" w16cid:durableId="353190354">
    <w:abstractNumId w:val="6"/>
  </w:num>
  <w:num w:numId="31" w16cid:durableId="1526475847">
    <w:abstractNumId w:val="4"/>
  </w:num>
  <w:num w:numId="32" w16cid:durableId="1266379688">
    <w:abstractNumId w:val="11"/>
  </w:num>
  <w:num w:numId="33" w16cid:durableId="1189636201">
    <w:abstractNumId w:val="24"/>
  </w:num>
  <w:num w:numId="34" w16cid:durableId="803237056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BF"/>
    <w:rsid w:val="000070BF"/>
    <w:rsid w:val="00007B5F"/>
    <w:rsid w:val="0001029A"/>
    <w:rsid w:val="00012086"/>
    <w:rsid w:val="00021BC3"/>
    <w:rsid w:val="00027F77"/>
    <w:rsid w:val="00030E13"/>
    <w:rsid w:val="00034858"/>
    <w:rsid w:val="00035AB9"/>
    <w:rsid w:val="000369BA"/>
    <w:rsid w:val="00040781"/>
    <w:rsid w:val="00040DB4"/>
    <w:rsid w:val="00043623"/>
    <w:rsid w:val="0005465A"/>
    <w:rsid w:val="00057C6C"/>
    <w:rsid w:val="00065256"/>
    <w:rsid w:val="00065350"/>
    <w:rsid w:val="0006546E"/>
    <w:rsid w:val="00070A88"/>
    <w:rsid w:val="00074134"/>
    <w:rsid w:val="000848E5"/>
    <w:rsid w:val="000855D6"/>
    <w:rsid w:val="000A1DC7"/>
    <w:rsid w:val="000A569B"/>
    <w:rsid w:val="000B0F4F"/>
    <w:rsid w:val="000B35DB"/>
    <w:rsid w:val="000B670C"/>
    <w:rsid w:val="000C0385"/>
    <w:rsid w:val="000C1401"/>
    <w:rsid w:val="000C4E0E"/>
    <w:rsid w:val="000D145B"/>
    <w:rsid w:val="000D6F6B"/>
    <w:rsid w:val="000D78B2"/>
    <w:rsid w:val="000E3082"/>
    <w:rsid w:val="000F55F3"/>
    <w:rsid w:val="0010608A"/>
    <w:rsid w:val="0012187D"/>
    <w:rsid w:val="00137708"/>
    <w:rsid w:val="00143A87"/>
    <w:rsid w:val="00143AE8"/>
    <w:rsid w:val="00145695"/>
    <w:rsid w:val="00147214"/>
    <w:rsid w:val="0015142E"/>
    <w:rsid w:val="00151FDE"/>
    <w:rsid w:val="0015209C"/>
    <w:rsid w:val="00173851"/>
    <w:rsid w:val="00173E20"/>
    <w:rsid w:val="00180059"/>
    <w:rsid w:val="0018288D"/>
    <w:rsid w:val="00190466"/>
    <w:rsid w:val="00194DC3"/>
    <w:rsid w:val="00195F6C"/>
    <w:rsid w:val="001972AE"/>
    <w:rsid w:val="001A0C4A"/>
    <w:rsid w:val="001A29F4"/>
    <w:rsid w:val="001A4D17"/>
    <w:rsid w:val="001B2292"/>
    <w:rsid w:val="001C0E15"/>
    <w:rsid w:val="001C192D"/>
    <w:rsid w:val="001C4A5C"/>
    <w:rsid w:val="001C6BBF"/>
    <w:rsid w:val="001C7290"/>
    <w:rsid w:val="001D59BF"/>
    <w:rsid w:val="001D5AE9"/>
    <w:rsid w:val="001E1F49"/>
    <w:rsid w:val="001F093D"/>
    <w:rsid w:val="001F2BF2"/>
    <w:rsid w:val="001F452F"/>
    <w:rsid w:val="001F48A9"/>
    <w:rsid w:val="001F4ECA"/>
    <w:rsid w:val="001F6E53"/>
    <w:rsid w:val="00200EEC"/>
    <w:rsid w:val="002016C4"/>
    <w:rsid w:val="00204C9B"/>
    <w:rsid w:val="002124F3"/>
    <w:rsid w:val="00213A6E"/>
    <w:rsid w:val="00215C0C"/>
    <w:rsid w:val="00222437"/>
    <w:rsid w:val="002242BC"/>
    <w:rsid w:val="002279C8"/>
    <w:rsid w:val="002332A5"/>
    <w:rsid w:val="00234468"/>
    <w:rsid w:val="00242E40"/>
    <w:rsid w:val="00246B8C"/>
    <w:rsid w:val="002510F2"/>
    <w:rsid w:val="00263145"/>
    <w:rsid w:val="00270E9E"/>
    <w:rsid w:val="00285231"/>
    <w:rsid w:val="0028720C"/>
    <w:rsid w:val="00291037"/>
    <w:rsid w:val="002A750A"/>
    <w:rsid w:val="002B198A"/>
    <w:rsid w:val="002C0386"/>
    <w:rsid w:val="002C08DD"/>
    <w:rsid w:val="002C2EC6"/>
    <w:rsid w:val="002C366A"/>
    <w:rsid w:val="00301930"/>
    <w:rsid w:val="00304AE0"/>
    <w:rsid w:val="00312D95"/>
    <w:rsid w:val="0031636E"/>
    <w:rsid w:val="00317FFE"/>
    <w:rsid w:val="003267C8"/>
    <w:rsid w:val="00341CA6"/>
    <w:rsid w:val="00342105"/>
    <w:rsid w:val="00344755"/>
    <w:rsid w:val="00344C2B"/>
    <w:rsid w:val="0034771F"/>
    <w:rsid w:val="00352B22"/>
    <w:rsid w:val="003561A2"/>
    <w:rsid w:val="003769B4"/>
    <w:rsid w:val="003800AB"/>
    <w:rsid w:val="00380B03"/>
    <w:rsid w:val="00386E4C"/>
    <w:rsid w:val="00387ECB"/>
    <w:rsid w:val="003906BF"/>
    <w:rsid w:val="00396456"/>
    <w:rsid w:val="0039724F"/>
    <w:rsid w:val="003B5105"/>
    <w:rsid w:val="003C1865"/>
    <w:rsid w:val="003C2FBE"/>
    <w:rsid w:val="003C773D"/>
    <w:rsid w:val="003E5699"/>
    <w:rsid w:val="003E78DD"/>
    <w:rsid w:val="003F782D"/>
    <w:rsid w:val="004042A0"/>
    <w:rsid w:val="00404A6A"/>
    <w:rsid w:val="0041237C"/>
    <w:rsid w:val="00412E6A"/>
    <w:rsid w:val="00420460"/>
    <w:rsid w:val="00434549"/>
    <w:rsid w:val="00434C71"/>
    <w:rsid w:val="0044364F"/>
    <w:rsid w:val="0044622B"/>
    <w:rsid w:val="004509D5"/>
    <w:rsid w:val="00455C0D"/>
    <w:rsid w:val="00460048"/>
    <w:rsid w:val="004617B8"/>
    <w:rsid w:val="004638A6"/>
    <w:rsid w:val="00464478"/>
    <w:rsid w:val="00473C75"/>
    <w:rsid w:val="004754AC"/>
    <w:rsid w:val="00475575"/>
    <w:rsid w:val="0047582C"/>
    <w:rsid w:val="00482E42"/>
    <w:rsid w:val="00483D5A"/>
    <w:rsid w:val="00490451"/>
    <w:rsid w:val="00490580"/>
    <w:rsid w:val="00491B34"/>
    <w:rsid w:val="004A06B4"/>
    <w:rsid w:val="004A0E54"/>
    <w:rsid w:val="004A1FDE"/>
    <w:rsid w:val="004A24EF"/>
    <w:rsid w:val="004B6D78"/>
    <w:rsid w:val="004C23D8"/>
    <w:rsid w:val="004C3EFD"/>
    <w:rsid w:val="004C447E"/>
    <w:rsid w:val="004E2DDD"/>
    <w:rsid w:val="004F66D0"/>
    <w:rsid w:val="004F6F80"/>
    <w:rsid w:val="005038FC"/>
    <w:rsid w:val="005041D9"/>
    <w:rsid w:val="0050548B"/>
    <w:rsid w:val="00513A64"/>
    <w:rsid w:val="00520C21"/>
    <w:rsid w:val="00525893"/>
    <w:rsid w:val="00527BB1"/>
    <w:rsid w:val="00532431"/>
    <w:rsid w:val="00536F1A"/>
    <w:rsid w:val="00541997"/>
    <w:rsid w:val="00546B9F"/>
    <w:rsid w:val="0054754B"/>
    <w:rsid w:val="00556D5C"/>
    <w:rsid w:val="00557A9C"/>
    <w:rsid w:val="0056639E"/>
    <w:rsid w:val="00570C8B"/>
    <w:rsid w:val="005729A1"/>
    <w:rsid w:val="005744C7"/>
    <w:rsid w:val="005A7107"/>
    <w:rsid w:val="005A714A"/>
    <w:rsid w:val="005A7CC8"/>
    <w:rsid w:val="005B211A"/>
    <w:rsid w:val="005B7D4E"/>
    <w:rsid w:val="005C0214"/>
    <w:rsid w:val="005C12AC"/>
    <w:rsid w:val="005C5ECB"/>
    <w:rsid w:val="005D20B6"/>
    <w:rsid w:val="005D363E"/>
    <w:rsid w:val="00600832"/>
    <w:rsid w:val="00615028"/>
    <w:rsid w:val="00636691"/>
    <w:rsid w:val="00637DFE"/>
    <w:rsid w:val="0064252E"/>
    <w:rsid w:val="006444A1"/>
    <w:rsid w:val="00645157"/>
    <w:rsid w:val="00645247"/>
    <w:rsid w:val="006503A0"/>
    <w:rsid w:val="006527D3"/>
    <w:rsid w:val="006574F3"/>
    <w:rsid w:val="0066770F"/>
    <w:rsid w:val="006718CB"/>
    <w:rsid w:val="006858C1"/>
    <w:rsid w:val="00694348"/>
    <w:rsid w:val="006A3209"/>
    <w:rsid w:val="006C1E1E"/>
    <w:rsid w:val="006C3273"/>
    <w:rsid w:val="006C6506"/>
    <w:rsid w:val="006D0A9D"/>
    <w:rsid w:val="006D1B27"/>
    <w:rsid w:val="006D2DAC"/>
    <w:rsid w:val="006D471A"/>
    <w:rsid w:val="006D4F8B"/>
    <w:rsid w:val="006F17B0"/>
    <w:rsid w:val="007024D8"/>
    <w:rsid w:val="00707114"/>
    <w:rsid w:val="007077AB"/>
    <w:rsid w:val="00717135"/>
    <w:rsid w:val="00721438"/>
    <w:rsid w:val="00732028"/>
    <w:rsid w:val="00736E67"/>
    <w:rsid w:val="00736F96"/>
    <w:rsid w:val="007424BA"/>
    <w:rsid w:val="0074375C"/>
    <w:rsid w:val="00744896"/>
    <w:rsid w:val="00746C87"/>
    <w:rsid w:val="00760FD5"/>
    <w:rsid w:val="00765FBE"/>
    <w:rsid w:val="00771578"/>
    <w:rsid w:val="0077374D"/>
    <w:rsid w:val="00773DF5"/>
    <w:rsid w:val="007752C9"/>
    <w:rsid w:val="00777496"/>
    <w:rsid w:val="00781B21"/>
    <w:rsid w:val="0078248A"/>
    <w:rsid w:val="00784445"/>
    <w:rsid w:val="00786EE6"/>
    <w:rsid w:val="00797462"/>
    <w:rsid w:val="007C4590"/>
    <w:rsid w:val="007D10C0"/>
    <w:rsid w:val="007D1A07"/>
    <w:rsid w:val="007E162F"/>
    <w:rsid w:val="007F0ACF"/>
    <w:rsid w:val="007F6334"/>
    <w:rsid w:val="007F7015"/>
    <w:rsid w:val="00803A33"/>
    <w:rsid w:val="008144A2"/>
    <w:rsid w:val="00823A18"/>
    <w:rsid w:val="00827839"/>
    <w:rsid w:val="00831454"/>
    <w:rsid w:val="008315C1"/>
    <w:rsid w:val="00832571"/>
    <w:rsid w:val="0083336E"/>
    <w:rsid w:val="0083733E"/>
    <w:rsid w:val="00845D8A"/>
    <w:rsid w:val="00851B41"/>
    <w:rsid w:val="00857375"/>
    <w:rsid w:val="00872756"/>
    <w:rsid w:val="00874F73"/>
    <w:rsid w:val="00875D4D"/>
    <w:rsid w:val="00887EC5"/>
    <w:rsid w:val="00890880"/>
    <w:rsid w:val="008B18AF"/>
    <w:rsid w:val="008B4135"/>
    <w:rsid w:val="008B5B81"/>
    <w:rsid w:val="008B5DEA"/>
    <w:rsid w:val="008C1893"/>
    <w:rsid w:val="008C3F71"/>
    <w:rsid w:val="008C7E8B"/>
    <w:rsid w:val="008D5D3E"/>
    <w:rsid w:val="008D79B6"/>
    <w:rsid w:val="008E0459"/>
    <w:rsid w:val="008F388F"/>
    <w:rsid w:val="008F3EC7"/>
    <w:rsid w:val="008F4796"/>
    <w:rsid w:val="008F4F9D"/>
    <w:rsid w:val="008F4FDD"/>
    <w:rsid w:val="008F5DD9"/>
    <w:rsid w:val="00912ADC"/>
    <w:rsid w:val="00912B4F"/>
    <w:rsid w:val="009161D2"/>
    <w:rsid w:val="009164EA"/>
    <w:rsid w:val="00922925"/>
    <w:rsid w:val="0092489E"/>
    <w:rsid w:val="00930A05"/>
    <w:rsid w:val="0093273B"/>
    <w:rsid w:val="00933DAA"/>
    <w:rsid w:val="00940091"/>
    <w:rsid w:val="00940875"/>
    <w:rsid w:val="009436C7"/>
    <w:rsid w:val="0094740F"/>
    <w:rsid w:val="009506F1"/>
    <w:rsid w:val="00954A45"/>
    <w:rsid w:val="009634CA"/>
    <w:rsid w:val="009713D6"/>
    <w:rsid w:val="0097196B"/>
    <w:rsid w:val="009722D0"/>
    <w:rsid w:val="009755A5"/>
    <w:rsid w:val="009772C6"/>
    <w:rsid w:val="009777DD"/>
    <w:rsid w:val="009969E3"/>
    <w:rsid w:val="009A2F0B"/>
    <w:rsid w:val="009A3B54"/>
    <w:rsid w:val="009A6FB1"/>
    <w:rsid w:val="009B011E"/>
    <w:rsid w:val="009B2FF0"/>
    <w:rsid w:val="009C3A5B"/>
    <w:rsid w:val="009C693A"/>
    <w:rsid w:val="009D5592"/>
    <w:rsid w:val="009D65CC"/>
    <w:rsid w:val="009E180D"/>
    <w:rsid w:val="009E5D16"/>
    <w:rsid w:val="009F230D"/>
    <w:rsid w:val="00A02F84"/>
    <w:rsid w:val="00A0300D"/>
    <w:rsid w:val="00A0364E"/>
    <w:rsid w:val="00A05A26"/>
    <w:rsid w:val="00A121D5"/>
    <w:rsid w:val="00A12D8A"/>
    <w:rsid w:val="00A141B0"/>
    <w:rsid w:val="00A2374E"/>
    <w:rsid w:val="00A56AF1"/>
    <w:rsid w:val="00A64903"/>
    <w:rsid w:val="00A679D9"/>
    <w:rsid w:val="00A80775"/>
    <w:rsid w:val="00A86959"/>
    <w:rsid w:val="00A969F7"/>
    <w:rsid w:val="00AA0859"/>
    <w:rsid w:val="00AB1BE8"/>
    <w:rsid w:val="00AB655C"/>
    <w:rsid w:val="00AC289E"/>
    <w:rsid w:val="00AC348A"/>
    <w:rsid w:val="00AD03A9"/>
    <w:rsid w:val="00AD3624"/>
    <w:rsid w:val="00B05B04"/>
    <w:rsid w:val="00B11EF2"/>
    <w:rsid w:val="00B30C13"/>
    <w:rsid w:val="00B30C27"/>
    <w:rsid w:val="00B319A8"/>
    <w:rsid w:val="00B34690"/>
    <w:rsid w:val="00B417B7"/>
    <w:rsid w:val="00B475FE"/>
    <w:rsid w:val="00B47601"/>
    <w:rsid w:val="00B5458F"/>
    <w:rsid w:val="00B63311"/>
    <w:rsid w:val="00B637F6"/>
    <w:rsid w:val="00B70659"/>
    <w:rsid w:val="00B71965"/>
    <w:rsid w:val="00B76514"/>
    <w:rsid w:val="00B92125"/>
    <w:rsid w:val="00B927A8"/>
    <w:rsid w:val="00B95A7D"/>
    <w:rsid w:val="00B96845"/>
    <w:rsid w:val="00B97DD4"/>
    <w:rsid w:val="00BA3BF2"/>
    <w:rsid w:val="00BA4A54"/>
    <w:rsid w:val="00BB2D80"/>
    <w:rsid w:val="00BB4ED4"/>
    <w:rsid w:val="00BB4F87"/>
    <w:rsid w:val="00BB6CFE"/>
    <w:rsid w:val="00BC0AC8"/>
    <w:rsid w:val="00BC3405"/>
    <w:rsid w:val="00BC3421"/>
    <w:rsid w:val="00BC350B"/>
    <w:rsid w:val="00BC4913"/>
    <w:rsid w:val="00BD2AFF"/>
    <w:rsid w:val="00BD4D0E"/>
    <w:rsid w:val="00BE19C7"/>
    <w:rsid w:val="00BE43A2"/>
    <w:rsid w:val="00BE6BC9"/>
    <w:rsid w:val="00BF2C51"/>
    <w:rsid w:val="00C112B1"/>
    <w:rsid w:val="00C132EE"/>
    <w:rsid w:val="00C30D35"/>
    <w:rsid w:val="00C33221"/>
    <w:rsid w:val="00C352F9"/>
    <w:rsid w:val="00C55792"/>
    <w:rsid w:val="00C577E0"/>
    <w:rsid w:val="00C64AB0"/>
    <w:rsid w:val="00C82045"/>
    <w:rsid w:val="00C83B0D"/>
    <w:rsid w:val="00C8472F"/>
    <w:rsid w:val="00C91316"/>
    <w:rsid w:val="00C9736F"/>
    <w:rsid w:val="00CA3CBB"/>
    <w:rsid w:val="00CA5947"/>
    <w:rsid w:val="00CB14B4"/>
    <w:rsid w:val="00CB3930"/>
    <w:rsid w:val="00CB7C71"/>
    <w:rsid w:val="00CC2951"/>
    <w:rsid w:val="00CD02AC"/>
    <w:rsid w:val="00CE7C91"/>
    <w:rsid w:val="00CF2F93"/>
    <w:rsid w:val="00CF5D2A"/>
    <w:rsid w:val="00CF6A32"/>
    <w:rsid w:val="00D22864"/>
    <w:rsid w:val="00D331A9"/>
    <w:rsid w:val="00D37957"/>
    <w:rsid w:val="00D37B13"/>
    <w:rsid w:val="00D44DE2"/>
    <w:rsid w:val="00D47079"/>
    <w:rsid w:val="00D52EE2"/>
    <w:rsid w:val="00D53AA6"/>
    <w:rsid w:val="00D610C2"/>
    <w:rsid w:val="00D611A7"/>
    <w:rsid w:val="00D71B60"/>
    <w:rsid w:val="00D71FFA"/>
    <w:rsid w:val="00D741B6"/>
    <w:rsid w:val="00D75116"/>
    <w:rsid w:val="00D85934"/>
    <w:rsid w:val="00D92B09"/>
    <w:rsid w:val="00D940B0"/>
    <w:rsid w:val="00D941E6"/>
    <w:rsid w:val="00DB4DC1"/>
    <w:rsid w:val="00DC2A56"/>
    <w:rsid w:val="00DC4413"/>
    <w:rsid w:val="00DD0EFD"/>
    <w:rsid w:val="00DD3BEA"/>
    <w:rsid w:val="00DD3FB3"/>
    <w:rsid w:val="00DF0048"/>
    <w:rsid w:val="00DF72F0"/>
    <w:rsid w:val="00E0541A"/>
    <w:rsid w:val="00E1363E"/>
    <w:rsid w:val="00E222D6"/>
    <w:rsid w:val="00E22596"/>
    <w:rsid w:val="00E2295E"/>
    <w:rsid w:val="00E302BB"/>
    <w:rsid w:val="00E35341"/>
    <w:rsid w:val="00E60E43"/>
    <w:rsid w:val="00E67F06"/>
    <w:rsid w:val="00E752F7"/>
    <w:rsid w:val="00E75834"/>
    <w:rsid w:val="00E8436B"/>
    <w:rsid w:val="00E92822"/>
    <w:rsid w:val="00E94FE4"/>
    <w:rsid w:val="00EA6196"/>
    <w:rsid w:val="00EB699A"/>
    <w:rsid w:val="00EC1A36"/>
    <w:rsid w:val="00EC6B57"/>
    <w:rsid w:val="00ED4E57"/>
    <w:rsid w:val="00EE4287"/>
    <w:rsid w:val="00EE42F2"/>
    <w:rsid w:val="00EE64BF"/>
    <w:rsid w:val="00EF1451"/>
    <w:rsid w:val="00EF495A"/>
    <w:rsid w:val="00F0012A"/>
    <w:rsid w:val="00F00370"/>
    <w:rsid w:val="00F12338"/>
    <w:rsid w:val="00F23761"/>
    <w:rsid w:val="00F40914"/>
    <w:rsid w:val="00F40C1D"/>
    <w:rsid w:val="00F47E5D"/>
    <w:rsid w:val="00F52A63"/>
    <w:rsid w:val="00F55387"/>
    <w:rsid w:val="00F604AF"/>
    <w:rsid w:val="00F72254"/>
    <w:rsid w:val="00F72733"/>
    <w:rsid w:val="00F8130E"/>
    <w:rsid w:val="00F9509B"/>
    <w:rsid w:val="00FA3F6C"/>
    <w:rsid w:val="00FC1CB2"/>
    <w:rsid w:val="00FC3671"/>
    <w:rsid w:val="00FC49E7"/>
    <w:rsid w:val="00FE64CA"/>
    <w:rsid w:val="00FF5C64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EB271"/>
  <w15:docId w15:val="{29192123-C141-4B5B-902B-8F83A0F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AC289E"/>
    <w:rPr>
      <w:sz w:val="24"/>
      <w:szCs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0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semiHidden/>
    <w:rsid w:val="00D52E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D52E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D52EE2"/>
    <w:rPr>
      <w:b/>
      <w:bCs/>
    </w:rPr>
  </w:style>
  <w:style w:type="paragraph" w:styleId="Tekstdymka">
    <w:name w:val="Balloon Text"/>
    <w:basedOn w:val="Normalny"/>
    <w:semiHidden/>
    <w:rsid w:val="00D52E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3624"/>
    <w:pPr>
      <w:widowControl w:val="0"/>
      <w:autoSpaceDE w:val="0"/>
      <w:autoSpaceDN w:val="0"/>
      <w:adjustRightInd w:val="0"/>
    </w:pPr>
    <w:rPr>
      <w:rFonts w:ascii="CKBKDC+Arial" w:hAnsi="CKBKDC+Arial" w:cs="CKBKDC+Arial"/>
      <w:color w:val="000000"/>
      <w:sz w:val="24"/>
      <w:szCs w:val="24"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,Numbered Para 1"/>
    <w:basedOn w:val="Normalny"/>
    <w:link w:val="AkapitzlistZnak"/>
    <w:uiPriority w:val="99"/>
    <w:qFormat/>
    <w:rsid w:val="00525893"/>
    <w:pPr>
      <w:ind w:left="720"/>
      <w:contextualSpacing/>
    </w:pPr>
    <w:rPr>
      <w:rFonts w:eastAsia="Calibri"/>
    </w:rPr>
  </w:style>
  <w:style w:type="paragraph" w:customStyle="1" w:styleId="gwp4e981905default">
    <w:name w:val="gwp4e981905_default"/>
    <w:basedOn w:val="Normalny"/>
    <w:rsid w:val="00AD03A9"/>
    <w:pPr>
      <w:spacing w:before="100" w:beforeAutospacing="1" w:after="100" w:afterAutospacing="1"/>
    </w:pPr>
    <w:rPr>
      <w:lang w:eastAsia="pl-PL"/>
    </w:rPr>
  </w:style>
  <w:style w:type="paragraph" w:styleId="Poprawka">
    <w:name w:val="Revision"/>
    <w:hidden/>
    <w:uiPriority w:val="99"/>
    <w:semiHidden/>
    <w:rsid w:val="00A0300D"/>
    <w:rPr>
      <w:sz w:val="24"/>
      <w:szCs w:val="24"/>
      <w:lang w:eastAsia="en-US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rsid w:val="00065256"/>
    <w:rPr>
      <w:rFonts w:eastAsia="Calibri"/>
      <w:sz w:val="24"/>
      <w:szCs w:val="24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3C1865"/>
    <w:rPr>
      <w:lang w:eastAsia="en-US"/>
    </w:rPr>
  </w:style>
  <w:style w:type="character" w:customStyle="1" w:styleId="cf01">
    <w:name w:val="cf01"/>
    <w:basedOn w:val="Domylnaczcionkaakapitu"/>
    <w:rsid w:val="00BA3BF2"/>
    <w:rPr>
      <w:rFonts w:ascii="Segoe UI" w:hAnsi="Segoe UI" w:cs="Segoe UI" w:hint="default"/>
      <w:b/>
      <w:bCs/>
      <w:sz w:val="18"/>
      <w:szCs w:val="18"/>
      <w:shd w:val="clear" w:color="auto" w:fill="FFFF00"/>
    </w:rPr>
  </w:style>
  <w:style w:type="character" w:customStyle="1" w:styleId="cf11">
    <w:name w:val="cf11"/>
    <w:basedOn w:val="Domylnaczcionkaakapitu"/>
    <w:rsid w:val="00BA3BF2"/>
    <w:rPr>
      <w:rFonts w:ascii="Segoe UI" w:hAnsi="Segoe UI" w:cs="Segoe UI" w:hint="default"/>
      <w:b/>
      <w:bCs/>
      <w:sz w:val="18"/>
      <w:szCs w:val="18"/>
      <w:shd w:val="clear" w:color="auto" w:fill="FFFF00"/>
    </w:rPr>
  </w:style>
  <w:style w:type="character" w:customStyle="1" w:styleId="cf21">
    <w:name w:val="cf21"/>
    <w:basedOn w:val="Domylnaczcionkaakapitu"/>
    <w:rsid w:val="00BA3BF2"/>
    <w:rPr>
      <w:rFonts w:ascii="Segoe UI" w:hAnsi="Segoe UI" w:cs="Segoe UI" w:hint="default"/>
      <w:sz w:val="18"/>
      <w:szCs w:val="18"/>
      <w:shd w:val="clear" w:color="auto" w:fill="FFFF00"/>
    </w:rPr>
  </w:style>
  <w:style w:type="character" w:customStyle="1" w:styleId="cf31">
    <w:name w:val="cf31"/>
    <w:basedOn w:val="Domylnaczcionkaakapitu"/>
    <w:rsid w:val="00BA3BF2"/>
    <w:rPr>
      <w:rFonts w:ascii="Segoe UI" w:hAnsi="Segoe UI" w:cs="Segoe UI" w:hint="default"/>
      <w:b/>
      <w:bCs/>
      <w:sz w:val="18"/>
      <w:szCs w:val="18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2968-E08D-4C39-8979-D2AEDCE2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1611</Words>
  <Characters>10675</Characters>
  <Application>Microsoft Office Word</Application>
  <DocSecurity>4</DocSecurity>
  <Lines>88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Program Colitis_Tabela</vt:lpstr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Bonek Przemysław</dc:creator>
  <cp:lastModifiedBy>Wilk Justyna</cp:lastModifiedBy>
  <cp:revision>2</cp:revision>
  <cp:lastPrinted>2024-07-29T10:58:00Z</cp:lastPrinted>
  <dcterms:created xsi:type="dcterms:W3CDTF">2025-07-24T05:47:00Z</dcterms:created>
  <dcterms:modified xsi:type="dcterms:W3CDTF">2025-07-24T05:47:00Z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