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0D402" w14:textId="08A18C2C" w:rsidR="00BD5DA4" w:rsidRDefault="00937C9C" w:rsidP="00B27143">
      <w:pPr>
        <w:spacing w:after="0" w:line="240" w:lineRule="auto"/>
        <w:jc w:val="both"/>
        <w:rPr>
          <w:rFonts w:ascii="Times New Roman" w:eastAsia="Times New Roman" w:hAnsi="Times New Roman" w:cs="Times New Roman"/>
          <w:lang w:eastAsia="pl-PL"/>
        </w:rPr>
      </w:pPr>
      <w:r>
        <w:rPr>
          <w:rFonts w:ascii="Times New Roman" w:eastAsia="Times New Roman" w:hAnsi="Times New Roman" w:cs="Times New Roman"/>
          <w:lang w:eastAsia="pl-PL"/>
        </w:rPr>
        <w:t>Załącznik</w:t>
      </w:r>
      <w:r w:rsidR="0052643B">
        <w:rPr>
          <w:rFonts w:ascii="Times New Roman" w:eastAsia="Times New Roman" w:hAnsi="Times New Roman" w:cs="Times New Roman"/>
          <w:lang w:eastAsia="pl-PL"/>
        </w:rPr>
        <w:t xml:space="preserve"> </w:t>
      </w:r>
      <w:r w:rsidR="00BD5DA4" w:rsidRPr="00BD5DA4">
        <w:rPr>
          <w:rFonts w:ascii="Times New Roman" w:eastAsia="Times New Roman" w:hAnsi="Times New Roman" w:cs="Times New Roman"/>
          <w:lang w:eastAsia="pl-PL"/>
        </w:rPr>
        <w:t>B.33</w:t>
      </w:r>
      <w:r w:rsidR="00F569AE">
        <w:rPr>
          <w:rFonts w:ascii="Times New Roman" w:eastAsia="Times New Roman" w:hAnsi="Times New Roman" w:cs="Times New Roman"/>
          <w:lang w:eastAsia="pl-PL"/>
        </w:rPr>
        <w:t>.</w:t>
      </w:r>
    </w:p>
    <w:p w14:paraId="32F1162B" w14:textId="77777777" w:rsidR="00B27143" w:rsidRPr="00BD5DA4" w:rsidRDefault="00B27143" w:rsidP="00B27143">
      <w:pPr>
        <w:spacing w:after="0" w:line="240" w:lineRule="auto"/>
        <w:jc w:val="both"/>
        <w:rPr>
          <w:rFonts w:ascii="Times New Roman" w:eastAsia="Times New Roman" w:hAnsi="Times New Roman" w:cs="Times New Roman"/>
          <w:lang w:eastAsia="pl-PL"/>
        </w:rPr>
      </w:pPr>
    </w:p>
    <w:p w14:paraId="45121523" w14:textId="3A4BA292" w:rsidR="009D7AE1" w:rsidRPr="004F7B25" w:rsidRDefault="009D7AE1" w:rsidP="004F7B25">
      <w:pPr>
        <w:autoSpaceDE w:val="0"/>
        <w:autoSpaceDN w:val="0"/>
        <w:adjustRightInd w:val="0"/>
        <w:spacing w:after="240" w:line="240" w:lineRule="auto"/>
        <w:jc w:val="both"/>
        <w:rPr>
          <w:rFonts w:ascii="Times New Roman" w:eastAsia="Times New Roman" w:hAnsi="Times New Roman" w:cs="Times New Roman"/>
          <w:b/>
          <w:bCs/>
          <w:sz w:val="28"/>
          <w:szCs w:val="24"/>
          <w:lang w:eastAsia="pl-PL"/>
        </w:rPr>
      </w:pPr>
      <w:r w:rsidRPr="004F7B25">
        <w:rPr>
          <w:rFonts w:ascii="Times New Roman" w:eastAsia="Times New Roman" w:hAnsi="Times New Roman" w:cs="Times New Roman"/>
          <w:b/>
          <w:bCs/>
          <w:sz w:val="28"/>
          <w:szCs w:val="24"/>
          <w:lang w:eastAsia="pl-PL"/>
        </w:rPr>
        <w:t>LECZENIE</w:t>
      </w:r>
      <w:r w:rsidR="0052643B" w:rsidRPr="004F7B25">
        <w:rPr>
          <w:rFonts w:ascii="Times New Roman" w:eastAsia="Times New Roman" w:hAnsi="Times New Roman" w:cs="Times New Roman"/>
          <w:b/>
          <w:bCs/>
          <w:sz w:val="28"/>
          <w:szCs w:val="24"/>
          <w:lang w:eastAsia="pl-PL"/>
        </w:rPr>
        <w:t xml:space="preserve"> </w:t>
      </w:r>
      <w:r w:rsidR="00543F74" w:rsidRPr="004F7B25">
        <w:rPr>
          <w:rFonts w:ascii="Times New Roman" w:eastAsia="Times New Roman" w:hAnsi="Times New Roman" w:cs="Times New Roman"/>
          <w:b/>
          <w:bCs/>
          <w:sz w:val="28"/>
          <w:szCs w:val="24"/>
          <w:lang w:eastAsia="pl-PL"/>
        </w:rPr>
        <w:t>CHORYCH</w:t>
      </w:r>
      <w:r w:rsidR="0052643B" w:rsidRPr="004F7B25">
        <w:rPr>
          <w:rFonts w:ascii="Times New Roman" w:eastAsia="Times New Roman" w:hAnsi="Times New Roman" w:cs="Times New Roman"/>
          <w:b/>
          <w:bCs/>
          <w:sz w:val="28"/>
          <w:szCs w:val="24"/>
          <w:lang w:eastAsia="pl-PL"/>
        </w:rPr>
        <w:t xml:space="preserve"> </w:t>
      </w:r>
      <w:r w:rsidR="00543F74" w:rsidRPr="004F7B25">
        <w:rPr>
          <w:rFonts w:ascii="Times New Roman" w:eastAsia="Times New Roman" w:hAnsi="Times New Roman" w:cs="Times New Roman"/>
          <w:b/>
          <w:bCs/>
          <w:sz w:val="28"/>
          <w:szCs w:val="24"/>
          <w:lang w:eastAsia="pl-PL"/>
        </w:rPr>
        <w:t>Z</w:t>
      </w:r>
      <w:r w:rsidR="0052643B" w:rsidRPr="004F7B25">
        <w:rPr>
          <w:rFonts w:ascii="Times New Roman" w:eastAsia="Times New Roman" w:hAnsi="Times New Roman" w:cs="Times New Roman"/>
          <w:b/>
          <w:bCs/>
          <w:sz w:val="28"/>
          <w:szCs w:val="24"/>
          <w:lang w:eastAsia="pl-PL"/>
        </w:rPr>
        <w:t xml:space="preserve"> </w:t>
      </w:r>
      <w:r w:rsidR="00985BEF" w:rsidRPr="004F7B25">
        <w:rPr>
          <w:rFonts w:ascii="Times New Roman" w:eastAsia="Times New Roman" w:hAnsi="Times New Roman" w:cs="Times New Roman"/>
          <w:b/>
          <w:bCs/>
          <w:sz w:val="28"/>
          <w:szCs w:val="24"/>
          <w:lang w:eastAsia="pl-PL"/>
        </w:rPr>
        <w:t>AKTYWN</w:t>
      </w:r>
      <w:r w:rsidR="00543F74" w:rsidRPr="004F7B25">
        <w:rPr>
          <w:rFonts w:ascii="Times New Roman" w:eastAsia="Times New Roman" w:hAnsi="Times New Roman" w:cs="Times New Roman"/>
          <w:b/>
          <w:bCs/>
          <w:sz w:val="28"/>
          <w:szCs w:val="24"/>
          <w:lang w:eastAsia="pl-PL"/>
        </w:rPr>
        <w:t>Ą</w:t>
      </w:r>
      <w:r w:rsidR="0052643B" w:rsidRPr="004F7B25">
        <w:rPr>
          <w:rFonts w:ascii="Times New Roman" w:eastAsia="Times New Roman" w:hAnsi="Times New Roman" w:cs="Times New Roman"/>
          <w:b/>
          <w:bCs/>
          <w:sz w:val="28"/>
          <w:szCs w:val="24"/>
          <w:lang w:eastAsia="pl-PL"/>
        </w:rPr>
        <w:t xml:space="preserve"> </w:t>
      </w:r>
      <w:r w:rsidR="00985BEF" w:rsidRPr="004F7B25">
        <w:rPr>
          <w:rFonts w:ascii="Times New Roman" w:eastAsia="Times New Roman" w:hAnsi="Times New Roman" w:cs="Times New Roman"/>
          <w:b/>
          <w:bCs/>
          <w:sz w:val="28"/>
          <w:szCs w:val="24"/>
          <w:lang w:eastAsia="pl-PL"/>
        </w:rPr>
        <w:t>POSTACI</w:t>
      </w:r>
      <w:r w:rsidR="00543F74" w:rsidRPr="004F7B25">
        <w:rPr>
          <w:rFonts w:ascii="Times New Roman" w:eastAsia="Times New Roman" w:hAnsi="Times New Roman" w:cs="Times New Roman"/>
          <w:b/>
          <w:bCs/>
          <w:sz w:val="28"/>
          <w:szCs w:val="24"/>
          <w:lang w:eastAsia="pl-PL"/>
        </w:rPr>
        <w:t>Ą</w:t>
      </w:r>
      <w:r w:rsidR="0052643B" w:rsidRPr="004F7B25">
        <w:rPr>
          <w:rFonts w:ascii="Times New Roman" w:eastAsia="Times New Roman" w:hAnsi="Times New Roman" w:cs="Times New Roman"/>
          <w:b/>
          <w:bCs/>
          <w:sz w:val="28"/>
          <w:szCs w:val="24"/>
          <w:lang w:eastAsia="pl-PL"/>
        </w:rPr>
        <w:t xml:space="preserve"> </w:t>
      </w:r>
      <w:r w:rsidRPr="004F7B25">
        <w:rPr>
          <w:rFonts w:ascii="Times New Roman" w:eastAsia="Times New Roman" w:hAnsi="Times New Roman" w:cs="Times New Roman"/>
          <w:b/>
          <w:bCs/>
          <w:sz w:val="28"/>
          <w:szCs w:val="24"/>
          <w:lang w:eastAsia="pl-PL"/>
        </w:rPr>
        <w:t>REUMATOIDALNEGO</w:t>
      </w:r>
      <w:r w:rsidR="0052643B" w:rsidRPr="004F7B25">
        <w:rPr>
          <w:rFonts w:ascii="Times New Roman" w:eastAsia="Times New Roman" w:hAnsi="Times New Roman" w:cs="Times New Roman"/>
          <w:b/>
          <w:bCs/>
          <w:sz w:val="28"/>
          <w:szCs w:val="24"/>
          <w:lang w:eastAsia="pl-PL"/>
        </w:rPr>
        <w:t xml:space="preserve"> </w:t>
      </w:r>
      <w:r w:rsidRPr="004F7B25">
        <w:rPr>
          <w:rFonts w:ascii="Times New Roman" w:eastAsia="Times New Roman" w:hAnsi="Times New Roman" w:cs="Times New Roman"/>
          <w:b/>
          <w:bCs/>
          <w:sz w:val="28"/>
          <w:szCs w:val="24"/>
          <w:lang w:eastAsia="pl-PL"/>
        </w:rPr>
        <w:t>ZAPALENIA</w:t>
      </w:r>
      <w:r w:rsidR="0052643B" w:rsidRPr="004F7B25">
        <w:rPr>
          <w:rFonts w:ascii="Times New Roman" w:eastAsia="Times New Roman" w:hAnsi="Times New Roman" w:cs="Times New Roman"/>
          <w:b/>
          <w:bCs/>
          <w:sz w:val="28"/>
          <w:szCs w:val="24"/>
          <w:lang w:eastAsia="pl-PL"/>
        </w:rPr>
        <w:t xml:space="preserve"> </w:t>
      </w:r>
      <w:r w:rsidRPr="004F7B25">
        <w:rPr>
          <w:rFonts w:ascii="Times New Roman" w:eastAsia="Times New Roman" w:hAnsi="Times New Roman" w:cs="Times New Roman"/>
          <w:b/>
          <w:bCs/>
          <w:sz w:val="28"/>
          <w:szCs w:val="24"/>
          <w:lang w:eastAsia="pl-PL"/>
        </w:rPr>
        <w:t>STAWÓW</w:t>
      </w:r>
      <w:r w:rsidR="0052643B" w:rsidRPr="004F7B25">
        <w:rPr>
          <w:rFonts w:ascii="Times New Roman" w:eastAsia="Times New Roman" w:hAnsi="Times New Roman" w:cs="Times New Roman"/>
          <w:b/>
          <w:bCs/>
          <w:sz w:val="28"/>
          <w:szCs w:val="24"/>
          <w:lang w:eastAsia="pl-PL"/>
        </w:rPr>
        <w:t xml:space="preserve"> </w:t>
      </w:r>
      <w:r w:rsidRPr="004F7B25">
        <w:rPr>
          <w:rFonts w:ascii="Times New Roman" w:eastAsia="Times New Roman" w:hAnsi="Times New Roman" w:cs="Times New Roman"/>
          <w:b/>
          <w:bCs/>
          <w:sz w:val="28"/>
          <w:szCs w:val="24"/>
          <w:lang w:eastAsia="pl-PL"/>
        </w:rPr>
        <w:t>I</w:t>
      </w:r>
      <w:r w:rsidR="0052643B" w:rsidRPr="004F7B25">
        <w:rPr>
          <w:rFonts w:ascii="Times New Roman" w:eastAsia="Times New Roman" w:hAnsi="Times New Roman" w:cs="Times New Roman"/>
          <w:b/>
          <w:bCs/>
          <w:sz w:val="28"/>
          <w:szCs w:val="24"/>
          <w:lang w:eastAsia="pl-PL"/>
        </w:rPr>
        <w:t xml:space="preserve"> </w:t>
      </w:r>
      <w:r w:rsidRPr="004F7B25">
        <w:rPr>
          <w:rFonts w:ascii="Times New Roman" w:eastAsia="Times New Roman" w:hAnsi="Times New Roman" w:cs="Times New Roman"/>
          <w:b/>
          <w:bCs/>
          <w:sz w:val="28"/>
          <w:szCs w:val="24"/>
          <w:lang w:eastAsia="pl-PL"/>
        </w:rPr>
        <w:t>MŁODZIEŃCZEGO</w:t>
      </w:r>
      <w:r w:rsidR="0052643B" w:rsidRPr="004F7B25">
        <w:rPr>
          <w:rFonts w:ascii="Times New Roman" w:eastAsia="Times New Roman" w:hAnsi="Times New Roman" w:cs="Times New Roman"/>
          <w:b/>
          <w:bCs/>
          <w:sz w:val="28"/>
          <w:szCs w:val="24"/>
          <w:lang w:eastAsia="pl-PL"/>
        </w:rPr>
        <w:t xml:space="preserve"> </w:t>
      </w:r>
      <w:r w:rsidRPr="004F7B25">
        <w:rPr>
          <w:rFonts w:ascii="Times New Roman" w:eastAsia="Times New Roman" w:hAnsi="Times New Roman" w:cs="Times New Roman"/>
          <w:b/>
          <w:bCs/>
          <w:sz w:val="28"/>
          <w:szCs w:val="24"/>
          <w:lang w:eastAsia="pl-PL"/>
        </w:rPr>
        <w:t>IDIOPATYCZNEGO</w:t>
      </w:r>
      <w:r w:rsidR="0052643B" w:rsidRPr="004F7B25">
        <w:rPr>
          <w:rFonts w:ascii="Times New Roman" w:eastAsia="Times New Roman" w:hAnsi="Times New Roman" w:cs="Times New Roman"/>
          <w:b/>
          <w:bCs/>
          <w:sz w:val="28"/>
          <w:szCs w:val="24"/>
          <w:lang w:eastAsia="pl-PL"/>
        </w:rPr>
        <w:t xml:space="preserve"> </w:t>
      </w:r>
      <w:r w:rsidRPr="004F7B25">
        <w:rPr>
          <w:rFonts w:ascii="Times New Roman" w:eastAsia="Times New Roman" w:hAnsi="Times New Roman" w:cs="Times New Roman"/>
          <w:b/>
          <w:bCs/>
          <w:sz w:val="28"/>
          <w:szCs w:val="24"/>
          <w:lang w:eastAsia="pl-PL"/>
        </w:rPr>
        <w:t>ZAPALENIA</w:t>
      </w:r>
      <w:r w:rsidR="0052643B" w:rsidRPr="004F7B25">
        <w:rPr>
          <w:rFonts w:ascii="Times New Roman" w:eastAsia="Times New Roman" w:hAnsi="Times New Roman" w:cs="Times New Roman"/>
          <w:b/>
          <w:bCs/>
          <w:sz w:val="28"/>
          <w:szCs w:val="24"/>
          <w:lang w:eastAsia="pl-PL"/>
        </w:rPr>
        <w:t xml:space="preserve"> </w:t>
      </w:r>
      <w:r w:rsidRPr="004F7B25">
        <w:rPr>
          <w:rFonts w:ascii="Times New Roman" w:eastAsia="Times New Roman" w:hAnsi="Times New Roman" w:cs="Times New Roman"/>
          <w:b/>
          <w:bCs/>
          <w:sz w:val="28"/>
          <w:szCs w:val="24"/>
          <w:lang w:eastAsia="pl-PL"/>
        </w:rPr>
        <w:t>STAWÓW</w:t>
      </w:r>
      <w:r w:rsidR="0052643B" w:rsidRPr="004F7B25">
        <w:rPr>
          <w:rFonts w:ascii="Times New Roman" w:eastAsia="Times New Roman" w:hAnsi="Times New Roman" w:cs="Times New Roman"/>
          <w:b/>
          <w:bCs/>
          <w:sz w:val="28"/>
          <w:szCs w:val="24"/>
          <w:lang w:eastAsia="pl-PL"/>
        </w:rPr>
        <w:t xml:space="preserve"> </w:t>
      </w:r>
      <w:r w:rsidRPr="004F7B25">
        <w:rPr>
          <w:rFonts w:ascii="Times New Roman" w:eastAsia="Times New Roman" w:hAnsi="Times New Roman" w:cs="Times New Roman"/>
          <w:b/>
          <w:bCs/>
          <w:sz w:val="28"/>
          <w:szCs w:val="24"/>
          <w:lang w:eastAsia="pl-PL"/>
        </w:rPr>
        <w:t>(ICD-10</w:t>
      </w:r>
      <w:r w:rsidR="00FE3490" w:rsidRPr="004F7B25">
        <w:rPr>
          <w:rFonts w:ascii="Times New Roman" w:eastAsia="Times New Roman" w:hAnsi="Times New Roman" w:cs="Times New Roman"/>
          <w:b/>
          <w:bCs/>
          <w:sz w:val="28"/>
          <w:szCs w:val="24"/>
          <w:lang w:eastAsia="pl-PL"/>
        </w:rPr>
        <w:t>:</w:t>
      </w:r>
      <w:r w:rsidR="0052643B" w:rsidRPr="004F7B25">
        <w:rPr>
          <w:rFonts w:ascii="Times New Roman" w:eastAsia="Times New Roman" w:hAnsi="Times New Roman" w:cs="Times New Roman"/>
          <w:b/>
          <w:bCs/>
          <w:sz w:val="28"/>
          <w:szCs w:val="24"/>
          <w:lang w:eastAsia="pl-PL"/>
        </w:rPr>
        <w:t xml:space="preserve"> </w:t>
      </w:r>
      <w:r w:rsidRPr="004F7B25">
        <w:rPr>
          <w:rFonts w:ascii="Times New Roman" w:eastAsia="Times New Roman" w:hAnsi="Times New Roman" w:cs="Times New Roman"/>
          <w:b/>
          <w:bCs/>
          <w:sz w:val="28"/>
          <w:szCs w:val="24"/>
          <w:lang w:eastAsia="pl-PL"/>
        </w:rPr>
        <w:t>M05,</w:t>
      </w:r>
      <w:r w:rsidR="0052643B" w:rsidRPr="004F7B25">
        <w:rPr>
          <w:rFonts w:ascii="Times New Roman" w:eastAsia="Times New Roman" w:hAnsi="Times New Roman" w:cs="Times New Roman"/>
          <w:b/>
          <w:bCs/>
          <w:sz w:val="28"/>
          <w:szCs w:val="24"/>
          <w:lang w:eastAsia="pl-PL"/>
        </w:rPr>
        <w:t xml:space="preserve"> </w:t>
      </w:r>
      <w:r w:rsidRPr="004F7B25">
        <w:rPr>
          <w:rFonts w:ascii="Times New Roman" w:eastAsia="Times New Roman" w:hAnsi="Times New Roman" w:cs="Times New Roman"/>
          <w:b/>
          <w:bCs/>
          <w:sz w:val="28"/>
          <w:szCs w:val="24"/>
          <w:lang w:eastAsia="pl-PL"/>
        </w:rPr>
        <w:t>M06,</w:t>
      </w:r>
      <w:r w:rsidR="0052643B" w:rsidRPr="004F7B25">
        <w:rPr>
          <w:rFonts w:ascii="Times New Roman" w:eastAsia="Times New Roman" w:hAnsi="Times New Roman" w:cs="Times New Roman"/>
          <w:b/>
          <w:bCs/>
          <w:sz w:val="28"/>
          <w:szCs w:val="24"/>
          <w:lang w:eastAsia="pl-PL"/>
        </w:rPr>
        <w:t xml:space="preserve"> </w:t>
      </w:r>
      <w:r w:rsidRPr="004F7B25">
        <w:rPr>
          <w:rFonts w:ascii="Times New Roman" w:eastAsia="Times New Roman" w:hAnsi="Times New Roman" w:cs="Times New Roman"/>
          <w:b/>
          <w:bCs/>
          <w:sz w:val="28"/>
          <w:szCs w:val="24"/>
          <w:lang w:eastAsia="pl-PL"/>
        </w:rPr>
        <w:t>M08)</w:t>
      </w:r>
    </w:p>
    <w:tbl>
      <w:tblPr>
        <w:tblpPr w:leftFromText="141" w:rightFromText="141"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99"/>
        <w:gridCol w:w="4294"/>
        <w:gridCol w:w="4295"/>
      </w:tblGrid>
      <w:tr w:rsidR="00154BF9" w:rsidRPr="00154BF9" w14:paraId="5F09B8FE" w14:textId="77777777" w:rsidTr="00CB2AC0">
        <w:trPr>
          <w:trHeight w:val="567"/>
        </w:trPr>
        <w:tc>
          <w:tcPr>
            <w:tcW w:w="0" w:type="auto"/>
            <w:gridSpan w:val="3"/>
            <w:vAlign w:val="center"/>
          </w:tcPr>
          <w:p w14:paraId="61C1B355" w14:textId="52A26297" w:rsidR="009D7AE1" w:rsidRPr="00154BF9" w:rsidRDefault="009D7AE1" w:rsidP="00B27143">
            <w:pPr>
              <w:spacing w:after="0" w:line="240" w:lineRule="auto"/>
              <w:jc w:val="center"/>
              <w:rPr>
                <w:rFonts w:ascii="Times New Roman" w:eastAsia="Times New Roman" w:hAnsi="Times New Roman" w:cs="Times New Roman"/>
                <w:b/>
                <w:sz w:val="20"/>
                <w:szCs w:val="20"/>
                <w:lang w:eastAsia="pl-PL"/>
              </w:rPr>
            </w:pPr>
            <w:r w:rsidRPr="00154BF9">
              <w:rPr>
                <w:rFonts w:ascii="Times New Roman" w:eastAsia="Times New Roman" w:hAnsi="Times New Roman" w:cs="Times New Roman"/>
                <w:b/>
                <w:sz w:val="20"/>
                <w:szCs w:val="20"/>
                <w:lang w:eastAsia="pl-PL"/>
              </w:rPr>
              <w:t>ZAKRES</w:t>
            </w:r>
            <w:r w:rsidR="0052643B" w:rsidRPr="00154BF9">
              <w:rPr>
                <w:rFonts w:ascii="Times New Roman" w:eastAsia="Times New Roman" w:hAnsi="Times New Roman" w:cs="Times New Roman"/>
                <w:b/>
                <w:sz w:val="20"/>
                <w:szCs w:val="20"/>
                <w:lang w:eastAsia="pl-PL"/>
              </w:rPr>
              <w:t xml:space="preserve"> </w:t>
            </w:r>
            <w:r w:rsidRPr="00154BF9">
              <w:rPr>
                <w:rFonts w:ascii="Times New Roman" w:eastAsia="Times New Roman" w:hAnsi="Times New Roman" w:cs="Times New Roman"/>
                <w:b/>
                <w:sz w:val="20"/>
                <w:szCs w:val="20"/>
                <w:lang w:eastAsia="pl-PL"/>
              </w:rPr>
              <w:t>ŚWIADCZENIA</w:t>
            </w:r>
            <w:r w:rsidR="0052643B" w:rsidRPr="00154BF9">
              <w:rPr>
                <w:rFonts w:ascii="Times New Roman" w:eastAsia="Times New Roman" w:hAnsi="Times New Roman" w:cs="Times New Roman"/>
                <w:b/>
                <w:sz w:val="20"/>
                <w:szCs w:val="20"/>
                <w:lang w:eastAsia="pl-PL"/>
              </w:rPr>
              <w:t xml:space="preserve"> </w:t>
            </w:r>
            <w:r w:rsidRPr="00154BF9">
              <w:rPr>
                <w:rFonts w:ascii="Times New Roman" w:eastAsia="Times New Roman" w:hAnsi="Times New Roman" w:cs="Times New Roman"/>
                <w:b/>
                <w:sz w:val="20"/>
                <w:szCs w:val="20"/>
                <w:lang w:eastAsia="pl-PL"/>
              </w:rPr>
              <w:t>GWARANTOWANEGO</w:t>
            </w:r>
          </w:p>
        </w:tc>
      </w:tr>
      <w:tr w:rsidR="00154BF9" w:rsidRPr="00154BF9" w14:paraId="458D3A4B" w14:textId="77777777" w:rsidTr="00FE3490">
        <w:trPr>
          <w:trHeight w:val="567"/>
        </w:trPr>
        <w:tc>
          <w:tcPr>
            <w:tcW w:w="6799" w:type="dxa"/>
            <w:tcBorders>
              <w:bottom w:val="single" w:sz="4" w:space="0" w:color="auto"/>
            </w:tcBorders>
            <w:vAlign w:val="center"/>
          </w:tcPr>
          <w:p w14:paraId="130ABE72" w14:textId="77777777" w:rsidR="009D7AE1" w:rsidRPr="00154BF9" w:rsidRDefault="009D7AE1" w:rsidP="00B27143">
            <w:pPr>
              <w:spacing w:after="0" w:line="240" w:lineRule="auto"/>
              <w:jc w:val="center"/>
              <w:rPr>
                <w:rFonts w:ascii="Times New Roman" w:eastAsia="Times New Roman" w:hAnsi="Times New Roman" w:cs="Times New Roman"/>
                <w:b/>
                <w:sz w:val="20"/>
                <w:szCs w:val="20"/>
                <w:lang w:eastAsia="pl-PL"/>
              </w:rPr>
            </w:pPr>
            <w:r w:rsidRPr="00154BF9">
              <w:rPr>
                <w:rFonts w:ascii="Times New Roman" w:eastAsia="Times New Roman" w:hAnsi="Times New Roman" w:cs="Times New Roman"/>
                <w:b/>
                <w:sz w:val="20"/>
                <w:szCs w:val="20"/>
                <w:lang w:eastAsia="pl-PL"/>
              </w:rPr>
              <w:t>ŚWIADCZENIOBIORCY</w:t>
            </w:r>
          </w:p>
        </w:tc>
        <w:tc>
          <w:tcPr>
            <w:tcW w:w="4294" w:type="dxa"/>
            <w:tcBorders>
              <w:bottom w:val="single" w:sz="4" w:space="0" w:color="auto"/>
            </w:tcBorders>
            <w:vAlign w:val="center"/>
          </w:tcPr>
          <w:p w14:paraId="1E38CA8C" w14:textId="54D677BA" w:rsidR="00CB2AC0" w:rsidRPr="00154BF9" w:rsidRDefault="009D7AE1" w:rsidP="00B27143">
            <w:pPr>
              <w:spacing w:after="0" w:line="240" w:lineRule="auto"/>
              <w:jc w:val="center"/>
              <w:rPr>
                <w:rFonts w:ascii="Times New Roman" w:eastAsia="Times New Roman" w:hAnsi="Times New Roman" w:cs="Times New Roman"/>
                <w:b/>
                <w:sz w:val="20"/>
                <w:szCs w:val="20"/>
                <w:lang w:eastAsia="pl-PL"/>
              </w:rPr>
            </w:pPr>
            <w:r w:rsidRPr="00154BF9">
              <w:rPr>
                <w:rFonts w:ascii="Times New Roman" w:eastAsia="Times New Roman" w:hAnsi="Times New Roman" w:cs="Times New Roman"/>
                <w:b/>
                <w:sz w:val="20"/>
                <w:szCs w:val="20"/>
                <w:lang w:eastAsia="pl-PL"/>
              </w:rPr>
              <w:t>SCHEMAT</w:t>
            </w:r>
            <w:r w:rsidR="0052643B" w:rsidRPr="00154BF9">
              <w:rPr>
                <w:rFonts w:ascii="Times New Roman" w:eastAsia="Times New Roman" w:hAnsi="Times New Roman" w:cs="Times New Roman"/>
                <w:b/>
                <w:sz w:val="20"/>
                <w:szCs w:val="20"/>
                <w:lang w:eastAsia="pl-PL"/>
              </w:rPr>
              <w:t xml:space="preserve"> </w:t>
            </w:r>
            <w:r w:rsidRPr="00154BF9">
              <w:rPr>
                <w:rFonts w:ascii="Times New Roman" w:eastAsia="Times New Roman" w:hAnsi="Times New Roman" w:cs="Times New Roman"/>
                <w:b/>
                <w:sz w:val="20"/>
                <w:szCs w:val="20"/>
                <w:lang w:eastAsia="pl-PL"/>
              </w:rPr>
              <w:t>DAWKOWANIA</w:t>
            </w:r>
            <w:r w:rsidR="0052643B" w:rsidRPr="00154BF9">
              <w:rPr>
                <w:rFonts w:ascii="Times New Roman" w:eastAsia="Times New Roman" w:hAnsi="Times New Roman" w:cs="Times New Roman"/>
                <w:b/>
                <w:sz w:val="20"/>
                <w:szCs w:val="20"/>
                <w:lang w:eastAsia="pl-PL"/>
              </w:rPr>
              <w:t xml:space="preserve"> </w:t>
            </w:r>
            <w:r w:rsidRPr="00154BF9">
              <w:rPr>
                <w:rFonts w:ascii="Times New Roman" w:eastAsia="Times New Roman" w:hAnsi="Times New Roman" w:cs="Times New Roman"/>
                <w:b/>
                <w:sz w:val="20"/>
                <w:szCs w:val="20"/>
                <w:lang w:eastAsia="pl-PL"/>
              </w:rPr>
              <w:t>LEKÓW</w:t>
            </w:r>
            <w:r w:rsidR="0052643B" w:rsidRPr="00154BF9">
              <w:rPr>
                <w:rFonts w:ascii="Times New Roman" w:eastAsia="Times New Roman" w:hAnsi="Times New Roman" w:cs="Times New Roman"/>
                <w:b/>
                <w:sz w:val="20"/>
                <w:szCs w:val="20"/>
                <w:lang w:eastAsia="pl-PL"/>
              </w:rPr>
              <w:t xml:space="preserve"> </w:t>
            </w:r>
          </w:p>
          <w:p w14:paraId="03BF1A01" w14:textId="43A42EDA" w:rsidR="009D7AE1" w:rsidRPr="00154BF9" w:rsidRDefault="009D7AE1" w:rsidP="00B27143">
            <w:pPr>
              <w:spacing w:after="0" w:line="240" w:lineRule="auto"/>
              <w:jc w:val="center"/>
              <w:rPr>
                <w:rFonts w:ascii="Times New Roman" w:eastAsia="Times New Roman" w:hAnsi="Times New Roman" w:cs="Times New Roman"/>
                <w:b/>
                <w:sz w:val="20"/>
                <w:szCs w:val="20"/>
                <w:lang w:eastAsia="pl-PL"/>
              </w:rPr>
            </w:pPr>
            <w:r w:rsidRPr="00154BF9">
              <w:rPr>
                <w:rFonts w:ascii="Times New Roman" w:eastAsia="Times New Roman" w:hAnsi="Times New Roman" w:cs="Times New Roman"/>
                <w:b/>
                <w:sz w:val="20"/>
                <w:szCs w:val="20"/>
                <w:lang w:eastAsia="pl-PL"/>
              </w:rPr>
              <w:t>W</w:t>
            </w:r>
            <w:r w:rsidR="0052643B" w:rsidRPr="00154BF9">
              <w:rPr>
                <w:rFonts w:ascii="Times New Roman" w:eastAsia="Times New Roman" w:hAnsi="Times New Roman" w:cs="Times New Roman"/>
                <w:b/>
                <w:sz w:val="20"/>
                <w:szCs w:val="20"/>
                <w:lang w:eastAsia="pl-PL"/>
              </w:rPr>
              <w:t xml:space="preserve"> </w:t>
            </w:r>
            <w:r w:rsidRPr="00154BF9">
              <w:rPr>
                <w:rFonts w:ascii="Times New Roman" w:eastAsia="Times New Roman" w:hAnsi="Times New Roman" w:cs="Times New Roman"/>
                <w:b/>
                <w:sz w:val="20"/>
                <w:szCs w:val="20"/>
                <w:lang w:eastAsia="pl-PL"/>
              </w:rPr>
              <w:t>PROGRAMIE</w:t>
            </w:r>
          </w:p>
        </w:tc>
        <w:tc>
          <w:tcPr>
            <w:tcW w:w="4295" w:type="dxa"/>
            <w:tcBorders>
              <w:bottom w:val="single" w:sz="4" w:space="0" w:color="auto"/>
              <w:right w:val="single" w:sz="4" w:space="0" w:color="auto"/>
            </w:tcBorders>
            <w:vAlign w:val="center"/>
          </w:tcPr>
          <w:p w14:paraId="5555543B" w14:textId="51D883F0" w:rsidR="009D7AE1" w:rsidRPr="00154BF9" w:rsidRDefault="009D7AE1" w:rsidP="00B27143">
            <w:pPr>
              <w:spacing w:after="0" w:line="240" w:lineRule="auto"/>
              <w:ind w:left="35" w:hanging="35"/>
              <w:jc w:val="center"/>
              <w:rPr>
                <w:rFonts w:ascii="Times New Roman" w:eastAsia="Times New Roman" w:hAnsi="Times New Roman" w:cs="Times New Roman"/>
                <w:b/>
                <w:sz w:val="20"/>
                <w:szCs w:val="20"/>
                <w:lang w:eastAsia="pl-PL"/>
              </w:rPr>
            </w:pPr>
            <w:r w:rsidRPr="00154BF9">
              <w:rPr>
                <w:rFonts w:ascii="Times New Roman" w:eastAsia="Times New Roman" w:hAnsi="Times New Roman" w:cs="Times New Roman"/>
                <w:b/>
                <w:sz w:val="20"/>
                <w:szCs w:val="20"/>
                <w:lang w:eastAsia="pl-PL"/>
              </w:rPr>
              <w:t>BADANIA</w:t>
            </w:r>
            <w:r w:rsidR="0052643B" w:rsidRPr="00154BF9">
              <w:rPr>
                <w:rFonts w:ascii="Times New Roman" w:eastAsia="Times New Roman" w:hAnsi="Times New Roman" w:cs="Times New Roman"/>
                <w:b/>
                <w:sz w:val="20"/>
                <w:szCs w:val="20"/>
                <w:lang w:eastAsia="pl-PL"/>
              </w:rPr>
              <w:t xml:space="preserve"> </w:t>
            </w:r>
            <w:r w:rsidRPr="00154BF9">
              <w:rPr>
                <w:rFonts w:ascii="Times New Roman" w:eastAsia="Times New Roman" w:hAnsi="Times New Roman" w:cs="Times New Roman"/>
                <w:b/>
                <w:sz w:val="20"/>
                <w:szCs w:val="20"/>
                <w:lang w:eastAsia="pl-PL"/>
              </w:rPr>
              <w:t>DIAGNOSTYCZNE</w:t>
            </w:r>
            <w:r w:rsidR="0052643B" w:rsidRPr="00154BF9">
              <w:rPr>
                <w:rFonts w:ascii="Times New Roman" w:eastAsia="Times New Roman" w:hAnsi="Times New Roman" w:cs="Times New Roman"/>
                <w:b/>
                <w:sz w:val="20"/>
                <w:szCs w:val="20"/>
                <w:lang w:eastAsia="pl-PL"/>
              </w:rPr>
              <w:t xml:space="preserve"> </w:t>
            </w:r>
            <w:r w:rsidRPr="00154BF9">
              <w:rPr>
                <w:rFonts w:ascii="Times New Roman" w:eastAsia="Times New Roman" w:hAnsi="Times New Roman" w:cs="Times New Roman"/>
                <w:b/>
                <w:sz w:val="20"/>
                <w:szCs w:val="20"/>
                <w:lang w:eastAsia="pl-PL"/>
              </w:rPr>
              <w:t>WYKONYWANE</w:t>
            </w:r>
            <w:r w:rsidR="0052643B" w:rsidRPr="00154BF9">
              <w:rPr>
                <w:rFonts w:ascii="Times New Roman" w:eastAsia="Times New Roman" w:hAnsi="Times New Roman" w:cs="Times New Roman"/>
                <w:b/>
                <w:sz w:val="20"/>
                <w:szCs w:val="20"/>
                <w:lang w:eastAsia="pl-PL"/>
              </w:rPr>
              <w:t xml:space="preserve"> </w:t>
            </w:r>
            <w:r w:rsidRPr="00154BF9">
              <w:rPr>
                <w:rFonts w:ascii="Times New Roman" w:eastAsia="Times New Roman" w:hAnsi="Times New Roman" w:cs="Times New Roman"/>
                <w:b/>
                <w:sz w:val="20"/>
                <w:szCs w:val="20"/>
                <w:lang w:eastAsia="pl-PL"/>
              </w:rPr>
              <w:t>W</w:t>
            </w:r>
            <w:r w:rsidR="0052643B" w:rsidRPr="00154BF9">
              <w:rPr>
                <w:rFonts w:ascii="Times New Roman" w:eastAsia="Times New Roman" w:hAnsi="Times New Roman" w:cs="Times New Roman"/>
                <w:b/>
                <w:sz w:val="20"/>
                <w:szCs w:val="20"/>
                <w:lang w:eastAsia="pl-PL"/>
              </w:rPr>
              <w:t xml:space="preserve"> </w:t>
            </w:r>
            <w:r w:rsidRPr="00154BF9">
              <w:rPr>
                <w:rFonts w:ascii="Times New Roman" w:eastAsia="Times New Roman" w:hAnsi="Times New Roman" w:cs="Times New Roman"/>
                <w:b/>
                <w:sz w:val="20"/>
                <w:szCs w:val="20"/>
                <w:lang w:eastAsia="pl-PL"/>
              </w:rPr>
              <w:t>RAMACH</w:t>
            </w:r>
            <w:r w:rsidR="0052643B" w:rsidRPr="00154BF9">
              <w:rPr>
                <w:rFonts w:ascii="Times New Roman" w:eastAsia="Times New Roman" w:hAnsi="Times New Roman" w:cs="Times New Roman"/>
                <w:b/>
                <w:sz w:val="20"/>
                <w:szCs w:val="20"/>
                <w:lang w:eastAsia="pl-PL"/>
              </w:rPr>
              <w:t xml:space="preserve"> </w:t>
            </w:r>
            <w:r w:rsidRPr="00154BF9">
              <w:rPr>
                <w:rFonts w:ascii="Times New Roman" w:eastAsia="Times New Roman" w:hAnsi="Times New Roman" w:cs="Times New Roman"/>
                <w:b/>
                <w:sz w:val="20"/>
                <w:szCs w:val="20"/>
                <w:lang w:eastAsia="pl-PL"/>
              </w:rPr>
              <w:t>PROGRAMU</w:t>
            </w:r>
          </w:p>
        </w:tc>
      </w:tr>
      <w:tr w:rsidR="00154BF9" w:rsidRPr="00154BF9" w14:paraId="2BAFC583" w14:textId="77777777" w:rsidTr="00A05A8B">
        <w:trPr>
          <w:trHeight w:val="396"/>
        </w:trPr>
        <w:tc>
          <w:tcPr>
            <w:tcW w:w="0" w:type="auto"/>
            <w:gridSpan w:val="3"/>
            <w:tcBorders>
              <w:bottom w:val="single" w:sz="4" w:space="0" w:color="auto"/>
              <w:right w:val="single" w:sz="4" w:space="0" w:color="auto"/>
            </w:tcBorders>
            <w:vAlign w:val="center"/>
          </w:tcPr>
          <w:p w14:paraId="56022770" w14:textId="556D52BC" w:rsidR="009D7AE1" w:rsidRPr="00154BF9" w:rsidRDefault="009D7AE1" w:rsidP="00B27143">
            <w:pPr>
              <w:spacing w:after="0" w:line="240" w:lineRule="auto"/>
              <w:jc w:val="center"/>
              <w:rPr>
                <w:rFonts w:ascii="Times New Roman" w:eastAsia="Times New Roman" w:hAnsi="Times New Roman" w:cs="Times New Roman"/>
                <w:b/>
                <w:sz w:val="20"/>
                <w:szCs w:val="20"/>
                <w:lang w:eastAsia="pl-PL"/>
              </w:rPr>
            </w:pPr>
            <w:r w:rsidRPr="00154BF9">
              <w:rPr>
                <w:rFonts w:ascii="Times New Roman" w:eastAsia="Times New Roman" w:hAnsi="Times New Roman" w:cs="Times New Roman"/>
                <w:b/>
                <w:sz w:val="20"/>
                <w:szCs w:val="20"/>
                <w:lang w:eastAsia="pl-PL"/>
              </w:rPr>
              <w:t>REUMATOIDALNE</w:t>
            </w:r>
            <w:r w:rsidR="0052643B" w:rsidRPr="00154BF9">
              <w:rPr>
                <w:rFonts w:ascii="Times New Roman" w:eastAsia="Times New Roman" w:hAnsi="Times New Roman" w:cs="Times New Roman"/>
                <w:b/>
                <w:sz w:val="20"/>
                <w:szCs w:val="20"/>
                <w:lang w:eastAsia="pl-PL"/>
              </w:rPr>
              <w:t xml:space="preserve"> </w:t>
            </w:r>
            <w:r w:rsidRPr="00154BF9">
              <w:rPr>
                <w:rFonts w:ascii="Times New Roman" w:eastAsia="Times New Roman" w:hAnsi="Times New Roman" w:cs="Times New Roman"/>
                <w:b/>
                <w:sz w:val="20"/>
                <w:szCs w:val="20"/>
                <w:lang w:eastAsia="pl-PL"/>
              </w:rPr>
              <w:t>ZAPALENIE</w:t>
            </w:r>
            <w:r w:rsidR="0052643B" w:rsidRPr="00154BF9">
              <w:rPr>
                <w:rFonts w:ascii="Times New Roman" w:eastAsia="Times New Roman" w:hAnsi="Times New Roman" w:cs="Times New Roman"/>
                <w:b/>
                <w:sz w:val="20"/>
                <w:szCs w:val="20"/>
                <w:lang w:eastAsia="pl-PL"/>
              </w:rPr>
              <w:t xml:space="preserve"> </w:t>
            </w:r>
            <w:r w:rsidRPr="00154BF9">
              <w:rPr>
                <w:rFonts w:ascii="Times New Roman" w:eastAsia="Times New Roman" w:hAnsi="Times New Roman" w:cs="Times New Roman"/>
                <w:b/>
                <w:sz w:val="20"/>
                <w:szCs w:val="20"/>
                <w:lang w:eastAsia="pl-PL"/>
              </w:rPr>
              <w:t>STAWÓW</w:t>
            </w:r>
            <w:r w:rsidR="009C113F">
              <w:rPr>
                <w:rFonts w:ascii="Times New Roman" w:eastAsia="Times New Roman" w:hAnsi="Times New Roman" w:cs="Times New Roman"/>
                <w:b/>
                <w:sz w:val="20"/>
                <w:szCs w:val="20"/>
                <w:lang w:eastAsia="pl-PL"/>
              </w:rPr>
              <w:t xml:space="preserve"> (RZS)</w:t>
            </w:r>
          </w:p>
        </w:tc>
      </w:tr>
      <w:tr w:rsidR="00154BF9" w:rsidRPr="00154BF9" w14:paraId="1285A49E" w14:textId="77777777" w:rsidTr="00FE3490">
        <w:tc>
          <w:tcPr>
            <w:tcW w:w="6799" w:type="dxa"/>
            <w:tcBorders>
              <w:top w:val="single" w:sz="4" w:space="0" w:color="auto"/>
              <w:left w:val="single" w:sz="4" w:space="0" w:color="auto"/>
              <w:bottom w:val="single" w:sz="4" w:space="0" w:color="auto"/>
            </w:tcBorders>
          </w:tcPr>
          <w:p w14:paraId="227A4643" w14:textId="77777777" w:rsidR="000E78D0" w:rsidRPr="00154BF9" w:rsidRDefault="000E78D0" w:rsidP="004F7B25">
            <w:pPr>
              <w:autoSpaceDE w:val="0"/>
              <w:autoSpaceDN w:val="0"/>
              <w:adjustRightInd w:val="0"/>
              <w:spacing w:before="120"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W ramach programu lekowego udostępnia się terapie:</w:t>
            </w:r>
          </w:p>
          <w:p w14:paraId="47E63D0D" w14:textId="77777777" w:rsidR="000E78D0" w:rsidRPr="004F7B25" w:rsidRDefault="000E78D0" w:rsidP="00A05A8B">
            <w:pPr>
              <w:pStyle w:val="Akapitzlist"/>
              <w:numPr>
                <w:ilvl w:val="0"/>
                <w:numId w:val="25"/>
              </w:numPr>
              <w:autoSpaceDE w:val="0"/>
              <w:autoSpaceDN w:val="0"/>
              <w:adjustRightInd w:val="0"/>
              <w:spacing w:after="60" w:line="276" w:lineRule="auto"/>
              <w:contextualSpacing w:val="0"/>
              <w:jc w:val="both"/>
              <w:rPr>
                <w:rFonts w:ascii="Times New Roman" w:eastAsia="Times New Roman" w:hAnsi="Times New Roman" w:cs="Times New Roman"/>
                <w:i/>
                <w:iCs/>
                <w:color w:val="000000"/>
                <w:sz w:val="20"/>
                <w:szCs w:val="20"/>
                <w:lang w:eastAsia="pl-PL"/>
              </w:rPr>
            </w:pPr>
            <w:r w:rsidRPr="004F7B25">
              <w:rPr>
                <w:rFonts w:ascii="Times New Roman" w:eastAsia="Times New Roman" w:hAnsi="Times New Roman" w:cs="Times New Roman"/>
                <w:i/>
                <w:iCs/>
                <w:color w:val="000000"/>
                <w:sz w:val="20"/>
                <w:szCs w:val="20"/>
                <w:lang w:eastAsia="pl-PL"/>
              </w:rPr>
              <w:t>adalimumabem,</w:t>
            </w:r>
          </w:p>
          <w:p w14:paraId="66C0E4DA" w14:textId="77777777" w:rsidR="000E78D0" w:rsidRPr="004F7B25" w:rsidRDefault="000E78D0" w:rsidP="00A05A8B">
            <w:pPr>
              <w:pStyle w:val="Akapitzlist"/>
              <w:numPr>
                <w:ilvl w:val="0"/>
                <w:numId w:val="25"/>
              </w:numPr>
              <w:autoSpaceDE w:val="0"/>
              <w:autoSpaceDN w:val="0"/>
              <w:adjustRightInd w:val="0"/>
              <w:spacing w:after="60" w:line="276" w:lineRule="auto"/>
              <w:contextualSpacing w:val="0"/>
              <w:jc w:val="both"/>
              <w:rPr>
                <w:rFonts w:ascii="Times New Roman" w:eastAsia="Times New Roman" w:hAnsi="Times New Roman" w:cs="Times New Roman"/>
                <w:i/>
                <w:iCs/>
                <w:color w:val="000000"/>
                <w:sz w:val="20"/>
                <w:szCs w:val="20"/>
                <w:lang w:eastAsia="pl-PL"/>
              </w:rPr>
            </w:pPr>
            <w:r w:rsidRPr="004F7B25">
              <w:rPr>
                <w:rFonts w:ascii="Times New Roman" w:eastAsia="Times New Roman" w:hAnsi="Times New Roman" w:cs="Times New Roman"/>
                <w:i/>
                <w:iCs/>
                <w:color w:val="000000"/>
                <w:sz w:val="20"/>
                <w:szCs w:val="20"/>
                <w:lang w:eastAsia="pl-PL"/>
              </w:rPr>
              <w:t xml:space="preserve">certolizumabem pegol, </w:t>
            </w:r>
          </w:p>
          <w:p w14:paraId="111863D4" w14:textId="77777777" w:rsidR="000E78D0" w:rsidRPr="004F7B25" w:rsidRDefault="000E78D0" w:rsidP="00A05A8B">
            <w:pPr>
              <w:pStyle w:val="Akapitzlist"/>
              <w:numPr>
                <w:ilvl w:val="0"/>
                <w:numId w:val="25"/>
              </w:numPr>
              <w:autoSpaceDE w:val="0"/>
              <w:autoSpaceDN w:val="0"/>
              <w:adjustRightInd w:val="0"/>
              <w:spacing w:after="60" w:line="276" w:lineRule="auto"/>
              <w:contextualSpacing w:val="0"/>
              <w:jc w:val="both"/>
              <w:rPr>
                <w:rFonts w:ascii="Times New Roman" w:eastAsia="Times New Roman" w:hAnsi="Times New Roman" w:cs="Times New Roman"/>
                <w:i/>
                <w:iCs/>
                <w:color w:val="000000"/>
                <w:sz w:val="20"/>
                <w:szCs w:val="20"/>
                <w:lang w:eastAsia="pl-PL"/>
              </w:rPr>
            </w:pPr>
            <w:r w:rsidRPr="004F7B25">
              <w:rPr>
                <w:rFonts w:ascii="Times New Roman" w:eastAsia="Times New Roman" w:hAnsi="Times New Roman" w:cs="Times New Roman"/>
                <w:i/>
                <w:iCs/>
                <w:color w:val="000000"/>
                <w:sz w:val="20"/>
                <w:szCs w:val="20"/>
                <w:lang w:eastAsia="pl-PL"/>
              </w:rPr>
              <w:t xml:space="preserve">etanerceptem, </w:t>
            </w:r>
          </w:p>
          <w:p w14:paraId="6FBA6D51" w14:textId="77777777" w:rsidR="000E78D0" w:rsidRPr="004F7B25" w:rsidRDefault="000E78D0" w:rsidP="00A05A8B">
            <w:pPr>
              <w:pStyle w:val="Akapitzlist"/>
              <w:numPr>
                <w:ilvl w:val="0"/>
                <w:numId w:val="25"/>
              </w:numPr>
              <w:autoSpaceDE w:val="0"/>
              <w:autoSpaceDN w:val="0"/>
              <w:adjustRightInd w:val="0"/>
              <w:spacing w:after="60" w:line="276" w:lineRule="auto"/>
              <w:contextualSpacing w:val="0"/>
              <w:jc w:val="both"/>
              <w:rPr>
                <w:rFonts w:ascii="Times New Roman" w:eastAsia="Times New Roman" w:hAnsi="Times New Roman" w:cs="Times New Roman"/>
                <w:i/>
                <w:iCs/>
                <w:color w:val="000000"/>
                <w:sz w:val="20"/>
                <w:szCs w:val="20"/>
                <w:lang w:eastAsia="pl-PL"/>
              </w:rPr>
            </w:pPr>
            <w:r w:rsidRPr="004F7B25">
              <w:rPr>
                <w:rFonts w:ascii="Times New Roman" w:eastAsia="Times New Roman" w:hAnsi="Times New Roman" w:cs="Times New Roman"/>
                <w:i/>
                <w:iCs/>
                <w:color w:val="000000"/>
                <w:sz w:val="20"/>
                <w:szCs w:val="20"/>
                <w:lang w:eastAsia="pl-PL"/>
              </w:rPr>
              <w:t>golimumabem,</w:t>
            </w:r>
          </w:p>
          <w:p w14:paraId="5E00AA32" w14:textId="77777777" w:rsidR="000E78D0" w:rsidRPr="004F7B25" w:rsidRDefault="000E78D0" w:rsidP="00A05A8B">
            <w:pPr>
              <w:pStyle w:val="Akapitzlist"/>
              <w:numPr>
                <w:ilvl w:val="0"/>
                <w:numId w:val="25"/>
              </w:numPr>
              <w:autoSpaceDE w:val="0"/>
              <w:autoSpaceDN w:val="0"/>
              <w:adjustRightInd w:val="0"/>
              <w:spacing w:after="60" w:line="276" w:lineRule="auto"/>
              <w:contextualSpacing w:val="0"/>
              <w:jc w:val="both"/>
              <w:rPr>
                <w:rFonts w:ascii="Times New Roman" w:eastAsia="Times New Roman" w:hAnsi="Times New Roman" w:cs="Times New Roman"/>
                <w:i/>
                <w:iCs/>
                <w:color w:val="000000"/>
                <w:sz w:val="20"/>
                <w:szCs w:val="20"/>
                <w:lang w:eastAsia="pl-PL"/>
              </w:rPr>
            </w:pPr>
            <w:r w:rsidRPr="004F7B25">
              <w:rPr>
                <w:rFonts w:ascii="Times New Roman" w:eastAsia="Times New Roman" w:hAnsi="Times New Roman" w:cs="Times New Roman"/>
                <w:i/>
                <w:iCs/>
                <w:color w:val="000000"/>
                <w:sz w:val="20"/>
                <w:szCs w:val="20"/>
                <w:lang w:eastAsia="pl-PL"/>
              </w:rPr>
              <w:t>infliksymabem,</w:t>
            </w:r>
          </w:p>
          <w:p w14:paraId="5A8E1E0C" w14:textId="0B054E7C" w:rsidR="000E78D0" w:rsidRPr="004F7B25" w:rsidRDefault="000E78D0" w:rsidP="00A05A8B">
            <w:pPr>
              <w:pStyle w:val="Akapitzlist"/>
              <w:numPr>
                <w:ilvl w:val="0"/>
                <w:numId w:val="25"/>
              </w:numPr>
              <w:autoSpaceDE w:val="0"/>
              <w:autoSpaceDN w:val="0"/>
              <w:adjustRightInd w:val="0"/>
              <w:spacing w:after="60" w:line="276" w:lineRule="auto"/>
              <w:contextualSpacing w:val="0"/>
              <w:jc w:val="both"/>
              <w:rPr>
                <w:rFonts w:ascii="Times New Roman" w:eastAsia="Times New Roman" w:hAnsi="Times New Roman" w:cs="Times New Roman"/>
                <w:i/>
                <w:iCs/>
                <w:color w:val="000000"/>
                <w:sz w:val="20"/>
                <w:szCs w:val="20"/>
                <w:lang w:eastAsia="pl-PL"/>
              </w:rPr>
            </w:pPr>
            <w:r w:rsidRPr="004F7B25">
              <w:rPr>
                <w:rFonts w:ascii="Times New Roman" w:eastAsia="Times New Roman" w:hAnsi="Times New Roman" w:cs="Times New Roman"/>
                <w:i/>
                <w:iCs/>
                <w:color w:val="000000"/>
                <w:sz w:val="20"/>
                <w:szCs w:val="20"/>
                <w:lang w:eastAsia="pl-PL"/>
              </w:rPr>
              <w:t>tocilizumabem,</w:t>
            </w:r>
          </w:p>
          <w:p w14:paraId="1923A30E" w14:textId="44686139" w:rsidR="000E78D0" w:rsidRPr="004F7B25" w:rsidRDefault="000E78D0" w:rsidP="00A05A8B">
            <w:pPr>
              <w:pStyle w:val="Akapitzlist"/>
              <w:numPr>
                <w:ilvl w:val="0"/>
                <w:numId w:val="25"/>
              </w:numPr>
              <w:autoSpaceDE w:val="0"/>
              <w:autoSpaceDN w:val="0"/>
              <w:adjustRightInd w:val="0"/>
              <w:spacing w:after="60" w:line="276" w:lineRule="auto"/>
              <w:contextualSpacing w:val="0"/>
              <w:jc w:val="both"/>
              <w:rPr>
                <w:rFonts w:ascii="Times New Roman" w:eastAsia="Times New Roman" w:hAnsi="Times New Roman" w:cs="Times New Roman"/>
                <w:i/>
                <w:iCs/>
                <w:color w:val="000000"/>
                <w:sz w:val="20"/>
                <w:szCs w:val="20"/>
                <w:lang w:eastAsia="pl-PL"/>
              </w:rPr>
            </w:pPr>
            <w:r w:rsidRPr="004F7B25">
              <w:rPr>
                <w:rFonts w:ascii="Times New Roman" w:eastAsia="Times New Roman" w:hAnsi="Times New Roman" w:cs="Times New Roman"/>
                <w:i/>
                <w:iCs/>
                <w:color w:val="000000"/>
                <w:sz w:val="20"/>
                <w:szCs w:val="20"/>
                <w:lang w:eastAsia="pl-PL"/>
              </w:rPr>
              <w:t xml:space="preserve">rytuksymabem, </w:t>
            </w:r>
          </w:p>
          <w:p w14:paraId="11BB0011" w14:textId="66D47CE1" w:rsidR="001F280A" w:rsidRPr="004F7B25" w:rsidRDefault="001F280A" w:rsidP="00A05A8B">
            <w:pPr>
              <w:pStyle w:val="Akapitzlist"/>
              <w:numPr>
                <w:ilvl w:val="0"/>
                <w:numId w:val="25"/>
              </w:numPr>
              <w:autoSpaceDE w:val="0"/>
              <w:autoSpaceDN w:val="0"/>
              <w:adjustRightInd w:val="0"/>
              <w:spacing w:after="60" w:line="276" w:lineRule="auto"/>
              <w:contextualSpacing w:val="0"/>
              <w:jc w:val="both"/>
              <w:rPr>
                <w:rFonts w:ascii="Times New Roman" w:eastAsia="Times New Roman" w:hAnsi="Times New Roman" w:cs="Times New Roman"/>
                <w:i/>
                <w:iCs/>
                <w:color w:val="000000"/>
                <w:sz w:val="20"/>
                <w:szCs w:val="20"/>
                <w:lang w:eastAsia="pl-PL"/>
              </w:rPr>
            </w:pPr>
            <w:r w:rsidRPr="004F7B25">
              <w:rPr>
                <w:rFonts w:ascii="Times New Roman" w:eastAsia="Times New Roman" w:hAnsi="Times New Roman" w:cs="Times New Roman"/>
                <w:i/>
                <w:iCs/>
                <w:color w:val="000000"/>
                <w:sz w:val="20"/>
                <w:szCs w:val="20"/>
                <w:lang w:eastAsia="pl-PL"/>
              </w:rPr>
              <w:t>baricytynibem,</w:t>
            </w:r>
          </w:p>
          <w:p w14:paraId="081FA3F9" w14:textId="7BEFB977" w:rsidR="001F280A" w:rsidRPr="004F7B25" w:rsidRDefault="001F280A" w:rsidP="00A05A8B">
            <w:pPr>
              <w:pStyle w:val="Akapitzlist"/>
              <w:numPr>
                <w:ilvl w:val="0"/>
                <w:numId w:val="25"/>
              </w:numPr>
              <w:autoSpaceDE w:val="0"/>
              <w:autoSpaceDN w:val="0"/>
              <w:adjustRightInd w:val="0"/>
              <w:spacing w:after="60" w:line="276" w:lineRule="auto"/>
              <w:contextualSpacing w:val="0"/>
              <w:jc w:val="both"/>
              <w:rPr>
                <w:rFonts w:ascii="Times New Roman" w:eastAsia="Times New Roman" w:hAnsi="Times New Roman" w:cs="Times New Roman"/>
                <w:i/>
                <w:iCs/>
                <w:color w:val="000000"/>
                <w:sz w:val="20"/>
                <w:szCs w:val="20"/>
                <w:lang w:eastAsia="pl-PL"/>
              </w:rPr>
            </w:pPr>
            <w:r w:rsidRPr="004F7B25">
              <w:rPr>
                <w:rFonts w:ascii="Times New Roman" w:eastAsia="Times New Roman" w:hAnsi="Times New Roman" w:cs="Times New Roman"/>
                <w:i/>
                <w:iCs/>
                <w:color w:val="000000"/>
                <w:sz w:val="20"/>
                <w:szCs w:val="20"/>
                <w:lang w:eastAsia="pl-PL"/>
              </w:rPr>
              <w:t>tofacytynibem,</w:t>
            </w:r>
          </w:p>
          <w:p w14:paraId="07330AC2" w14:textId="77777777" w:rsidR="000E78D0" w:rsidRPr="004F7B25" w:rsidRDefault="000E78D0" w:rsidP="00A05A8B">
            <w:pPr>
              <w:pStyle w:val="Akapitzlist"/>
              <w:numPr>
                <w:ilvl w:val="0"/>
                <w:numId w:val="25"/>
              </w:numPr>
              <w:autoSpaceDE w:val="0"/>
              <w:autoSpaceDN w:val="0"/>
              <w:adjustRightInd w:val="0"/>
              <w:spacing w:after="60" w:line="276" w:lineRule="auto"/>
              <w:contextualSpacing w:val="0"/>
              <w:jc w:val="both"/>
              <w:rPr>
                <w:rFonts w:ascii="Times New Roman" w:eastAsia="Times New Roman" w:hAnsi="Times New Roman" w:cs="Times New Roman"/>
                <w:i/>
                <w:iCs/>
                <w:color w:val="000000"/>
                <w:sz w:val="20"/>
                <w:szCs w:val="20"/>
                <w:lang w:eastAsia="pl-PL"/>
              </w:rPr>
            </w:pPr>
            <w:r w:rsidRPr="004F7B25">
              <w:rPr>
                <w:rFonts w:ascii="Times New Roman" w:eastAsia="Times New Roman" w:hAnsi="Times New Roman" w:cs="Times New Roman"/>
                <w:i/>
                <w:iCs/>
                <w:color w:val="000000"/>
                <w:sz w:val="20"/>
                <w:szCs w:val="20"/>
                <w:lang w:eastAsia="pl-PL"/>
              </w:rPr>
              <w:t>upadacytynibem,</w:t>
            </w:r>
          </w:p>
          <w:p w14:paraId="4C307092" w14:textId="68DAE5D8" w:rsidR="000E78D0" w:rsidRPr="004F7B25" w:rsidRDefault="001F280A" w:rsidP="00A05A8B">
            <w:pPr>
              <w:pStyle w:val="Akapitzlist"/>
              <w:numPr>
                <w:ilvl w:val="0"/>
                <w:numId w:val="25"/>
              </w:numPr>
              <w:autoSpaceDE w:val="0"/>
              <w:autoSpaceDN w:val="0"/>
              <w:adjustRightInd w:val="0"/>
              <w:spacing w:after="60" w:line="276" w:lineRule="auto"/>
              <w:contextualSpacing w:val="0"/>
              <w:jc w:val="both"/>
              <w:rPr>
                <w:rFonts w:ascii="Times New Roman" w:eastAsia="Times New Roman" w:hAnsi="Times New Roman" w:cs="Times New Roman"/>
                <w:i/>
                <w:iCs/>
                <w:color w:val="000000"/>
                <w:sz w:val="20"/>
                <w:szCs w:val="20"/>
                <w:lang w:eastAsia="pl-PL"/>
              </w:rPr>
            </w:pPr>
            <w:r w:rsidRPr="004F7B25">
              <w:rPr>
                <w:rFonts w:ascii="Times New Roman" w:eastAsia="Times New Roman" w:hAnsi="Times New Roman" w:cs="Times New Roman"/>
                <w:i/>
                <w:iCs/>
                <w:color w:val="000000"/>
                <w:sz w:val="20"/>
                <w:szCs w:val="20"/>
                <w:lang w:eastAsia="pl-PL"/>
              </w:rPr>
              <w:t>filgotynibem,</w:t>
            </w:r>
          </w:p>
          <w:p w14:paraId="7DF248C5" w14:textId="1531A905" w:rsidR="001F280A" w:rsidRDefault="001F280A" w:rsidP="00A05A8B">
            <w:pPr>
              <w:pStyle w:val="Akapitzlist"/>
              <w:numPr>
                <w:ilvl w:val="0"/>
                <w:numId w:val="25"/>
              </w:numPr>
              <w:autoSpaceDE w:val="0"/>
              <w:autoSpaceDN w:val="0"/>
              <w:adjustRightInd w:val="0"/>
              <w:spacing w:after="60" w:line="276" w:lineRule="auto"/>
              <w:contextualSpacing w:val="0"/>
              <w:jc w:val="both"/>
              <w:rPr>
                <w:rFonts w:ascii="Times New Roman" w:eastAsia="Times New Roman" w:hAnsi="Times New Roman" w:cs="Times New Roman"/>
                <w:i/>
                <w:iCs/>
                <w:color w:val="000000"/>
                <w:sz w:val="20"/>
                <w:szCs w:val="20"/>
                <w:lang w:eastAsia="pl-PL"/>
              </w:rPr>
            </w:pPr>
            <w:r w:rsidRPr="004F7B25">
              <w:rPr>
                <w:rFonts w:ascii="Times New Roman" w:eastAsia="Times New Roman" w:hAnsi="Times New Roman" w:cs="Times New Roman"/>
                <w:i/>
                <w:iCs/>
                <w:color w:val="000000"/>
                <w:sz w:val="20"/>
                <w:szCs w:val="20"/>
                <w:lang w:eastAsia="pl-PL"/>
              </w:rPr>
              <w:t>anakinrą</w:t>
            </w:r>
            <w:r w:rsidR="009C113F">
              <w:rPr>
                <w:rFonts w:ascii="Times New Roman" w:eastAsia="Times New Roman" w:hAnsi="Times New Roman" w:cs="Times New Roman"/>
                <w:i/>
                <w:iCs/>
                <w:color w:val="000000"/>
                <w:sz w:val="20"/>
                <w:szCs w:val="20"/>
                <w:lang w:eastAsia="pl-PL"/>
              </w:rPr>
              <w:t>,</w:t>
            </w:r>
          </w:p>
          <w:p w14:paraId="2FD1D2A3" w14:textId="73E7AC4E" w:rsidR="009C113F" w:rsidRPr="009C113F" w:rsidRDefault="009C113F" w:rsidP="00A05A8B">
            <w:pPr>
              <w:pStyle w:val="Akapitzlist"/>
              <w:numPr>
                <w:ilvl w:val="0"/>
                <w:numId w:val="25"/>
              </w:numPr>
              <w:spacing w:after="60" w:line="276" w:lineRule="auto"/>
              <w:contextualSpacing w:val="0"/>
              <w:rPr>
                <w:rFonts w:ascii="Times New Roman" w:eastAsia="Times New Roman" w:hAnsi="Times New Roman" w:cs="Times New Roman"/>
                <w:i/>
                <w:iCs/>
                <w:color w:val="000000"/>
                <w:sz w:val="20"/>
                <w:szCs w:val="20"/>
                <w:lang w:eastAsia="pl-PL"/>
              </w:rPr>
            </w:pPr>
            <w:r w:rsidRPr="009C113F">
              <w:rPr>
                <w:rFonts w:ascii="Times New Roman" w:eastAsia="Times New Roman" w:hAnsi="Times New Roman" w:cs="Times New Roman"/>
                <w:i/>
                <w:iCs/>
                <w:color w:val="000000"/>
                <w:sz w:val="20"/>
                <w:szCs w:val="20"/>
                <w:lang w:eastAsia="pl-PL"/>
              </w:rPr>
              <w:t>kanakinumabem</w:t>
            </w:r>
            <w:r>
              <w:rPr>
                <w:rFonts w:ascii="Times New Roman" w:eastAsia="Times New Roman" w:hAnsi="Times New Roman" w:cs="Times New Roman"/>
                <w:i/>
                <w:iCs/>
                <w:color w:val="000000"/>
                <w:sz w:val="20"/>
                <w:szCs w:val="20"/>
                <w:lang w:eastAsia="pl-PL"/>
              </w:rPr>
              <w:t>.</w:t>
            </w:r>
          </w:p>
          <w:p w14:paraId="795B5E70" w14:textId="77777777" w:rsidR="000E78D0" w:rsidRPr="004F7B25" w:rsidRDefault="000E78D0" w:rsidP="00A05A8B">
            <w:pPr>
              <w:autoSpaceDE w:val="0"/>
              <w:autoSpaceDN w:val="0"/>
              <w:adjustRightInd w:val="0"/>
              <w:spacing w:after="60" w:line="276" w:lineRule="auto"/>
              <w:jc w:val="both"/>
              <w:rPr>
                <w:rFonts w:ascii="Times New Roman" w:eastAsia="Times New Roman" w:hAnsi="Times New Roman" w:cs="Times New Roman"/>
                <w:sz w:val="20"/>
                <w:szCs w:val="20"/>
                <w:u w:val="single"/>
                <w:lang w:eastAsia="pl-PL"/>
              </w:rPr>
            </w:pPr>
            <w:r w:rsidRPr="004F7B25">
              <w:rPr>
                <w:rFonts w:ascii="Times New Roman" w:eastAsia="Times New Roman" w:hAnsi="Times New Roman" w:cs="Times New Roman"/>
                <w:sz w:val="20"/>
                <w:szCs w:val="20"/>
                <w:u w:val="single"/>
                <w:lang w:eastAsia="pl-PL"/>
              </w:rPr>
              <w:t>zgodnie ze wskazanymi w opisie programu warunkami i kryteriami.</w:t>
            </w:r>
          </w:p>
          <w:p w14:paraId="4142E0E1" w14:textId="77777777" w:rsidR="000E78D0" w:rsidRPr="00154BF9" w:rsidRDefault="000E78D0" w:rsidP="00A05A8B">
            <w:pPr>
              <w:autoSpaceDE w:val="0"/>
              <w:autoSpaceDN w:val="0"/>
              <w:adjustRightInd w:val="0"/>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Kwalifikacja świadczeniobiorców do programu przeprowadzana jest przez Zespół Koordynacyjny ds. Leczenia Biologicznego w Chorobach Reumatycznych powoływany przez Prezesa Narodowego Funduszu Zdrowia.</w:t>
            </w:r>
          </w:p>
          <w:p w14:paraId="3EDF03DF" w14:textId="77777777" w:rsidR="000E78D0" w:rsidRPr="00154BF9" w:rsidRDefault="000E78D0" w:rsidP="00A05A8B">
            <w:pPr>
              <w:spacing w:after="60" w:line="276" w:lineRule="auto"/>
              <w:ind w:left="227"/>
              <w:jc w:val="both"/>
              <w:rPr>
                <w:rFonts w:ascii="Times New Roman" w:eastAsia="Times New Roman" w:hAnsi="Times New Roman" w:cs="Times New Roman"/>
                <w:b/>
                <w:sz w:val="20"/>
                <w:szCs w:val="20"/>
                <w:lang w:eastAsia="pl-PL"/>
              </w:rPr>
            </w:pPr>
          </w:p>
          <w:p w14:paraId="1138F38E" w14:textId="74DF8ADC" w:rsidR="009D7AE1" w:rsidRPr="004F7B25" w:rsidRDefault="009D7AE1" w:rsidP="00A05A8B">
            <w:pPr>
              <w:pStyle w:val="Akapitzlist"/>
              <w:numPr>
                <w:ilvl w:val="0"/>
                <w:numId w:val="19"/>
              </w:numPr>
              <w:autoSpaceDE w:val="0"/>
              <w:autoSpaceDN w:val="0"/>
              <w:adjustRightInd w:val="0"/>
              <w:spacing w:after="60" w:line="276" w:lineRule="auto"/>
              <w:contextualSpacing w:val="0"/>
              <w:jc w:val="both"/>
              <w:rPr>
                <w:rFonts w:ascii="Times New Roman" w:eastAsia="Times New Roman" w:hAnsi="Times New Roman" w:cs="Times New Roman"/>
                <w:b/>
                <w:bCs/>
                <w:sz w:val="20"/>
                <w:szCs w:val="20"/>
                <w:lang w:eastAsia="pl-PL"/>
              </w:rPr>
            </w:pPr>
            <w:r w:rsidRPr="004F7B25">
              <w:rPr>
                <w:rFonts w:ascii="Times New Roman" w:eastAsia="Times New Roman" w:hAnsi="Times New Roman" w:cs="Times New Roman"/>
                <w:b/>
                <w:bCs/>
                <w:sz w:val="20"/>
                <w:szCs w:val="20"/>
                <w:lang w:eastAsia="pl-PL"/>
              </w:rPr>
              <w:t>Kryteria</w:t>
            </w:r>
            <w:r w:rsidR="0052643B" w:rsidRPr="004F7B25">
              <w:rPr>
                <w:rFonts w:ascii="Times New Roman" w:eastAsia="Times New Roman" w:hAnsi="Times New Roman" w:cs="Times New Roman"/>
                <w:b/>
                <w:bCs/>
                <w:sz w:val="20"/>
                <w:szCs w:val="20"/>
                <w:lang w:eastAsia="pl-PL"/>
              </w:rPr>
              <w:t xml:space="preserve"> </w:t>
            </w:r>
            <w:r w:rsidRPr="004F7B25">
              <w:rPr>
                <w:rFonts w:ascii="Times New Roman" w:eastAsia="Times New Roman" w:hAnsi="Times New Roman" w:cs="Times New Roman"/>
                <w:b/>
                <w:bCs/>
                <w:sz w:val="20"/>
                <w:szCs w:val="20"/>
                <w:lang w:eastAsia="pl-PL"/>
              </w:rPr>
              <w:t>kwalifikacji</w:t>
            </w:r>
          </w:p>
          <w:p w14:paraId="7FD465CA" w14:textId="560BDF30" w:rsidR="009F35CF" w:rsidRPr="004F7B25" w:rsidRDefault="009F35CF" w:rsidP="00A05A8B">
            <w:pPr>
              <w:autoSpaceDE w:val="0"/>
              <w:autoSpaceDN w:val="0"/>
              <w:adjustRightInd w:val="0"/>
              <w:spacing w:after="60" w:line="276" w:lineRule="auto"/>
              <w:jc w:val="both"/>
              <w:rPr>
                <w:rFonts w:ascii="Times New Roman" w:eastAsia="Times New Roman" w:hAnsi="Times New Roman" w:cs="Times New Roman"/>
                <w:sz w:val="20"/>
                <w:szCs w:val="20"/>
                <w:lang w:eastAsia="pl-PL"/>
              </w:rPr>
            </w:pPr>
            <w:r w:rsidRPr="004F7B25">
              <w:rPr>
                <w:rFonts w:ascii="Times New Roman" w:eastAsia="Times New Roman" w:hAnsi="Times New Roman" w:cs="Times New Roman"/>
                <w:sz w:val="20"/>
                <w:szCs w:val="20"/>
                <w:lang w:eastAsia="pl-PL"/>
              </w:rPr>
              <w:t>Do programu kwalifikowani są pacjenci spełniający łącznie następujące kryteria:</w:t>
            </w:r>
          </w:p>
          <w:p w14:paraId="628D318A" w14:textId="23FD7D79" w:rsidR="009D7AE1" w:rsidRPr="002A565F" w:rsidRDefault="009D7AE1" w:rsidP="00A05A8B">
            <w:pPr>
              <w:pStyle w:val="Akapitzlist"/>
              <w:numPr>
                <w:ilvl w:val="3"/>
                <w:numId w:val="19"/>
              </w:numPr>
              <w:autoSpaceDE w:val="0"/>
              <w:autoSpaceDN w:val="0"/>
              <w:adjustRightInd w:val="0"/>
              <w:spacing w:after="60" w:line="276" w:lineRule="auto"/>
              <w:contextualSpacing w:val="0"/>
              <w:jc w:val="both"/>
              <w:rPr>
                <w:rFonts w:ascii="Times New Roman" w:eastAsia="Times New Roman" w:hAnsi="Times New Roman" w:cs="Times New Roman"/>
                <w:color w:val="000000"/>
                <w:sz w:val="20"/>
                <w:szCs w:val="20"/>
                <w:lang w:eastAsia="pl-PL"/>
              </w:rPr>
            </w:pPr>
            <w:r w:rsidRPr="004F7B25">
              <w:rPr>
                <w:rFonts w:ascii="Times New Roman" w:eastAsia="Times New Roman" w:hAnsi="Times New Roman" w:cs="Times New Roman"/>
                <w:color w:val="000000"/>
                <w:sz w:val="20"/>
                <w:szCs w:val="20"/>
                <w:lang w:eastAsia="pl-PL"/>
              </w:rPr>
              <w:t>Do</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terapii</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inhibitorem</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TNF</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alfa</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albo</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tocilizumabem</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albo</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tofacytynibem</w:t>
            </w:r>
            <w:r w:rsidR="0052643B" w:rsidRPr="004F7B25">
              <w:rPr>
                <w:rFonts w:ascii="Times New Roman" w:eastAsia="Times New Roman" w:hAnsi="Times New Roman" w:cs="Times New Roman"/>
                <w:color w:val="000000"/>
                <w:sz w:val="20"/>
                <w:szCs w:val="20"/>
                <w:lang w:eastAsia="pl-PL"/>
              </w:rPr>
              <w:t xml:space="preserve"> </w:t>
            </w:r>
            <w:r w:rsidR="00A1439C" w:rsidRPr="004F7B25">
              <w:rPr>
                <w:rFonts w:ascii="Times New Roman" w:eastAsia="Times New Roman" w:hAnsi="Times New Roman" w:cs="Times New Roman"/>
                <w:color w:val="000000"/>
                <w:sz w:val="20"/>
                <w:szCs w:val="20"/>
                <w:lang w:eastAsia="pl-PL"/>
              </w:rPr>
              <w:t>albo</w:t>
            </w:r>
            <w:r w:rsidR="0052643B" w:rsidRPr="004F7B25">
              <w:rPr>
                <w:rFonts w:ascii="Times New Roman" w:eastAsia="Times New Roman" w:hAnsi="Times New Roman" w:cs="Times New Roman"/>
                <w:color w:val="000000"/>
                <w:sz w:val="20"/>
                <w:szCs w:val="20"/>
                <w:lang w:eastAsia="pl-PL"/>
              </w:rPr>
              <w:t xml:space="preserve"> </w:t>
            </w:r>
            <w:r w:rsidR="00A1439C" w:rsidRPr="004F7B25">
              <w:rPr>
                <w:rFonts w:ascii="Times New Roman" w:eastAsia="Times New Roman" w:hAnsi="Times New Roman" w:cs="Times New Roman"/>
                <w:color w:val="000000"/>
                <w:sz w:val="20"/>
                <w:szCs w:val="20"/>
                <w:lang w:eastAsia="pl-PL"/>
              </w:rPr>
              <w:t>baricytynibem</w:t>
            </w:r>
            <w:r w:rsidR="0052643B" w:rsidRPr="004F7B25">
              <w:rPr>
                <w:rFonts w:ascii="Times New Roman" w:eastAsia="Times New Roman" w:hAnsi="Times New Roman" w:cs="Times New Roman"/>
                <w:color w:val="000000"/>
                <w:sz w:val="20"/>
                <w:szCs w:val="20"/>
                <w:lang w:eastAsia="pl-PL"/>
              </w:rPr>
              <w:t xml:space="preserve"> </w:t>
            </w:r>
            <w:r w:rsidR="00DF228D" w:rsidRPr="004F7B25">
              <w:rPr>
                <w:rFonts w:ascii="Times New Roman" w:eastAsia="Times New Roman" w:hAnsi="Times New Roman" w:cs="Times New Roman"/>
                <w:color w:val="000000"/>
                <w:sz w:val="20"/>
                <w:szCs w:val="20"/>
                <w:lang w:eastAsia="pl-PL"/>
              </w:rPr>
              <w:t>albo</w:t>
            </w:r>
            <w:r w:rsidR="0052643B" w:rsidRPr="004F7B25">
              <w:rPr>
                <w:rFonts w:ascii="Times New Roman" w:eastAsia="Times New Roman" w:hAnsi="Times New Roman" w:cs="Times New Roman"/>
                <w:color w:val="000000"/>
                <w:sz w:val="20"/>
                <w:szCs w:val="20"/>
                <w:lang w:eastAsia="pl-PL"/>
              </w:rPr>
              <w:t xml:space="preserve"> </w:t>
            </w:r>
            <w:r w:rsidR="00DF228D" w:rsidRPr="004F7B25">
              <w:rPr>
                <w:rFonts w:ascii="Times New Roman" w:eastAsia="Times New Roman" w:hAnsi="Times New Roman" w:cs="Times New Roman"/>
                <w:color w:val="000000"/>
                <w:sz w:val="20"/>
                <w:szCs w:val="20"/>
                <w:lang w:eastAsia="pl-PL"/>
              </w:rPr>
              <w:t>upadacytynibem</w:t>
            </w:r>
            <w:r w:rsidR="002C5EE9" w:rsidRPr="004F7B25">
              <w:rPr>
                <w:rFonts w:ascii="Times New Roman" w:eastAsia="Times New Roman" w:hAnsi="Times New Roman" w:cs="Times New Roman"/>
                <w:color w:val="000000"/>
                <w:sz w:val="20"/>
                <w:szCs w:val="20"/>
                <w:lang w:eastAsia="pl-PL"/>
              </w:rPr>
              <w:t xml:space="preserve"> </w:t>
            </w:r>
            <w:r w:rsidR="00527E22" w:rsidRPr="004F7B25">
              <w:rPr>
                <w:rFonts w:ascii="Times New Roman" w:eastAsia="Times New Roman" w:hAnsi="Times New Roman" w:cs="Times New Roman"/>
                <w:color w:val="000000"/>
                <w:sz w:val="20"/>
                <w:szCs w:val="20"/>
                <w:lang w:eastAsia="pl-PL"/>
              </w:rPr>
              <w:t>albo filgotynibem</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kwalifikuje</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się</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pacjentów</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z</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rozpoznaniem</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RZS</w:t>
            </w:r>
            <w:r w:rsidR="0052643B" w:rsidRPr="004F7B25">
              <w:rPr>
                <w:rFonts w:ascii="Times New Roman" w:eastAsia="Times New Roman" w:hAnsi="Times New Roman" w:cs="Times New Roman"/>
                <w:color w:val="000000"/>
                <w:sz w:val="20"/>
                <w:szCs w:val="20"/>
                <w:lang w:eastAsia="pl-PL"/>
              </w:rPr>
              <w:t xml:space="preserve"> </w:t>
            </w:r>
            <w:r w:rsidR="003D7E27" w:rsidRPr="004F7B25">
              <w:rPr>
                <w:rFonts w:ascii="Times New Roman" w:eastAsia="Times New Roman" w:hAnsi="Times New Roman" w:cs="Times New Roman"/>
                <w:color w:val="000000"/>
                <w:sz w:val="20"/>
                <w:szCs w:val="20"/>
                <w:lang w:eastAsia="pl-PL"/>
              </w:rPr>
              <w:t>oraz,</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u</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których</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nastąpiło</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niepowodzenie</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terapii</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co</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najmniej</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dwoma</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lekami</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modyfikującymi</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przebieg</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choroby/lekami</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immunosupresyjnymi,</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takimi</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jak</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metotreksat,</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leflunomid,</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sulfasalazyna</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oraz</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leki</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antymalaryczne,</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zgodnie</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z</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obowiązującymi</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zaleceniami</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EULAR,</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z</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których</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każdy</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zastosowany</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był</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przez</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co</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najmniej</w:t>
            </w:r>
            <w:r w:rsidR="0052643B" w:rsidRPr="004F7B25">
              <w:rPr>
                <w:rFonts w:ascii="Times New Roman" w:eastAsia="Times New Roman" w:hAnsi="Times New Roman" w:cs="Times New Roman"/>
                <w:color w:val="000000"/>
                <w:sz w:val="20"/>
                <w:szCs w:val="20"/>
                <w:lang w:eastAsia="pl-PL"/>
              </w:rPr>
              <w:t xml:space="preserve"> </w:t>
            </w:r>
            <w:r w:rsidR="00A36956" w:rsidRPr="004F7B25">
              <w:rPr>
                <w:rFonts w:ascii="Times New Roman" w:eastAsia="Times New Roman" w:hAnsi="Times New Roman" w:cs="Times New Roman"/>
                <w:color w:val="000000"/>
                <w:sz w:val="20"/>
                <w:szCs w:val="20"/>
                <w:lang w:eastAsia="pl-PL"/>
              </w:rPr>
              <w:t>3</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miesiące</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w</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monoterapii</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lub</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terapii</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łączonej</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(w</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tym</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po</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niepowodzeniu</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terapii</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metotreksatem</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w</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postaci</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doustnej</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lub</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podskórnej)</w:t>
            </w:r>
            <w:r w:rsidR="0052643B" w:rsidRPr="004F7B25">
              <w:rPr>
                <w:rFonts w:ascii="Times New Roman" w:eastAsia="Times New Roman" w:hAnsi="Times New Roman" w:cs="Times New Roman"/>
                <w:color w:val="000000"/>
                <w:sz w:val="20"/>
                <w:szCs w:val="20"/>
                <w:lang w:eastAsia="pl-PL"/>
              </w:rPr>
              <w:t xml:space="preserve"> </w:t>
            </w:r>
            <w:r w:rsidR="00A36956" w:rsidRPr="004F7B25">
              <w:rPr>
                <w:rFonts w:ascii="Times New Roman" w:eastAsia="Times New Roman" w:hAnsi="Times New Roman" w:cs="Times New Roman"/>
                <w:color w:val="000000"/>
                <w:sz w:val="20"/>
                <w:szCs w:val="20"/>
                <w:lang w:eastAsia="pl-PL"/>
              </w:rPr>
              <w:t>lub</w:t>
            </w:r>
            <w:r w:rsidR="0052643B" w:rsidRPr="004F7B25">
              <w:rPr>
                <w:rFonts w:ascii="Times New Roman" w:eastAsia="Times New Roman" w:hAnsi="Times New Roman" w:cs="Times New Roman"/>
                <w:color w:val="000000"/>
                <w:sz w:val="20"/>
                <w:szCs w:val="20"/>
                <w:lang w:eastAsia="pl-PL"/>
              </w:rPr>
              <w:t xml:space="preserve"> </w:t>
            </w:r>
            <w:r w:rsidR="00A36956" w:rsidRPr="004F7B25">
              <w:rPr>
                <w:rFonts w:ascii="Times New Roman" w:eastAsia="Times New Roman" w:hAnsi="Times New Roman" w:cs="Times New Roman"/>
                <w:color w:val="000000"/>
                <w:sz w:val="20"/>
                <w:szCs w:val="20"/>
                <w:lang w:eastAsia="pl-PL"/>
              </w:rPr>
              <w:t>po</w:t>
            </w:r>
            <w:r w:rsidR="0052643B" w:rsidRPr="004F7B25">
              <w:rPr>
                <w:rFonts w:ascii="Times New Roman" w:eastAsia="Times New Roman" w:hAnsi="Times New Roman" w:cs="Times New Roman"/>
                <w:color w:val="000000"/>
                <w:sz w:val="20"/>
                <w:szCs w:val="20"/>
                <w:lang w:eastAsia="pl-PL"/>
              </w:rPr>
              <w:t xml:space="preserve"> </w:t>
            </w:r>
            <w:r w:rsidR="00A36956" w:rsidRPr="004F7B25">
              <w:rPr>
                <w:rFonts w:ascii="Times New Roman" w:eastAsia="Times New Roman" w:hAnsi="Times New Roman" w:cs="Times New Roman"/>
                <w:color w:val="000000"/>
                <w:sz w:val="20"/>
                <w:szCs w:val="20"/>
                <w:lang w:eastAsia="pl-PL"/>
              </w:rPr>
              <w:t>niepowodzeniu</w:t>
            </w:r>
            <w:r w:rsidR="0052643B" w:rsidRPr="004F7B25">
              <w:rPr>
                <w:rFonts w:ascii="Times New Roman" w:eastAsia="Times New Roman" w:hAnsi="Times New Roman" w:cs="Times New Roman"/>
                <w:color w:val="000000"/>
                <w:sz w:val="20"/>
                <w:szCs w:val="20"/>
                <w:lang w:eastAsia="pl-PL"/>
              </w:rPr>
              <w:t xml:space="preserve"> </w:t>
            </w:r>
            <w:r w:rsidR="00A36956" w:rsidRPr="004F7B25">
              <w:rPr>
                <w:rFonts w:ascii="Times New Roman" w:eastAsia="Times New Roman" w:hAnsi="Times New Roman" w:cs="Times New Roman"/>
                <w:color w:val="000000"/>
                <w:sz w:val="20"/>
                <w:szCs w:val="20"/>
                <w:lang w:eastAsia="pl-PL"/>
              </w:rPr>
              <w:t>terapii</w:t>
            </w:r>
            <w:r w:rsidR="0052643B" w:rsidRPr="004F7B25">
              <w:rPr>
                <w:rFonts w:ascii="Times New Roman" w:eastAsia="Times New Roman" w:hAnsi="Times New Roman" w:cs="Times New Roman"/>
                <w:color w:val="000000"/>
                <w:sz w:val="20"/>
                <w:szCs w:val="20"/>
                <w:lang w:eastAsia="pl-PL"/>
              </w:rPr>
              <w:t xml:space="preserve"> </w:t>
            </w:r>
            <w:r w:rsidR="00A36956" w:rsidRPr="004F7B25">
              <w:rPr>
                <w:rFonts w:ascii="Times New Roman" w:eastAsia="Times New Roman" w:hAnsi="Times New Roman" w:cs="Times New Roman"/>
                <w:color w:val="000000"/>
                <w:sz w:val="20"/>
                <w:szCs w:val="20"/>
                <w:lang w:eastAsia="pl-PL"/>
              </w:rPr>
              <w:t>metotreksatem</w:t>
            </w:r>
            <w:r w:rsidR="0052643B" w:rsidRPr="004F7B25">
              <w:rPr>
                <w:rFonts w:ascii="Times New Roman" w:eastAsia="Times New Roman" w:hAnsi="Times New Roman" w:cs="Times New Roman"/>
                <w:color w:val="000000"/>
                <w:sz w:val="20"/>
                <w:szCs w:val="20"/>
                <w:lang w:eastAsia="pl-PL"/>
              </w:rPr>
              <w:t xml:space="preserve"> </w:t>
            </w:r>
            <w:r w:rsidR="00A36956" w:rsidRPr="004F7B25">
              <w:rPr>
                <w:rFonts w:ascii="Times New Roman" w:eastAsia="Times New Roman" w:hAnsi="Times New Roman" w:cs="Times New Roman"/>
                <w:color w:val="000000"/>
                <w:sz w:val="20"/>
                <w:szCs w:val="20"/>
                <w:lang w:eastAsia="pl-PL"/>
              </w:rPr>
              <w:t>w</w:t>
            </w:r>
            <w:r w:rsidR="0052643B" w:rsidRPr="004F7B25">
              <w:rPr>
                <w:rFonts w:ascii="Times New Roman" w:eastAsia="Times New Roman" w:hAnsi="Times New Roman" w:cs="Times New Roman"/>
                <w:color w:val="000000"/>
                <w:sz w:val="20"/>
                <w:szCs w:val="20"/>
                <w:lang w:eastAsia="pl-PL"/>
              </w:rPr>
              <w:t xml:space="preserve"> </w:t>
            </w:r>
            <w:r w:rsidR="00A36956" w:rsidRPr="004F7B25">
              <w:rPr>
                <w:rFonts w:ascii="Times New Roman" w:eastAsia="Times New Roman" w:hAnsi="Times New Roman" w:cs="Times New Roman"/>
                <w:color w:val="000000"/>
                <w:sz w:val="20"/>
                <w:szCs w:val="20"/>
                <w:lang w:eastAsia="pl-PL"/>
              </w:rPr>
              <w:t>postaci</w:t>
            </w:r>
            <w:r w:rsidR="0052643B" w:rsidRPr="004F7B25">
              <w:rPr>
                <w:rFonts w:ascii="Times New Roman" w:eastAsia="Times New Roman" w:hAnsi="Times New Roman" w:cs="Times New Roman"/>
                <w:color w:val="000000"/>
                <w:sz w:val="20"/>
                <w:szCs w:val="20"/>
                <w:lang w:eastAsia="pl-PL"/>
              </w:rPr>
              <w:t xml:space="preserve"> </w:t>
            </w:r>
            <w:r w:rsidR="00A36956" w:rsidRPr="004F7B25">
              <w:rPr>
                <w:rFonts w:ascii="Times New Roman" w:eastAsia="Times New Roman" w:hAnsi="Times New Roman" w:cs="Times New Roman"/>
                <w:color w:val="000000"/>
                <w:sz w:val="20"/>
                <w:szCs w:val="20"/>
                <w:lang w:eastAsia="pl-PL"/>
              </w:rPr>
              <w:t>doustnej</w:t>
            </w:r>
            <w:r w:rsidR="0052643B" w:rsidRPr="004F7B25">
              <w:rPr>
                <w:rFonts w:ascii="Times New Roman" w:eastAsia="Times New Roman" w:hAnsi="Times New Roman" w:cs="Times New Roman"/>
                <w:color w:val="000000"/>
                <w:sz w:val="20"/>
                <w:szCs w:val="20"/>
                <w:lang w:eastAsia="pl-PL"/>
              </w:rPr>
              <w:t xml:space="preserve"> </w:t>
            </w:r>
            <w:r w:rsidR="00A36956" w:rsidRPr="004F7B25">
              <w:rPr>
                <w:rFonts w:ascii="Times New Roman" w:eastAsia="Times New Roman" w:hAnsi="Times New Roman" w:cs="Times New Roman"/>
                <w:color w:val="000000"/>
                <w:sz w:val="20"/>
                <w:szCs w:val="20"/>
                <w:lang w:eastAsia="pl-PL"/>
              </w:rPr>
              <w:t>lub</w:t>
            </w:r>
            <w:r w:rsidR="0052643B" w:rsidRPr="004F7B25">
              <w:rPr>
                <w:rFonts w:ascii="Times New Roman" w:eastAsia="Times New Roman" w:hAnsi="Times New Roman" w:cs="Times New Roman"/>
                <w:color w:val="000000"/>
                <w:sz w:val="20"/>
                <w:szCs w:val="20"/>
                <w:lang w:eastAsia="pl-PL"/>
              </w:rPr>
              <w:t xml:space="preserve"> </w:t>
            </w:r>
            <w:r w:rsidR="00A36956" w:rsidRPr="004F7B25">
              <w:rPr>
                <w:rFonts w:ascii="Times New Roman" w:eastAsia="Times New Roman" w:hAnsi="Times New Roman" w:cs="Times New Roman"/>
                <w:color w:val="000000"/>
                <w:sz w:val="20"/>
                <w:szCs w:val="20"/>
                <w:lang w:eastAsia="pl-PL"/>
              </w:rPr>
              <w:t>podskórnej,</w:t>
            </w:r>
            <w:r w:rsidR="0052643B" w:rsidRPr="004F7B25">
              <w:rPr>
                <w:rFonts w:ascii="Times New Roman" w:eastAsia="Times New Roman" w:hAnsi="Times New Roman" w:cs="Times New Roman"/>
                <w:color w:val="000000"/>
                <w:sz w:val="20"/>
                <w:szCs w:val="20"/>
                <w:lang w:eastAsia="pl-PL"/>
              </w:rPr>
              <w:t xml:space="preserve"> </w:t>
            </w:r>
            <w:r w:rsidR="00A36956" w:rsidRPr="004F7B25">
              <w:rPr>
                <w:rFonts w:ascii="Times New Roman" w:eastAsia="Times New Roman" w:hAnsi="Times New Roman" w:cs="Times New Roman"/>
                <w:color w:val="000000"/>
                <w:sz w:val="20"/>
                <w:szCs w:val="20"/>
                <w:lang w:eastAsia="pl-PL"/>
              </w:rPr>
              <w:t>która</w:t>
            </w:r>
            <w:r w:rsidR="0052643B" w:rsidRPr="004F7B25">
              <w:rPr>
                <w:rFonts w:ascii="Times New Roman" w:eastAsia="Times New Roman" w:hAnsi="Times New Roman" w:cs="Times New Roman"/>
                <w:color w:val="000000"/>
                <w:sz w:val="20"/>
                <w:szCs w:val="20"/>
                <w:lang w:eastAsia="pl-PL"/>
              </w:rPr>
              <w:t xml:space="preserve"> </w:t>
            </w:r>
            <w:r w:rsidR="00A36956" w:rsidRPr="004F7B25">
              <w:rPr>
                <w:rFonts w:ascii="Times New Roman" w:eastAsia="Times New Roman" w:hAnsi="Times New Roman" w:cs="Times New Roman"/>
                <w:color w:val="000000"/>
                <w:sz w:val="20"/>
                <w:szCs w:val="20"/>
                <w:lang w:eastAsia="pl-PL"/>
              </w:rPr>
              <w:t>była</w:t>
            </w:r>
            <w:r w:rsidR="0052643B" w:rsidRPr="004F7B25">
              <w:rPr>
                <w:rFonts w:ascii="Times New Roman" w:eastAsia="Times New Roman" w:hAnsi="Times New Roman" w:cs="Times New Roman"/>
                <w:color w:val="000000"/>
                <w:sz w:val="20"/>
                <w:szCs w:val="20"/>
                <w:lang w:eastAsia="pl-PL"/>
              </w:rPr>
              <w:t xml:space="preserve"> </w:t>
            </w:r>
            <w:r w:rsidR="00A36956" w:rsidRPr="004F7B25">
              <w:rPr>
                <w:rFonts w:ascii="Times New Roman" w:eastAsia="Times New Roman" w:hAnsi="Times New Roman" w:cs="Times New Roman"/>
                <w:color w:val="000000"/>
                <w:sz w:val="20"/>
                <w:szCs w:val="20"/>
                <w:lang w:eastAsia="pl-PL"/>
              </w:rPr>
              <w:t>zastosowana</w:t>
            </w:r>
            <w:r w:rsidR="0052643B" w:rsidRPr="004F7B25">
              <w:rPr>
                <w:rFonts w:ascii="Times New Roman" w:eastAsia="Times New Roman" w:hAnsi="Times New Roman" w:cs="Times New Roman"/>
                <w:color w:val="000000"/>
                <w:sz w:val="20"/>
                <w:szCs w:val="20"/>
                <w:lang w:eastAsia="pl-PL"/>
              </w:rPr>
              <w:t xml:space="preserve"> </w:t>
            </w:r>
            <w:r w:rsidR="00A36956" w:rsidRPr="004F7B25">
              <w:rPr>
                <w:rFonts w:ascii="Times New Roman" w:eastAsia="Times New Roman" w:hAnsi="Times New Roman" w:cs="Times New Roman"/>
                <w:color w:val="000000"/>
                <w:sz w:val="20"/>
                <w:szCs w:val="20"/>
                <w:lang w:eastAsia="pl-PL"/>
              </w:rPr>
              <w:t>przez</w:t>
            </w:r>
            <w:r w:rsidR="0052643B" w:rsidRPr="004F7B25">
              <w:rPr>
                <w:rFonts w:ascii="Times New Roman" w:eastAsia="Times New Roman" w:hAnsi="Times New Roman" w:cs="Times New Roman"/>
                <w:color w:val="000000"/>
                <w:sz w:val="20"/>
                <w:szCs w:val="20"/>
                <w:lang w:eastAsia="pl-PL"/>
              </w:rPr>
              <w:t xml:space="preserve"> </w:t>
            </w:r>
            <w:r w:rsidR="00A36956" w:rsidRPr="004F7B25">
              <w:rPr>
                <w:rFonts w:ascii="Times New Roman" w:eastAsia="Times New Roman" w:hAnsi="Times New Roman" w:cs="Times New Roman"/>
                <w:color w:val="000000"/>
                <w:sz w:val="20"/>
                <w:szCs w:val="20"/>
                <w:lang w:eastAsia="pl-PL"/>
              </w:rPr>
              <w:t>co</w:t>
            </w:r>
            <w:r w:rsidR="0052643B" w:rsidRPr="004F7B25">
              <w:rPr>
                <w:rFonts w:ascii="Times New Roman" w:eastAsia="Times New Roman" w:hAnsi="Times New Roman" w:cs="Times New Roman"/>
                <w:color w:val="000000"/>
                <w:sz w:val="20"/>
                <w:szCs w:val="20"/>
                <w:lang w:eastAsia="pl-PL"/>
              </w:rPr>
              <w:t xml:space="preserve"> </w:t>
            </w:r>
            <w:r w:rsidR="00A36956" w:rsidRPr="004F7B25">
              <w:rPr>
                <w:rFonts w:ascii="Times New Roman" w:eastAsia="Times New Roman" w:hAnsi="Times New Roman" w:cs="Times New Roman"/>
                <w:color w:val="000000"/>
                <w:sz w:val="20"/>
                <w:szCs w:val="20"/>
                <w:lang w:eastAsia="pl-PL"/>
              </w:rPr>
              <w:t>najmniej</w:t>
            </w:r>
            <w:r w:rsidR="0052643B" w:rsidRPr="004F7B25">
              <w:rPr>
                <w:rFonts w:ascii="Times New Roman" w:eastAsia="Times New Roman" w:hAnsi="Times New Roman" w:cs="Times New Roman"/>
                <w:color w:val="000000"/>
                <w:sz w:val="20"/>
                <w:szCs w:val="20"/>
                <w:lang w:eastAsia="pl-PL"/>
              </w:rPr>
              <w:t xml:space="preserve"> </w:t>
            </w:r>
            <w:r w:rsidR="00A36956" w:rsidRPr="004F7B25">
              <w:rPr>
                <w:rFonts w:ascii="Times New Roman" w:eastAsia="Times New Roman" w:hAnsi="Times New Roman" w:cs="Times New Roman"/>
                <w:color w:val="000000"/>
                <w:sz w:val="20"/>
                <w:szCs w:val="20"/>
                <w:lang w:eastAsia="pl-PL"/>
              </w:rPr>
              <w:t>3</w:t>
            </w:r>
            <w:r w:rsidR="0052643B" w:rsidRPr="004F7B25">
              <w:rPr>
                <w:rFonts w:ascii="Times New Roman" w:eastAsia="Times New Roman" w:hAnsi="Times New Roman" w:cs="Times New Roman"/>
                <w:color w:val="000000"/>
                <w:sz w:val="20"/>
                <w:szCs w:val="20"/>
                <w:lang w:eastAsia="pl-PL"/>
              </w:rPr>
              <w:t xml:space="preserve"> </w:t>
            </w:r>
            <w:r w:rsidR="00A36956" w:rsidRPr="004F7B25">
              <w:rPr>
                <w:rFonts w:ascii="Times New Roman" w:eastAsia="Times New Roman" w:hAnsi="Times New Roman" w:cs="Times New Roman"/>
                <w:color w:val="000000"/>
                <w:sz w:val="20"/>
                <w:szCs w:val="20"/>
                <w:lang w:eastAsia="pl-PL"/>
              </w:rPr>
              <w:t>miesiące</w:t>
            </w:r>
            <w:r w:rsidR="0052643B" w:rsidRPr="004F7B25">
              <w:rPr>
                <w:rFonts w:ascii="Times New Roman" w:eastAsia="Times New Roman" w:hAnsi="Times New Roman" w:cs="Times New Roman"/>
                <w:color w:val="000000"/>
                <w:sz w:val="20"/>
                <w:szCs w:val="20"/>
                <w:lang w:eastAsia="pl-PL"/>
              </w:rPr>
              <w:t xml:space="preserve"> </w:t>
            </w:r>
            <w:r w:rsidR="00A36956" w:rsidRPr="004F7B25">
              <w:rPr>
                <w:rFonts w:ascii="Times New Roman" w:eastAsia="Times New Roman" w:hAnsi="Times New Roman" w:cs="Times New Roman"/>
                <w:color w:val="000000"/>
                <w:sz w:val="20"/>
                <w:szCs w:val="20"/>
                <w:lang w:eastAsia="pl-PL"/>
              </w:rPr>
              <w:t>u</w:t>
            </w:r>
            <w:r w:rsidR="0052643B" w:rsidRPr="004F7B25">
              <w:rPr>
                <w:rFonts w:ascii="Times New Roman" w:eastAsia="Times New Roman" w:hAnsi="Times New Roman" w:cs="Times New Roman"/>
                <w:color w:val="000000"/>
                <w:sz w:val="20"/>
                <w:szCs w:val="20"/>
                <w:lang w:eastAsia="pl-PL"/>
              </w:rPr>
              <w:t xml:space="preserve"> </w:t>
            </w:r>
            <w:r w:rsidR="00A36956" w:rsidRPr="004F7B25">
              <w:rPr>
                <w:rFonts w:ascii="Times New Roman" w:eastAsia="Times New Roman" w:hAnsi="Times New Roman" w:cs="Times New Roman"/>
                <w:color w:val="000000"/>
                <w:sz w:val="20"/>
                <w:szCs w:val="20"/>
                <w:lang w:eastAsia="pl-PL"/>
              </w:rPr>
              <w:t>pacjentów</w:t>
            </w:r>
            <w:r w:rsidR="0052643B" w:rsidRPr="004F7B25">
              <w:rPr>
                <w:rFonts w:ascii="Times New Roman" w:eastAsia="Times New Roman" w:hAnsi="Times New Roman" w:cs="Times New Roman"/>
                <w:color w:val="000000"/>
                <w:sz w:val="20"/>
                <w:szCs w:val="20"/>
                <w:lang w:eastAsia="pl-PL"/>
              </w:rPr>
              <w:t xml:space="preserve"> </w:t>
            </w:r>
            <w:r w:rsidR="00A36956" w:rsidRPr="004F7B25">
              <w:rPr>
                <w:rFonts w:ascii="Times New Roman" w:eastAsia="Times New Roman" w:hAnsi="Times New Roman" w:cs="Times New Roman"/>
                <w:color w:val="000000"/>
                <w:sz w:val="20"/>
                <w:szCs w:val="20"/>
                <w:lang w:eastAsia="pl-PL"/>
              </w:rPr>
              <w:t>z</w:t>
            </w:r>
            <w:r w:rsidR="0052643B" w:rsidRPr="004F7B25">
              <w:rPr>
                <w:rFonts w:ascii="Times New Roman" w:eastAsia="Times New Roman" w:hAnsi="Times New Roman" w:cs="Times New Roman"/>
                <w:color w:val="000000"/>
                <w:sz w:val="20"/>
                <w:szCs w:val="20"/>
                <w:lang w:eastAsia="pl-PL"/>
              </w:rPr>
              <w:t xml:space="preserve"> </w:t>
            </w:r>
            <w:r w:rsidR="00A36956" w:rsidRPr="004F7B25">
              <w:rPr>
                <w:rFonts w:ascii="Times New Roman" w:eastAsia="Times New Roman" w:hAnsi="Times New Roman" w:cs="Times New Roman"/>
                <w:color w:val="000000"/>
                <w:sz w:val="20"/>
                <w:szCs w:val="20"/>
                <w:lang w:eastAsia="pl-PL"/>
              </w:rPr>
              <w:t>występowaniem</w:t>
            </w:r>
            <w:r w:rsidR="0052643B" w:rsidRPr="004F7B25">
              <w:rPr>
                <w:rFonts w:ascii="Times New Roman" w:eastAsia="Times New Roman" w:hAnsi="Times New Roman" w:cs="Times New Roman"/>
                <w:color w:val="000000"/>
                <w:sz w:val="20"/>
                <w:szCs w:val="20"/>
                <w:lang w:eastAsia="pl-PL"/>
              </w:rPr>
              <w:t xml:space="preserve"> </w:t>
            </w:r>
            <w:r w:rsidR="00A36956" w:rsidRPr="004F7B25">
              <w:rPr>
                <w:rFonts w:ascii="Times New Roman" w:eastAsia="Times New Roman" w:hAnsi="Times New Roman" w:cs="Times New Roman"/>
                <w:color w:val="000000"/>
                <w:sz w:val="20"/>
                <w:szCs w:val="20"/>
                <w:lang w:eastAsia="pl-PL"/>
              </w:rPr>
              <w:t>czynników</w:t>
            </w:r>
            <w:r w:rsidR="0052643B" w:rsidRPr="004F7B25">
              <w:rPr>
                <w:rFonts w:ascii="Times New Roman" w:eastAsia="Times New Roman" w:hAnsi="Times New Roman" w:cs="Times New Roman"/>
                <w:color w:val="000000"/>
                <w:sz w:val="20"/>
                <w:szCs w:val="20"/>
                <w:lang w:eastAsia="pl-PL"/>
              </w:rPr>
              <w:t xml:space="preserve"> </w:t>
            </w:r>
            <w:r w:rsidR="00A36956" w:rsidRPr="004F7B25">
              <w:rPr>
                <w:rFonts w:ascii="Times New Roman" w:eastAsia="Times New Roman" w:hAnsi="Times New Roman" w:cs="Times New Roman"/>
                <w:color w:val="000000"/>
                <w:sz w:val="20"/>
                <w:szCs w:val="20"/>
                <w:lang w:eastAsia="pl-PL"/>
              </w:rPr>
              <w:t>złej</w:t>
            </w:r>
            <w:r w:rsidR="0052643B" w:rsidRPr="004F7B25">
              <w:rPr>
                <w:rFonts w:ascii="Times New Roman" w:eastAsia="Times New Roman" w:hAnsi="Times New Roman" w:cs="Times New Roman"/>
                <w:color w:val="000000"/>
                <w:sz w:val="20"/>
                <w:szCs w:val="20"/>
                <w:lang w:eastAsia="pl-PL"/>
              </w:rPr>
              <w:t xml:space="preserve"> </w:t>
            </w:r>
            <w:r w:rsidR="00A36956" w:rsidRPr="004F7B25">
              <w:rPr>
                <w:rFonts w:ascii="Times New Roman" w:eastAsia="Times New Roman" w:hAnsi="Times New Roman" w:cs="Times New Roman"/>
                <w:color w:val="000000"/>
                <w:sz w:val="20"/>
                <w:szCs w:val="20"/>
                <w:lang w:eastAsia="pl-PL"/>
              </w:rPr>
              <w:t>prognozy</w:t>
            </w:r>
            <w:r w:rsidR="0052643B" w:rsidRPr="004F7B25">
              <w:rPr>
                <w:rFonts w:ascii="Times New Roman" w:eastAsia="Times New Roman" w:hAnsi="Times New Roman" w:cs="Times New Roman"/>
                <w:color w:val="000000"/>
                <w:sz w:val="20"/>
                <w:szCs w:val="20"/>
                <w:lang w:eastAsia="pl-PL"/>
              </w:rPr>
              <w:t xml:space="preserve"> </w:t>
            </w:r>
            <w:r w:rsidR="00A36956" w:rsidRPr="004F7B25">
              <w:rPr>
                <w:rFonts w:ascii="Times New Roman" w:eastAsia="Times New Roman" w:hAnsi="Times New Roman" w:cs="Times New Roman"/>
                <w:color w:val="000000"/>
                <w:sz w:val="20"/>
                <w:szCs w:val="20"/>
                <w:lang w:eastAsia="pl-PL"/>
              </w:rPr>
              <w:t>zgodnie</w:t>
            </w:r>
            <w:r w:rsidR="0052643B" w:rsidRPr="004F7B25">
              <w:rPr>
                <w:rFonts w:ascii="Times New Roman" w:eastAsia="Times New Roman" w:hAnsi="Times New Roman" w:cs="Times New Roman"/>
                <w:color w:val="000000"/>
                <w:sz w:val="20"/>
                <w:szCs w:val="20"/>
                <w:lang w:eastAsia="pl-PL"/>
              </w:rPr>
              <w:t xml:space="preserve"> </w:t>
            </w:r>
            <w:r w:rsidR="00A36956" w:rsidRPr="004F7B25">
              <w:rPr>
                <w:rFonts w:ascii="Times New Roman" w:eastAsia="Times New Roman" w:hAnsi="Times New Roman" w:cs="Times New Roman"/>
                <w:color w:val="000000"/>
                <w:sz w:val="20"/>
                <w:szCs w:val="20"/>
                <w:lang w:eastAsia="pl-PL"/>
              </w:rPr>
              <w:t>z</w:t>
            </w:r>
            <w:r w:rsidR="0052643B" w:rsidRPr="004F7B25">
              <w:rPr>
                <w:rFonts w:ascii="Times New Roman" w:eastAsia="Times New Roman" w:hAnsi="Times New Roman" w:cs="Times New Roman"/>
                <w:color w:val="000000"/>
                <w:sz w:val="20"/>
                <w:szCs w:val="20"/>
                <w:lang w:eastAsia="pl-PL"/>
              </w:rPr>
              <w:t xml:space="preserve"> </w:t>
            </w:r>
            <w:r w:rsidR="00A36956" w:rsidRPr="004F7B25">
              <w:rPr>
                <w:rFonts w:ascii="Times New Roman" w:eastAsia="Times New Roman" w:hAnsi="Times New Roman" w:cs="Times New Roman"/>
                <w:color w:val="000000"/>
                <w:sz w:val="20"/>
                <w:szCs w:val="20"/>
                <w:lang w:eastAsia="pl-PL"/>
              </w:rPr>
              <w:t>obowiązującymi</w:t>
            </w:r>
            <w:r w:rsidR="0052643B" w:rsidRPr="004F7B25">
              <w:rPr>
                <w:rFonts w:ascii="Times New Roman" w:eastAsia="Times New Roman" w:hAnsi="Times New Roman" w:cs="Times New Roman"/>
                <w:color w:val="000000"/>
                <w:sz w:val="20"/>
                <w:szCs w:val="20"/>
                <w:lang w:eastAsia="pl-PL"/>
              </w:rPr>
              <w:t xml:space="preserve"> </w:t>
            </w:r>
            <w:r w:rsidR="00A36956" w:rsidRPr="004F7B25">
              <w:rPr>
                <w:rFonts w:ascii="Times New Roman" w:eastAsia="Times New Roman" w:hAnsi="Times New Roman" w:cs="Times New Roman"/>
                <w:color w:val="000000"/>
                <w:sz w:val="20"/>
                <w:szCs w:val="20"/>
                <w:lang w:eastAsia="pl-PL"/>
              </w:rPr>
              <w:t>rekomendacjami</w:t>
            </w:r>
            <w:r w:rsidR="0052643B" w:rsidRPr="004F7B25">
              <w:rPr>
                <w:rFonts w:ascii="Times New Roman" w:eastAsia="Times New Roman" w:hAnsi="Times New Roman" w:cs="Times New Roman"/>
                <w:color w:val="000000"/>
                <w:sz w:val="20"/>
                <w:szCs w:val="20"/>
                <w:lang w:eastAsia="pl-PL"/>
              </w:rPr>
              <w:t xml:space="preserve"> </w:t>
            </w:r>
            <w:r w:rsidR="00A36956" w:rsidRPr="004F7B25">
              <w:rPr>
                <w:rFonts w:ascii="Times New Roman" w:eastAsia="Times New Roman" w:hAnsi="Times New Roman" w:cs="Times New Roman"/>
                <w:color w:val="000000"/>
                <w:sz w:val="20"/>
                <w:szCs w:val="20"/>
                <w:lang w:eastAsia="pl-PL"/>
              </w:rPr>
              <w:t>EULAR</w:t>
            </w:r>
            <w:r w:rsidR="0052643B" w:rsidRPr="004F7B25">
              <w:rPr>
                <w:rFonts w:ascii="Times New Roman" w:eastAsia="Times New Roman" w:hAnsi="Times New Roman" w:cs="Times New Roman"/>
                <w:color w:val="000000"/>
                <w:sz w:val="20"/>
                <w:szCs w:val="20"/>
                <w:lang w:eastAsia="pl-PL"/>
              </w:rPr>
              <w:t xml:space="preserve"> </w:t>
            </w:r>
            <w:r w:rsidR="00B26FC8" w:rsidRPr="00B26FC8">
              <w:rPr>
                <w:rFonts w:ascii="Times New Roman" w:eastAsia="Times New Roman" w:hAnsi="Times New Roman"/>
                <w:color w:val="000000"/>
                <w:sz w:val="20"/>
                <w:szCs w:val="20"/>
                <w:lang w:eastAsia="pl-PL"/>
              </w:rPr>
              <w:t xml:space="preserve"> </w:t>
            </w:r>
            <w:r w:rsidR="00B26FC8" w:rsidRPr="00B26FC8">
              <w:rPr>
                <w:rFonts w:ascii="Times New Roman" w:eastAsia="Times New Roman" w:hAnsi="Times New Roman" w:cs="Times New Roman"/>
                <w:color w:val="000000"/>
                <w:sz w:val="20"/>
                <w:szCs w:val="20"/>
                <w:lang w:eastAsia="pl-PL"/>
              </w:rPr>
              <w:t xml:space="preserve">oraz do terapii anakinrą </w:t>
            </w:r>
            <w:r w:rsidR="002A565F">
              <w:rPr>
                <w:rFonts w:ascii="Times New Roman" w:eastAsia="Times New Roman" w:hAnsi="Times New Roman" w:cs="Times New Roman"/>
                <w:color w:val="000000"/>
                <w:sz w:val="20"/>
                <w:szCs w:val="20"/>
                <w:lang w:eastAsia="pl-PL"/>
              </w:rPr>
              <w:t>albo</w:t>
            </w:r>
            <w:r w:rsidR="00B26FC8" w:rsidRPr="00B26FC8">
              <w:rPr>
                <w:rFonts w:ascii="Times New Roman" w:eastAsia="Times New Roman" w:hAnsi="Times New Roman" w:cs="Times New Roman"/>
                <w:color w:val="000000"/>
                <w:sz w:val="20"/>
                <w:szCs w:val="20"/>
                <w:lang w:eastAsia="pl-PL"/>
              </w:rPr>
              <w:t xml:space="preserve"> kanakinumabem kwalifikuje się pacjentów z rozpoznaniem choroby Stilla z początkiem w wieku dorosłym (AOSD) po niepowodzeniu wcześniejszej terapii, w zależności od postaci klinicznej choroby, glikokortykosteroidami (GKS) lub co najmniej dwoma  lekami modyfikującymi przebieg choroby/lekami immunosupresyjnymi zgodnie z obowiązującymi rekomendacjami:</w:t>
            </w:r>
          </w:p>
          <w:p w14:paraId="5DB2666E" w14:textId="6D8F966C" w:rsidR="009D7AE1" w:rsidRPr="004F7B25" w:rsidRDefault="009D7AE1" w:rsidP="00A05A8B">
            <w:pPr>
              <w:pStyle w:val="Akapitzlist"/>
              <w:numPr>
                <w:ilvl w:val="4"/>
                <w:numId w:val="19"/>
              </w:numPr>
              <w:autoSpaceDE w:val="0"/>
              <w:autoSpaceDN w:val="0"/>
              <w:adjustRightInd w:val="0"/>
              <w:spacing w:after="60" w:line="276" w:lineRule="auto"/>
              <w:contextualSpacing w:val="0"/>
              <w:jc w:val="both"/>
              <w:rPr>
                <w:rFonts w:ascii="Times New Roman" w:hAnsi="Times New Roman" w:cs="Times New Roman"/>
                <w:sz w:val="20"/>
                <w:szCs w:val="20"/>
              </w:rPr>
            </w:pPr>
            <w:r w:rsidRPr="004F7B25">
              <w:rPr>
                <w:rFonts w:ascii="Times New Roman" w:hAnsi="Times New Roman" w:cs="Times New Roman"/>
                <w:sz w:val="20"/>
                <w:szCs w:val="20"/>
              </w:rPr>
              <w:t>z</w:t>
            </w:r>
            <w:r w:rsidR="0052643B" w:rsidRPr="004F7B25">
              <w:rPr>
                <w:rFonts w:ascii="Times New Roman" w:hAnsi="Times New Roman" w:cs="Times New Roman"/>
                <w:sz w:val="20"/>
                <w:szCs w:val="20"/>
              </w:rPr>
              <w:t xml:space="preserve"> </w:t>
            </w:r>
            <w:r w:rsidRPr="004F7B25">
              <w:rPr>
                <w:rFonts w:ascii="Times New Roman" w:hAnsi="Times New Roman" w:cs="Times New Roman"/>
                <w:sz w:val="20"/>
                <w:szCs w:val="20"/>
              </w:rPr>
              <w:t>dużą</w:t>
            </w:r>
            <w:r w:rsidR="0052643B" w:rsidRPr="004F7B25">
              <w:rPr>
                <w:rFonts w:ascii="Times New Roman" w:hAnsi="Times New Roman" w:cs="Times New Roman"/>
                <w:sz w:val="20"/>
                <w:szCs w:val="20"/>
              </w:rPr>
              <w:t xml:space="preserve"> </w:t>
            </w:r>
            <w:r w:rsidRPr="004F7B25">
              <w:rPr>
                <w:rFonts w:ascii="Times New Roman" w:hAnsi="Times New Roman" w:cs="Times New Roman"/>
                <w:sz w:val="20"/>
                <w:szCs w:val="20"/>
              </w:rPr>
              <w:t>aktywnością</w:t>
            </w:r>
            <w:r w:rsidR="0052643B" w:rsidRPr="004F7B25">
              <w:rPr>
                <w:rFonts w:ascii="Times New Roman" w:hAnsi="Times New Roman" w:cs="Times New Roman"/>
                <w:sz w:val="20"/>
                <w:szCs w:val="20"/>
              </w:rPr>
              <w:t xml:space="preserve"> </w:t>
            </w:r>
            <w:r w:rsidRPr="004F7B25">
              <w:rPr>
                <w:rFonts w:ascii="Times New Roman" w:hAnsi="Times New Roman" w:cs="Times New Roman"/>
                <w:sz w:val="20"/>
                <w:szCs w:val="20"/>
              </w:rPr>
              <w:t>choroby,</w:t>
            </w:r>
            <w:r w:rsidR="0052643B" w:rsidRPr="004F7B25">
              <w:rPr>
                <w:rFonts w:ascii="Times New Roman" w:hAnsi="Times New Roman" w:cs="Times New Roman"/>
                <w:sz w:val="20"/>
                <w:szCs w:val="20"/>
              </w:rPr>
              <w:t xml:space="preserve"> </w:t>
            </w:r>
            <w:r w:rsidRPr="004F7B25">
              <w:rPr>
                <w:rFonts w:ascii="Times New Roman" w:hAnsi="Times New Roman" w:cs="Times New Roman"/>
                <w:sz w:val="20"/>
                <w:szCs w:val="20"/>
              </w:rPr>
              <w:t>udokumentowaną</w:t>
            </w:r>
            <w:r w:rsidR="0052643B" w:rsidRPr="004F7B25">
              <w:rPr>
                <w:rFonts w:ascii="Times New Roman" w:hAnsi="Times New Roman" w:cs="Times New Roman"/>
                <w:sz w:val="20"/>
                <w:szCs w:val="20"/>
              </w:rPr>
              <w:t xml:space="preserve"> </w:t>
            </w:r>
            <w:r w:rsidRPr="004F7B25">
              <w:rPr>
                <w:rFonts w:ascii="Times New Roman" w:hAnsi="Times New Roman" w:cs="Times New Roman"/>
                <w:sz w:val="20"/>
                <w:szCs w:val="20"/>
              </w:rPr>
              <w:t>w</w:t>
            </w:r>
            <w:r w:rsidR="0052643B" w:rsidRPr="004F7B25">
              <w:rPr>
                <w:rFonts w:ascii="Times New Roman" w:hAnsi="Times New Roman" w:cs="Times New Roman"/>
                <w:sz w:val="20"/>
                <w:szCs w:val="20"/>
              </w:rPr>
              <w:t xml:space="preserve"> </w:t>
            </w:r>
            <w:r w:rsidRPr="004F7B25">
              <w:rPr>
                <w:rFonts w:ascii="Times New Roman" w:hAnsi="Times New Roman" w:cs="Times New Roman"/>
                <w:sz w:val="20"/>
                <w:szCs w:val="20"/>
              </w:rPr>
              <w:t>trakcie</w:t>
            </w:r>
            <w:r w:rsidR="0052643B" w:rsidRPr="004F7B25">
              <w:rPr>
                <w:rFonts w:ascii="Times New Roman" w:hAnsi="Times New Roman" w:cs="Times New Roman"/>
                <w:sz w:val="20"/>
                <w:szCs w:val="20"/>
              </w:rPr>
              <w:t xml:space="preserve"> </w:t>
            </w:r>
            <w:r w:rsidRPr="004F7B25">
              <w:rPr>
                <w:rFonts w:ascii="Times New Roman" w:hAnsi="Times New Roman" w:cs="Times New Roman"/>
                <w:sz w:val="20"/>
                <w:szCs w:val="20"/>
              </w:rPr>
              <w:t>dwóch</w:t>
            </w:r>
            <w:r w:rsidR="0052643B" w:rsidRPr="004F7B25">
              <w:rPr>
                <w:rFonts w:ascii="Times New Roman" w:hAnsi="Times New Roman" w:cs="Times New Roman"/>
                <w:sz w:val="20"/>
                <w:szCs w:val="20"/>
              </w:rPr>
              <w:t xml:space="preserve"> </w:t>
            </w:r>
            <w:r w:rsidRPr="004F7B25">
              <w:rPr>
                <w:rFonts w:ascii="Times New Roman" w:hAnsi="Times New Roman" w:cs="Times New Roman"/>
                <w:sz w:val="20"/>
                <w:szCs w:val="20"/>
              </w:rPr>
              <w:t>badań</w:t>
            </w:r>
            <w:r w:rsidR="0052643B" w:rsidRPr="004F7B25">
              <w:rPr>
                <w:rFonts w:ascii="Times New Roman" w:hAnsi="Times New Roman" w:cs="Times New Roman"/>
                <w:sz w:val="20"/>
                <w:szCs w:val="20"/>
              </w:rPr>
              <w:t xml:space="preserve"> </w:t>
            </w:r>
            <w:r w:rsidRPr="004F7B25">
              <w:rPr>
                <w:rFonts w:ascii="Times New Roman" w:hAnsi="Times New Roman" w:cs="Times New Roman"/>
                <w:sz w:val="20"/>
                <w:szCs w:val="20"/>
              </w:rPr>
              <w:t>lekarskich</w:t>
            </w:r>
            <w:r w:rsidR="0052643B" w:rsidRPr="004F7B25">
              <w:rPr>
                <w:rFonts w:ascii="Times New Roman" w:hAnsi="Times New Roman" w:cs="Times New Roman"/>
                <w:sz w:val="20"/>
                <w:szCs w:val="20"/>
              </w:rPr>
              <w:t xml:space="preserve"> </w:t>
            </w:r>
            <w:r w:rsidRPr="004F7B25">
              <w:rPr>
                <w:rFonts w:ascii="Times New Roman" w:hAnsi="Times New Roman" w:cs="Times New Roman"/>
                <w:sz w:val="20"/>
                <w:szCs w:val="20"/>
              </w:rPr>
              <w:t>w</w:t>
            </w:r>
            <w:r w:rsidR="0052643B" w:rsidRPr="004F7B25">
              <w:rPr>
                <w:rFonts w:ascii="Times New Roman" w:hAnsi="Times New Roman" w:cs="Times New Roman"/>
                <w:sz w:val="20"/>
                <w:szCs w:val="20"/>
              </w:rPr>
              <w:t xml:space="preserve"> </w:t>
            </w:r>
            <w:r w:rsidRPr="004F7B25">
              <w:rPr>
                <w:rFonts w:ascii="Times New Roman" w:hAnsi="Times New Roman" w:cs="Times New Roman"/>
                <w:sz w:val="20"/>
                <w:szCs w:val="20"/>
              </w:rPr>
              <w:t>odstępie</w:t>
            </w:r>
            <w:r w:rsidR="0052643B" w:rsidRPr="004F7B25">
              <w:rPr>
                <w:rFonts w:ascii="Times New Roman" w:hAnsi="Times New Roman" w:cs="Times New Roman"/>
                <w:sz w:val="20"/>
                <w:szCs w:val="20"/>
              </w:rPr>
              <w:t xml:space="preserve"> </w:t>
            </w:r>
            <w:r w:rsidRPr="004F7B25">
              <w:rPr>
                <w:rFonts w:ascii="Times New Roman" w:hAnsi="Times New Roman" w:cs="Times New Roman"/>
                <w:sz w:val="20"/>
                <w:szCs w:val="20"/>
              </w:rPr>
              <w:t>1-3</w:t>
            </w:r>
            <w:r w:rsidR="0052643B" w:rsidRPr="004F7B25">
              <w:rPr>
                <w:rFonts w:ascii="Times New Roman" w:hAnsi="Times New Roman" w:cs="Times New Roman"/>
                <w:sz w:val="20"/>
                <w:szCs w:val="20"/>
              </w:rPr>
              <w:t xml:space="preserve"> </w:t>
            </w:r>
            <w:r w:rsidRPr="004F7B25">
              <w:rPr>
                <w:rFonts w:ascii="Times New Roman" w:hAnsi="Times New Roman" w:cs="Times New Roman"/>
                <w:sz w:val="20"/>
                <w:szCs w:val="20"/>
              </w:rPr>
              <w:t>miesięcy.</w:t>
            </w:r>
            <w:r w:rsidR="0052643B" w:rsidRPr="004F7B25">
              <w:rPr>
                <w:rFonts w:ascii="Times New Roman" w:hAnsi="Times New Roman" w:cs="Times New Roman"/>
                <w:sz w:val="20"/>
                <w:szCs w:val="20"/>
              </w:rPr>
              <w:t xml:space="preserve"> </w:t>
            </w:r>
            <w:r w:rsidRPr="004F7B25">
              <w:rPr>
                <w:rFonts w:ascii="Times New Roman" w:hAnsi="Times New Roman" w:cs="Times New Roman"/>
                <w:sz w:val="20"/>
                <w:szCs w:val="20"/>
              </w:rPr>
              <w:t>Dużą</w:t>
            </w:r>
            <w:r w:rsidR="0052643B" w:rsidRPr="004F7B25">
              <w:rPr>
                <w:rFonts w:ascii="Times New Roman" w:hAnsi="Times New Roman" w:cs="Times New Roman"/>
                <w:sz w:val="20"/>
                <w:szCs w:val="20"/>
              </w:rPr>
              <w:t xml:space="preserve"> </w:t>
            </w:r>
            <w:r w:rsidRPr="004F7B25">
              <w:rPr>
                <w:rFonts w:ascii="Times New Roman" w:hAnsi="Times New Roman" w:cs="Times New Roman"/>
                <w:sz w:val="20"/>
                <w:szCs w:val="20"/>
              </w:rPr>
              <w:t>aktywność</w:t>
            </w:r>
            <w:r w:rsidR="0052643B" w:rsidRPr="004F7B25">
              <w:rPr>
                <w:rFonts w:ascii="Times New Roman" w:hAnsi="Times New Roman" w:cs="Times New Roman"/>
                <w:sz w:val="20"/>
                <w:szCs w:val="20"/>
              </w:rPr>
              <w:t xml:space="preserve"> </w:t>
            </w:r>
            <w:r w:rsidRPr="004F7B25">
              <w:rPr>
                <w:rFonts w:ascii="Times New Roman" w:hAnsi="Times New Roman" w:cs="Times New Roman"/>
                <w:sz w:val="20"/>
                <w:szCs w:val="20"/>
              </w:rPr>
              <w:t>choroby</w:t>
            </w:r>
            <w:r w:rsidR="0052643B" w:rsidRPr="004F7B25">
              <w:rPr>
                <w:rFonts w:ascii="Times New Roman" w:hAnsi="Times New Roman" w:cs="Times New Roman"/>
                <w:sz w:val="20"/>
                <w:szCs w:val="20"/>
              </w:rPr>
              <w:t xml:space="preserve"> </w:t>
            </w:r>
            <w:r w:rsidRPr="004F7B25">
              <w:rPr>
                <w:rFonts w:ascii="Times New Roman" w:hAnsi="Times New Roman" w:cs="Times New Roman"/>
                <w:sz w:val="20"/>
                <w:szCs w:val="20"/>
              </w:rPr>
              <w:t>stwierdza</w:t>
            </w:r>
            <w:r w:rsidR="0052643B" w:rsidRPr="004F7B25">
              <w:rPr>
                <w:rFonts w:ascii="Times New Roman" w:hAnsi="Times New Roman" w:cs="Times New Roman"/>
                <w:sz w:val="20"/>
                <w:szCs w:val="20"/>
              </w:rPr>
              <w:t xml:space="preserve"> </w:t>
            </w:r>
            <w:r w:rsidRPr="004F7B25">
              <w:rPr>
                <w:rFonts w:ascii="Times New Roman" w:hAnsi="Times New Roman" w:cs="Times New Roman"/>
                <w:sz w:val="20"/>
                <w:szCs w:val="20"/>
              </w:rPr>
              <w:t>się,</w:t>
            </w:r>
            <w:r w:rsidR="0052643B" w:rsidRPr="004F7B25">
              <w:rPr>
                <w:rFonts w:ascii="Times New Roman" w:hAnsi="Times New Roman" w:cs="Times New Roman"/>
                <w:sz w:val="20"/>
                <w:szCs w:val="20"/>
              </w:rPr>
              <w:t xml:space="preserve"> </w:t>
            </w:r>
            <w:r w:rsidRPr="004F7B25">
              <w:rPr>
                <w:rFonts w:ascii="Times New Roman" w:hAnsi="Times New Roman" w:cs="Times New Roman"/>
                <w:sz w:val="20"/>
                <w:szCs w:val="20"/>
              </w:rPr>
              <w:t>gdy</w:t>
            </w:r>
            <w:r w:rsidR="0052643B" w:rsidRPr="004F7B25">
              <w:rPr>
                <w:rFonts w:ascii="Times New Roman" w:hAnsi="Times New Roman" w:cs="Times New Roman"/>
                <w:sz w:val="20"/>
                <w:szCs w:val="20"/>
              </w:rPr>
              <w:t xml:space="preserve"> </w:t>
            </w:r>
            <w:r w:rsidRPr="004F7B25">
              <w:rPr>
                <w:rFonts w:ascii="Times New Roman" w:hAnsi="Times New Roman" w:cs="Times New Roman"/>
                <w:sz w:val="20"/>
                <w:szCs w:val="20"/>
              </w:rPr>
              <w:t>jest</w:t>
            </w:r>
            <w:r w:rsidR="0052643B" w:rsidRPr="004F7B25">
              <w:rPr>
                <w:rFonts w:ascii="Times New Roman" w:hAnsi="Times New Roman" w:cs="Times New Roman"/>
                <w:sz w:val="20"/>
                <w:szCs w:val="20"/>
              </w:rPr>
              <w:t xml:space="preserve"> </w:t>
            </w:r>
            <w:r w:rsidRPr="004F7B25">
              <w:rPr>
                <w:rFonts w:ascii="Times New Roman" w:hAnsi="Times New Roman" w:cs="Times New Roman"/>
                <w:sz w:val="20"/>
                <w:szCs w:val="20"/>
              </w:rPr>
              <w:t>spełnione</w:t>
            </w:r>
            <w:r w:rsidR="0052643B" w:rsidRPr="004F7B25">
              <w:rPr>
                <w:rFonts w:ascii="Times New Roman" w:hAnsi="Times New Roman" w:cs="Times New Roman"/>
                <w:sz w:val="20"/>
                <w:szCs w:val="20"/>
              </w:rPr>
              <w:t xml:space="preserve"> </w:t>
            </w:r>
            <w:r w:rsidRPr="004F7B25">
              <w:rPr>
                <w:rFonts w:ascii="Times New Roman" w:hAnsi="Times New Roman" w:cs="Times New Roman"/>
                <w:sz w:val="20"/>
                <w:szCs w:val="20"/>
              </w:rPr>
              <w:t>jedno</w:t>
            </w:r>
            <w:r w:rsidR="0052643B" w:rsidRPr="004F7B25">
              <w:rPr>
                <w:rFonts w:ascii="Times New Roman" w:hAnsi="Times New Roman" w:cs="Times New Roman"/>
                <w:sz w:val="20"/>
                <w:szCs w:val="20"/>
              </w:rPr>
              <w:t xml:space="preserve"> </w:t>
            </w:r>
            <w:r w:rsidRPr="004F7B25">
              <w:rPr>
                <w:rFonts w:ascii="Times New Roman" w:hAnsi="Times New Roman" w:cs="Times New Roman"/>
                <w:sz w:val="20"/>
                <w:szCs w:val="20"/>
              </w:rPr>
              <w:t>z</w:t>
            </w:r>
            <w:r w:rsidR="0052643B" w:rsidRPr="004F7B25">
              <w:rPr>
                <w:rFonts w:ascii="Times New Roman" w:hAnsi="Times New Roman" w:cs="Times New Roman"/>
                <w:sz w:val="20"/>
                <w:szCs w:val="20"/>
              </w:rPr>
              <w:t xml:space="preserve"> </w:t>
            </w:r>
            <w:r w:rsidRPr="004F7B25">
              <w:rPr>
                <w:rFonts w:ascii="Times New Roman" w:hAnsi="Times New Roman" w:cs="Times New Roman"/>
                <w:sz w:val="20"/>
                <w:szCs w:val="20"/>
              </w:rPr>
              <w:t>poniższych</w:t>
            </w:r>
            <w:r w:rsidR="0052643B" w:rsidRPr="004F7B25">
              <w:rPr>
                <w:rFonts w:ascii="Times New Roman" w:hAnsi="Times New Roman" w:cs="Times New Roman"/>
                <w:sz w:val="20"/>
                <w:szCs w:val="20"/>
              </w:rPr>
              <w:t xml:space="preserve"> </w:t>
            </w:r>
            <w:r w:rsidRPr="004F7B25">
              <w:rPr>
                <w:rFonts w:ascii="Times New Roman" w:hAnsi="Times New Roman" w:cs="Times New Roman"/>
                <w:sz w:val="20"/>
                <w:szCs w:val="20"/>
              </w:rPr>
              <w:t>kryteriów:</w:t>
            </w:r>
          </w:p>
          <w:p w14:paraId="2D60B3DC" w14:textId="388AA100" w:rsidR="00A857A0" w:rsidRPr="00154BF9" w:rsidRDefault="009D7AE1" w:rsidP="00A05A8B">
            <w:pPr>
              <w:numPr>
                <w:ilvl w:val="5"/>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wartość</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DAS</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28</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większa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niż</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5,1</w:t>
            </w:r>
          </w:p>
          <w:p w14:paraId="20106800" w14:textId="31AC9FD5" w:rsidR="009D7AE1" w:rsidRPr="00154BF9" w:rsidRDefault="009D7AE1" w:rsidP="00A05A8B">
            <w:pPr>
              <w:pStyle w:val="Akapitzlist"/>
              <w:spacing w:after="60" w:line="276" w:lineRule="auto"/>
              <w:ind w:left="680"/>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albo</w:t>
            </w:r>
          </w:p>
          <w:p w14:paraId="59B1E4F8" w14:textId="394F48E7" w:rsidR="00A857A0" w:rsidRPr="00154BF9" w:rsidRDefault="009D7AE1" w:rsidP="00A05A8B">
            <w:pPr>
              <w:numPr>
                <w:ilvl w:val="5"/>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wartość</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DAS</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większa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niż</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3,7</w:t>
            </w:r>
          </w:p>
          <w:p w14:paraId="307279E7" w14:textId="467C8705" w:rsidR="009D7AE1" w:rsidRPr="00154BF9" w:rsidRDefault="009D7AE1" w:rsidP="00A05A8B">
            <w:pPr>
              <w:pStyle w:val="Akapitzlist"/>
              <w:spacing w:after="60" w:line="276" w:lineRule="auto"/>
              <w:ind w:left="680"/>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albo</w:t>
            </w:r>
          </w:p>
          <w:p w14:paraId="46FBBB6D" w14:textId="3254A016" w:rsidR="00A857A0" w:rsidRPr="00154BF9" w:rsidRDefault="009D7AE1" w:rsidP="00A05A8B">
            <w:pPr>
              <w:numPr>
                <w:ilvl w:val="5"/>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wartość</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SDAI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większa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niż</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26</w:t>
            </w:r>
          </w:p>
          <w:p w14:paraId="32BB6BB6" w14:textId="18A9D922" w:rsidR="009D7AE1" w:rsidRPr="00154BF9" w:rsidRDefault="009D7AE1" w:rsidP="00A05A8B">
            <w:pPr>
              <w:pStyle w:val="Akapitzlist"/>
              <w:spacing w:after="60" w:line="276" w:lineRule="auto"/>
              <w:ind w:left="454"/>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lub</w:t>
            </w:r>
          </w:p>
          <w:p w14:paraId="5A9F7704" w14:textId="1892FD8F" w:rsidR="00405FB5" w:rsidRPr="004F7B25" w:rsidRDefault="009D7AE1" w:rsidP="00A05A8B">
            <w:pPr>
              <w:pStyle w:val="Akapitzlist"/>
              <w:numPr>
                <w:ilvl w:val="4"/>
                <w:numId w:val="19"/>
              </w:numPr>
              <w:autoSpaceDE w:val="0"/>
              <w:autoSpaceDN w:val="0"/>
              <w:adjustRightInd w:val="0"/>
              <w:spacing w:after="60" w:line="276" w:lineRule="auto"/>
              <w:contextualSpacing w:val="0"/>
              <w:jc w:val="both"/>
              <w:rPr>
                <w:rFonts w:ascii="Times New Roman" w:hAnsi="Times New Roman" w:cs="Times New Roman"/>
                <w:sz w:val="20"/>
                <w:szCs w:val="20"/>
              </w:rPr>
            </w:pPr>
            <w:r w:rsidRPr="004F7B25">
              <w:rPr>
                <w:rFonts w:ascii="Times New Roman" w:hAnsi="Times New Roman" w:cs="Times New Roman"/>
                <w:sz w:val="20"/>
                <w:szCs w:val="20"/>
              </w:rPr>
              <w:lastRenderedPageBreak/>
              <w:t>z</w:t>
            </w:r>
            <w:r w:rsidR="0052643B" w:rsidRPr="004F7B25">
              <w:rPr>
                <w:rFonts w:ascii="Times New Roman" w:hAnsi="Times New Roman" w:cs="Times New Roman"/>
                <w:sz w:val="20"/>
                <w:szCs w:val="20"/>
              </w:rPr>
              <w:t xml:space="preserve"> </w:t>
            </w:r>
            <w:r w:rsidRPr="004F7B25">
              <w:rPr>
                <w:rFonts w:ascii="Times New Roman" w:hAnsi="Times New Roman" w:cs="Times New Roman"/>
                <w:sz w:val="20"/>
                <w:szCs w:val="20"/>
              </w:rPr>
              <w:t>innymi</w:t>
            </w:r>
            <w:r w:rsidR="0052643B" w:rsidRPr="004F7B25">
              <w:rPr>
                <w:rFonts w:ascii="Times New Roman" w:hAnsi="Times New Roman" w:cs="Times New Roman"/>
                <w:sz w:val="20"/>
                <w:szCs w:val="20"/>
              </w:rPr>
              <w:t xml:space="preserve"> </w:t>
            </w:r>
            <w:r w:rsidRPr="004F7B25">
              <w:rPr>
                <w:rFonts w:ascii="Times New Roman" w:hAnsi="Times New Roman" w:cs="Times New Roman"/>
                <w:sz w:val="20"/>
                <w:szCs w:val="20"/>
              </w:rPr>
              <w:t>postaciami</w:t>
            </w:r>
            <w:r w:rsidR="0052643B" w:rsidRPr="004F7B25">
              <w:rPr>
                <w:rFonts w:ascii="Times New Roman" w:hAnsi="Times New Roman" w:cs="Times New Roman"/>
                <w:sz w:val="20"/>
                <w:szCs w:val="20"/>
              </w:rPr>
              <w:t xml:space="preserve"> </w:t>
            </w:r>
            <w:r w:rsidRPr="004F7B25">
              <w:rPr>
                <w:rFonts w:ascii="Times New Roman" w:hAnsi="Times New Roman" w:cs="Times New Roman"/>
                <w:sz w:val="20"/>
                <w:szCs w:val="20"/>
              </w:rPr>
              <w:t>RZS,</w:t>
            </w:r>
            <w:r w:rsidR="0052643B" w:rsidRPr="004F7B25">
              <w:rPr>
                <w:rFonts w:ascii="Times New Roman" w:hAnsi="Times New Roman" w:cs="Times New Roman"/>
                <w:sz w:val="20"/>
                <w:szCs w:val="20"/>
              </w:rPr>
              <w:t xml:space="preserve"> </w:t>
            </w:r>
            <w:r w:rsidRPr="004F7B25">
              <w:rPr>
                <w:rFonts w:ascii="Times New Roman" w:hAnsi="Times New Roman" w:cs="Times New Roman"/>
                <w:sz w:val="20"/>
                <w:szCs w:val="20"/>
              </w:rPr>
              <w:t>niezależnie</w:t>
            </w:r>
            <w:r w:rsidR="0052643B" w:rsidRPr="004F7B25">
              <w:rPr>
                <w:rFonts w:ascii="Times New Roman" w:hAnsi="Times New Roman" w:cs="Times New Roman"/>
                <w:sz w:val="20"/>
                <w:szCs w:val="20"/>
              </w:rPr>
              <w:t xml:space="preserve"> </w:t>
            </w:r>
            <w:r w:rsidRPr="004F7B25">
              <w:rPr>
                <w:rFonts w:ascii="Times New Roman" w:hAnsi="Times New Roman" w:cs="Times New Roman"/>
                <w:sz w:val="20"/>
                <w:szCs w:val="20"/>
              </w:rPr>
              <w:t>od</w:t>
            </w:r>
            <w:r w:rsidR="0052643B" w:rsidRPr="004F7B25">
              <w:rPr>
                <w:rFonts w:ascii="Times New Roman" w:hAnsi="Times New Roman" w:cs="Times New Roman"/>
                <w:sz w:val="20"/>
                <w:szCs w:val="20"/>
              </w:rPr>
              <w:t xml:space="preserve"> </w:t>
            </w:r>
            <w:r w:rsidRPr="004F7B25">
              <w:rPr>
                <w:rFonts w:ascii="Times New Roman" w:hAnsi="Times New Roman" w:cs="Times New Roman"/>
                <w:sz w:val="20"/>
                <w:szCs w:val="20"/>
              </w:rPr>
              <w:t>wartości</w:t>
            </w:r>
            <w:r w:rsidR="0052643B" w:rsidRPr="004F7B25">
              <w:rPr>
                <w:rFonts w:ascii="Times New Roman" w:hAnsi="Times New Roman" w:cs="Times New Roman"/>
                <w:sz w:val="20"/>
                <w:szCs w:val="20"/>
              </w:rPr>
              <w:t xml:space="preserve"> </w:t>
            </w:r>
            <w:r w:rsidRPr="004F7B25">
              <w:rPr>
                <w:rFonts w:ascii="Times New Roman" w:hAnsi="Times New Roman" w:cs="Times New Roman"/>
                <w:sz w:val="20"/>
                <w:szCs w:val="20"/>
              </w:rPr>
              <w:t>DAS</w:t>
            </w:r>
            <w:r w:rsidR="0052643B" w:rsidRPr="004F7B25">
              <w:rPr>
                <w:rFonts w:ascii="Times New Roman" w:hAnsi="Times New Roman" w:cs="Times New Roman"/>
                <w:sz w:val="20"/>
                <w:szCs w:val="20"/>
              </w:rPr>
              <w:t xml:space="preserve"> </w:t>
            </w:r>
            <w:r w:rsidRPr="004F7B25">
              <w:rPr>
                <w:rFonts w:ascii="Times New Roman" w:hAnsi="Times New Roman" w:cs="Times New Roman"/>
                <w:sz w:val="20"/>
                <w:szCs w:val="20"/>
              </w:rPr>
              <w:t>28,</w:t>
            </w:r>
            <w:r w:rsidR="0052643B" w:rsidRPr="004F7B25">
              <w:rPr>
                <w:rFonts w:ascii="Times New Roman" w:hAnsi="Times New Roman" w:cs="Times New Roman"/>
                <w:sz w:val="20"/>
                <w:szCs w:val="20"/>
              </w:rPr>
              <w:t xml:space="preserve"> </w:t>
            </w:r>
            <w:r w:rsidRPr="004F7B25">
              <w:rPr>
                <w:rFonts w:ascii="Times New Roman" w:hAnsi="Times New Roman" w:cs="Times New Roman"/>
                <w:sz w:val="20"/>
                <w:szCs w:val="20"/>
              </w:rPr>
              <w:t>DAS,</w:t>
            </w:r>
            <w:r w:rsidR="0052643B" w:rsidRPr="004F7B25">
              <w:rPr>
                <w:rFonts w:ascii="Times New Roman" w:hAnsi="Times New Roman" w:cs="Times New Roman"/>
                <w:sz w:val="20"/>
                <w:szCs w:val="20"/>
              </w:rPr>
              <w:t xml:space="preserve"> </w:t>
            </w:r>
            <w:r w:rsidRPr="004F7B25">
              <w:rPr>
                <w:rFonts w:ascii="Times New Roman" w:hAnsi="Times New Roman" w:cs="Times New Roman"/>
                <w:sz w:val="20"/>
                <w:szCs w:val="20"/>
              </w:rPr>
              <w:t>SDAI,</w:t>
            </w:r>
            <w:r w:rsidR="0052643B" w:rsidRPr="004F7B25">
              <w:rPr>
                <w:rFonts w:ascii="Times New Roman" w:hAnsi="Times New Roman" w:cs="Times New Roman"/>
                <w:sz w:val="20"/>
                <w:szCs w:val="20"/>
              </w:rPr>
              <w:t xml:space="preserve"> </w:t>
            </w:r>
            <w:r w:rsidRPr="004F7B25">
              <w:rPr>
                <w:rFonts w:ascii="Times New Roman" w:hAnsi="Times New Roman" w:cs="Times New Roman"/>
                <w:sz w:val="20"/>
                <w:szCs w:val="20"/>
              </w:rPr>
              <w:t>tj.:</w:t>
            </w:r>
          </w:p>
          <w:p w14:paraId="4EC38D62" w14:textId="738E3A97" w:rsidR="00A857A0" w:rsidRPr="00154BF9" w:rsidRDefault="009D7AE1" w:rsidP="00A05A8B">
            <w:pPr>
              <w:pStyle w:val="Akapitzlist"/>
              <w:numPr>
                <w:ilvl w:val="5"/>
                <w:numId w:val="19"/>
              </w:numPr>
              <w:spacing w:after="60" w:line="276" w:lineRule="auto"/>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00405FB5" w:rsidRPr="00154BF9">
              <w:rPr>
                <w:rFonts w:ascii="Times New Roman" w:eastAsia="Times New Roman" w:hAnsi="Times New Roman" w:cs="Times New Roman"/>
                <w:sz w:val="20"/>
                <w:szCs w:val="20"/>
                <w:lang w:eastAsia="pl-PL"/>
              </w:rPr>
              <w:t>c</w:t>
            </w:r>
            <w:r w:rsidR="003D7E27" w:rsidRPr="00154BF9">
              <w:rPr>
                <w:rFonts w:ascii="Times New Roman" w:eastAsia="Times New Roman" w:hAnsi="Times New Roman" w:cs="Times New Roman"/>
                <w:sz w:val="20"/>
                <w:szCs w:val="20"/>
                <w:lang w:eastAsia="pl-PL"/>
              </w:rPr>
              <w:t>horob</w:t>
            </w:r>
            <w:r w:rsidR="002B253E" w:rsidRPr="00154BF9">
              <w:rPr>
                <w:rFonts w:ascii="Times New Roman" w:eastAsia="Times New Roman" w:hAnsi="Times New Roman" w:cs="Times New Roman"/>
                <w:sz w:val="20"/>
                <w:szCs w:val="20"/>
                <w:lang w:eastAsia="pl-PL"/>
              </w:rPr>
              <w:t>ą</w:t>
            </w:r>
            <w:r w:rsidR="0052643B" w:rsidRPr="00154BF9">
              <w:rPr>
                <w:rFonts w:ascii="Times New Roman" w:eastAsia="Times New Roman" w:hAnsi="Times New Roman" w:cs="Times New Roman"/>
                <w:sz w:val="20"/>
                <w:szCs w:val="20"/>
                <w:lang w:eastAsia="pl-PL"/>
              </w:rPr>
              <w:t xml:space="preserve"> </w:t>
            </w:r>
            <w:r w:rsidR="003D7E27" w:rsidRPr="00154BF9">
              <w:rPr>
                <w:rFonts w:ascii="Times New Roman" w:eastAsia="Times New Roman" w:hAnsi="Times New Roman" w:cs="Times New Roman"/>
                <w:sz w:val="20"/>
                <w:szCs w:val="20"/>
                <w:lang w:eastAsia="pl-PL"/>
              </w:rPr>
              <w:t>Stilla</w:t>
            </w:r>
            <w:r w:rsidR="0052643B" w:rsidRPr="00154BF9">
              <w:rPr>
                <w:rFonts w:ascii="Times New Roman" w:eastAsia="Times New Roman" w:hAnsi="Times New Roman" w:cs="Times New Roman"/>
                <w:sz w:val="20"/>
                <w:szCs w:val="20"/>
                <w:lang w:eastAsia="pl-PL"/>
              </w:rPr>
              <w:t xml:space="preserve"> </w:t>
            </w:r>
            <w:r w:rsidR="003D7E27" w:rsidRPr="00154BF9">
              <w:rPr>
                <w:rFonts w:ascii="Times New Roman" w:eastAsia="Times New Roman" w:hAnsi="Times New Roman" w:cs="Times New Roman"/>
                <w:sz w:val="20"/>
                <w:szCs w:val="20"/>
                <w:lang w:eastAsia="pl-PL"/>
              </w:rPr>
              <w:t>u</w:t>
            </w:r>
            <w:r w:rsidR="0052643B" w:rsidRPr="00154BF9">
              <w:rPr>
                <w:rFonts w:ascii="Times New Roman" w:eastAsia="Times New Roman" w:hAnsi="Times New Roman" w:cs="Times New Roman"/>
                <w:sz w:val="20"/>
                <w:szCs w:val="20"/>
                <w:lang w:eastAsia="pl-PL"/>
              </w:rPr>
              <w:t xml:space="preserve"> </w:t>
            </w:r>
            <w:r w:rsidR="003D7E27" w:rsidRPr="00154BF9">
              <w:rPr>
                <w:rFonts w:ascii="Times New Roman" w:eastAsia="Times New Roman" w:hAnsi="Times New Roman" w:cs="Times New Roman"/>
                <w:sz w:val="20"/>
                <w:szCs w:val="20"/>
                <w:lang w:eastAsia="pl-PL"/>
              </w:rPr>
              <w:t>dorosłych</w:t>
            </w:r>
            <w:r w:rsidR="0052643B" w:rsidRPr="00154BF9">
              <w:rPr>
                <w:rFonts w:ascii="Times New Roman" w:eastAsia="Times New Roman" w:hAnsi="Times New Roman" w:cs="Times New Roman"/>
                <w:sz w:val="20"/>
                <w:szCs w:val="20"/>
                <w:lang w:eastAsia="pl-PL"/>
              </w:rPr>
              <w:t xml:space="preserve"> </w:t>
            </w:r>
            <w:r w:rsidR="00405FB5" w:rsidRPr="00154BF9">
              <w:rPr>
                <w:rFonts w:ascii="Times New Roman" w:eastAsia="Times New Roman" w:hAnsi="Times New Roman" w:cs="Times New Roman"/>
                <w:sz w:val="20"/>
                <w:szCs w:val="20"/>
                <w:lang w:eastAsia="pl-PL"/>
              </w:rPr>
              <w:t>(</w:t>
            </w:r>
            <w:r w:rsidR="003D7E27" w:rsidRPr="00154BF9">
              <w:rPr>
                <w:rFonts w:ascii="Times New Roman" w:eastAsia="Times New Roman" w:hAnsi="Times New Roman" w:cs="Times New Roman"/>
                <w:sz w:val="20"/>
                <w:szCs w:val="20"/>
                <w:lang w:eastAsia="pl-PL"/>
              </w:rPr>
              <w:t>AOS</w:t>
            </w:r>
            <w:r w:rsidR="00405FB5" w:rsidRPr="00154BF9">
              <w:rPr>
                <w:rFonts w:ascii="Times New Roman" w:eastAsia="Times New Roman" w:hAnsi="Times New Roman" w:cs="Times New Roman"/>
                <w:sz w:val="20"/>
                <w:szCs w:val="20"/>
                <w:lang w:eastAsia="pl-PL"/>
              </w:rPr>
              <w:t>D)</w:t>
            </w:r>
          </w:p>
          <w:p w14:paraId="712C60B9" w14:textId="7A41F0E5" w:rsidR="009D7AE1" w:rsidRPr="00154BF9" w:rsidRDefault="009D7AE1" w:rsidP="00A05A8B">
            <w:pPr>
              <w:pStyle w:val="Akapitzlist"/>
              <w:spacing w:after="60" w:line="276" w:lineRule="auto"/>
              <w:ind w:left="680"/>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lub</w:t>
            </w:r>
          </w:p>
          <w:p w14:paraId="733CC48C" w14:textId="326AA173" w:rsidR="00A857A0" w:rsidRPr="00154BF9" w:rsidRDefault="009D7AE1" w:rsidP="00A05A8B">
            <w:pPr>
              <w:numPr>
                <w:ilvl w:val="5"/>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RZS</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wtórną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amyloidozą</w:t>
            </w:r>
          </w:p>
          <w:p w14:paraId="4E87888D" w14:textId="3FC09683" w:rsidR="009D7AE1" w:rsidRPr="00154BF9" w:rsidRDefault="009D7AE1" w:rsidP="00A05A8B">
            <w:pPr>
              <w:pStyle w:val="Akapitzlist"/>
              <w:spacing w:after="60" w:line="276" w:lineRule="auto"/>
              <w:ind w:left="680"/>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lub</w:t>
            </w:r>
          </w:p>
          <w:p w14:paraId="3246D588" w14:textId="7D3EB993" w:rsidR="002550C4" w:rsidRPr="00154BF9" w:rsidRDefault="009D7AE1" w:rsidP="00A05A8B">
            <w:pPr>
              <w:pStyle w:val="Akapitzlist"/>
              <w:numPr>
                <w:ilvl w:val="5"/>
                <w:numId w:val="19"/>
              </w:numPr>
              <w:spacing w:after="60" w:line="276" w:lineRule="auto"/>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RZS</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towarzyszącym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zapaleniem</w:t>
            </w:r>
            <w:r w:rsidR="0052643B" w:rsidRPr="00154BF9">
              <w:rPr>
                <w:rFonts w:ascii="Times New Roman" w:eastAsia="Times New Roman" w:hAnsi="Times New Roman" w:cs="Times New Roman"/>
                <w:sz w:val="20"/>
                <w:szCs w:val="20"/>
                <w:lang w:eastAsia="pl-PL"/>
              </w:rPr>
              <w:t xml:space="preserve"> </w:t>
            </w:r>
            <w:r w:rsidR="00350537" w:rsidRPr="00154BF9">
              <w:rPr>
                <w:rFonts w:ascii="Times New Roman" w:eastAsia="Times New Roman" w:hAnsi="Times New Roman" w:cs="Times New Roman"/>
                <w:sz w:val="20"/>
                <w:szCs w:val="20"/>
                <w:lang w:eastAsia="pl-PL"/>
              </w:rPr>
              <w:t>naczyń,</w:t>
            </w:r>
            <w:r w:rsidR="0052643B" w:rsidRPr="00154BF9">
              <w:rPr>
                <w:rFonts w:ascii="Times New Roman" w:eastAsia="Times New Roman" w:hAnsi="Times New Roman" w:cs="Times New Roman"/>
                <w:sz w:val="20"/>
                <w:szCs w:val="20"/>
                <w:lang w:eastAsia="pl-PL"/>
              </w:rPr>
              <w:t xml:space="preserve"> </w:t>
            </w:r>
            <w:r w:rsidR="002550C4"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002550C4" w:rsidRPr="00154BF9">
              <w:rPr>
                <w:rFonts w:ascii="Times New Roman" w:eastAsia="Times New Roman" w:hAnsi="Times New Roman" w:cs="Times New Roman"/>
                <w:sz w:val="20"/>
                <w:szCs w:val="20"/>
                <w:lang w:eastAsia="pl-PL"/>
              </w:rPr>
              <w:t>zastrzeżeniem,</w:t>
            </w:r>
            <w:r w:rsidR="0052643B" w:rsidRPr="00154BF9">
              <w:rPr>
                <w:rFonts w:ascii="Times New Roman" w:eastAsia="Times New Roman" w:hAnsi="Times New Roman" w:cs="Times New Roman"/>
                <w:sz w:val="20"/>
                <w:szCs w:val="20"/>
                <w:lang w:eastAsia="pl-PL"/>
              </w:rPr>
              <w:t xml:space="preserve"> </w:t>
            </w:r>
            <w:r w:rsidR="002550C4" w:rsidRPr="00154BF9">
              <w:rPr>
                <w:rFonts w:ascii="Times New Roman" w:eastAsia="Times New Roman" w:hAnsi="Times New Roman" w:cs="Times New Roman"/>
                <w:sz w:val="20"/>
                <w:szCs w:val="20"/>
                <w:lang w:eastAsia="pl-PL"/>
              </w:rPr>
              <w:t>że</w:t>
            </w:r>
            <w:r w:rsidR="0052643B" w:rsidRPr="00154BF9">
              <w:rPr>
                <w:rFonts w:ascii="Times New Roman" w:eastAsia="Times New Roman" w:hAnsi="Times New Roman" w:cs="Times New Roman"/>
                <w:sz w:val="20"/>
                <w:szCs w:val="20"/>
                <w:lang w:eastAsia="pl-PL"/>
              </w:rPr>
              <w:t xml:space="preserve"> </w:t>
            </w:r>
            <w:r w:rsidR="002550C4"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002550C4" w:rsidRPr="00154BF9">
              <w:rPr>
                <w:rFonts w:ascii="Times New Roman" w:eastAsia="Times New Roman" w:hAnsi="Times New Roman" w:cs="Times New Roman"/>
                <w:sz w:val="20"/>
                <w:szCs w:val="20"/>
                <w:lang w:eastAsia="pl-PL"/>
              </w:rPr>
              <w:t>terapii</w:t>
            </w:r>
            <w:r w:rsidR="0052643B" w:rsidRPr="00154BF9">
              <w:rPr>
                <w:rFonts w:ascii="Times New Roman" w:eastAsia="Times New Roman" w:hAnsi="Times New Roman" w:cs="Times New Roman"/>
                <w:sz w:val="20"/>
                <w:szCs w:val="20"/>
                <w:lang w:eastAsia="pl-PL"/>
              </w:rPr>
              <w:t xml:space="preserve"> </w:t>
            </w:r>
            <w:r w:rsidR="002550C4" w:rsidRPr="00154BF9">
              <w:rPr>
                <w:rFonts w:ascii="Times New Roman" w:eastAsia="Times New Roman" w:hAnsi="Times New Roman" w:cs="Times New Roman"/>
                <w:sz w:val="20"/>
                <w:szCs w:val="20"/>
                <w:lang w:eastAsia="pl-PL"/>
              </w:rPr>
              <w:t>anakinrą</w:t>
            </w:r>
            <w:r w:rsidR="0052643B" w:rsidRPr="00154BF9">
              <w:rPr>
                <w:rFonts w:ascii="Times New Roman" w:eastAsia="Times New Roman" w:hAnsi="Times New Roman" w:cs="Times New Roman"/>
                <w:sz w:val="20"/>
                <w:szCs w:val="20"/>
                <w:lang w:eastAsia="pl-PL"/>
              </w:rPr>
              <w:t xml:space="preserve"> </w:t>
            </w:r>
            <w:r w:rsidR="00257D3C">
              <w:t xml:space="preserve"> </w:t>
            </w:r>
            <w:r w:rsidR="00257D3C" w:rsidRPr="00257D3C">
              <w:rPr>
                <w:rFonts w:ascii="Times New Roman" w:eastAsia="Times New Roman" w:hAnsi="Times New Roman" w:cs="Times New Roman"/>
                <w:sz w:val="20"/>
                <w:szCs w:val="20"/>
                <w:lang w:eastAsia="pl-PL"/>
              </w:rPr>
              <w:t xml:space="preserve">albo kanakinumabem </w:t>
            </w:r>
            <w:r w:rsidR="002550C4" w:rsidRPr="00154BF9">
              <w:rPr>
                <w:rFonts w:ascii="Times New Roman" w:eastAsia="Times New Roman" w:hAnsi="Times New Roman" w:cs="Times New Roman"/>
                <w:sz w:val="20"/>
                <w:szCs w:val="20"/>
                <w:lang w:eastAsia="pl-PL"/>
              </w:rPr>
              <w:t>kwalifikuje</w:t>
            </w:r>
            <w:r w:rsidR="0052643B" w:rsidRPr="00154BF9">
              <w:rPr>
                <w:rFonts w:ascii="Times New Roman" w:eastAsia="Times New Roman" w:hAnsi="Times New Roman" w:cs="Times New Roman"/>
                <w:sz w:val="20"/>
                <w:szCs w:val="20"/>
                <w:lang w:eastAsia="pl-PL"/>
              </w:rPr>
              <w:t xml:space="preserve"> </w:t>
            </w:r>
            <w:r w:rsidR="002550C4" w:rsidRPr="00154BF9">
              <w:rPr>
                <w:rFonts w:ascii="Times New Roman" w:eastAsia="Times New Roman" w:hAnsi="Times New Roman" w:cs="Times New Roman"/>
                <w:sz w:val="20"/>
                <w:szCs w:val="20"/>
                <w:lang w:eastAsia="pl-PL"/>
              </w:rPr>
              <w:t>się</w:t>
            </w:r>
            <w:r w:rsidR="0052643B" w:rsidRPr="00154BF9">
              <w:rPr>
                <w:rFonts w:ascii="Times New Roman" w:eastAsia="Times New Roman" w:hAnsi="Times New Roman" w:cs="Times New Roman"/>
                <w:sz w:val="20"/>
                <w:szCs w:val="20"/>
                <w:lang w:eastAsia="pl-PL"/>
              </w:rPr>
              <w:t xml:space="preserve"> </w:t>
            </w:r>
            <w:r w:rsidR="002550C4" w:rsidRPr="00154BF9">
              <w:rPr>
                <w:rFonts w:ascii="Times New Roman" w:eastAsia="Times New Roman" w:hAnsi="Times New Roman" w:cs="Times New Roman"/>
                <w:sz w:val="20"/>
                <w:szCs w:val="20"/>
                <w:lang w:eastAsia="pl-PL"/>
              </w:rPr>
              <w:t>wyłącznie</w:t>
            </w:r>
            <w:r w:rsidR="0052643B" w:rsidRPr="00154BF9">
              <w:rPr>
                <w:rFonts w:ascii="Times New Roman" w:eastAsia="Times New Roman" w:hAnsi="Times New Roman" w:cs="Times New Roman"/>
                <w:sz w:val="20"/>
                <w:szCs w:val="20"/>
                <w:lang w:eastAsia="pl-PL"/>
              </w:rPr>
              <w:t xml:space="preserve"> </w:t>
            </w:r>
            <w:r w:rsidR="002550C4" w:rsidRPr="00154BF9">
              <w:rPr>
                <w:rFonts w:ascii="Times New Roman" w:eastAsia="Times New Roman" w:hAnsi="Times New Roman" w:cs="Times New Roman"/>
                <w:sz w:val="20"/>
                <w:szCs w:val="20"/>
                <w:lang w:eastAsia="pl-PL"/>
              </w:rPr>
              <w:t>pacjentów</w:t>
            </w:r>
            <w:r w:rsidR="0052643B" w:rsidRPr="00154BF9">
              <w:rPr>
                <w:rFonts w:ascii="Times New Roman" w:eastAsia="Times New Roman" w:hAnsi="Times New Roman" w:cs="Times New Roman"/>
                <w:sz w:val="20"/>
                <w:szCs w:val="20"/>
                <w:lang w:eastAsia="pl-PL"/>
              </w:rPr>
              <w:t xml:space="preserve"> </w:t>
            </w:r>
            <w:r w:rsidR="002550C4"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002550C4" w:rsidRPr="00154BF9">
              <w:rPr>
                <w:rFonts w:ascii="Times New Roman" w:eastAsia="Times New Roman" w:hAnsi="Times New Roman" w:cs="Times New Roman"/>
                <w:sz w:val="20"/>
                <w:szCs w:val="20"/>
                <w:lang w:eastAsia="pl-PL"/>
              </w:rPr>
              <w:t>chorobą</w:t>
            </w:r>
            <w:r w:rsidR="0052643B" w:rsidRPr="00154BF9">
              <w:rPr>
                <w:rFonts w:ascii="Times New Roman" w:eastAsia="Times New Roman" w:hAnsi="Times New Roman" w:cs="Times New Roman"/>
                <w:sz w:val="20"/>
                <w:szCs w:val="20"/>
                <w:lang w:eastAsia="pl-PL"/>
              </w:rPr>
              <w:t xml:space="preserve"> </w:t>
            </w:r>
            <w:r w:rsidR="002550C4" w:rsidRPr="00154BF9">
              <w:rPr>
                <w:rFonts w:ascii="Times New Roman" w:eastAsia="Times New Roman" w:hAnsi="Times New Roman" w:cs="Times New Roman"/>
                <w:sz w:val="20"/>
                <w:szCs w:val="20"/>
                <w:lang w:eastAsia="pl-PL"/>
              </w:rPr>
              <w:t>Stilla</w:t>
            </w:r>
            <w:r w:rsidR="0052643B" w:rsidRPr="00154BF9">
              <w:rPr>
                <w:rFonts w:ascii="Times New Roman" w:eastAsia="Times New Roman" w:hAnsi="Times New Roman" w:cs="Times New Roman"/>
                <w:sz w:val="20"/>
                <w:szCs w:val="20"/>
                <w:lang w:eastAsia="pl-PL"/>
              </w:rPr>
              <w:t xml:space="preserve"> </w:t>
            </w:r>
            <w:r w:rsidR="002550C4" w:rsidRPr="00154BF9">
              <w:rPr>
                <w:rFonts w:ascii="Times New Roman" w:eastAsia="Times New Roman" w:hAnsi="Times New Roman" w:cs="Times New Roman"/>
                <w:sz w:val="20"/>
                <w:szCs w:val="20"/>
                <w:lang w:eastAsia="pl-PL"/>
              </w:rPr>
              <w:t>u</w:t>
            </w:r>
            <w:r w:rsidR="0052643B" w:rsidRPr="00154BF9">
              <w:rPr>
                <w:rFonts w:ascii="Times New Roman" w:eastAsia="Times New Roman" w:hAnsi="Times New Roman" w:cs="Times New Roman"/>
                <w:sz w:val="20"/>
                <w:szCs w:val="20"/>
                <w:lang w:eastAsia="pl-PL"/>
              </w:rPr>
              <w:t xml:space="preserve"> </w:t>
            </w:r>
            <w:r w:rsidR="002550C4" w:rsidRPr="00154BF9">
              <w:rPr>
                <w:rFonts w:ascii="Times New Roman" w:eastAsia="Times New Roman" w:hAnsi="Times New Roman" w:cs="Times New Roman"/>
                <w:sz w:val="20"/>
                <w:szCs w:val="20"/>
                <w:lang w:eastAsia="pl-PL"/>
              </w:rPr>
              <w:t>dorosłych</w:t>
            </w:r>
            <w:r w:rsidR="0052643B" w:rsidRPr="00154BF9">
              <w:rPr>
                <w:rFonts w:ascii="Times New Roman" w:eastAsia="Times New Roman" w:hAnsi="Times New Roman" w:cs="Times New Roman"/>
                <w:sz w:val="20"/>
                <w:szCs w:val="20"/>
                <w:lang w:eastAsia="pl-PL"/>
              </w:rPr>
              <w:t xml:space="preserve"> </w:t>
            </w:r>
            <w:r w:rsidR="002550C4" w:rsidRPr="00154BF9">
              <w:rPr>
                <w:rFonts w:ascii="Times New Roman" w:eastAsia="Times New Roman" w:hAnsi="Times New Roman" w:cs="Times New Roman"/>
                <w:sz w:val="20"/>
                <w:szCs w:val="20"/>
                <w:lang w:eastAsia="pl-PL"/>
              </w:rPr>
              <w:t>(AOSD).</w:t>
            </w:r>
          </w:p>
          <w:p w14:paraId="310833A9" w14:textId="74F21160" w:rsidR="009D7AE1" w:rsidRPr="004F7B25" w:rsidRDefault="009D7AE1" w:rsidP="00A05A8B">
            <w:pPr>
              <w:pStyle w:val="Akapitzlist"/>
              <w:numPr>
                <w:ilvl w:val="3"/>
                <w:numId w:val="19"/>
              </w:numPr>
              <w:autoSpaceDE w:val="0"/>
              <w:autoSpaceDN w:val="0"/>
              <w:adjustRightInd w:val="0"/>
              <w:spacing w:after="60" w:line="276" w:lineRule="auto"/>
              <w:contextualSpacing w:val="0"/>
              <w:jc w:val="both"/>
              <w:rPr>
                <w:rFonts w:ascii="Times New Roman" w:eastAsia="Times New Roman" w:hAnsi="Times New Roman" w:cs="Times New Roman"/>
                <w:color w:val="000000"/>
                <w:sz w:val="20"/>
                <w:szCs w:val="20"/>
                <w:lang w:eastAsia="pl-PL"/>
              </w:rPr>
            </w:pPr>
            <w:r w:rsidRPr="004F7B25">
              <w:rPr>
                <w:rFonts w:ascii="Times New Roman" w:eastAsia="Times New Roman" w:hAnsi="Times New Roman" w:cs="Times New Roman"/>
                <w:color w:val="000000"/>
                <w:sz w:val="20"/>
                <w:szCs w:val="20"/>
                <w:lang w:eastAsia="pl-PL"/>
              </w:rPr>
              <w:t>Do</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terapii</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inhibitorem</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TNF</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alfa</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kwalifikują</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się,</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bez</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konieczności</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spełnienia</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kryterium</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pkt</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1</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ppkt</w:t>
            </w:r>
            <w:r w:rsidR="0052643B" w:rsidRPr="004F7B25">
              <w:rPr>
                <w:rFonts w:ascii="Times New Roman" w:eastAsia="Times New Roman" w:hAnsi="Times New Roman" w:cs="Times New Roman"/>
                <w:color w:val="000000"/>
                <w:sz w:val="20"/>
                <w:szCs w:val="20"/>
                <w:lang w:eastAsia="pl-PL"/>
              </w:rPr>
              <w:t xml:space="preserve"> </w:t>
            </w:r>
            <w:r w:rsidR="00C421A5" w:rsidRPr="004F7B25">
              <w:rPr>
                <w:rFonts w:ascii="Times New Roman" w:eastAsia="Times New Roman" w:hAnsi="Times New Roman" w:cs="Times New Roman"/>
                <w:color w:val="000000"/>
                <w:sz w:val="20"/>
                <w:szCs w:val="20"/>
                <w:lang w:eastAsia="pl-PL"/>
              </w:rPr>
              <w:t>1</w:t>
            </w:r>
            <w:r w:rsidRPr="004F7B25">
              <w:rPr>
                <w:rFonts w:ascii="Times New Roman" w:eastAsia="Times New Roman" w:hAnsi="Times New Roman" w:cs="Times New Roman"/>
                <w:color w:val="000000"/>
                <w:sz w:val="20"/>
                <w:szCs w:val="20"/>
                <w:lang w:eastAsia="pl-PL"/>
              </w:rPr>
              <w:t>a)</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części</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dotyczącej</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RZS</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niniejszego</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programu,</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pacjenci</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poddani</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leczeniu</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RZS</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w</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ramach</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programów</w:t>
            </w:r>
            <w:r w:rsidR="0052643B" w:rsidRPr="004F7B25">
              <w:rPr>
                <w:rFonts w:ascii="Times New Roman" w:eastAsia="Times New Roman" w:hAnsi="Times New Roman" w:cs="Times New Roman"/>
                <w:color w:val="000000"/>
                <w:sz w:val="20"/>
                <w:szCs w:val="20"/>
                <w:lang w:eastAsia="pl-PL"/>
              </w:rPr>
              <w:t xml:space="preserve"> </w:t>
            </w:r>
            <w:r w:rsidRPr="004F7B25">
              <w:rPr>
                <w:rFonts w:ascii="Times New Roman" w:eastAsia="Times New Roman" w:hAnsi="Times New Roman" w:cs="Times New Roman"/>
                <w:color w:val="000000"/>
                <w:sz w:val="20"/>
                <w:szCs w:val="20"/>
                <w:lang w:eastAsia="pl-PL"/>
              </w:rPr>
              <w:t>lekowych:</w:t>
            </w:r>
          </w:p>
          <w:p w14:paraId="22B298D0" w14:textId="5022647F" w:rsidR="009D7AE1" w:rsidRPr="004F7B25" w:rsidRDefault="009D7AE1" w:rsidP="00A05A8B">
            <w:pPr>
              <w:pStyle w:val="Akapitzlist"/>
              <w:numPr>
                <w:ilvl w:val="4"/>
                <w:numId w:val="19"/>
              </w:numPr>
              <w:autoSpaceDE w:val="0"/>
              <w:autoSpaceDN w:val="0"/>
              <w:adjustRightInd w:val="0"/>
              <w:spacing w:after="60" w:line="276" w:lineRule="auto"/>
              <w:contextualSpacing w:val="0"/>
              <w:jc w:val="both"/>
              <w:rPr>
                <w:rFonts w:ascii="Times New Roman" w:hAnsi="Times New Roman" w:cs="Times New Roman"/>
                <w:sz w:val="20"/>
                <w:szCs w:val="20"/>
              </w:rPr>
            </w:pPr>
            <w:r w:rsidRPr="004F7B25">
              <w:rPr>
                <w:rFonts w:ascii="Times New Roman" w:hAnsi="Times New Roman" w:cs="Times New Roman"/>
                <w:sz w:val="20"/>
                <w:szCs w:val="20"/>
              </w:rPr>
              <w:t>jednym</w:t>
            </w:r>
            <w:r w:rsidR="0052643B" w:rsidRPr="004F7B25">
              <w:rPr>
                <w:rFonts w:ascii="Times New Roman" w:hAnsi="Times New Roman" w:cs="Times New Roman"/>
                <w:sz w:val="20"/>
                <w:szCs w:val="20"/>
              </w:rPr>
              <w:t xml:space="preserve"> </w:t>
            </w:r>
            <w:r w:rsidRPr="004F7B25">
              <w:rPr>
                <w:rFonts w:ascii="Times New Roman" w:hAnsi="Times New Roman" w:cs="Times New Roman"/>
                <w:sz w:val="20"/>
                <w:szCs w:val="20"/>
              </w:rPr>
              <w:t>lub</w:t>
            </w:r>
            <w:r w:rsidR="0052643B" w:rsidRPr="004F7B25">
              <w:rPr>
                <w:rFonts w:ascii="Times New Roman" w:hAnsi="Times New Roman" w:cs="Times New Roman"/>
                <w:sz w:val="20"/>
                <w:szCs w:val="20"/>
              </w:rPr>
              <w:t xml:space="preserve"> </w:t>
            </w:r>
            <w:r w:rsidRPr="004F7B25">
              <w:rPr>
                <w:rFonts w:ascii="Times New Roman" w:hAnsi="Times New Roman" w:cs="Times New Roman"/>
                <w:sz w:val="20"/>
                <w:szCs w:val="20"/>
              </w:rPr>
              <w:t>dwoma</w:t>
            </w:r>
            <w:r w:rsidR="0052643B" w:rsidRPr="004F7B25">
              <w:rPr>
                <w:rFonts w:ascii="Times New Roman" w:hAnsi="Times New Roman" w:cs="Times New Roman"/>
                <w:sz w:val="20"/>
                <w:szCs w:val="20"/>
              </w:rPr>
              <w:t xml:space="preserve"> </w:t>
            </w:r>
            <w:r w:rsidRPr="004F7B25">
              <w:rPr>
                <w:rFonts w:ascii="Times New Roman" w:hAnsi="Times New Roman" w:cs="Times New Roman"/>
                <w:sz w:val="20"/>
                <w:szCs w:val="20"/>
              </w:rPr>
              <w:t>inhibitorami</w:t>
            </w:r>
            <w:r w:rsidR="0052643B" w:rsidRPr="004F7B25">
              <w:rPr>
                <w:rFonts w:ascii="Times New Roman" w:hAnsi="Times New Roman" w:cs="Times New Roman"/>
                <w:sz w:val="20"/>
                <w:szCs w:val="20"/>
              </w:rPr>
              <w:t xml:space="preserve"> </w:t>
            </w:r>
            <w:r w:rsidRPr="004F7B25">
              <w:rPr>
                <w:rFonts w:ascii="Times New Roman" w:hAnsi="Times New Roman" w:cs="Times New Roman"/>
                <w:sz w:val="20"/>
                <w:szCs w:val="20"/>
              </w:rPr>
              <w:t>TNF</w:t>
            </w:r>
            <w:r w:rsidR="0052643B" w:rsidRPr="004F7B25">
              <w:rPr>
                <w:rFonts w:ascii="Times New Roman" w:hAnsi="Times New Roman" w:cs="Times New Roman"/>
                <w:sz w:val="20"/>
                <w:szCs w:val="20"/>
              </w:rPr>
              <w:t xml:space="preserve"> </w:t>
            </w:r>
            <w:r w:rsidRPr="004F7B25">
              <w:rPr>
                <w:rFonts w:ascii="Times New Roman" w:hAnsi="Times New Roman" w:cs="Times New Roman"/>
                <w:sz w:val="20"/>
                <w:szCs w:val="20"/>
              </w:rPr>
              <w:t>alfa</w:t>
            </w:r>
            <w:r w:rsidR="0052643B" w:rsidRPr="004F7B25">
              <w:rPr>
                <w:rFonts w:ascii="Times New Roman" w:hAnsi="Times New Roman" w:cs="Times New Roman"/>
                <w:sz w:val="20"/>
                <w:szCs w:val="20"/>
              </w:rPr>
              <w:t xml:space="preserve"> </w:t>
            </w:r>
            <w:r w:rsidR="00E01974" w:rsidRPr="004F7B25">
              <w:rPr>
                <w:rFonts w:ascii="Times New Roman" w:hAnsi="Times New Roman" w:cs="Times New Roman"/>
                <w:sz w:val="20"/>
                <w:szCs w:val="20"/>
              </w:rPr>
              <w:t>albo</w:t>
            </w:r>
            <w:r w:rsidR="0052643B" w:rsidRPr="004F7B25">
              <w:rPr>
                <w:rFonts w:ascii="Times New Roman" w:hAnsi="Times New Roman" w:cs="Times New Roman"/>
                <w:sz w:val="20"/>
                <w:szCs w:val="20"/>
              </w:rPr>
              <w:t xml:space="preserve"> </w:t>
            </w:r>
            <w:r w:rsidRPr="004F7B25">
              <w:rPr>
                <w:rFonts w:ascii="Times New Roman" w:hAnsi="Times New Roman" w:cs="Times New Roman"/>
                <w:sz w:val="20"/>
                <w:szCs w:val="20"/>
              </w:rPr>
              <w:t>tocilizumabem</w:t>
            </w:r>
            <w:r w:rsidR="0052643B" w:rsidRPr="004F7B25">
              <w:rPr>
                <w:rFonts w:ascii="Times New Roman" w:hAnsi="Times New Roman" w:cs="Times New Roman"/>
                <w:sz w:val="20"/>
                <w:szCs w:val="20"/>
              </w:rPr>
              <w:t xml:space="preserve"> </w:t>
            </w:r>
            <w:r w:rsidR="00D74A84" w:rsidRPr="004F7B25">
              <w:rPr>
                <w:rFonts w:ascii="Times New Roman" w:hAnsi="Times New Roman" w:cs="Times New Roman"/>
                <w:sz w:val="20"/>
                <w:szCs w:val="20"/>
              </w:rPr>
              <w:t>albo</w:t>
            </w:r>
            <w:r w:rsidR="0052643B" w:rsidRPr="004F7B25">
              <w:rPr>
                <w:rFonts w:ascii="Times New Roman" w:hAnsi="Times New Roman" w:cs="Times New Roman"/>
                <w:sz w:val="20"/>
                <w:szCs w:val="20"/>
              </w:rPr>
              <w:t xml:space="preserve"> </w:t>
            </w:r>
            <w:r w:rsidRPr="004F7B25">
              <w:rPr>
                <w:rFonts w:ascii="Times New Roman" w:hAnsi="Times New Roman" w:cs="Times New Roman"/>
                <w:sz w:val="20"/>
                <w:szCs w:val="20"/>
              </w:rPr>
              <w:t>tofacytynibem</w:t>
            </w:r>
            <w:r w:rsidR="0052643B" w:rsidRPr="004F7B25">
              <w:rPr>
                <w:rFonts w:ascii="Times New Roman" w:hAnsi="Times New Roman" w:cs="Times New Roman"/>
                <w:sz w:val="20"/>
                <w:szCs w:val="20"/>
              </w:rPr>
              <w:t xml:space="preserve"> </w:t>
            </w:r>
            <w:r w:rsidR="00D74A84" w:rsidRPr="004F7B25">
              <w:rPr>
                <w:rFonts w:ascii="Times New Roman" w:hAnsi="Times New Roman" w:cs="Times New Roman"/>
                <w:sz w:val="20"/>
                <w:szCs w:val="20"/>
              </w:rPr>
              <w:t>albo</w:t>
            </w:r>
            <w:r w:rsidR="0052643B" w:rsidRPr="004F7B25">
              <w:rPr>
                <w:rFonts w:ascii="Times New Roman" w:hAnsi="Times New Roman" w:cs="Times New Roman"/>
                <w:sz w:val="20"/>
                <w:szCs w:val="20"/>
              </w:rPr>
              <w:t xml:space="preserve"> </w:t>
            </w:r>
            <w:r w:rsidR="008A07B8" w:rsidRPr="004F7B25">
              <w:rPr>
                <w:rFonts w:ascii="Times New Roman" w:hAnsi="Times New Roman" w:cs="Times New Roman"/>
                <w:sz w:val="20"/>
                <w:szCs w:val="20"/>
              </w:rPr>
              <w:t>baricytinbem</w:t>
            </w:r>
            <w:r w:rsidR="0052643B" w:rsidRPr="00154BF9">
              <w:rPr>
                <w:rFonts w:ascii="Times New Roman" w:hAnsi="Times New Roman" w:cs="Times New Roman"/>
                <w:sz w:val="20"/>
                <w:szCs w:val="20"/>
              </w:rPr>
              <w:t xml:space="preserve"> </w:t>
            </w:r>
            <w:r w:rsidR="00D74A84" w:rsidRPr="00154BF9">
              <w:rPr>
                <w:rFonts w:ascii="Times New Roman" w:hAnsi="Times New Roman" w:cs="Times New Roman"/>
                <w:sz w:val="20"/>
                <w:szCs w:val="20"/>
              </w:rPr>
              <w:t>albo</w:t>
            </w:r>
            <w:r w:rsidR="0052643B" w:rsidRPr="00154BF9">
              <w:rPr>
                <w:rFonts w:ascii="Times New Roman" w:hAnsi="Times New Roman" w:cs="Times New Roman"/>
                <w:sz w:val="20"/>
                <w:szCs w:val="20"/>
              </w:rPr>
              <w:t xml:space="preserve"> </w:t>
            </w:r>
            <w:r w:rsidR="0024099B" w:rsidRPr="00154BF9">
              <w:rPr>
                <w:rFonts w:ascii="Times New Roman" w:hAnsi="Times New Roman" w:cs="Times New Roman"/>
                <w:sz w:val="20"/>
                <w:szCs w:val="20"/>
              </w:rPr>
              <w:t>upadacytynibem</w:t>
            </w:r>
            <w:r w:rsidR="0052643B" w:rsidRPr="00154BF9">
              <w:rPr>
                <w:rFonts w:ascii="Times New Roman" w:hAnsi="Times New Roman" w:cs="Times New Roman"/>
                <w:sz w:val="20"/>
                <w:szCs w:val="20"/>
              </w:rPr>
              <w:t xml:space="preserve"> </w:t>
            </w:r>
            <w:r w:rsidR="00D74A84" w:rsidRPr="004F7B25">
              <w:rPr>
                <w:rFonts w:ascii="Times New Roman" w:hAnsi="Times New Roman" w:cs="Times New Roman"/>
                <w:sz w:val="20"/>
                <w:szCs w:val="20"/>
              </w:rPr>
              <w:t>albo</w:t>
            </w:r>
            <w:r w:rsidR="0052643B" w:rsidRPr="004F7B25">
              <w:rPr>
                <w:rFonts w:ascii="Times New Roman" w:hAnsi="Times New Roman" w:cs="Times New Roman"/>
                <w:sz w:val="20"/>
                <w:szCs w:val="20"/>
              </w:rPr>
              <w:t xml:space="preserve"> </w:t>
            </w:r>
            <w:r w:rsidR="005810F1" w:rsidRPr="004F7B25">
              <w:rPr>
                <w:rFonts w:ascii="Times New Roman" w:hAnsi="Times New Roman" w:cs="Times New Roman"/>
                <w:sz w:val="20"/>
                <w:szCs w:val="20"/>
              </w:rPr>
              <w:t xml:space="preserve">filgotynibem </w:t>
            </w:r>
            <w:r w:rsidR="00D74A84" w:rsidRPr="004F7B25">
              <w:rPr>
                <w:rFonts w:ascii="Times New Roman" w:hAnsi="Times New Roman" w:cs="Times New Roman"/>
                <w:sz w:val="20"/>
                <w:szCs w:val="20"/>
              </w:rPr>
              <w:t>albo</w:t>
            </w:r>
            <w:r w:rsidR="005810F1" w:rsidRPr="004F7B25">
              <w:rPr>
                <w:rFonts w:ascii="Times New Roman" w:hAnsi="Times New Roman" w:cs="Times New Roman"/>
                <w:sz w:val="20"/>
                <w:szCs w:val="20"/>
              </w:rPr>
              <w:t xml:space="preserve"> </w:t>
            </w:r>
            <w:r w:rsidR="00696524" w:rsidRPr="004F7B25">
              <w:rPr>
                <w:rFonts w:ascii="Times New Roman" w:hAnsi="Times New Roman" w:cs="Times New Roman"/>
                <w:sz w:val="20"/>
                <w:szCs w:val="20"/>
              </w:rPr>
              <w:t xml:space="preserve">anakinrą </w:t>
            </w:r>
            <w:r w:rsidR="00257D3C" w:rsidRPr="00257D3C">
              <w:rPr>
                <w:rFonts w:ascii="Times New Roman" w:hAnsi="Times New Roman" w:cs="Times New Roman"/>
                <w:sz w:val="20"/>
                <w:szCs w:val="20"/>
              </w:rPr>
              <w:t xml:space="preserve">albo kanakinumabem </w:t>
            </w:r>
            <w:r w:rsidR="00696524" w:rsidRPr="004F7B25">
              <w:rPr>
                <w:rFonts w:ascii="Times New Roman" w:hAnsi="Times New Roman" w:cs="Times New Roman"/>
                <w:sz w:val="20"/>
                <w:szCs w:val="20"/>
              </w:rPr>
              <w:t>u</w:t>
            </w:r>
            <w:r w:rsidR="0052643B" w:rsidRPr="004F7B25">
              <w:rPr>
                <w:rFonts w:ascii="Times New Roman" w:hAnsi="Times New Roman" w:cs="Times New Roman"/>
                <w:sz w:val="20"/>
                <w:szCs w:val="20"/>
              </w:rPr>
              <w:t xml:space="preserve"> </w:t>
            </w:r>
            <w:r w:rsidRPr="004F7B25">
              <w:rPr>
                <w:rFonts w:ascii="Times New Roman" w:hAnsi="Times New Roman" w:cs="Times New Roman"/>
                <w:sz w:val="20"/>
                <w:szCs w:val="20"/>
              </w:rPr>
              <w:t>których:</w:t>
            </w:r>
          </w:p>
          <w:p w14:paraId="1FE77CA1" w14:textId="5A5B0258" w:rsidR="00A857A0" w:rsidRPr="00154BF9" w:rsidRDefault="009D7AE1" w:rsidP="00A05A8B">
            <w:pPr>
              <w:numPr>
                <w:ilvl w:val="5"/>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wystąpiła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ciężka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reakcja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uczuleniowa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substancję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czynną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pomocniczą</w:t>
            </w:r>
          </w:p>
          <w:p w14:paraId="389D22CE" w14:textId="7075D33E" w:rsidR="009D7AE1" w:rsidRPr="00154BF9" w:rsidRDefault="009D7AE1" w:rsidP="00A05A8B">
            <w:pPr>
              <w:pStyle w:val="Akapitzlist"/>
              <w:spacing w:after="60" w:line="276" w:lineRule="auto"/>
              <w:ind w:left="680"/>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lub</w:t>
            </w:r>
          </w:p>
          <w:p w14:paraId="67F42419" w14:textId="7335D33A" w:rsidR="00A857A0" w:rsidRPr="00154BF9" w:rsidRDefault="009D7AE1" w:rsidP="00A05A8B">
            <w:pPr>
              <w:numPr>
                <w:ilvl w:val="5"/>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wystąpiły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ciężkie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działania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niepożądane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uniemożliwiające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kontynuowanie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terapii,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które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ustępują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mimo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dostosowywania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dawki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zgodnie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ChPL</w:t>
            </w:r>
          </w:p>
          <w:p w14:paraId="7F4CF7FF" w14:textId="2C3E509D" w:rsidR="009D7AE1" w:rsidRPr="00154BF9" w:rsidRDefault="005E1332" w:rsidP="00A05A8B">
            <w:pPr>
              <w:pStyle w:val="Akapitzlist"/>
              <w:spacing w:after="60" w:line="276" w:lineRule="auto"/>
              <w:ind w:left="680"/>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l</w:t>
            </w:r>
            <w:r w:rsidR="009D7AE1" w:rsidRPr="00154BF9">
              <w:rPr>
                <w:rFonts w:ascii="Times New Roman" w:eastAsia="Times New Roman" w:hAnsi="Times New Roman" w:cs="Times New Roman"/>
                <w:sz w:val="20"/>
                <w:szCs w:val="20"/>
                <w:lang w:eastAsia="pl-PL"/>
              </w:rPr>
              <w:t>ub</w:t>
            </w:r>
          </w:p>
          <w:p w14:paraId="46D2F68F" w14:textId="1E7E8086" w:rsidR="009D7AE1" w:rsidRPr="00154BF9" w:rsidRDefault="009D7AE1" w:rsidP="00A05A8B">
            <w:pPr>
              <w:numPr>
                <w:ilvl w:val="5"/>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stwierdzono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brak</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albo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utratę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odpowiedzi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zastosowane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(zgodnie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definicją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zawartą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kryteriach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wyłączenia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programach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lekowych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dotyczących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RZS).</w:t>
            </w:r>
          </w:p>
          <w:p w14:paraId="2649AEC8" w14:textId="7B35E29E" w:rsidR="009D7AE1" w:rsidRPr="00154BF9" w:rsidRDefault="009D7AE1" w:rsidP="00A05A8B">
            <w:pPr>
              <w:pStyle w:val="Akapitzlist"/>
              <w:spacing w:after="60" w:line="276" w:lineRule="auto"/>
              <w:ind w:left="680"/>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Zastosowanie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trzeciego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inhibitora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TNF</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alfa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programach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lekowych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dotyczących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RZS</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możliwe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jest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tylko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wyłącznie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przypadku,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kiedy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przyczyną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odstawienia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pierwszego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i/lub</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drugiego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grupy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danego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pacjenta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były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objawy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nietolerancji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i/lub</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działania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niepożądane,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lastRenderedPageBreak/>
              <w:t>których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opinii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lekarza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prowadzącego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podstawie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dostępnej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wiedzy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medycznej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można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uniknąć</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stosując</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inny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grupy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inhibitorów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TNF</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alfa.</w:t>
            </w:r>
          </w:p>
          <w:p w14:paraId="73C2F888" w14:textId="1C6500C6" w:rsidR="009D7AE1" w:rsidRPr="00154BF9" w:rsidRDefault="009D7AE1" w:rsidP="00A05A8B">
            <w:pPr>
              <w:numPr>
                <w:ilvl w:val="4"/>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rytuksymabem,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których:</w:t>
            </w:r>
          </w:p>
          <w:p w14:paraId="20C0C343" w14:textId="72F552E0" w:rsidR="00A857A0" w:rsidRPr="00154BF9" w:rsidRDefault="009D7AE1" w:rsidP="00A05A8B">
            <w:pPr>
              <w:numPr>
                <w:ilvl w:val="5"/>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wystąpiła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ciężka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reakcja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uczuleniowa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substancję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czynną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pomocniczą</w:t>
            </w:r>
          </w:p>
          <w:p w14:paraId="19C57D5C" w14:textId="4879507D" w:rsidR="009D7AE1" w:rsidRPr="00154BF9" w:rsidRDefault="009D7AE1" w:rsidP="00A05A8B">
            <w:pPr>
              <w:pStyle w:val="Akapitzlist"/>
              <w:spacing w:after="60" w:line="276" w:lineRule="auto"/>
              <w:ind w:left="680"/>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lub</w:t>
            </w:r>
          </w:p>
          <w:p w14:paraId="5811B8FC" w14:textId="27F66F39" w:rsidR="00A857A0" w:rsidRPr="00154BF9" w:rsidRDefault="009D7AE1" w:rsidP="00A05A8B">
            <w:pPr>
              <w:numPr>
                <w:ilvl w:val="5"/>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wystąpiły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ciężkie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działania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niepożądane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uniemożliwiające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kontynuowanie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terapii,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które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ustępują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mimo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dostosowywania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dawki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zgodnie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ChPL</w:t>
            </w:r>
          </w:p>
          <w:p w14:paraId="4866E0F4" w14:textId="3AF26F9E" w:rsidR="009D7AE1" w:rsidRPr="00154BF9" w:rsidRDefault="009D7AE1" w:rsidP="00A05A8B">
            <w:pPr>
              <w:pStyle w:val="Akapitzlist"/>
              <w:spacing w:after="60" w:line="276" w:lineRule="auto"/>
              <w:ind w:left="680"/>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lub</w:t>
            </w:r>
          </w:p>
          <w:p w14:paraId="2DD0C2C3" w14:textId="0E19CF95" w:rsidR="009D7AE1" w:rsidRPr="00154BF9" w:rsidRDefault="009D7AE1" w:rsidP="00A05A8B">
            <w:pPr>
              <w:numPr>
                <w:ilvl w:val="5"/>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stwierdzono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brak</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albo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utratę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odpowiedzi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zastosowane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(zgodnie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definicją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zawartą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kryteriach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wyłączenia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programach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lekowych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dotyczących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RZS).</w:t>
            </w:r>
          </w:p>
          <w:p w14:paraId="3CCC8FAD" w14:textId="42AEDE98" w:rsidR="009D7AE1" w:rsidRPr="00154BF9" w:rsidRDefault="009D7AE1" w:rsidP="00A05A8B">
            <w:pPr>
              <w:pStyle w:val="Akapitzlist"/>
              <w:spacing w:after="60" w:line="276" w:lineRule="auto"/>
              <w:ind w:left="454"/>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Kwalifikacja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terapii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inhibitorem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TNF</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alfa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wcześniejszym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rytuksymabem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jest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możliwa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dopiero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upływie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6</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miesięcy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od</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podania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ostatniej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dawki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rytuksymabu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uwzględnieniem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potencjalnego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ryzyka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korzyści.</w:t>
            </w:r>
          </w:p>
          <w:p w14:paraId="0EB0BBB7" w14:textId="7111A1A6" w:rsidR="009D7AE1" w:rsidRPr="00154BF9" w:rsidRDefault="009D7AE1" w:rsidP="00A05A8B">
            <w:pPr>
              <w:numPr>
                <w:ilvl w:val="3"/>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terapii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tocilizumabem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kwalifikują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się,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bez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konieczności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spełnienia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kryterium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pkt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1</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ppkt</w:t>
            </w:r>
            <w:r w:rsidR="0052643B" w:rsidRPr="00154BF9">
              <w:rPr>
                <w:rFonts w:ascii="Times New Roman" w:eastAsia="Times New Roman" w:hAnsi="Times New Roman" w:cs="Times New Roman"/>
                <w:sz w:val="20"/>
                <w:szCs w:val="20"/>
                <w:lang w:eastAsia="pl-PL"/>
              </w:rPr>
              <w:t xml:space="preserve"> </w:t>
            </w:r>
            <w:r w:rsidR="00C421A5" w:rsidRPr="00154BF9">
              <w:rPr>
                <w:rFonts w:ascii="Times New Roman" w:eastAsia="Times New Roman" w:hAnsi="Times New Roman" w:cs="Times New Roman"/>
                <w:sz w:val="20"/>
                <w:szCs w:val="20"/>
                <w:lang w:eastAsia="pl-PL"/>
              </w:rPr>
              <w:t>1</w:t>
            </w:r>
            <w:r w:rsidRPr="00154BF9">
              <w:rPr>
                <w:rFonts w:ascii="Times New Roman" w:eastAsia="Times New Roman" w:hAnsi="Times New Roman" w:cs="Times New Roman"/>
                <w:sz w:val="20"/>
                <w:szCs w:val="20"/>
                <w:lang w:eastAsia="pl-PL"/>
              </w:rPr>
              <w:t>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części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dotyczącej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RZS</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niniejszego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pacjenci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poddani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RZS</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ramach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programów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lekowych:</w:t>
            </w:r>
          </w:p>
          <w:p w14:paraId="2D1E031E" w14:textId="1E828CA8" w:rsidR="009D7AE1" w:rsidRPr="00154BF9" w:rsidRDefault="009D7AE1" w:rsidP="00A05A8B">
            <w:pPr>
              <w:numPr>
                <w:ilvl w:val="4"/>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jednym,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dwoma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trzema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inhibitorami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TNF</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alfa</w:t>
            </w:r>
            <w:r w:rsidR="0052643B" w:rsidRPr="00154BF9">
              <w:rPr>
                <w:rFonts w:ascii="Times New Roman" w:eastAsia="Times New Roman" w:hAnsi="Times New Roman" w:cs="Times New Roman"/>
                <w:sz w:val="20"/>
                <w:szCs w:val="20"/>
                <w:lang w:eastAsia="pl-PL"/>
              </w:rPr>
              <w:t xml:space="preserve"> </w:t>
            </w:r>
            <w:r w:rsidR="00D74A84" w:rsidRPr="00154BF9">
              <w:rPr>
                <w:rFonts w:ascii="Times New Roman" w:eastAsia="Times New Roman" w:hAnsi="Times New Roman" w:cs="Times New Roman"/>
                <w:sz w:val="20"/>
                <w:szCs w:val="20"/>
                <w:lang w:eastAsia="pl-PL"/>
              </w:rPr>
              <w:t>albo</w:t>
            </w:r>
            <w:r w:rsidR="0052643B" w:rsidRPr="00154BF9">
              <w:rPr>
                <w:rFonts w:ascii="Times New Roman" w:eastAsia="Times New Roman" w:hAnsi="Times New Roman" w:cs="Times New Roman"/>
                <w:sz w:val="20"/>
                <w:szCs w:val="20"/>
                <w:lang w:eastAsia="pl-PL"/>
              </w:rPr>
              <w:t xml:space="preserve"> </w:t>
            </w:r>
            <w:r w:rsidR="00696524" w:rsidRPr="00154BF9">
              <w:rPr>
                <w:rFonts w:ascii="Times New Roman" w:eastAsia="Times New Roman" w:hAnsi="Times New Roman" w:cs="Times New Roman"/>
                <w:sz w:val="20"/>
                <w:szCs w:val="20"/>
                <w:lang w:eastAsia="pl-PL"/>
              </w:rPr>
              <w:t xml:space="preserve">tofacytynibem </w:t>
            </w:r>
            <w:r w:rsidR="00696524" w:rsidRPr="00EC7B60">
              <w:rPr>
                <w:rFonts w:ascii="Times New Roman" w:hAnsi="Times New Roman" w:cs="Times New Roman"/>
                <w:sz w:val="20"/>
                <w:szCs w:val="20"/>
              </w:rPr>
              <w:t>albo</w:t>
            </w:r>
            <w:r w:rsidR="00D74A84" w:rsidRPr="007E04C3">
              <w:rPr>
                <w:rFonts w:ascii="Times New Roman" w:eastAsia="Times New Roman" w:hAnsi="Times New Roman" w:cs="Times New Roman"/>
                <w:sz w:val="20"/>
                <w:szCs w:val="20"/>
                <w:lang w:eastAsia="pl-PL"/>
              </w:rPr>
              <w:t xml:space="preserve"> </w:t>
            </w:r>
            <w:r w:rsidR="00EA4A2E" w:rsidRPr="007E04C3">
              <w:rPr>
                <w:rFonts w:ascii="Times New Roman" w:eastAsia="Times New Roman" w:hAnsi="Times New Roman" w:cs="Times New Roman"/>
                <w:sz w:val="20"/>
                <w:szCs w:val="20"/>
                <w:lang w:eastAsia="pl-PL"/>
              </w:rPr>
              <w:t xml:space="preserve">baricytynibem </w:t>
            </w:r>
            <w:r w:rsidR="00EA4A2E" w:rsidRPr="00EC7B60">
              <w:rPr>
                <w:rFonts w:ascii="Times New Roman" w:hAnsi="Times New Roman" w:cs="Times New Roman"/>
                <w:sz w:val="20"/>
                <w:szCs w:val="20"/>
              </w:rPr>
              <w:t>albo</w:t>
            </w:r>
            <w:r w:rsidR="0052643B" w:rsidRPr="007E04C3">
              <w:rPr>
                <w:rFonts w:ascii="Times New Roman" w:eastAsia="Times New Roman" w:hAnsi="Times New Roman" w:cs="Times New Roman"/>
                <w:sz w:val="20"/>
                <w:szCs w:val="20"/>
                <w:lang w:eastAsia="pl-PL"/>
              </w:rPr>
              <w:t xml:space="preserve"> </w:t>
            </w:r>
            <w:r w:rsidR="00EA4A2E" w:rsidRPr="007E04C3">
              <w:rPr>
                <w:rFonts w:ascii="Times New Roman" w:eastAsia="Times New Roman" w:hAnsi="Times New Roman" w:cs="Times New Roman"/>
                <w:sz w:val="20"/>
                <w:szCs w:val="20"/>
                <w:lang w:eastAsia="pl-PL"/>
              </w:rPr>
              <w:t>upadacytynibem</w:t>
            </w:r>
            <w:r w:rsidR="00EA4A2E" w:rsidRPr="007E04C3">
              <w:rPr>
                <w:rFonts w:ascii="Times New Roman" w:hAnsi="Times New Roman" w:cs="Times New Roman"/>
                <w:sz w:val="20"/>
                <w:szCs w:val="20"/>
              </w:rPr>
              <w:t xml:space="preserve"> </w:t>
            </w:r>
            <w:r w:rsidR="00EA4A2E" w:rsidRPr="00EC7B60">
              <w:rPr>
                <w:rFonts w:ascii="Times New Roman" w:hAnsi="Times New Roman" w:cs="Times New Roman"/>
                <w:sz w:val="20"/>
                <w:szCs w:val="20"/>
              </w:rPr>
              <w:t>albo</w:t>
            </w:r>
            <w:r w:rsidR="00D74A84" w:rsidRPr="00154BF9">
              <w:rPr>
                <w:rFonts w:ascii="Times New Roman" w:eastAsia="Times New Roman" w:hAnsi="Times New Roman" w:cs="Times New Roman"/>
                <w:sz w:val="20"/>
                <w:szCs w:val="20"/>
                <w:lang w:eastAsia="pl-PL"/>
              </w:rPr>
              <w:t xml:space="preserve"> </w:t>
            </w:r>
            <w:r w:rsidR="00EA4A2E" w:rsidRPr="00154BF9">
              <w:rPr>
                <w:rFonts w:ascii="Times New Roman" w:eastAsia="Times New Roman" w:hAnsi="Times New Roman" w:cs="Times New Roman"/>
                <w:sz w:val="20"/>
                <w:szCs w:val="20"/>
                <w:lang w:eastAsia="pl-PL"/>
              </w:rPr>
              <w:t xml:space="preserve">filgotynibem </w:t>
            </w:r>
            <w:r w:rsidR="00EA4A2E" w:rsidRPr="00EC7B60">
              <w:rPr>
                <w:rFonts w:ascii="Times New Roman" w:hAnsi="Times New Roman" w:cs="Times New Roman"/>
                <w:sz w:val="20"/>
                <w:szCs w:val="20"/>
              </w:rPr>
              <w:t>albo</w:t>
            </w:r>
            <w:r w:rsidR="00D74A84" w:rsidRPr="007E04C3">
              <w:rPr>
                <w:rFonts w:ascii="Times New Roman" w:eastAsia="Times New Roman" w:hAnsi="Times New Roman" w:cs="Times New Roman"/>
                <w:sz w:val="20"/>
                <w:szCs w:val="20"/>
                <w:lang w:eastAsia="pl-PL"/>
              </w:rPr>
              <w:t xml:space="preserve"> </w:t>
            </w:r>
            <w:r w:rsidR="000D7B59" w:rsidRPr="007E04C3">
              <w:rPr>
                <w:rFonts w:ascii="Times New Roman" w:eastAsia="Times New Roman" w:hAnsi="Times New Roman" w:cs="Times New Roman"/>
                <w:sz w:val="20"/>
                <w:szCs w:val="20"/>
                <w:lang w:eastAsia="pl-PL"/>
              </w:rPr>
              <w:t>anakinr</w:t>
            </w:r>
            <w:r w:rsidR="000D7B59" w:rsidRPr="00154BF9">
              <w:rPr>
                <w:rFonts w:ascii="Times New Roman" w:eastAsia="Times New Roman" w:hAnsi="Times New Roman" w:cs="Times New Roman"/>
                <w:sz w:val="20"/>
                <w:szCs w:val="20"/>
                <w:lang w:eastAsia="pl-PL"/>
              </w:rPr>
              <w:t xml:space="preserve">ą </w:t>
            </w:r>
            <w:r w:rsidR="007E04C3" w:rsidRPr="007E04C3">
              <w:rPr>
                <w:rFonts w:ascii="Times New Roman" w:eastAsia="Times New Roman" w:hAnsi="Times New Roman" w:cs="Times New Roman"/>
                <w:sz w:val="20"/>
                <w:szCs w:val="20"/>
                <w:lang w:eastAsia="pl-PL"/>
              </w:rPr>
              <w:t xml:space="preserve">albo kanakinumabem </w:t>
            </w:r>
            <w:r w:rsidRPr="00154BF9">
              <w:rPr>
                <w:rFonts w:ascii="Times New Roman" w:eastAsia="Times New Roman" w:hAnsi="Times New Roman" w:cs="Times New Roman"/>
                <w:sz w:val="20"/>
                <w:szCs w:val="20"/>
                <w:lang w:eastAsia="pl-PL"/>
              </w:rPr>
              <w:t>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których:</w:t>
            </w:r>
          </w:p>
          <w:p w14:paraId="778BF505" w14:textId="4C736021" w:rsidR="00A857A0" w:rsidRPr="00154BF9" w:rsidRDefault="009D7AE1" w:rsidP="00A05A8B">
            <w:pPr>
              <w:numPr>
                <w:ilvl w:val="5"/>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wystąpiła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ciężka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reakcja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uczuleniowa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substancję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czynną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pomocniczą</w:t>
            </w:r>
          </w:p>
          <w:p w14:paraId="736A731B" w14:textId="013BB187" w:rsidR="009D7AE1" w:rsidRPr="00154BF9" w:rsidRDefault="009D7AE1" w:rsidP="00A05A8B">
            <w:pPr>
              <w:pStyle w:val="Akapitzlist"/>
              <w:spacing w:after="60" w:line="276" w:lineRule="auto"/>
              <w:ind w:left="680"/>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lub</w:t>
            </w:r>
          </w:p>
          <w:p w14:paraId="7500491C" w14:textId="6A162BDB" w:rsidR="00A857A0" w:rsidRPr="00154BF9" w:rsidRDefault="009D7AE1" w:rsidP="00A05A8B">
            <w:pPr>
              <w:numPr>
                <w:ilvl w:val="5"/>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wystąpiły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ciężkie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działania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niepożądane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uniemożliwiające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kontynuowanie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terapii,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które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ustępują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mimo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dostosowywania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dawki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zgodnie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ChPL</w:t>
            </w:r>
          </w:p>
          <w:p w14:paraId="55CED183" w14:textId="4F43BEEC" w:rsidR="009D7AE1" w:rsidRPr="00154BF9" w:rsidRDefault="009D7AE1" w:rsidP="00A05A8B">
            <w:pPr>
              <w:pStyle w:val="Akapitzlist"/>
              <w:spacing w:after="60" w:line="276" w:lineRule="auto"/>
              <w:ind w:left="680"/>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lub</w:t>
            </w:r>
          </w:p>
          <w:p w14:paraId="7A486E6B" w14:textId="6079B1F9" w:rsidR="009D7AE1" w:rsidRPr="00154BF9" w:rsidRDefault="009D7AE1" w:rsidP="00A05A8B">
            <w:pPr>
              <w:numPr>
                <w:ilvl w:val="5"/>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lastRenderedPageBreak/>
              <w:t>stwierdzono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brak</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albo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utratę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odpowiedzi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zastosowane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(zgodnie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definicją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zawartą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kryteriach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wyłączenia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programach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lekowych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dotyczących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RZS);</w:t>
            </w:r>
          </w:p>
          <w:p w14:paraId="47C10B49" w14:textId="3B056E77" w:rsidR="009D7AE1" w:rsidRPr="00154BF9" w:rsidRDefault="009D7AE1" w:rsidP="00A05A8B">
            <w:pPr>
              <w:numPr>
                <w:ilvl w:val="4"/>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rytuksymabem,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których:</w:t>
            </w:r>
          </w:p>
          <w:p w14:paraId="06831F75" w14:textId="6F9D6A04" w:rsidR="00A857A0" w:rsidRPr="00154BF9" w:rsidRDefault="009D7AE1" w:rsidP="00A05A8B">
            <w:pPr>
              <w:numPr>
                <w:ilvl w:val="5"/>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wystąpiła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ciężka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reakcja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uczuleniowa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substancję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czynną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pomocniczą</w:t>
            </w:r>
          </w:p>
          <w:p w14:paraId="53DAD8A5" w14:textId="04F9119E" w:rsidR="009D7AE1" w:rsidRPr="00154BF9" w:rsidRDefault="00F02D07" w:rsidP="00A05A8B">
            <w:pPr>
              <w:pStyle w:val="Akapitzlist"/>
              <w:spacing w:after="60" w:line="276" w:lineRule="auto"/>
              <w:ind w:left="680"/>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l</w:t>
            </w:r>
            <w:r w:rsidR="009D7AE1" w:rsidRPr="00154BF9">
              <w:rPr>
                <w:rFonts w:ascii="Times New Roman" w:eastAsia="Times New Roman" w:hAnsi="Times New Roman" w:cs="Times New Roman"/>
                <w:sz w:val="20"/>
                <w:szCs w:val="20"/>
                <w:lang w:eastAsia="pl-PL"/>
              </w:rPr>
              <w:t>ub</w:t>
            </w:r>
          </w:p>
          <w:p w14:paraId="7EEE4788" w14:textId="62259F1B" w:rsidR="00A857A0" w:rsidRPr="00154BF9" w:rsidRDefault="009D7AE1" w:rsidP="00A05A8B">
            <w:pPr>
              <w:numPr>
                <w:ilvl w:val="5"/>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wystąpiły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ciężkie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działania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niepożądane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uniemożliwiające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kontynuowanie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terapii,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które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ustępują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mimo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dostosowywania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dawki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zgodnie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ChPL</w:t>
            </w:r>
          </w:p>
          <w:p w14:paraId="0DB605B7" w14:textId="6F5A86B2" w:rsidR="009D7AE1" w:rsidRPr="00154BF9" w:rsidRDefault="009D7AE1" w:rsidP="00A05A8B">
            <w:pPr>
              <w:pStyle w:val="Akapitzlist"/>
              <w:spacing w:after="60" w:line="276" w:lineRule="auto"/>
              <w:ind w:left="680"/>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lub</w:t>
            </w:r>
          </w:p>
          <w:p w14:paraId="1B05F3CE" w14:textId="0CAA4B56" w:rsidR="009D7AE1" w:rsidRPr="00154BF9" w:rsidRDefault="009D7AE1" w:rsidP="00A05A8B">
            <w:pPr>
              <w:numPr>
                <w:ilvl w:val="5"/>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stwierdzono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brak</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albo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utratę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odpowiedzi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zastosowane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(zgodnie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definicją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zawartą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kryteriach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wyłączenia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programach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lekowych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dotyczących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RZS).</w:t>
            </w:r>
          </w:p>
          <w:p w14:paraId="4E66F3C3" w14:textId="3FB9EF55" w:rsidR="009D7AE1" w:rsidRPr="00154BF9" w:rsidRDefault="009D7AE1" w:rsidP="00A05A8B">
            <w:pPr>
              <w:pStyle w:val="Akapitzlist"/>
              <w:spacing w:after="60" w:line="276" w:lineRule="auto"/>
              <w:ind w:left="454"/>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Kwalifikacja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terapii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tocilizumabem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wcześniejszym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rytuksymabem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jest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możliwa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dopiero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upływie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6</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miesięcy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od</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podania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ostatniej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dawki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rytuksymabu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uwzględnieniem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potencjalnego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ryzyka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korzyści.</w:t>
            </w:r>
          </w:p>
          <w:p w14:paraId="5EA25615" w14:textId="2DB42472" w:rsidR="009D7AE1" w:rsidRPr="00154BF9" w:rsidRDefault="009D7AE1" w:rsidP="00A05A8B">
            <w:pPr>
              <w:numPr>
                <w:ilvl w:val="3"/>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terapii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rytuksymabem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kwalifikują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się,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bez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konieczności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spełnienia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kryterium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pkt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1</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ppkt</w:t>
            </w:r>
            <w:r w:rsidR="0052643B" w:rsidRPr="00154BF9">
              <w:rPr>
                <w:rFonts w:ascii="Times New Roman" w:eastAsia="Times New Roman" w:hAnsi="Times New Roman" w:cs="Times New Roman"/>
                <w:sz w:val="20"/>
                <w:szCs w:val="20"/>
                <w:lang w:eastAsia="pl-PL"/>
              </w:rPr>
              <w:t xml:space="preserve"> </w:t>
            </w:r>
            <w:r w:rsidR="00C421A5" w:rsidRPr="00154BF9">
              <w:rPr>
                <w:rFonts w:ascii="Times New Roman" w:eastAsia="Times New Roman" w:hAnsi="Times New Roman" w:cs="Times New Roman"/>
                <w:sz w:val="20"/>
                <w:szCs w:val="20"/>
                <w:lang w:eastAsia="pl-PL"/>
              </w:rPr>
              <w:t>1</w:t>
            </w:r>
            <w:r w:rsidRPr="00154BF9">
              <w:rPr>
                <w:rFonts w:ascii="Times New Roman" w:eastAsia="Times New Roman" w:hAnsi="Times New Roman" w:cs="Times New Roman"/>
                <w:sz w:val="20"/>
                <w:szCs w:val="20"/>
                <w:lang w:eastAsia="pl-PL"/>
              </w:rPr>
              <w:t>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części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dotyczącej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RZS</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niniejszego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pacjenci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poddani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RZS</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ramach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programów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lekowych:</w:t>
            </w:r>
          </w:p>
          <w:p w14:paraId="14CD4018" w14:textId="527646AF" w:rsidR="009D7AE1" w:rsidRPr="00154BF9" w:rsidRDefault="009D7AE1" w:rsidP="00A05A8B">
            <w:pPr>
              <w:numPr>
                <w:ilvl w:val="4"/>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jednym,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dwoma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trzema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inhibitorami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TNF</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alfa</w:t>
            </w:r>
            <w:r w:rsidR="0052643B" w:rsidRPr="00154BF9">
              <w:rPr>
                <w:rFonts w:ascii="Times New Roman" w:eastAsia="Times New Roman" w:hAnsi="Times New Roman" w:cs="Times New Roman"/>
                <w:sz w:val="20"/>
                <w:szCs w:val="20"/>
                <w:lang w:eastAsia="pl-PL"/>
              </w:rPr>
              <w:t xml:space="preserve"> </w:t>
            </w:r>
            <w:r w:rsidR="00D74A84" w:rsidRPr="00154BF9">
              <w:rPr>
                <w:rFonts w:ascii="Times New Roman" w:eastAsia="Times New Roman" w:hAnsi="Times New Roman" w:cs="Times New Roman"/>
                <w:sz w:val="20"/>
                <w:szCs w:val="20"/>
                <w:lang w:eastAsia="pl-PL"/>
              </w:rPr>
              <w:t>albo</w:t>
            </w:r>
            <w:r w:rsidR="00F36BF9"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tocilizumabem</w:t>
            </w:r>
            <w:r w:rsidR="0052643B" w:rsidRPr="00154BF9">
              <w:rPr>
                <w:rFonts w:ascii="Times New Roman" w:eastAsia="Times New Roman" w:hAnsi="Times New Roman" w:cs="Times New Roman"/>
                <w:sz w:val="20"/>
                <w:szCs w:val="20"/>
                <w:lang w:eastAsia="pl-PL"/>
              </w:rPr>
              <w:t xml:space="preserve"> </w:t>
            </w:r>
            <w:r w:rsidR="00D74A84" w:rsidRPr="00154BF9">
              <w:rPr>
                <w:rFonts w:ascii="Times New Roman" w:eastAsia="Times New Roman" w:hAnsi="Times New Roman" w:cs="Times New Roman"/>
                <w:sz w:val="20"/>
                <w:szCs w:val="20"/>
                <w:lang w:eastAsia="pl-PL"/>
              </w:rPr>
              <w:t>albo</w:t>
            </w:r>
            <w:r w:rsidR="00F36BF9"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tofacytynibem</w:t>
            </w:r>
            <w:r w:rsidR="00F36BF9" w:rsidRPr="00154BF9">
              <w:rPr>
                <w:rFonts w:ascii="Times New Roman" w:eastAsia="Times New Roman" w:hAnsi="Times New Roman" w:cs="Times New Roman"/>
                <w:sz w:val="20"/>
                <w:szCs w:val="20"/>
                <w:lang w:eastAsia="pl-PL"/>
              </w:rPr>
              <w:t xml:space="preserve"> </w:t>
            </w:r>
            <w:r w:rsidR="00D74A84" w:rsidRPr="00154BF9">
              <w:rPr>
                <w:rFonts w:ascii="Times New Roman" w:eastAsia="Times New Roman" w:hAnsi="Times New Roman" w:cs="Times New Roman"/>
                <w:sz w:val="20"/>
                <w:szCs w:val="20"/>
                <w:lang w:eastAsia="pl-PL"/>
              </w:rPr>
              <w:t>albo</w:t>
            </w:r>
            <w:r w:rsidR="00F36BF9" w:rsidRPr="00154BF9">
              <w:rPr>
                <w:rFonts w:ascii="Times New Roman" w:eastAsia="Times New Roman" w:hAnsi="Times New Roman" w:cs="Times New Roman"/>
                <w:sz w:val="20"/>
                <w:szCs w:val="20"/>
                <w:lang w:eastAsia="pl-PL"/>
              </w:rPr>
              <w:t xml:space="preserve"> </w:t>
            </w:r>
            <w:r w:rsidR="004A5FF5" w:rsidRPr="00154BF9">
              <w:rPr>
                <w:rFonts w:ascii="Times New Roman" w:eastAsia="Times New Roman" w:hAnsi="Times New Roman" w:cs="Times New Roman"/>
                <w:sz w:val="20"/>
                <w:szCs w:val="20"/>
                <w:lang w:eastAsia="pl-PL"/>
              </w:rPr>
              <w:t>baricytynibem</w:t>
            </w:r>
            <w:r w:rsidR="00F36BF9" w:rsidRPr="00154BF9">
              <w:rPr>
                <w:rFonts w:ascii="Times New Roman" w:hAnsi="Times New Roman" w:cs="Times New Roman"/>
                <w:sz w:val="20"/>
                <w:szCs w:val="20"/>
              </w:rPr>
              <w:t xml:space="preserve"> </w:t>
            </w:r>
            <w:r w:rsidR="00D74A84" w:rsidRPr="00154BF9">
              <w:rPr>
                <w:rFonts w:ascii="Times New Roman" w:hAnsi="Times New Roman" w:cs="Times New Roman"/>
                <w:sz w:val="20"/>
                <w:szCs w:val="20"/>
              </w:rPr>
              <w:t>albo</w:t>
            </w:r>
            <w:r w:rsidR="00F36BF9" w:rsidRPr="00154BF9">
              <w:rPr>
                <w:rFonts w:ascii="Times New Roman" w:hAnsi="Times New Roman" w:cs="Times New Roman"/>
                <w:sz w:val="20"/>
                <w:szCs w:val="20"/>
              </w:rPr>
              <w:t xml:space="preserve"> </w:t>
            </w:r>
            <w:r w:rsidR="00B96557" w:rsidRPr="00154BF9">
              <w:rPr>
                <w:rFonts w:ascii="Times New Roman" w:hAnsi="Times New Roman" w:cs="Times New Roman"/>
                <w:sz w:val="20"/>
                <w:szCs w:val="20"/>
              </w:rPr>
              <w:t>upadacytynibem</w:t>
            </w:r>
            <w:r w:rsidR="00F36BF9" w:rsidRPr="00154BF9">
              <w:rPr>
                <w:rFonts w:ascii="Times New Roman" w:hAnsi="Times New Roman" w:cs="Times New Roman"/>
                <w:sz w:val="20"/>
                <w:szCs w:val="20"/>
              </w:rPr>
              <w:t xml:space="preserve"> </w:t>
            </w:r>
            <w:r w:rsidR="00696524" w:rsidRPr="00154BF9">
              <w:rPr>
                <w:rFonts w:ascii="Times New Roman" w:eastAsia="Times New Roman" w:hAnsi="Times New Roman" w:cs="Times New Roman"/>
                <w:sz w:val="20"/>
                <w:szCs w:val="20"/>
                <w:lang w:eastAsia="pl-PL"/>
              </w:rPr>
              <w:t>albo filgotynibem</w:t>
            </w:r>
            <w:r w:rsidR="00F36BF9" w:rsidRPr="00154BF9">
              <w:rPr>
                <w:rFonts w:ascii="Times New Roman" w:eastAsia="Times New Roman" w:hAnsi="Times New Roman" w:cs="Times New Roman"/>
                <w:sz w:val="20"/>
                <w:szCs w:val="20"/>
                <w:lang w:eastAsia="pl-PL"/>
              </w:rPr>
              <w:t xml:space="preserve"> </w:t>
            </w:r>
            <w:r w:rsidR="00D74A84" w:rsidRPr="00154BF9">
              <w:rPr>
                <w:rFonts w:ascii="Times New Roman" w:eastAsia="Times New Roman" w:hAnsi="Times New Roman" w:cs="Times New Roman"/>
                <w:sz w:val="20"/>
                <w:szCs w:val="20"/>
                <w:lang w:eastAsia="pl-PL"/>
              </w:rPr>
              <w:t xml:space="preserve">albo </w:t>
            </w:r>
            <w:r w:rsidR="00EA4A2E" w:rsidRPr="00154BF9">
              <w:rPr>
                <w:rFonts w:ascii="Times New Roman" w:eastAsia="Times New Roman" w:hAnsi="Times New Roman" w:cs="Times New Roman"/>
                <w:sz w:val="20"/>
                <w:szCs w:val="20"/>
                <w:lang w:eastAsia="pl-PL"/>
              </w:rPr>
              <w:t xml:space="preserve">anakinrą </w:t>
            </w:r>
            <w:r w:rsidR="00065C0C" w:rsidRPr="00065C0C">
              <w:rPr>
                <w:rFonts w:ascii="Times New Roman" w:eastAsia="Times New Roman" w:hAnsi="Times New Roman" w:cs="Times New Roman"/>
                <w:sz w:val="20"/>
                <w:szCs w:val="20"/>
                <w:lang w:eastAsia="pl-PL"/>
              </w:rPr>
              <w:t xml:space="preserve">albo kanakinumabem </w:t>
            </w:r>
            <w:r w:rsidR="00EA4A2E" w:rsidRPr="00EC7B60">
              <w:rPr>
                <w:rFonts w:ascii="Times New Roman" w:hAnsi="Times New Roman" w:cs="Times New Roman"/>
                <w:sz w:val="20"/>
                <w:szCs w:val="20"/>
              </w:rPr>
              <w:t>u</w:t>
            </w:r>
            <w:r w:rsidR="0052643B" w:rsidRPr="00065C0C">
              <w:rPr>
                <w:rFonts w:ascii="Times New Roman" w:eastAsia="Times New Roman" w:hAnsi="Times New Roman" w:cs="Times New Roman"/>
                <w:sz w:val="20"/>
                <w:szCs w:val="20"/>
                <w:lang w:eastAsia="pl-PL"/>
              </w:rPr>
              <w:t xml:space="preserve"> </w:t>
            </w:r>
            <w:r w:rsidRPr="00065C0C">
              <w:rPr>
                <w:rFonts w:ascii="Times New Roman" w:eastAsia="Times New Roman" w:hAnsi="Times New Roman" w:cs="Times New Roman"/>
                <w:sz w:val="20"/>
                <w:szCs w:val="20"/>
                <w:lang w:eastAsia="pl-PL"/>
              </w:rPr>
              <w:t>których</w:t>
            </w:r>
            <w:r w:rsidRPr="00154BF9">
              <w:rPr>
                <w:rFonts w:ascii="Times New Roman" w:eastAsia="Times New Roman" w:hAnsi="Times New Roman" w:cs="Times New Roman"/>
                <w:sz w:val="20"/>
                <w:szCs w:val="20"/>
                <w:lang w:eastAsia="pl-PL"/>
              </w:rPr>
              <w:t>:</w:t>
            </w:r>
          </w:p>
          <w:p w14:paraId="76BDF354" w14:textId="5855BE4D" w:rsidR="00A857A0" w:rsidRPr="00154BF9" w:rsidRDefault="009D7AE1" w:rsidP="00A05A8B">
            <w:pPr>
              <w:numPr>
                <w:ilvl w:val="5"/>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wystąpiła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ciężka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reakcja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uczuleniowa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substancję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czynną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pomocniczą</w:t>
            </w:r>
          </w:p>
          <w:p w14:paraId="212091BE" w14:textId="6C727499" w:rsidR="009D7AE1" w:rsidRPr="00154BF9" w:rsidRDefault="009D7AE1" w:rsidP="00A05A8B">
            <w:pPr>
              <w:pStyle w:val="Akapitzlist"/>
              <w:spacing w:after="60" w:line="276" w:lineRule="auto"/>
              <w:ind w:left="680"/>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lub</w:t>
            </w:r>
          </w:p>
          <w:p w14:paraId="05B57CD6" w14:textId="7DF00F9C" w:rsidR="00A857A0" w:rsidRPr="00154BF9" w:rsidRDefault="009D7AE1" w:rsidP="00A05A8B">
            <w:pPr>
              <w:numPr>
                <w:ilvl w:val="5"/>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wystąpiły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ciężkie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działania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niepożądane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uniemożliwiające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kontynuowanie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terapii,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które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ustępują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mimo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dostosowywania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dawki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zgodnie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ChPL</w:t>
            </w:r>
          </w:p>
          <w:p w14:paraId="7983E243" w14:textId="702CE762" w:rsidR="009D7AE1" w:rsidRPr="00154BF9" w:rsidRDefault="009D7AE1" w:rsidP="00A05A8B">
            <w:pPr>
              <w:pStyle w:val="Akapitzlist"/>
              <w:spacing w:after="60" w:line="276" w:lineRule="auto"/>
              <w:ind w:left="680"/>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lastRenderedPageBreak/>
              <w:t>lub</w:t>
            </w:r>
          </w:p>
          <w:p w14:paraId="538C260A" w14:textId="330A985F" w:rsidR="009D7AE1" w:rsidRPr="00154BF9" w:rsidRDefault="009D7AE1" w:rsidP="00A05A8B">
            <w:pPr>
              <w:numPr>
                <w:ilvl w:val="5"/>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stwierdzono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brak</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albo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utratę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odpowiedzi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zastosowane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(zgodnie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definicją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zawartą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kryteriach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wyłączenia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programach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lekowych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dotyczących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RZS).</w:t>
            </w:r>
          </w:p>
          <w:p w14:paraId="429C37A8" w14:textId="20CB64F0" w:rsidR="009D7AE1" w:rsidRPr="00154BF9" w:rsidRDefault="009D7AE1" w:rsidP="00A05A8B">
            <w:pPr>
              <w:numPr>
                <w:ilvl w:val="3"/>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terapii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tofacytynibem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kwalifikują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się,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bez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konieczności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spełnienia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kryterium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pkt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1</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ppkt</w:t>
            </w:r>
            <w:r w:rsidR="0052643B" w:rsidRPr="00154BF9">
              <w:rPr>
                <w:rFonts w:ascii="Times New Roman" w:eastAsia="Times New Roman" w:hAnsi="Times New Roman" w:cs="Times New Roman"/>
                <w:sz w:val="20"/>
                <w:szCs w:val="20"/>
                <w:lang w:eastAsia="pl-PL"/>
              </w:rPr>
              <w:t xml:space="preserve"> </w:t>
            </w:r>
            <w:r w:rsidR="00C421A5" w:rsidRPr="00154BF9">
              <w:rPr>
                <w:rFonts w:ascii="Times New Roman" w:eastAsia="Times New Roman" w:hAnsi="Times New Roman" w:cs="Times New Roman"/>
                <w:sz w:val="20"/>
                <w:szCs w:val="20"/>
                <w:lang w:eastAsia="pl-PL"/>
              </w:rPr>
              <w:t>1</w:t>
            </w:r>
            <w:r w:rsidRPr="00154BF9">
              <w:rPr>
                <w:rFonts w:ascii="Times New Roman" w:eastAsia="Times New Roman" w:hAnsi="Times New Roman" w:cs="Times New Roman"/>
                <w:sz w:val="20"/>
                <w:szCs w:val="20"/>
                <w:lang w:eastAsia="pl-PL"/>
              </w:rPr>
              <w:t>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części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dotyczącej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RZS</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niniejszego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pacjenci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poddani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RZS</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ramach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programów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lekowych:</w:t>
            </w:r>
          </w:p>
          <w:p w14:paraId="7E1002B1" w14:textId="115ABDC9" w:rsidR="009D7AE1" w:rsidRPr="00154BF9" w:rsidRDefault="009D7AE1" w:rsidP="00A05A8B">
            <w:pPr>
              <w:numPr>
                <w:ilvl w:val="4"/>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jednym</w:t>
            </w:r>
            <w:r w:rsidR="009D2AF5"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009D2AF5" w:rsidRPr="00154BF9">
              <w:rPr>
                <w:rFonts w:ascii="Times New Roman" w:eastAsia="Times New Roman" w:hAnsi="Times New Roman" w:cs="Times New Roman"/>
                <w:sz w:val="20"/>
                <w:szCs w:val="20"/>
                <w:lang w:eastAsia="pl-PL"/>
              </w:rPr>
              <w:t>dwoma</w:t>
            </w:r>
            <w:r w:rsidR="0052643B" w:rsidRPr="00154BF9">
              <w:rPr>
                <w:rFonts w:ascii="Times New Roman" w:eastAsia="Times New Roman" w:hAnsi="Times New Roman" w:cs="Times New Roman"/>
                <w:sz w:val="20"/>
                <w:szCs w:val="20"/>
                <w:lang w:eastAsia="pl-PL"/>
              </w:rPr>
              <w:t xml:space="preserve"> </w:t>
            </w:r>
            <w:r w:rsidR="009D2AF5"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009D2AF5" w:rsidRPr="00154BF9">
              <w:rPr>
                <w:rFonts w:ascii="Times New Roman" w:eastAsia="Times New Roman" w:hAnsi="Times New Roman" w:cs="Times New Roman"/>
                <w:sz w:val="20"/>
                <w:szCs w:val="20"/>
                <w:lang w:eastAsia="pl-PL"/>
              </w:rPr>
              <w:t>trzema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inhibitorami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TNF</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alfa</w:t>
            </w:r>
            <w:r w:rsidR="0052643B" w:rsidRPr="00154BF9">
              <w:rPr>
                <w:rFonts w:ascii="Times New Roman" w:eastAsia="Times New Roman" w:hAnsi="Times New Roman" w:cs="Times New Roman"/>
                <w:sz w:val="20"/>
                <w:szCs w:val="20"/>
                <w:lang w:eastAsia="pl-PL"/>
              </w:rPr>
              <w:t xml:space="preserve"> </w:t>
            </w:r>
            <w:r w:rsidR="00F36BF9" w:rsidRPr="00154BF9">
              <w:rPr>
                <w:rFonts w:ascii="Times New Roman" w:eastAsia="Times New Roman" w:hAnsi="Times New Roman" w:cs="Times New Roman"/>
                <w:sz w:val="20"/>
                <w:szCs w:val="20"/>
                <w:lang w:eastAsia="pl-PL"/>
              </w:rPr>
              <w:t xml:space="preserve">albo </w:t>
            </w:r>
            <w:r w:rsidRPr="00154BF9">
              <w:rPr>
                <w:rFonts w:ascii="Times New Roman" w:eastAsia="Times New Roman" w:hAnsi="Times New Roman" w:cs="Times New Roman"/>
                <w:sz w:val="20"/>
                <w:szCs w:val="20"/>
                <w:lang w:eastAsia="pl-PL"/>
              </w:rPr>
              <w:t>tocilizumabem</w:t>
            </w:r>
            <w:r w:rsidR="0052643B" w:rsidRPr="00154BF9">
              <w:rPr>
                <w:rFonts w:ascii="Times New Roman" w:eastAsia="Times New Roman" w:hAnsi="Times New Roman" w:cs="Times New Roman"/>
                <w:sz w:val="20"/>
                <w:szCs w:val="20"/>
                <w:lang w:eastAsia="pl-PL"/>
              </w:rPr>
              <w:t xml:space="preserve"> </w:t>
            </w:r>
            <w:r w:rsidR="00F36BF9" w:rsidRPr="00154BF9">
              <w:rPr>
                <w:rFonts w:ascii="Times New Roman" w:eastAsia="Times New Roman" w:hAnsi="Times New Roman" w:cs="Times New Roman"/>
                <w:sz w:val="20"/>
                <w:szCs w:val="20"/>
                <w:lang w:eastAsia="pl-PL"/>
              </w:rPr>
              <w:t xml:space="preserve">albo </w:t>
            </w:r>
            <w:r w:rsidRPr="00154BF9">
              <w:rPr>
                <w:rFonts w:ascii="Times New Roman" w:eastAsia="Times New Roman" w:hAnsi="Times New Roman" w:cs="Times New Roman"/>
                <w:sz w:val="20"/>
                <w:szCs w:val="20"/>
                <w:lang w:eastAsia="pl-PL"/>
              </w:rPr>
              <w:t>rytuksymabem</w:t>
            </w:r>
            <w:r w:rsidR="0052643B" w:rsidRPr="00154BF9">
              <w:rPr>
                <w:rFonts w:ascii="Times New Roman" w:eastAsia="Times New Roman" w:hAnsi="Times New Roman" w:cs="Times New Roman"/>
                <w:sz w:val="20"/>
                <w:szCs w:val="20"/>
                <w:lang w:eastAsia="pl-PL"/>
              </w:rPr>
              <w:t xml:space="preserve"> </w:t>
            </w:r>
            <w:r w:rsidR="00F36BF9" w:rsidRPr="00154BF9">
              <w:rPr>
                <w:rFonts w:ascii="Times New Roman" w:eastAsia="Times New Roman" w:hAnsi="Times New Roman" w:cs="Times New Roman"/>
                <w:sz w:val="20"/>
                <w:szCs w:val="20"/>
                <w:lang w:eastAsia="pl-PL"/>
              </w:rPr>
              <w:t xml:space="preserve">albo </w:t>
            </w:r>
            <w:r w:rsidR="009D2AF5" w:rsidRPr="00154BF9">
              <w:rPr>
                <w:rFonts w:ascii="Times New Roman" w:eastAsia="Times New Roman" w:hAnsi="Times New Roman" w:cs="Times New Roman"/>
                <w:sz w:val="20"/>
                <w:szCs w:val="20"/>
                <w:lang w:eastAsia="pl-PL"/>
              </w:rPr>
              <w:t>baricytynibem</w:t>
            </w:r>
            <w:r w:rsidR="0052643B" w:rsidRPr="00154BF9">
              <w:rPr>
                <w:rFonts w:ascii="Times New Roman" w:hAnsi="Times New Roman" w:cs="Times New Roman"/>
                <w:sz w:val="20"/>
                <w:szCs w:val="20"/>
              </w:rPr>
              <w:t xml:space="preserve"> </w:t>
            </w:r>
            <w:r w:rsidR="00F36BF9" w:rsidRPr="00154BF9">
              <w:rPr>
                <w:rFonts w:ascii="Times New Roman" w:hAnsi="Times New Roman" w:cs="Times New Roman"/>
                <w:sz w:val="20"/>
                <w:szCs w:val="20"/>
              </w:rPr>
              <w:t xml:space="preserve">albo </w:t>
            </w:r>
            <w:r w:rsidR="00B96557" w:rsidRPr="00154BF9">
              <w:rPr>
                <w:rFonts w:ascii="Times New Roman" w:hAnsi="Times New Roman" w:cs="Times New Roman"/>
                <w:sz w:val="20"/>
                <w:szCs w:val="20"/>
              </w:rPr>
              <w:t>upadacytynibem</w:t>
            </w:r>
            <w:r w:rsidR="00F36BF9" w:rsidRPr="00154BF9">
              <w:rPr>
                <w:rFonts w:ascii="Times New Roman" w:hAnsi="Times New Roman" w:cs="Times New Roman"/>
                <w:sz w:val="20"/>
                <w:szCs w:val="20"/>
              </w:rPr>
              <w:t xml:space="preserve"> </w:t>
            </w:r>
            <w:r w:rsidR="00F36BF9" w:rsidRPr="00154BF9">
              <w:rPr>
                <w:rFonts w:ascii="Times New Roman" w:eastAsia="Times New Roman" w:hAnsi="Times New Roman" w:cs="Times New Roman"/>
                <w:sz w:val="20"/>
                <w:szCs w:val="20"/>
                <w:lang w:eastAsia="pl-PL"/>
              </w:rPr>
              <w:t xml:space="preserve">albo </w:t>
            </w:r>
            <w:r w:rsidR="000D7B59" w:rsidRPr="00154BF9">
              <w:rPr>
                <w:rFonts w:ascii="Times New Roman" w:eastAsia="Times New Roman" w:hAnsi="Times New Roman" w:cs="Times New Roman"/>
                <w:sz w:val="20"/>
                <w:szCs w:val="20"/>
                <w:lang w:eastAsia="pl-PL"/>
              </w:rPr>
              <w:t>filgotynibem</w:t>
            </w:r>
            <w:r w:rsidR="00F36BF9" w:rsidRPr="00154BF9">
              <w:rPr>
                <w:rFonts w:ascii="Times New Roman" w:eastAsia="Times New Roman" w:hAnsi="Times New Roman" w:cs="Times New Roman"/>
                <w:sz w:val="20"/>
                <w:szCs w:val="20"/>
                <w:lang w:eastAsia="pl-PL"/>
              </w:rPr>
              <w:t xml:space="preserve"> albo </w:t>
            </w:r>
            <w:r w:rsidR="00696524" w:rsidRPr="00154BF9">
              <w:rPr>
                <w:rFonts w:ascii="Times New Roman" w:eastAsia="Times New Roman" w:hAnsi="Times New Roman" w:cs="Times New Roman"/>
                <w:sz w:val="20"/>
                <w:szCs w:val="20"/>
                <w:lang w:eastAsia="pl-PL"/>
              </w:rPr>
              <w:t xml:space="preserve">anakinrą </w:t>
            </w:r>
            <w:r w:rsidR="00067F48" w:rsidRPr="00067F48">
              <w:rPr>
                <w:rFonts w:ascii="Times New Roman" w:eastAsia="Times New Roman" w:hAnsi="Times New Roman" w:cs="Times New Roman"/>
                <w:sz w:val="20"/>
                <w:szCs w:val="20"/>
                <w:lang w:eastAsia="pl-PL"/>
              </w:rPr>
              <w:t xml:space="preserve">albo kanakinumabem </w:t>
            </w:r>
            <w:r w:rsidR="00696524" w:rsidRPr="00EC7B60">
              <w:rPr>
                <w:rFonts w:ascii="Times New Roman" w:hAnsi="Times New Roman" w:cs="Times New Roman"/>
                <w:sz w:val="20"/>
                <w:szCs w:val="20"/>
              </w:rPr>
              <w:t>u</w:t>
            </w:r>
            <w:r w:rsidR="0052643B" w:rsidRPr="00067F48">
              <w:rPr>
                <w:rFonts w:ascii="Times New Roman" w:eastAsia="Times New Roman" w:hAnsi="Times New Roman" w:cs="Times New Roman"/>
                <w:sz w:val="20"/>
                <w:szCs w:val="20"/>
                <w:lang w:eastAsia="pl-PL"/>
              </w:rPr>
              <w:t xml:space="preserve"> </w:t>
            </w:r>
            <w:r w:rsidRPr="00067F48">
              <w:rPr>
                <w:rFonts w:ascii="Times New Roman" w:eastAsia="Times New Roman" w:hAnsi="Times New Roman" w:cs="Times New Roman"/>
                <w:sz w:val="20"/>
                <w:szCs w:val="20"/>
                <w:lang w:eastAsia="pl-PL"/>
              </w:rPr>
              <w:t>których</w:t>
            </w:r>
            <w:r w:rsidRPr="00154BF9">
              <w:rPr>
                <w:rFonts w:ascii="Times New Roman" w:eastAsia="Times New Roman" w:hAnsi="Times New Roman" w:cs="Times New Roman"/>
                <w:sz w:val="20"/>
                <w:szCs w:val="20"/>
                <w:lang w:eastAsia="pl-PL"/>
              </w:rPr>
              <w:t>:</w:t>
            </w:r>
          </w:p>
          <w:p w14:paraId="1C649A39" w14:textId="7D93C197" w:rsidR="00A857A0" w:rsidRPr="00154BF9" w:rsidRDefault="009D7AE1" w:rsidP="00A05A8B">
            <w:pPr>
              <w:numPr>
                <w:ilvl w:val="5"/>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wystąpiła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ciężka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reakcja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uczuleniowa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substancję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czynną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pomocniczą</w:t>
            </w:r>
          </w:p>
          <w:p w14:paraId="47443843" w14:textId="2876A9AE" w:rsidR="009D7AE1" w:rsidRPr="00154BF9" w:rsidRDefault="009D7AE1" w:rsidP="00A05A8B">
            <w:pPr>
              <w:pStyle w:val="Akapitzlist"/>
              <w:spacing w:after="60" w:line="276" w:lineRule="auto"/>
              <w:ind w:left="680"/>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lub</w:t>
            </w:r>
          </w:p>
          <w:p w14:paraId="139C5F7C" w14:textId="6B583A5F" w:rsidR="00A857A0" w:rsidRPr="00154BF9" w:rsidRDefault="009D7AE1" w:rsidP="00A05A8B">
            <w:pPr>
              <w:numPr>
                <w:ilvl w:val="5"/>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wystąpiły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ciężkie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działania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niepożądane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uniemożliwiające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kontynuowanie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terapii,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które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ustępują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mimo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dostosowywania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dawki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zgodnie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ChPL</w:t>
            </w:r>
          </w:p>
          <w:p w14:paraId="1F2F34D7" w14:textId="5A7D4A68" w:rsidR="009D7AE1" w:rsidRPr="00154BF9" w:rsidRDefault="009D7AE1" w:rsidP="00A05A8B">
            <w:pPr>
              <w:pStyle w:val="Akapitzlist"/>
              <w:spacing w:after="60" w:line="276" w:lineRule="auto"/>
              <w:ind w:left="680"/>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lub</w:t>
            </w:r>
          </w:p>
          <w:p w14:paraId="710ACF0E" w14:textId="1B582327" w:rsidR="009D7AE1" w:rsidRPr="00154BF9" w:rsidRDefault="009D7AE1" w:rsidP="00A05A8B">
            <w:pPr>
              <w:numPr>
                <w:ilvl w:val="5"/>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stwierdzono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brak</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albo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utratę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odpowiedzi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zastosowane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(zgodnie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definicją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zawartą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kryteriach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wyłączenia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programach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lekowych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dotyczących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RZS).</w:t>
            </w:r>
          </w:p>
          <w:p w14:paraId="46B639B5" w14:textId="34EDB6BE" w:rsidR="005441A9" w:rsidRPr="00154BF9" w:rsidRDefault="009D7AE1" w:rsidP="00A05A8B">
            <w:pPr>
              <w:pStyle w:val="Akapitzlist"/>
              <w:spacing w:after="60" w:line="276" w:lineRule="auto"/>
              <w:ind w:left="454"/>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Kwalifikacja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terapii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tofacytynibem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wcześniejszym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rytuksymabem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jest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możliwa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dopiero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upływie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najmniej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6</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miesięcy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od</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podania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ostatniej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dawki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rytuksymabu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uwzględnieniem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potencjalnego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ryzyka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korzyści.</w:t>
            </w:r>
          </w:p>
          <w:p w14:paraId="22C13A2D" w14:textId="3C2AB3AF" w:rsidR="008C0EA1" w:rsidRPr="00154BF9" w:rsidRDefault="008C0EA1" w:rsidP="00A05A8B">
            <w:pPr>
              <w:pStyle w:val="Akapitzlist"/>
              <w:numPr>
                <w:ilvl w:val="3"/>
                <w:numId w:val="19"/>
              </w:numPr>
              <w:spacing w:after="60" w:line="276" w:lineRule="auto"/>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terapii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baricytynibem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kwalifikują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się,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bez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konieczności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spełnienia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kryterium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pkt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1</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ppkt</w:t>
            </w:r>
            <w:r w:rsidR="0052643B" w:rsidRPr="00154BF9">
              <w:rPr>
                <w:rFonts w:ascii="Times New Roman" w:eastAsia="Times New Roman" w:hAnsi="Times New Roman" w:cs="Times New Roman"/>
                <w:sz w:val="20"/>
                <w:szCs w:val="20"/>
                <w:lang w:eastAsia="pl-PL"/>
              </w:rPr>
              <w:t xml:space="preserve"> </w:t>
            </w:r>
            <w:r w:rsidR="00C421A5" w:rsidRPr="00154BF9">
              <w:rPr>
                <w:rFonts w:ascii="Times New Roman" w:eastAsia="Times New Roman" w:hAnsi="Times New Roman" w:cs="Times New Roman"/>
                <w:sz w:val="20"/>
                <w:szCs w:val="20"/>
                <w:lang w:eastAsia="pl-PL"/>
              </w:rPr>
              <w:t>1</w:t>
            </w:r>
            <w:r w:rsidRPr="00154BF9">
              <w:rPr>
                <w:rFonts w:ascii="Times New Roman" w:eastAsia="Times New Roman" w:hAnsi="Times New Roman" w:cs="Times New Roman"/>
                <w:sz w:val="20"/>
                <w:szCs w:val="20"/>
                <w:lang w:eastAsia="pl-PL"/>
              </w:rPr>
              <w:t>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części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dotyczącej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RZS</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niniejszego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pacjenci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poddani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RZS</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ramach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programów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lekowych:</w:t>
            </w:r>
          </w:p>
          <w:p w14:paraId="69E1A816" w14:textId="612F76B3" w:rsidR="008C0EA1" w:rsidRPr="00067F48" w:rsidRDefault="008C0EA1" w:rsidP="00A05A8B">
            <w:pPr>
              <w:pStyle w:val="Akapitzlist"/>
              <w:numPr>
                <w:ilvl w:val="4"/>
                <w:numId w:val="19"/>
              </w:numPr>
              <w:spacing w:after="60" w:line="276" w:lineRule="auto"/>
              <w:contextualSpacing w:val="0"/>
              <w:jc w:val="both"/>
              <w:rPr>
                <w:rFonts w:ascii="Times New Roman" w:eastAsia="Times New Roman" w:hAnsi="Times New Roman" w:cs="Times New Roman"/>
                <w:sz w:val="20"/>
                <w:szCs w:val="20"/>
                <w:lang w:eastAsia="pl-PL"/>
              </w:rPr>
            </w:pPr>
            <w:r w:rsidRPr="00067F48">
              <w:rPr>
                <w:rFonts w:ascii="Times New Roman" w:eastAsia="Times New Roman" w:hAnsi="Times New Roman" w:cs="Times New Roman"/>
                <w:sz w:val="20"/>
                <w:szCs w:val="20"/>
                <w:lang w:eastAsia="pl-PL"/>
              </w:rPr>
              <w:t>jednym,</w:t>
            </w:r>
            <w:r w:rsidR="0052643B" w:rsidRPr="00067F48">
              <w:rPr>
                <w:rFonts w:ascii="Times New Roman" w:eastAsia="Times New Roman" w:hAnsi="Times New Roman" w:cs="Times New Roman"/>
                <w:sz w:val="20"/>
                <w:szCs w:val="20"/>
                <w:lang w:eastAsia="pl-PL"/>
              </w:rPr>
              <w:t xml:space="preserve"> </w:t>
            </w:r>
            <w:r w:rsidRPr="00067F48">
              <w:rPr>
                <w:rFonts w:ascii="Times New Roman" w:eastAsia="Times New Roman" w:hAnsi="Times New Roman" w:cs="Times New Roman"/>
                <w:sz w:val="20"/>
                <w:szCs w:val="20"/>
                <w:lang w:eastAsia="pl-PL"/>
              </w:rPr>
              <w:t>dwoma</w:t>
            </w:r>
            <w:r w:rsidR="0052643B" w:rsidRPr="00067F48">
              <w:rPr>
                <w:rFonts w:ascii="Times New Roman" w:eastAsia="Times New Roman" w:hAnsi="Times New Roman" w:cs="Times New Roman"/>
                <w:sz w:val="20"/>
                <w:szCs w:val="20"/>
                <w:lang w:eastAsia="pl-PL"/>
              </w:rPr>
              <w:t xml:space="preserve"> </w:t>
            </w:r>
            <w:r w:rsidRPr="00067F48">
              <w:rPr>
                <w:rFonts w:ascii="Times New Roman" w:eastAsia="Times New Roman" w:hAnsi="Times New Roman" w:cs="Times New Roman"/>
                <w:sz w:val="20"/>
                <w:szCs w:val="20"/>
                <w:lang w:eastAsia="pl-PL"/>
              </w:rPr>
              <w:t>lub</w:t>
            </w:r>
            <w:r w:rsidR="0052643B" w:rsidRPr="00067F48">
              <w:rPr>
                <w:rFonts w:ascii="Times New Roman" w:eastAsia="Times New Roman" w:hAnsi="Times New Roman" w:cs="Times New Roman"/>
                <w:sz w:val="20"/>
                <w:szCs w:val="20"/>
                <w:lang w:eastAsia="pl-PL"/>
              </w:rPr>
              <w:t xml:space="preserve"> </w:t>
            </w:r>
            <w:r w:rsidRPr="00067F48">
              <w:rPr>
                <w:rFonts w:ascii="Times New Roman" w:eastAsia="Times New Roman" w:hAnsi="Times New Roman" w:cs="Times New Roman"/>
                <w:sz w:val="20"/>
                <w:szCs w:val="20"/>
                <w:lang w:eastAsia="pl-PL"/>
              </w:rPr>
              <w:t>trzema</w:t>
            </w:r>
            <w:r w:rsidR="0052643B" w:rsidRPr="00067F48">
              <w:rPr>
                <w:rFonts w:ascii="Times New Roman" w:eastAsia="Times New Roman" w:hAnsi="Times New Roman" w:cs="Times New Roman"/>
                <w:sz w:val="20"/>
                <w:szCs w:val="20"/>
                <w:lang w:eastAsia="pl-PL"/>
              </w:rPr>
              <w:t xml:space="preserve"> </w:t>
            </w:r>
            <w:r w:rsidRPr="00067F48">
              <w:rPr>
                <w:rFonts w:ascii="Times New Roman" w:eastAsia="Times New Roman" w:hAnsi="Times New Roman" w:cs="Times New Roman"/>
                <w:sz w:val="20"/>
                <w:szCs w:val="20"/>
                <w:lang w:eastAsia="pl-PL"/>
              </w:rPr>
              <w:t>inhibitorami</w:t>
            </w:r>
            <w:r w:rsidR="0052643B" w:rsidRPr="00067F48">
              <w:rPr>
                <w:rFonts w:ascii="Times New Roman" w:eastAsia="Times New Roman" w:hAnsi="Times New Roman" w:cs="Times New Roman"/>
                <w:sz w:val="20"/>
                <w:szCs w:val="20"/>
                <w:lang w:eastAsia="pl-PL"/>
              </w:rPr>
              <w:t xml:space="preserve"> </w:t>
            </w:r>
            <w:r w:rsidRPr="00067F48">
              <w:rPr>
                <w:rFonts w:ascii="Times New Roman" w:eastAsia="Times New Roman" w:hAnsi="Times New Roman" w:cs="Times New Roman"/>
                <w:sz w:val="20"/>
                <w:szCs w:val="20"/>
                <w:lang w:eastAsia="pl-PL"/>
              </w:rPr>
              <w:t>TNF</w:t>
            </w:r>
            <w:r w:rsidR="0052643B" w:rsidRPr="00067F48">
              <w:rPr>
                <w:rFonts w:ascii="Times New Roman" w:eastAsia="Times New Roman" w:hAnsi="Times New Roman" w:cs="Times New Roman"/>
                <w:sz w:val="20"/>
                <w:szCs w:val="20"/>
                <w:lang w:eastAsia="pl-PL"/>
              </w:rPr>
              <w:t xml:space="preserve"> </w:t>
            </w:r>
            <w:r w:rsidRPr="00067F48">
              <w:rPr>
                <w:rFonts w:ascii="Times New Roman" w:eastAsia="Times New Roman" w:hAnsi="Times New Roman" w:cs="Times New Roman"/>
                <w:sz w:val="20"/>
                <w:szCs w:val="20"/>
                <w:lang w:eastAsia="pl-PL"/>
              </w:rPr>
              <w:t>alfa</w:t>
            </w:r>
            <w:r w:rsidR="00507204" w:rsidRPr="00067F48">
              <w:rPr>
                <w:rFonts w:ascii="Times New Roman" w:eastAsia="Times New Roman" w:hAnsi="Times New Roman" w:cs="Times New Roman"/>
                <w:sz w:val="20"/>
                <w:szCs w:val="20"/>
                <w:lang w:eastAsia="pl-PL"/>
              </w:rPr>
              <w:t xml:space="preserve"> albo </w:t>
            </w:r>
            <w:r w:rsidR="00696524" w:rsidRPr="00067F48">
              <w:rPr>
                <w:rFonts w:ascii="Times New Roman" w:eastAsia="Times New Roman" w:hAnsi="Times New Roman" w:cs="Times New Roman"/>
                <w:sz w:val="20"/>
                <w:szCs w:val="20"/>
                <w:lang w:eastAsia="pl-PL"/>
              </w:rPr>
              <w:t xml:space="preserve">tocilizumabem </w:t>
            </w:r>
            <w:r w:rsidR="00696524" w:rsidRPr="00EC7B60">
              <w:rPr>
                <w:rFonts w:ascii="Times New Roman" w:hAnsi="Times New Roman" w:cs="Times New Roman"/>
                <w:sz w:val="20"/>
                <w:szCs w:val="20"/>
              </w:rPr>
              <w:t>albo</w:t>
            </w:r>
            <w:r w:rsidR="0052643B" w:rsidRPr="00067F48">
              <w:rPr>
                <w:rFonts w:ascii="Times New Roman" w:eastAsia="Times New Roman" w:hAnsi="Times New Roman" w:cs="Times New Roman"/>
                <w:sz w:val="20"/>
                <w:szCs w:val="20"/>
                <w:lang w:eastAsia="pl-PL"/>
              </w:rPr>
              <w:t xml:space="preserve"> </w:t>
            </w:r>
            <w:r w:rsidRPr="00067F48">
              <w:rPr>
                <w:rFonts w:ascii="Times New Roman" w:eastAsia="Times New Roman" w:hAnsi="Times New Roman" w:cs="Times New Roman"/>
                <w:sz w:val="20"/>
                <w:szCs w:val="20"/>
                <w:lang w:eastAsia="pl-PL"/>
              </w:rPr>
              <w:t>rytuksymabem</w:t>
            </w:r>
            <w:r w:rsidR="0052643B" w:rsidRPr="00067F48">
              <w:rPr>
                <w:rFonts w:ascii="Times New Roman" w:eastAsia="Times New Roman" w:hAnsi="Times New Roman" w:cs="Times New Roman"/>
                <w:sz w:val="20"/>
                <w:szCs w:val="20"/>
                <w:lang w:eastAsia="pl-PL"/>
              </w:rPr>
              <w:t xml:space="preserve"> </w:t>
            </w:r>
            <w:r w:rsidR="00507204" w:rsidRPr="00067F48">
              <w:rPr>
                <w:rFonts w:ascii="Times New Roman" w:eastAsia="Times New Roman" w:hAnsi="Times New Roman" w:cs="Times New Roman"/>
                <w:sz w:val="20"/>
                <w:szCs w:val="20"/>
                <w:lang w:eastAsia="pl-PL"/>
              </w:rPr>
              <w:t>albo</w:t>
            </w:r>
            <w:r w:rsidR="0052643B" w:rsidRPr="00067F48">
              <w:rPr>
                <w:rFonts w:ascii="Times New Roman" w:eastAsia="Times New Roman" w:hAnsi="Times New Roman" w:cs="Times New Roman"/>
                <w:sz w:val="20"/>
                <w:szCs w:val="20"/>
                <w:lang w:eastAsia="pl-PL"/>
              </w:rPr>
              <w:t xml:space="preserve"> </w:t>
            </w:r>
            <w:r w:rsidRPr="00067F48">
              <w:rPr>
                <w:rFonts w:ascii="Times New Roman" w:eastAsia="Times New Roman" w:hAnsi="Times New Roman" w:cs="Times New Roman"/>
                <w:sz w:val="20"/>
                <w:szCs w:val="20"/>
                <w:lang w:eastAsia="pl-PL"/>
              </w:rPr>
              <w:t>tofacytynibem</w:t>
            </w:r>
            <w:r w:rsidR="0052643B" w:rsidRPr="00067F48">
              <w:rPr>
                <w:rFonts w:ascii="Times New Roman" w:eastAsia="Times New Roman" w:hAnsi="Times New Roman" w:cs="Times New Roman"/>
                <w:sz w:val="20"/>
                <w:szCs w:val="20"/>
                <w:lang w:eastAsia="pl-PL"/>
              </w:rPr>
              <w:t xml:space="preserve"> </w:t>
            </w:r>
            <w:r w:rsidR="00507204" w:rsidRPr="00067F48">
              <w:rPr>
                <w:rFonts w:ascii="Times New Roman" w:eastAsia="Times New Roman" w:hAnsi="Times New Roman" w:cs="Times New Roman"/>
                <w:sz w:val="20"/>
                <w:szCs w:val="20"/>
                <w:lang w:eastAsia="pl-PL"/>
              </w:rPr>
              <w:t>albo</w:t>
            </w:r>
            <w:r w:rsidR="0052643B" w:rsidRPr="00067F48">
              <w:rPr>
                <w:rFonts w:ascii="Times New Roman" w:eastAsia="Times New Roman" w:hAnsi="Times New Roman" w:cs="Times New Roman"/>
                <w:sz w:val="20"/>
                <w:szCs w:val="20"/>
                <w:lang w:eastAsia="pl-PL"/>
              </w:rPr>
              <w:t xml:space="preserve"> </w:t>
            </w:r>
            <w:r w:rsidR="00B96557" w:rsidRPr="00067F48">
              <w:rPr>
                <w:rFonts w:ascii="Times New Roman" w:eastAsia="Times New Roman" w:hAnsi="Times New Roman" w:cs="Times New Roman"/>
                <w:sz w:val="20"/>
                <w:szCs w:val="20"/>
                <w:lang w:eastAsia="pl-PL"/>
              </w:rPr>
              <w:t>upadacytynibem</w:t>
            </w:r>
            <w:r w:rsidR="0052643B" w:rsidRPr="00067F48">
              <w:rPr>
                <w:rFonts w:ascii="Times New Roman" w:eastAsia="Times New Roman" w:hAnsi="Times New Roman" w:cs="Times New Roman"/>
                <w:sz w:val="20"/>
                <w:szCs w:val="20"/>
                <w:lang w:eastAsia="pl-PL"/>
              </w:rPr>
              <w:t xml:space="preserve"> </w:t>
            </w:r>
            <w:r w:rsidR="00507204" w:rsidRPr="00067F48">
              <w:rPr>
                <w:rFonts w:ascii="Times New Roman" w:eastAsia="Times New Roman" w:hAnsi="Times New Roman" w:cs="Times New Roman"/>
                <w:sz w:val="20"/>
                <w:szCs w:val="20"/>
                <w:lang w:eastAsia="pl-PL"/>
              </w:rPr>
              <w:t>albo</w:t>
            </w:r>
            <w:r w:rsidR="0052643B" w:rsidRPr="00067F48">
              <w:rPr>
                <w:rFonts w:ascii="Times New Roman" w:eastAsia="Times New Roman" w:hAnsi="Times New Roman" w:cs="Times New Roman"/>
                <w:sz w:val="20"/>
                <w:szCs w:val="20"/>
                <w:lang w:eastAsia="pl-PL"/>
              </w:rPr>
              <w:t xml:space="preserve"> </w:t>
            </w:r>
            <w:r w:rsidR="000D7B59" w:rsidRPr="00067F48">
              <w:rPr>
                <w:rFonts w:ascii="Times New Roman" w:eastAsia="Times New Roman" w:hAnsi="Times New Roman" w:cs="Times New Roman"/>
                <w:sz w:val="20"/>
                <w:szCs w:val="20"/>
                <w:lang w:eastAsia="pl-PL"/>
              </w:rPr>
              <w:t xml:space="preserve">filgotynibem </w:t>
            </w:r>
            <w:r w:rsidR="00507204" w:rsidRPr="00067F48">
              <w:rPr>
                <w:rFonts w:ascii="Times New Roman" w:eastAsia="Times New Roman" w:hAnsi="Times New Roman" w:cs="Times New Roman"/>
                <w:sz w:val="20"/>
                <w:szCs w:val="20"/>
                <w:lang w:eastAsia="pl-PL"/>
              </w:rPr>
              <w:t>albo</w:t>
            </w:r>
            <w:r w:rsidR="000D7B59" w:rsidRPr="00067F48">
              <w:rPr>
                <w:rFonts w:ascii="Times New Roman" w:eastAsia="Times New Roman" w:hAnsi="Times New Roman" w:cs="Times New Roman"/>
                <w:sz w:val="20"/>
                <w:szCs w:val="20"/>
                <w:lang w:eastAsia="pl-PL"/>
              </w:rPr>
              <w:t xml:space="preserve"> </w:t>
            </w:r>
            <w:r w:rsidR="00EA4A2E" w:rsidRPr="00067F48">
              <w:rPr>
                <w:rFonts w:ascii="Times New Roman" w:eastAsia="Times New Roman" w:hAnsi="Times New Roman" w:cs="Times New Roman"/>
                <w:sz w:val="20"/>
                <w:szCs w:val="20"/>
                <w:lang w:eastAsia="pl-PL"/>
              </w:rPr>
              <w:t xml:space="preserve">anakinrą </w:t>
            </w:r>
            <w:r w:rsidR="00067F48" w:rsidRPr="00067F48">
              <w:rPr>
                <w:rFonts w:ascii="Times New Roman" w:eastAsia="Times New Roman" w:hAnsi="Times New Roman" w:cs="Times New Roman"/>
                <w:sz w:val="20"/>
                <w:szCs w:val="20"/>
                <w:lang w:eastAsia="pl-PL"/>
              </w:rPr>
              <w:t xml:space="preserve">albo kanakinumabem </w:t>
            </w:r>
            <w:r w:rsidR="00EA4A2E" w:rsidRPr="00EC7B60">
              <w:rPr>
                <w:rFonts w:ascii="Times New Roman" w:hAnsi="Times New Roman" w:cs="Times New Roman"/>
                <w:sz w:val="20"/>
                <w:szCs w:val="20"/>
              </w:rPr>
              <w:t>u</w:t>
            </w:r>
            <w:r w:rsidR="0052643B" w:rsidRPr="00067F48">
              <w:rPr>
                <w:rFonts w:ascii="Times New Roman" w:eastAsia="Times New Roman" w:hAnsi="Times New Roman" w:cs="Times New Roman"/>
                <w:sz w:val="20"/>
                <w:szCs w:val="20"/>
                <w:lang w:eastAsia="pl-PL"/>
              </w:rPr>
              <w:t xml:space="preserve"> </w:t>
            </w:r>
            <w:r w:rsidRPr="00067F48">
              <w:rPr>
                <w:rFonts w:ascii="Times New Roman" w:eastAsia="Times New Roman" w:hAnsi="Times New Roman" w:cs="Times New Roman"/>
                <w:sz w:val="20"/>
                <w:szCs w:val="20"/>
                <w:lang w:eastAsia="pl-PL"/>
              </w:rPr>
              <w:t>których:</w:t>
            </w:r>
          </w:p>
          <w:p w14:paraId="3D804D15" w14:textId="06D8A4B1" w:rsidR="00F569AE" w:rsidRPr="00154BF9" w:rsidRDefault="008C0EA1" w:rsidP="00A05A8B">
            <w:pPr>
              <w:pStyle w:val="Akapitzlist"/>
              <w:numPr>
                <w:ilvl w:val="5"/>
                <w:numId w:val="19"/>
              </w:numPr>
              <w:spacing w:after="60" w:line="276" w:lineRule="auto"/>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lastRenderedPageBreak/>
              <w:t>wystąpiła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ciężka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reakcja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uczuleniowa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substancję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czynną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pomocniczą</w:t>
            </w:r>
          </w:p>
          <w:p w14:paraId="10FA48BC" w14:textId="32C43743" w:rsidR="008C0EA1" w:rsidRPr="00154BF9" w:rsidRDefault="008C0EA1" w:rsidP="00A05A8B">
            <w:pPr>
              <w:pStyle w:val="Akapitzlist"/>
              <w:spacing w:after="60" w:line="276" w:lineRule="auto"/>
              <w:ind w:left="680"/>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lub</w:t>
            </w:r>
          </w:p>
          <w:p w14:paraId="0F73D3AD" w14:textId="2C88DCC8" w:rsidR="00F569AE" w:rsidRPr="00154BF9" w:rsidRDefault="008C0EA1" w:rsidP="00A05A8B">
            <w:pPr>
              <w:pStyle w:val="Akapitzlist"/>
              <w:numPr>
                <w:ilvl w:val="5"/>
                <w:numId w:val="19"/>
              </w:numPr>
              <w:spacing w:after="60" w:line="276" w:lineRule="auto"/>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wystąpiły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ciężkie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działania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niepożądane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uniemożliwiające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kontynuowanie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terapii,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które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ustępują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mimo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dostosowywania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dawki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zgodnie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ChPL</w:t>
            </w:r>
          </w:p>
          <w:p w14:paraId="6CC5079F" w14:textId="423BE959" w:rsidR="008C0EA1" w:rsidRPr="00154BF9" w:rsidRDefault="008C0EA1" w:rsidP="00A05A8B">
            <w:pPr>
              <w:pStyle w:val="Akapitzlist"/>
              <w:spacing w:after="60" w:line="276" w:lineRule="auto"/>
              <w:ind w:left="680"/>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lub</w:t>
            </w:r>
          </w:p>
          <w:p w14:paraId="5DC248DC" w14:textId="647C0E24" w:rsidR="008C0EA1" w:rsidRPr="00154BF9" w:rsidRDefault="008C0EA1" w:rsidP="00A05A8B">
            <w:pPr>
              <w:pStyle w:val="Akapitzlist"/>
              <w:numPr>
                <w:ilvl w:val="5"/>
                <w:numId w:val="19"/>
              </w:numPr>
              <w:spacing w:after="60" w:line="276" w:lineRule="auto"/>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stwierdzono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brak</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albo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utratę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odpowiedzi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zastosowane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(zgodnie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definicją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zawartą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kryteriach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wyłączenia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programach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lekowych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dotyczących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RZS).</w:t>
            </w:r>
          </w:p>
          <w:p w14:paraId="0172018F" w14:textId="0397AD5C" w:rsidR="008C0EA1" w:rsidRPr="00154BF9" w:rsidRDefault="008C0EA1" w:rsidP="00A05A8B">
            <w:pPr>
              <w:pStyle w:val="Akapitzlist"/>
              <w:spacing w:after="60" w:line="276" w:lineRule="auto"/>
              <w:ind w:left="454"/>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Kwalifikacja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terapii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baricytynibem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wcześniejszym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rytuksymabem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jest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możliwa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dopiero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upływie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najmniej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6</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miesięcy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od</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podania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ostatniej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dawki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rytuksymabu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uwzględnieniem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potencjalnego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ryzyka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korzyści.</w:t>
            </w:r>
          </w:p>
          <w:p w14:paraId="33E8CA57" w14:textId="176C138F" w:rsidR="00664775" w:rsidRPr="00154BF9" w:rsidRDefault="00664775" w:rsidP="00A05A8B">
            <w:pPr>
              <w:pStyle w:val="Akapitzlist"/>
              <w:numPr>
                <w:ilvl w:val="3"/>
                <w:numId w:val="19"/>
              </w:numPr>
              <w:spacing w:after="60" w:line="276" w:lineRule="auto"/>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terapii</w:t>
            </w:r>
            <w:r w:rsidR="0052643B" w:rsidRPr="00154BF9">
              <w:rPr>
                <w:rFonts w:ascii="Times New Roman" w:eastAsia="Times New Roman" w:hAnsi="Times New Roman" w:cs="Times New Roman"/>
                <w:sz w:val="20"/>
                <w:szCs w:val="20"/>
                <w:lang w:eastAsia="pl-PL"/>
              </w:rPr>
              <w:t xml:space="preserve"> </w:t>
            </w:r>
            <w:r w:rsidRPr="00154BF9">
              <w:rPr>
                <w:rFonts w:ascii="Times New Roman" w:hAnsi="Times New Roman" w:cs="Times New Roman"/>
                <w:sz w:val="20"/>
                <w:szCs w:val="20"/>
              </w:rPr>
              <w:t>upadacytynib</w:t>
            </w:r>
            <w:r w:rsidRPr="00154BF9">
              <w:rPr>
                <w:rFonts w:ascii="Times New Roman" w:eastAsia="Times New Roman" w:hAnsi="Times New Roman" w:cs="Times New Roman"/>
                <w:sz w:val="20"/>
                <w:szCs w:val="20"/>
                <w:lang w:eastAsia="pl-PL"/>
              </w:rPr>
              <w:t>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kwalifikują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się,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bez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konieczności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spełnienia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kryterium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pkt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1</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ppkt</w:t>
            </w:r>
            <w:r w:rsidR="0052643B" w:rsidRPr="00154BF9">
              <w:rPr>
                <w:rFonts w:ascii="Times New Roman" w:eastAsia="Times New Roman" w:hAnsi="Times New Roman" w:cs="Times New Roman"/>
                <w:sz w:val="20"/>
                <w:szCs w:val="20"/>
                <w:lang w:eastAsia="pl-PL"/>
              </w:rPr>
              <w:t xml:space="preserve"> </w:t>
            </w:r>
            <w:r w:rsidR="00C421A5" w:rsidRPr="00154BF9">
              <w:rPr>
                <w:rFonts w:ascii="Times New Roman" w:eastAsia="Times New Roman" w:hAnsi="Times New Roman" w:cs="Times New Roman"/>
                <w:sz w:val="20"/>
                <w:szCs w:val="20"/>
                <w:lang w:eastAsia="pl-PL"/>
              </w:rPr>
              <w:t>1</w:t>
            </w:r>
            <w:r w:rsidRPr="00154BF9">
              <w:rPr>
                <w:rFonts w:ascii="Times New Roman" w:eastAsia="Times New Roman" w:hAnsi="Times New Roman" w:cs="Times New Roman"/>
                <w:sz w:val="20"/>
                <w:szCs w:val="20"/>
                <w:lang w:eastAsia="pl-PL"/>
              </w:rPr>
              <w:t>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części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dotyczącej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RZS</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niniejszego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pacjenci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poddani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RZS</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ramach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programów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lekowych:</w:t>
            </w:r>
          </w:p>
          <w:p w14:paraId="04A737F6" w14:textId="74E99115" w:rsidR="00664775" w:rsidRPr="00154BF9" w:rsidRDefault="00664775" w:rsidP="00A05A8B">
            <w:pPr>
              <w:numPr>
                <w:ilvl w:val="4"/>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jednym,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dwoma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trzema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inhibitorami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TNF</w:t>
            </w:r>
            <w:r w:rsidR="0052643B" w:rsidRPr="00154BF9">
              <w:rPr>
                <w:rFonts w:ascii="Times New Roman" w:eastAsia="Times New Roman" w:hAnsi="Times New Roman" w:cs="Times New Roman"/>
                <w:sz w:val="20"/>
                <w:szCs w:val="20"/>
                <w:lang w:eastAsia="pl-PL"/>
              </w:rPr>
              <w:t xml:space="preserve"> </w:t>
            </w:r>
            <w:r w:rsidR="00696524" w:rsidRPr="00154BF9">
              <w:rPr>
                <w:rFonts w:ascii="Times New Roman" w:eastAsia="Times New Roman" w:hAnsi="Times New Roman" w:cs="Times New Roman"/>
                <w:sz w:val="20"/>
                <w:szCs w:val="20"/>
                <w:lang w:eastAsia="pl-PL"/>
              </w:rPr>
              <w:t xml:space="preserve">alfa </w:t>
            </w:r>
            <w:r w:rsidR="00696524" w:rsidRPr="00154BF9">
              <w:t>albo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tocilizumabem</w:t>
            </w:r>
            <w:r w:rsidR="0052643B" w:rsidRPr="00154BF9">
              <w:rPr>
                <w:rFonts w:ascii="Times New Roman" w:eastAsia="Times New Roman" w:hAnsi="Times New Roman" w:cs="Times New Roman"/>
                <w:sz w:val="20"/>
                <w:szCs w:val="20"/>
                <w:lang w:eastAsia="pl-PL"/>
              </w:rPr>
              <w:t xml:space="preserve"> </w:t>
            </w:r>
            <w:r w:rsidR="00C421A5" w:rsidRPr="00154BF9">
              <w:rPr>
                <w:rFonts w:ascii="Times New Roman" w:eastAsia="Times New Roman" w:hAnsi="Times New Roman" w:cs="Times New Roman"/>
                <w:sz w:val="20"/>
                <w:szCs w:val="20"/>
                <w:lang w:eastAsia="pl-PL"/>
              </w:rPr>
              <w:t xml:space="preserve">albo </w:t>
            </w:r>
            <w:r w:rsidRPr="00154BF9">
              <w:rPr>
                <w:rFonts w:ascii="Times New Roman" w:eastAsia="Times New Roman" w:hAnsi="Times New Roman" w:cs="Times New Roman"/>
                <w:sz w:val="20"/>
                <w:szCs w:val="20"/>
                <w:lang w:eastAsia="pl-PL"/>
              </w:rPr>
              <w:t>rytuksymabem</w:t>
            </w:r>
            <w:r w:rsidR="0052643B" w:rsidRPr="00154BF9">
              <w:rPr>
                <w:rFonts w:ascii="Times New Roman" w:eastAsia="Times New Roman" w:hAnsi="Times New Roman" w:cs="Times New Roman"/>
                <w:sz w:val="20"/>
                <w:szCs w:val="20"/>
                <w:lang w:eastAsia="pl-PL"/>
              </w:rPr>
              <w:t xml:space="preserve"> </w:t>
            </w:r>
            <w:r w:rsidR="00C421A5" w:rsidRPr="00154BF9">
              <w:rPr>
                <w:rFonts w:ascii="Times New Roman" w:eastAsia="Times New Roman" w:hAnsi="Times New Roman" w:cs="Times New Roman"/>
                <w:sz w:val="20"/>
                <w:szCs w:val="20"/>
                <w:lang w:eastAsia="pl-PL"/>
              </w:rPr>
              <w:t xml:space="preserve">albo </w:t>
            </w:r>
            <w:r w:rsidRPr="00154BF9">
              <w:rPr>
                <w:rFonts w:ascii="Times New Roman" w:eastAsia="Times New Roman" w:hAnsi="Times New Roman" w:cs="Times New Roman"/>
                <w:sz w:val="20"/>
                <w:szCs w:val="20"/>
                <w:lang w:eastAsia="pl-PL"/>
              </w:rPr>
              <w:t>tofacytynibem</w:t>
            </w:r>
            <w:r w:rsidR="0052643B" w:rsidRPr="00154BF9">
              <w:rPr>
                <w:rFonts w:ascii="Times New Roman" w:eastAsia="Times New Roman" w:hAnsi="Times New Roman" w:cs="Times New Roman"/>
                <w:sz w:val="20"/>
                <w:szCs w:val="20"/>
                <w:lang w:eastAsia="pl-PL"/>
              </w:rPr>
              <w:t xml:space="preserve"> </w:t>
            </w:r>
            <w:r w:rsidR="00C421A5" w:rsidRPr="00154BF9">
              <w:rPr>
                <w:rFonts w:ascii="Times New Roman" w:eastAsia="Times New Roman" w:hAnsi="Times New Roman" w:cs="Times New Roman"/>
                <w:sz w:val="20"/>
                <w:szCs w:val="20"/>
                <w:lang w:eastAsia="pl-PL"/>
              </w:rPr>
              <w:t>albo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baricytynibem</w:t>
            </w:r>
            <w:r w:rsidR="00A72389">
              <w:t xml:space="preserve"> </w:t>
            </w:r>
            <w:r w:rsidR="00A72389" w:rsidRPr="00A72389">
              <w:rPr>
                <w:rFonts w:ascii="Times New Roman" w:eastAsia="Times New Roman" w:hAnsi="Times New Roman" w:cs="Times New Roman"/>
                <w:sz w:val="20"/>
                <w:szCs w:val="20"/>
                <w:lang w:eastAsia="pl-PL"/>
              </w:rPr>
              <w:t xml:space="preserve">albo </w:t>
            </w:r>
            <w:r w:rsidR="00EA4A2E" w:rsidRPr="00A72389">
              <w:rPr>
                <w:rFonts w:ascii="Times New Roman" w:eastAsia="Times New Roman" w:hAnsi="Times New Roman" w:cs="Times New Roman"/>
                <w:sz w:val="20"/>
                <w:szCs w:val="20"/>
                <w:lang w:eastAsia="pl-PL"/>
              </w:rPr>
              <w:t xml:space="preserve">filgotynibem </w:t>
            </w:r>
            <w:r w:rsidR="00EA4A2E" w:rsidRPr="00154BF9">
              <w:rPr>
                <w:rFonts w:ascii="Times New Roman" w:eastAsia="Times New Roman" w:hAnsi="Times New Roman" w:cs="Times New Roman"/>
                <w:sz w:val="20"/>
                <w:szCs w:val="20"/>
                <w:lang w:eastAsia="pl-PL"/>
              </w:rPr>
              <w:t>albo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anakinrą</w:t>
            </w:r>
            <w:r w:rsidR="00067F48">
              <w:rPr>
                <w:rFonts w:ascii="Times New Roman" w:eastAsia="Times New Roman" w:hAnsi="Times New Roman" w:cs="Times New Roman"/>
                <w:sz w:val="20"/>
                <w:szCs w:val="20"/>
                <w:lang w:eastAsia="pl-PL"/>
              </w:rPr>
              <w:t xml:space="preserve"> </w:t>
            </w:r>
            <w:r w:rsidR="00067F48" w:rsidRPr="00067F48">
              <w:rPr>
                <w:rFonts w:ascii="Times New Roman" w:eastAsia="Times New Roman" w:hAnsi="Times New Roman" w:cs="Times New Roman"/>
                <w:sz w:val="20"/>
                <w:szCs w:val="20"/>
                <w:lang w:eastAsia="pl-PL"/>
              </w:rPr>
              <w:t>albo kanakinumabem</w:t>
            </w:r>
            <w:r w:rsidR="00067F48">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których:</w:t>
            </w:r>
          </w:p>
          <w:p w14:paraId="01E4E669" w14:textId="4E92BDF5" w:rsidR="00210416" w:rsidRPr="00154BF9" w:rsidRDefault="00664775" w:rsidP="00A05A8B">
            <w:pPr>
              <w:numPr>
                <w:ilvl w:val="5"/>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wystąpiła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ciężka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reakcja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uczuleniowa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substancję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czynną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pomocnicz</w:t>
            </w:r>
            <w:r w:rsidR="00210416" w:rsidRPr="00154BF9">
              <w:rPr>
                <w:rFonts w:ascii="Times New Roman" w:eastAsia="Times New Roman" w:hAnsi="Times New Roman" w:cs="Times New Roman"/>
                <w:sz w:val="20"/>
                <w:szCs w:val="20"/>
                <w:lang w:eastAsia="pl-PL"/>
              </w:rPr>
              <w:t>ą</w:t>
            </w:r>
          </w:p>
          <w:p w14:paraId="1E1A8F5E" w14:textId="198ABD86" w:rsidR="00664775" w:rsidRPr="00154BF9" w:rsidRDefault="00664775" w:rsidP="00A05A8B">
            <w:pPr>
              <w:spacing w:after="60" w:line="276" w:lineRule="auto"/>
              <w:ind w:left="68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lub</w:t>
            </w:r>
          </w:p>
          <w:p w14:paraId="057D187E" w14:textId="45106687" w:rsidR="00210416" w:rsidRPr="00154BF9" w:rsidRDefault="00664775" w:rsidP="00A05A8B">
            <w:pPr>
              <w:numPr>
                <w:ilvl w:val="5"/>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wystąpiły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ciężkie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działania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niepożądane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uniemożliwiające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kontynuowanie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terapii,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które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ustępują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mimo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dostosowywania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dawki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zgodnie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ChPL</w:t>
            </w:r>
          </w:p>
          <w:p w14:paraId="7BFAC90F" w14:textId="3E9F6F49" w:rsidR="00664775" w:rsidRPr="00154BF9" w:rsidRDefault="00664775" w:rsidP="00A05A8B">
            <w:pPr>
              <w:spacing w:after="60" w:line="276" w:lineRule="auto"/>
              <w:ind w:left="68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lub</w:t>
            </w:r>
          </w:p>
          <w:p w14:paraId="5F004254" w14:textId="7FD56CF6" w:rsidR="00664775" w:rsidRPr="00154BF9" w:rsidRDefault="00664775" w:rsidP="00A05A8B">
            <w:pPr>
              <w:numPr>
                <w:ilvl w:val="5"/>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stwierdzono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brak</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albo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utratę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odpowiedzi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zastosowane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(zgodnie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definicją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zawartą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kryteriach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wyłączenia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programach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lekowych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dotyczących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RZS).</w:t>
            </w:r>
          </w:p>
          <w:p w14:paraId="28DE32CA" w14:textId="3E16E2CF" w:rsidR="00664775" w:rsidRPr="00154BF9" w:rsidRDefault="00664775" w:rsidP="00A05A8B">
            <w:pPr>
              <w:pStyle w:val="Akapitzlist"/>
              <w:spacing w:after="60" w:line="276" w:lineRule="auto"/>
              <w:ind w:left="454"/>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lastRenderedPageBreak/>
              <w:t>Kwalifikacja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terapii</w:t>
            </w:r>
            <w:r w:rsidR="0052643B" w:rsidRPr="00154BF9">
              <w:rPr>
                <w:rFonts w:ascii="Times New Roman" w:eastAsia="Times New Roman" w:hAnsi="Times New Roman" w:cs="Times New Roman"/>
                <w:sz w:val="20"/>
                <w:szCs w:val="20"/>
                <w:lang w:eastAsia="pl-PL"/>
              </w:rPr>
              <w:t xml:space="preserve"> </w:t>
            </w:r>
            <w:r w:rsidRPr="00154BF9">
              <w:rPr>
                <w:rFonts w:ascii="Times New Roman" w:hAnsi="Times New Roman" w:cs="Times New Roman"/>
                <w:sz w:val="20"/>
                <w:szCs w:val="20"/>
              </w:rPr>
              <w:t>upadacytynib</w:t>
            </w:r>
            <w:r w:rsidRPr="00154BF9">
              <w:rPr>
                <w:rFonts w:ascii="Times New Roman" w:eastAsia="Times New Roman" w:hAnsi="Times New Roman" w:cs="Times New Roman"/>
                <w:sz w:val="20"/>
                <w:szCs w:val="20"/>
                <w:lang w:eastAsia="pl-PL"/>
              </w:rPr>
              <w:t>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wcześniejszym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rytuksymabem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jest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możliwa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dopiero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upływie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najmniej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6</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miesięcy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od</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podania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ostatniej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dawki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rytuksymabu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uwzględnieniem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potencjalnego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ryzyka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korzyści.</w:t>
            </w:r>
          </w:p>
          <w:p w14:paraId="0A521EC9" w14:textId="6547ACDE" w:rsidR="008A3AAD" w:rsidRPr="00154BF9" w:rsidRDefault="008A3AAD" w:rsidP="00A05A8B">
            <w:pPr>
              <w:pStyle w:val="Akapitzlist"/>
              <w:numPr>
                <w:ilvl w:val="3"/>
                <w:numId w:val="19"/>
              </w:numPr>
              <w:spacing w:after="60" w:line="276" w:lineRule="auto"/>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 xml:space="preserve">Do terapii filgotynibem kwalifikują się, bez konieczności spełnienia kryterium pkt 1 ppkt </w:t>
            </w:r>
            <w:r w:rsidR="00C421A5" w:rsidRPr="00154BF9">
              <w:rPr>
                <w:rFonts w:ascii="Times New Roman" w:eastAsia="Times New Roman" w:hAnsi="Times New Roman" w:cs="Times New Roman"/>
                <w:sz w:val="20"/>
                <w:szCs w:val="20"/>
                <w:lang w:eastAsia="pl-PL"/>
              </w:rPr>
              <w:t>1</w:t>
            </w:r>
            <w:r w:rsidRPr="00154BF9">
              <w:rPr>
                <w:rFonts w:ascii="Times New Roman" w:eastAsia="Times New Roman" w:hAnsi="Times New Roman" w:cs="Times New Roman"/>
                <w:sz w:val="20"/>
                <w:szCs w:val="20"/>
                <w:lang w:eastAsia="pl-PL"/>
              </w:rPr>
              <w:t>a) części dotyczącej RZS niniejszego programu, pacjenci poddani leczeniu RZS w ramach programów lekowych:</w:t>
            </w:r>
          </w:p>
          <w:p w14:paraId="0B73C025" w14:textId="3F6FCD96" w:rsidR="008A3AAD" w:rsidRPr="00154BF9" w:rsidRDefault="008A3AAD" w:rsidP="00A05A8B">
            <w:pPr>
              <w:pStyle w:val="Akapitzlist"/>
              <w:numPr>
                <w:ilvl w:val="3"/>
                <w:numId w:val="10"/>
              </w:numPr>
              <w:spacing w:after="60" w:line="276" w:lineRule="auto"/>
              <w:ind w:left="681"/>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 xml:space="preserve">jednym, dwoma lub trzema inhibitorami TNF alfa </w:t>
            </w:r>
            <w:r w:rsidR="00C421A5" w:rsidRPr="00154BF9">
              <w:rPr>
                <w:rFonts w:ascii="Times New Roman" w:eastAsia="Times New Roman" w:hAnsi="Times New Roman" w:cs="Times New Roman"/>
                <w:sz w:val="20"/>
                <w:szCs w:val="20"/>
                <w:lang w:eastAsia="pl-PL"/>
              </w:rPr>
              <w:t>albo</w:t>
            </w:r>
            <w:r w:rsidRPr="00154BF9">
              <w:rPr>
                <w:rFonts w:ascii="Times New Roman" w:eastAsia="Times New Roman" w:hAnsi="Times New Roman" w:cs="Times New Roman"/>
                <w:sz w:val="20"/>
                <w:szCs w:val="20"/>
                <w:lang w:eastAsia="pl-PL"/>
              </w:rPr>
              <w:t xml:space="preserve"> tocilizumabem </w:t>
            </w:r>
            <w:r w:rsidR="00C421A5" w:rsidRPr="00154BF9">
              <w:rPr>
                <w:rFonts w:ascii="Times New Roman" w:eastAsia="Times New Roman" w:hAnsi="Times New Roman" w:cs="Times New Roman"/>
                <w:sz w:val="20"/>
                <w:szCs w:val="20"/>
                <w:lang w:eastAsia="pl-PL"/>
              </w:rPr>
              <w:t>albo</w:t>
            </w:r>
            <w:r w:rsidRPr="00154BF9">
              <w:rPr>
                <w:rFonts w:ascii="Times New Roman" w:eastAsia="Times New Roman" w:hAnsi="Times New Roman" w:cs="Times New Roman"/>
                <w:sz w:val="20"/>
                <w:szCs w:val="20"/>
                <w:lang w:eastAsia="pl-PL"/>
              </w:rPr>
              <w:t xml:space="preserve"> rytuksymabem </w:t>
            </w:r>
            <w:r w:rsidR="00C421A5" w:rsidRPr="00154BF9">
              <w:rPr>
                <w:rFonts w:ascii="Times New Roman" w:eastAsia="Times New Roman" w:hAnsi="Times New Roman" w:cs="Times New Roman"/>
                <w:sz w:val="20"/>
                <w:szCs w:val="20"/>
                <w:lang w:eastAsia="pl-PL"/>
              </w:rPr>
              <w:t>albo</w:t>
            </w:r>
            <w:r w:rsidRPr="00154BF9">
              <w:rPr>
                <w:rFonts w:ascii="Times New Roman" w:eastAsia="Times New Roman" w:hAnsi="Times New Roman" w:cs="Times New Roman"/>
                <w:sz w:val="20"/>
                <w:szCs w:val="20"/>
                <w:lang w:eastAsia="pl-PL"/>
              </w:rPr>
              <w:t xml:space="preserve"> tofacytynibem </w:t>
            </w:r>
            <w:r w:rsidR="00C421A5" w:rsidRPr="00154BF9">
              <w:rPr>
                <w:rFonts w:ascii="Times New Roman" w:eastAsia="Times New Roman" w:hAnsi="Times New Roman" w:cs="Times New Roman"/>
                <w:sz w:val="20"/>
                <w:szCs w:val="20"/>
                <w:lang w:eastAsia="pl-PL"/>
              </w:rPr>
              <w:t>albo</w:t>
            </w:r>
            <w:r w:rsidRPr="00154BF9">
              <w:rPr>
                <w:rFonts w:ascii="Times New Roman" w:eastAsia="Times New Roman" w:hAnsi="Times New Roman" w:cs="Times New Roman"/>
                <w:sz w:val="20"/>
                <w:szCs w:val="20"/>
                <w:lang w:eastAsia="pl-PL"/>
              </w:rPr>
              <w:t xml:space="preserve"> baricytynibem</w:t>
            </w:r>
            <w:r w:rsidR="00EC0666" w:rsidRPr="00154BF9">
              <w:rPr>
                <w:rFonts w:ascii="Times New Roman" w:eastAsia="Times New Roman" w:hAnsi="Times New Roman" w:cs="Times New Roman"/>
                <w:sz w:val="20"/>
                <w:szCs w:val="20"/>
                <w:lang w:eastAsia="pl-PL"/>
              </w:rPr>
              <w:t xml:space="preserve"> </w:t>
            </w:r>
            <w:r w:rsidR="00C421A5" w:rsidRPr="00154BF9">
              <w:rPr>
                <w:rFonts w:ascii="Times New Roman" w:eastAsia="Times New Roman" w:hAnsi="Times New Roman" w:cs="Times New Roman"/>
                <w:sz w:val="20"/>
                <w:szCs w:val="20"/>
                <w:lang w:eastAsia="pl-PL"/>
              </w:rPr>
              <w:t>albo</w:t>
            </w:r>
            <w:r w:rsidR="00EC0666" w:rsidRPr="00154BF9">
              <w:rPr>
                <w:rFonts w:ascii="Times New Roman" w:eastAsia="Times New Roman" w:hAnsi="Times New Roman" w:cs="Times New Roman"/>
                <w:sz w:val="20"/>
                <w:szCs w:val="20"/>
                <w:lang w:eastAsia="pl-PL"/>
              </w:rPr>
              <w:t xml:space="preserve"> upadacytynibem </w:t>
            </w:r>
            <w:r w:rsidR="00C421A5" w:rsidRPr="00154BF9">
              <w:rPr>
                <w:rFonts w:ascii="Times New Roman" w:eastAsia="Times New Roman" w:hAnsi="Times New Roman" w:cs="Times New Roman"/>
                <w:sz w:val="20"/>
                <w:szCs w:val="20"/>
                <w:lang w:eastAsia="pl-PL"/>
              </w:rPr>
              <w:t>albo</w:t>
            </w:r>
            <w:r w:rsidR="00EC0666" w:rsidRPr="00154BF9">
              <w:rPr>
                <w:rFonts w:ascii="Times New Roman" w:eastAsia="Times New Roman" w:hAnsi="Times New Roman" w:cs="Times New Roman"/>
                <w:sz w:val="20"/>
                <w:szCs w:val="20"/>
                <w:lang w:eastAsia="pl-PL"/>
              </w:rPr>
              <w:t xml:space="preserve"> </w:t>
            </w:r>
            <w:r w:rsidR="00696524" w:rsidRPr="00154BF9">
              <w:rPr>
                <w:rFonts w:ascii="Times New Roman" w:eastAsia="Times New Roman" w:hAnsi="Times New Roman" w:cs="Times New Roman"/>
                <w:sz w:val="20"/>
                <w:szCs w:val="20"/>
                <w:lang w:eastAsia="pl-PL"/>
              </w:rPr>
              <w:t xml:space="preserve">anakinrą </w:t>
            </w:r>
            <w:r w:rsidR="00067F48" w:rsidRPr="00067F48">
              <w:rPr>
                <w:rFonts w:ascii="Times New Roman" w:eastAsia="Times New Roman" w:hAnsi="Times New Roman" w:cs="Times New Roman"/>
                <w:sz w:val="20"/>
                <w:szCs w:val="20"/>
                <w:lang w:eastAsia="pl-PL"/>
              </w:rPr>
              <w:t xml:space="preserve">albo kanakinumabem </w:t>
            </w:r>
            <w:r w:rsidR="00696524" w:rsidRPr="00154BF9">
              <w:rPr>
                <w:rFonts w:ascii="Times New Roman" w:eastAsia="Times New Roman" w:hAnsi="Times New Roman" w:cs="Times New Roman"/>
                <w:sz w:val="20"/>
                <w:szCs w:val="20"/>
                <w:lang w:eastAsia="pl-PL"/>
              </w:rPr>
              <w:t>u</w:t>
            </w:r>
            <w:r w:rsidRPr="00154BF9">
              <w:rPr>
                <w:rFonts w:ascii="Times New Roman" w:eastAsia="Times New Roman" w:hAnsi="Times New Roman" w:cs="Times New Roman"/>
                <w:sz w:val="20"/>
                <w:szCs w:val="20"/>
                <w:lang w:eastAsia="pl-PL"/>
              </w:rPr>
              <w:t xml:space="preserve"> których:</w:t>
            </w:r>
          </w:p>
          <w:p w14:paraId="729EF2FE" w14:textId="77777777" w:rsidR="008A3AAD" w:rsidRPr="00154BF9" w:rsidRDefault="008A3AAD" w:rsidP="00A05A8B">
            <w:pPr>
              <w:pStyle w:val="Akapitzlist"/>
              <w:numPr>
                <w:ilvl w:val="4"/>
                <w:numId w:val="10"/>
              </w:numPr>
              <w:spacing w:after="60" w:line="276" w:lineRule="auto"/>
              <w:ind w:left="850" w:hanging="170"/>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wystąpiła ciężka reakcja uczuleniowa na substancję czynną lub pomocniczą</w:t>
            </w:r>
          </w:p>
          <w:p w14:paraId="56DCE79F" w14:textId="7A95817D" w:rsidR="008A3AAD" w:rsidRPr="00154BF9" w:rsidRDefault="008A3AAD" w:rsidP="00A05A8B">
            <w:pPr>
              <w:pStyle w:val="Akapitzlist"/>
              <w:spacing w:after="60" w:line="276" w:lineRule="auto"/>
              <w:ind w:left="680"/>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lub</w:t>
            </w:r>
          </w:p>
          <w:p w14:paraId="73AEA08A" w14:textId="54958102" w:rsidR="008A3AAD" w:rsidRPr="00154BF9" w:rsidRDefault="008A3AAD" w:rsidP="00A05A8B">
            <w:pPr>
              <w:pStyle w:val="Akapitzlist"/>
              <w:numPr>
                <w:ilvl w:val="4"/>
                <w:numId w:val="10"/>
              </w:numPr>
              <w:spacing w:after="60" w:line="276" w:lineRule="auto"/>
              <w:ind w:left="850" w:hanging="170"/>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wystąpiły ciężkie działania niepożądane uniemożliwiające kontynuowanie terapii, które nie ustępują mimo dostosowywania dawki leku zgodnie z ChPL</w:t>
            </w:r>
          </w:p>
          <w:p w14:paraId="0D51CFE9" w14:textId="77777777" w:rsidR="008A3AAD" w:rsidRPr="00154BF9" w:rsidRDefault="008A3AAD" w:rsidP="00A05A8B">
            <w:pPr>
              <w:pStyle w:val="Akapitzlist"/>
              <w:spacing w:after="60" w:line="276" w:lineRule="auto"/>
              <w:ind w:left="680"/>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lub</w:t>
            </w:r>
          </w:p>
          <w:p w14:paraId="16A1E833" w14:textId="77777777" w:rsidR="008A3AAD" w:rsidRPr="00154BF9" w:rsidRDefault="008A3AAD" w:rsidP="00A05A8B">
            <w:pPr>
              <w:pStyle w:val="Akapitzlist"/>
              <w:numPr>
                <w:ilvl w:val="4"/>
                <w:numId w:val="10"/>
              </w:numPr>
              <w:spacing w:after="60" w:line="276" w:lineRule="auto"/>
              <w:ind w:left="850" w:hanging="170"/>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stwierdzono brak albo utratę odpowiedzi na zastosowane leczenie (zgodnie z definicją zawartą w kryteriach wyłączenia z programu w programach lekowych dotyczących leczenia RZS).</w:t>
            </w:r>
          </w:p>
          <w:p w14:paraId="0F07EA81" w14:textId="4AE8A7D9" w:rsidR="008A3AAD" w:rsidRPr="002A565F" w:rsidRDefault="008A3AAD" w:rsidP="00A05A8B">
            <w:pPr>
              <w:pStyle w:val="Akapitzlist"/>
              <w:spacing w:after="60" w:line="276" w:lineRule="auto"/>
              <w:ind w:left="454"/>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Kwalifikacja do terapii filgotynibem po wcześniejszym leczeniu rytuksymabem jest możliwa dopiero po upływie co najmniej 6 miesięcy od podania ostatniej dawki rytuksymabu z uwzględnieniem potencjalnego ryzyka i korzyści.</w:t>
            </w:r>
          </w:p>
          <w:p w14:paraId="4F870ADC" w14:textId="5E2BFF70" w:rsidR="006D087B" w:rsidRPr="00154BF9" w:rsidRDefault="006D087B" w:rsidP="00A05A8B">
            <w:pPr>
              <w:pStyle w:val="Akapitzlist"/>
              <w:numPr>
                <w:ilvl w:val="3"/>
                <w:numId w:val="19"/>
              </w:numPr>
              <w:spacing w:after="60" w:line="276" w:lineRule="auto"/>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terapii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anakinrą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kwalifikują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się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także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pacjenci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chorobą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Stilla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dorosłych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(AOSD</w:t>
            </w:r>
            <w:r w:rsidR="00942CD3" w:rsidRPr="00154BF9">
              <w:rPr>
                <w:rFonts w:ascii="Times New Roman" w:eastAsia="Times New Roman" w:hAnsi="Times New Roman" w:cs="Times New Roman"/>
                <w:sz w:val="20"/>
                <w:szCs w:val="20"/>
                <w:lang w:eastAsia="pl-PL"/>
              </w:rPr>
              <w:t>)</w:t>
            </w:r>
            <w:r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poddani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najmniej:</w:t>
            </w:r>
          </w:p>
          <w:p w14:paraId="0AB8677A" w14:textId="5A7C19B4" w:rsidR="006D087B" w:rsidRPr="00154BF9" w:rsidRDefault="006D087B" w:rsidP="00A05A8B">
            <w:pPr>
              <w:pStyle w:val="Akapitzlist"/>
              <w:numPr>
                <w:ilvl w:val="4"/>
                <w:numId w:val="19"/>
              </w:numPr>
              <w:spacing w:after="60" w:line="276" w:lineRule="auto"/>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dwoma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inhibitorami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TNF</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alfa</w:t>
            </w:r>
            <w:r w:rsidR="0052643B" w:rsidRPr="00154BF9">
              <w:rPr>
                <w:rFonts w:ascii="Times New Roman" w:eastAsia="Times New Roman" w:hAnsi="Times New Roman" w:cs="Times New Roman"/>
                <w:sz w:val="20"/>
                <w:szCs w:val="20"/>
                <w:lang w:eastAsia="pl-PL"/>
              </w:rPr>
              <w:t xml:space="preserve"> </w:t>
            </w:r>
            <w:r w:rsidR="00067F48">
              <w:rPr>
                <w:rFonts w:ascii="Times New Roman" w:eastAsia="Times New Roman" w:hAnsi="Times New Roman" w:cs="Times New Roman"/>
                <w:sz w:val="20"/>
                <w:szCs w:val="20"/>
                <w:lang w:eastAsia="pl-PL"/>
              </w:rPr>
              <w:t>albo</w:t>
            </w:r>
            <w:r w:rsidR="00067F48"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rytuksymabem</w:t>
            </w:r>
            <w:r w:rsidR="0052643B" w:rsidRPr="00154BF9">
              <w:rPr>
                <w:rFonts w:ascii="Times New Roman" w:eastAsia="Times New Roman" w:hAnsi="Times New Roman" w:cs="Times New Roman"/>
                <w:sz w:val="20"/>
                <w:szCs w:val="20"/>
                <w:lang w:eastAsia="pl-PL"/>
              </w:rPr>
              <w:t xml:space="preserve"> </w:t>
            </w:r>
            <w:r w:rsidR="00067F48">
              <w:rPr>
                <w:rFonts w:ascii="Times New Roman" w:eastAsia="Times New Roman" w:hAnsi="Times New Roman" w:cs="Times New Roman"/>
                <w:sz w:val="20"/>
                <w:szCs w:val="20"/>
                <w:lang w:eastAsia="pl-PL"/>
              </w:rPr>
              <w:t>albo</w:t>
            </w:r>
            <w:r w:rsidR="00067F48"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tofacytynibem</w:t>
            </w:r>
            <w:r w:rsidR="0052643B" w:rsidRPr="00154BF9">
              <w:rPr>
                <w:rFonts w:ascii="Times New Roman" w:eastAsia="Times New Roman" w:hAnsi="Times New Roman" w:cs="Times New Roman"/>
                <w:sz w:val="20"/>
                <w:szCs w:val="20"/>
                <w:lang w:eastAsia="pl-PL"/>
              </w:rPr>
              <w:t xml:space="preserve"> </w:t>
            </w:r>
            <w:r w:rsidR="00067F48">
              <w:rPr>
                <w:rFonts w:ascii="Times New Roman" w:eastAsia="Times New Roman" w:hAnsi="Times New Roman" w:cs="Times New Roman"/>
                <w:sz w:val="20"/>
                <w:szCs w:val="20"/>
                <w:lang w:eastAsia="pl-PL"/>
              </w:rPr>
              <w:t>albo</w:t>
            </w:r>
            <w:r w:rsidR="00067F48"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baricytynibem</w:t>
            </w:r>
            <w:r w:rsidR="0052643B" w:rsidRPr="00154BF9">
              <w:rPr>
                <w:rFonts w:ascii="Times New Roman" w:eastAsia="Times New Roman" w:hAnsi="Times New Roman" w:cs="Times New Roman"/>
                <w:sz w:val="20"/>
                <w:szCs w:val="20"/>
                <w:lang w:eastAsia="pl-PL"/>
              </w:rPr>
              <w:t xml:space="preserve"> </w:t>
            </w:r>
            <w:r w:rsidR="00067F48">
              <w:rPr>
                <w:rFonts w:ascii="Times New Roman" w:eastAsia="Times New Roman" w:hAnsi="Times New Roman" w:cs="Times New Roman"/>
                <w:sz w:val="20"/>
                <w:szCs w:val="20"/>
                <w:lang w:eastAsia="pl-PL"/>
              </w:rPr>
              <w:t>albo</w:t>
            </w:r>
            <w:r w:rsidR="00067F48" w:rsidRPr="00154BF9">
              <w:rPr>
                <w:rFonts w:ascii="Times New Roman" w:eastAsia="Times New Roman" w:hAnsi="Times New Roman" w:cs="Times New Roman"/>
                <w:sz w:val="20"/>
                <w:szCs w:val="20"/>
                <w:lang w:eastAsia="pl-PL"/>
              </w:rPr>
              <w:t xml:space="preserve"> </w:t>
            </w:r>
            <w:r w:rsidR="00A0131A" w:rsidRPr="00154BF9">
              <w:rPr>
                <w:rFonts w:ascii="Times New Roman" w:eastAsia="Times New Roman" w:hAnsi="Times New Roman" w:cs="Times New Roman"/>
                <w:sz w:val="20"/>
                <w:szCs w:val="20"/>
                <w:lang w:eastAsia="pl-PL"/>
              </w:rPr>
              <w:t>upadacytynibem</w:t>
            </w:r>
            <w:r w:rsidR="0052643B" w:rsidRPr="00154BF9">
              <w:rPr>
                <w:rFonts w:ascii="Times New Roman" w:eastAsia="Times New Roman" w:hAnsi="Times New Roman" w:cs="Times New Roman"/>
                <w:sz w:val="20"/>
                <w:szCs w:val="20"/>
                <w:lang w:eastAsia="pl-PL"/>
              </w:rPr>
              <w:t xml:space="preserve"> </w:t>
            </w:r>
            <w:r w:rsidR="00067F48">
              <w:rPr>
                <w:rFonts w:ascii="Times New Roman" w:eastAsia="Times New Roman" w:hAnsi="Times New Roman" w:cs="Times New Roman"/>
                <w:sz w:val="20"/>
                <w:szCs w:val="20"/>
                <w:lang w:eastAsia="pl-PL"/>
              </w:rPr>
              <w:t xml:space="preserve">albo </w:t>
            </w:r>
            <w:r w:rsidR="00494CF1" w:rsidRPr="00154BF9">
              <w:rPr>
                <w:rFonts w:ascii="Times New Roman" w:eastAsia="Times New Roman" w:hAnsi="Times New Roman" w:cs="Times New Roman"/>
                <w:sz w:val="20"/>
                <w:szCs w:val="20"/>
                <w:lang w:eastAsia="pl-PL"/>
              </w:rPr>
              <w:t xml:space="preserve">filgotynibem </w:t>
            </w:r>
            <w:r w:rsidR="00067F48" w:rsidRPr="00067F48">
              <w:rPr>
                <w:rFonts w:ascii="Times New Roman" w:eastAsia="Times New Roman" w:hAnsi="Times New Roman" w:cs="Times New Roman"/>
                <w:sz w:val="20"/>
                <w:szCs w:val="20"/>
                <w:lang w:eastAsia="pl-PL"/>
              </w:rPr>
              <w:t xml:space="preserve">albo kanakinumabem </w:t>
            </w:r>
            <w:r w:rsidRPr="00154BF9">
              <w:rPr>
                <w:rFonts w:ascii="Times New Roman" w:eastAsia="Times New Roman" w:hAnsi="Times New Roman" w:cs="Times New Roman"/>
                <w:sz w:val="20"/>
                <w:szCs w:val="20"/>
                <w:lang w:eastAsia="pl-PL"/>
              </w:rPr>
              <w:t>zastosowanymi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zgodnie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kryteriami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których:</w:t>
            </w:r>
          </w:p>
          <w:p w14:paraId="50DA5CBB" w14:textId="66DAEBAB" w:rsidR="00A0131A" w:rsidRPr="00154BF9" w:rsidRDefault="006D087B" w:rsidP="00A05A8B">
            <w:pPr>
              <w:pStyle w:val="Akapitzlist"/>
              <w:numPr>
                <w:ilvl w:val="5"/>
                <w:numId w:val="19"/>
              </w:numPr>
              <w:spacing w:after="60" w:line="276" w:lineRule="auto"/>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lastRenderedPageBreak/>
              <w:t>wystąpiła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ciężka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reakcja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uczuleniowa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substancję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czynną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pomocniczą</w:t>
            </w:r>
          </w:p>
          <w:p w14:paraId="5F6666B8" w14:textId="7B719E7F" w:rsidR="006D087B" w:rsidRPr="00154BF9" w:rsidRDefault="006D087B" w:rsidP="00A05A8B">
            <w:pPr>
              <w:pStyle w:val="Akapitzlist"/>
              <w:spacing w:after="60" w:line="276" w:lineRule="auto"/>
              <w:ind w:left="680"/>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lub</w:t>
            </w:r>
          </w:p>
          <w:p w14:paraId="601135E0" w14:textId="13B0207C" w:rsidR="00A0131A" w:rsidRPr="00154BF9" w:rsidRDefault="006D087B" w:rsidP="00A05A8B">
            <w:pPr>
              <w:pStyle w:val="Akapitzlist"/>
              <w:numPr>
                <w:ilvl w:val="5"/>
                <w:numId w:val="19"/>
              </w:numPr>
              <w:spacing w:after="60" w:line="276" w:lineRule="auto"/>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wystąpiły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ciężkie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działania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niepożądane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uniemożliwiające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kontynuowanie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terapii,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które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ustępują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mimo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dostosowywania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dawki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zgodnie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ChPL</w:t>
            </w:r>
          </w:p>
          <w:p w14:paraId="767F91E8" w14:textId="64244FAB" w:rsidR="006D087B" w:rsidRPr="00154BF9" w:rsidRDefault="006D087B" w:rsidP="00A05A8B">
            <w:pPr>
              <w:pStyle w:val="Akapitzlist"/>
              <w:spacing w:after="60" w:line="276" w:lineRule="auto"/>
              <w:ind w:left="680"/>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lub</w:t>
            </w:r>
          </w:p>
          <w:p w14:paraId="13981876" w14:textId="77777777" w:rsidR="00067F48" w:rsidRDefault="006D087B" w:rsidP="00A05A8B">
            <w:pPr>
              <w:pStyle w:val="Akapitzlist"/>
              <w:numPr>
                <w:ilvl w:val="5"/>
                <w:numId w:val="19"/>
              </w:numPr>
              <w:spacing w:after="60" w:line="276" w:lineRule="auto"/>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stwierdzono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brak</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albo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utratę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odpowiedzi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zastosowane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których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zastosowanie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leków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jest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przeciwwskazane.</w:t>
            </w:r>
          </w:p>
          <w:p w14:paraId="3BAAFF44" w14:textId="1557FF4D" w:rsidR="00067F48" w:rsidRPr="00EC7B60" w:rsidRDefault="00067F48" w:rsidP="00A05A8B">
            <w:pPr>
              <w:pStyle w:val="Akapitzlist"/>
              <w:numPr>
                <w:ilvl w:val="3"/>
                <w:numId w:val="19"/>
              </w:numPr>
              <w:spacing w:after="60" w:line="276" w:lineRule="auto"/>
              <w:contextualSpacing w:val="0"/>
              <w:jc w:val="both"/>
              <w:rPr>
                <w:rFonts w:ascii="Times New Roman" w:eastAsia="Times New Roman" w:hAnsi="Times New Roman" w:cs="Times New Roman"/>
                <w:sz w:val="20"/>
                <w:szCs w:val="20"/>
                <w:lang w:eastAsia="pl-PL"/>
              </w:rPr>
            </w:pPr>
            <w:r w:rsidRPr="00EC7B60">
              <w:rPr>
                <w:rFonts w:ascii="Times New Roman" w:eastAsia="Times New Roman" w:hAnsi="Times New Roman" w:cs="Times New Roman"/>
                <w:sz w:val="20"/>
                <w:szCs w:val="20"/>
                <w:lang w:eastAsia="pl-PL"/>
              </w:rPr>
              <w:t>Do terapii kanakinumabem kwalifikują się także pacjenci z AOSD, poddani wcześniej leczeniu jednym, dwoma lub trzema inhibitorami TNF alfa albo tocilizumabem albo tofacytynibem albo baricytynibem albo upadacytynibem albo filgotynibem albo rytuksymabem albo anakinrą zastosowanymi zgodnie z kryteriami programu, u których:</w:t>
            </w:r>
          </w:p>
          <w:p w14:paraId="2A0FB171" w14:textId="778FE8EB" w:rsidR="00067F48" w:rsidRPr="00067F48" w:rsidRDefault="00067F48" w:rsidP="00A05A8B">
            <w:pPr>
              <w:pStyle w:val="Akapitzlist"/>
              <w:numPr>
                <w:ilvl w:val="5"/>
                <w:numId w:val="19"/>
              </w:numPr>
              <w:spacing w:after="60" w:line="276" w:lineRule="auto"/>
              <w:contextualSpacing w:val="0"/>
              <w:rPr>
                <w:rFonts w:ascii="Times New Roman" w:eastAsia="Times New Roman" w:hAnsi="Times New Roman" w:cs="Times New Roman"/>
                <w:sz w:val="20"/>
                <w:szCs w:val="20"/>
                <w:lang w:eastAsia="pl-PL"/>
              </w:rPr>
            </w:pPr>
            <w:r w:rsidRPr="00067F48">
              <w:rPr>
                <w:rFonts w:ascii="Times New Roman" w:eastAsia="Times New Roman" w:hAnsi="Times New Roman" w:cs="Times New Roman"/>
                <w:sz w:val="20"/>
                <w:szCs w:val="20"/>
                <w:lang w:eastAsia="pl-PL"/>
              </w:rPr>
              <w:t>wystąpiła ciężka reakcja uczuleniowa na substancję czynną lub pomocniczą</w:t>
            </w:r>
          </w:p>
          <w:p w14:paraId="3716F872" w14:textId="77777777" w:rsidR="00067F48" w:rsidRPr="00067F48" w:rsidRDefault="00067F48" w:rsidP="00A05A8B">
            <w:pPr>
              <w:pStyle w:val="Akapitzlist"/>
              <w:spacing w:after="60" w:line="276" w:lineRule="auto"/>
              <w:ind w:left="907"/>
              <w:contextualSpacing w:val="0"/>
              <w:rPr>
                <w:rFonts w:ascii="Times New Roman" w:eastAsia="Times New Roman" w:hAnsi="Times New Roman" w:cs="Times New Roman"/>
                <w:sz w:val="20"/>
                <w:szCs w:val="20"/>
                <w:lang w:eastAsia="pl-PL"/>
              </w:rPr>
            </w:pPr>
            <w:r w:rsidRPr="00067F48">
              <w:rPr>
                <w:rFonts w:ascii="Times New Roman" w:eastAsia="Times New Roman" w:hAnsi="Times New Roman" w:cs="Times New Roman"/>
                <w:sz w:val="20"/>
                <w:szCs w:val="20"/>
                <w:lang w:eastAsia="pl-PL"/>
              </w:rPr>
              <w:t>lub</w:t>
            </w:r>
          </w:p>
          <w:p w14:paraId="0745F054" w14:textId="66E76B7E" w:rsidR="00067F48" w:rsidRPr="00067F48" w:rsidRDefault="00067F48" w:rsidP="00A05A8B">
            <w:pPr>
              <w:pStyle w:val="Akapitzlist"/>
              <w:numPr>
                <w:ilvl w:val="5"/>
                <w:numId w:val="19"/>
              </w:numPr>
              <w:spacing w:after="60" w:line="276" w:lineRule="auto"/>
              <w:contextualSpacing w:val="0"/>
              <w:rPr>
                <w:rFonts w:ascii="Times New Roman" w:eastAsia="Times New Roman" w:hAnsi="Times New Roman" w:cs="Times New Roman"/>
                <w:sz w:val="20"/>
                <w:szCs w:val="20"/>
                <w:lang w:eastAsia="pl-PL"/>
              </w:rPr>
            </w:pPr>
            <w:r w:rsidRPr="00067F48">
              <w:rPr>
                <w:rFonts w:ascii="Times New Roman" w:eastAsia="Times New Roman" w:hAnsi="Times New Roman" w:cs="Times New Roman"/>
                <w:sz w:val="20"/>
                <w:szCs w:val="20"/>
                <w:lang w:eastAsia="pl-PL"/>
              </w:rPr>
              <w:t>wystąpiły ciężkie działania niepożądane uniemożliwiające kontynuowanie terapii, które nie ustępują mimo dostosowywania dawki leku zgodnie z ChPL</w:t>
            </w:r>
          </w:p>
          <w:p w14:paraId="212181DC" w14:textId="77777777" w:rsidR="00067F48" w:rsidRPr="00067F48" w:rsidRDefault="00067F48" w:rsidP="00A05A8B">
            <w:pPr>
              <w:pStyle w:val="Akapitzlist"/>
              <w:spacing w:after="60" w:line="276" w:lineRule="auto"/>
              <w:ind w:left="907"/>
              <w:contextualSpacing w:val="0"/>
              <w:rPr>
                <w:rFonts w:ascii="Times New Roman" w:eastAsia="Times New Roman" w:hAnsi="Times New Roman" w:cs="Times New Roman"/>
                <w:sz w:val="20"/>
                <w:szCs w:val="20"/>
                <w:lang w:eastAsia="pl-PL"/>
              </w:rPr>
            </w:pPr>
            <w:r w:rsidRPr="00067F48">
              <w:rPr>
                <w:rFonts w:ascii="Times New Roman" w:eastAsia="Times New Roman" w:hAnsi="Times New Roman" w:cs="Times New Roman"/>
                <w:sz w:val="20"/>
                <w:szCs w:val="20"/>
                <w:lang w:eastAsia="pl-PL"/>
              </w:rPr>
              <w:t>lub</w:t>
            </w:r>
          </w:p>
          <w:p w14:paraId="2600C628" w14:textId="5A67C038" w:rsidR="00067F48" w:rsidRPr="00EC7B60" w:rsidRDefault="00067F48" w:rsidP="00A05A8B">
            <w:pPr>
              <w:pStyle w:val="Akapitzlist"/>
              <w:numPr>
                <w:ilvl w:val="5"/>
                <w:numId w:val="19"/>
              </w:numPr>
              <w:spacing w:after="60" w:line="276" w:lineRule="auto"/>
              <w:contextualSpacing w:val="0"/>
              <w:jc w:val="both"/>
              <w:rPr>
                <w:rFonts w:ascii="Times New Roman" w:eastAsia="Times New Roman" w:hAnsi="Times New Roman" w:cs="Times New Roman"/>
                <w:sz w:val="20"/>
                <w:szCs w:val="20"/>
                <w:lang w:eastAsia="pl-PL"/>
              </w:rPr>
            </w:pPr>
            <w:r w:rsidRPr="00067F48">
              <w:rPr>
                <w:rFonts w:ascii="Times New Roman" w:eastAsia="Times New Roman" w:hAnsi="Times New Roman" w:cs="Times New Roman"/>
                <w:sz w:val="20"/>
                <w:szCs w:val="20"/>
                <w:lang w:eastAsia="pl-PL"/>
              </w:rPr>
              <w:t>stwierdzono brak albo utratę odpowiedzi na zastosowane leczenie, lub u których zastosowanie w/w leków w programie jest przeciwwskazane lub z uwagi na postać kliniczną AOSD nie jest wskazane</w:t>
            </w:r>
            <w:r w:rsidR="006E514E">
              <w:rPr>
                <w:rFonts w:ascii="Times New Roman" w:eastAsia="Times New Roman" w:hAnsi="Times New Roman" w:cs="Times New Roman"/>
                <w:sz w:val="20"/>
                <w:szCs w:val="20"/>
                <w:lang w:eastAsia="pl-PL"/>
              </w:rPr>
              <w:t>.</w:t>
            </w:r>
          </w:p>
          <w:p w14:paraId="57D0A4B4" w14:textId="57139ECF" w:rsidR="00C134CF" w:rsidRPr="00154BF9" w:rsidRDefault="009D7AE1" w:rsidP="00A05A8B">
            <w:pPr>
              <w:numPr>
                <w:ilvl w:val="3"/>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ramach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w:t>
            </w:r>
            <w:r w:rsidR="006E514E">
              <w:rPr>
                <w:rFonts w:ascii="Times New Roman" w:eastAsia="Times New Roman" w:hAnsi="Times New Roman" w:cs="Times New Roman"/>
                <w:sz w:val="20"/>
                <w:szCs w:val="20"/>
                <w:lang w:eastAsia="pl-PL"/>
              </w:rPr>
              <w:t>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lekow</w:t>
            </w:r>
            <w:r w:rsidR="006E514E">
              <w:rPr>
                <w:rFonts w:ascii="Times New Roman" w:eastAsia="Times New Roman" w:hAnsi="Times New Roman" w:cs="Times New Roman"/>
                <w:sz w:val="20"/>
                <w:szCs w:val="20"/>
                <w:lang w:eastAsia="pl-PL"/>
              </w:rPr>
              <w:t>ego</w:t>
            </w:r>
            <w:r w:rsidR="0052643B" w:rsidRPr="00154BF9">
              <w:rPr>
                <w:rFonts w:ascii="Times New Roman" w:eastAsia="Times New Roman" w:hAnsi="Times New Roman" w:cs="Times New Roman"/>
                <w:sz w:val="20"/>
                <w:szCs w:val="20"/>
                <w:lang w:eastAsia="pl-PL"/>
              </w:rPr>
              <w:t xml:space="preserve"> </w:t>
            </w:r>
            <w:r w:rsidR="006E514E">
              <w:rPr>
                <w:rFonts w:ascii="Times New Roman" w:eastAsia="Times New Roman" w:hAnsi="Times New Roman" w:cs="Times New Roman"/>
                <w:sz w:val="20"/>
                <w:szCs w:val="20"/>
                <w:lang w:eastAsia="pl-PL"/>
              </w:rPr>
              <w:t>u pacjentów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RZS</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jest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możliwe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zastosowanie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więcej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niż</w:t>
            </w:r>
            <w:r w:rsidR="0052643B" w:rsidRPr="00154BF9">
              <w:rPr>
                <w:rFonts w:ascii="Times New Roman" w:eastAsia="Times New Roman" w:hAnsi="Times New Roman" w:cs="Times New Roman"/>
                <w:sz w:val="20"/>
                <w:szCs w:val="20"/>
                <w:lang w:eastAsia="pl-PL"/>
              </w:rPr>
              <w:t xml:space="preserve"> </w:t>
            </w:r>
            <w:r w:rsidR="00342F2A" w:rsidRPr="00154BF9">
              <w:rPr>
                <w:rFonts w:ascii="Times New Roman" w:eastAsia="Times New Roman" w:hAnsi="Times New Roman" w:cs="Times New Roman"/>
                <w:sz w:val="20"/>
                <w:szCs w:val="20"/>
                <w:lang w:eastAsia="pl-PL"/>
              </w:rPr>
              <w:t xml:space="preserve">dziewięciu </w:t>
            </w:r>
            <w:r w:rsidRPr="00154BF9">
              <w:rPr>
                <w:rFonts w:ascii="Times New Roman" w:eastAsia="Times New Roman" w:hAnsi="Times New Roman" w:cs="Times New Roman"/>
                <w:sz w:val="20"/>
                <w:szCs w:val="20"/>
                <w:lang w:eastAsia="pl-PL"/>
              </w:rPr>
              <w:t>leków</w:t>
            </w:r>
            <w:r w:rsidR="009D2AF5"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009D2AF5"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009D2AF5" w:rsidRPr="00154BF9">
              <w:rPr>
                <w:rFonts w:ascii="Times New Roman" w:eastAsia="Times New Roman" w:hAnsi="Times New Roman" w:cs="Times New Roman"/>
                <w:sz w:val="20"/>
                <w:szCs w:val="20"/>
                <w:lang w:eastAsia="pl-PL"/>
              </w:rPr>
              <w:t>tym</w:t>
            </w:r>
            <w:r w:rsidR="0052643B" w:rsidRPr="00154BF9">
              <w:rPr>
                <w:rFonts w:ascii="Times New Roman" w:eastAsia="Times New Roman" w:hAnsi="Times New Roman" w:cs="Times New Roman"/>
                <w:sz w:val="20"/>
                <w:szCs w:val="20"/>
                <w:lang w:eastAsia="pl-PL"/>
              </w:rPr>
              <w:t xml:space="preserve"> </w:t>
            </w:r>
            <w:r w:rsidR="009D2AF5" w:rsidRPr="00154BF9">
              <w:rPr>
                <w:rFonts w:ascii="Times New Roman" w:eastAsia="Times New Roman" w:hAnsi="Times New Roman" w:cs="Times New Roman"/>
                <w:sz w:val="20"/>
                <w:szCs w:val="20"/>
                <w:lang w:eastAsia="pl-PL"/>
              </w:rPr>
              <w:t>pięciu</w:t>
            </w:r>
            <w:r w:rsidR="0052643B" w:rsidRPr="00154BF9">
              <w:rPr>
                <w:rFonts w:ascii="Times New Roman" w:eastAsia="Times New Roman" w:hAnsi="Times New Roman" w:cs="Times New Roman"/>
                <w:sz w:val="20"/>
                <w:szCs w:val="20"/>
                <w:lang w:eastAsia="pl-PL"/>
              </w:rPr>
              <w:t xml:space="preserve"> </w:t>
            </w:r>
            <w:r w:rsidR="009D2AF5" w:rsidRPr="00154BF9">
              <w:rPr>
                <w:rFonts w:ascii="Times New Roman" w:eastAsia="Times New Roman" w:hAnsi="Times New Roman" w:cs="Times New Roman"/>
                <w:sz w:val="20"/>
                <w:szCs w:val="20"/>
                <w:lang w:eastAsia="pl-PL"/>
              </w:rPr>
              <w:t>leków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biologicznych</w:t>
            </w:r>
            <w:r w:rsidR="0052643B" w:rsidRPr="00154BF9">
              <w:rPr>
                <w:rFonts w:ascii="Times New Roman" w:eastAsia="Times New Roman" w:hAnsi="Times New Roman" w:cs="Times New Roman"/>
                <w:sz w:val="20"/>
                <w:szCs w:val="20"/>
                <w:lang w:eastAsia="pl-PL"/>
              </w:rPr>
              <w:t xml:space="preserve"> </w:t>
            </w:r>
            <w:r w:rsidR="000770C4" w:rsidRPr="00154BF9">
              <w:rPr>
                <w:rFonts w:ascii="Times New Roman" w:eastAsia="Times New Roman" w:hAnsi="Times New Roman" w:cs="Times New Roman"/>
                <w:sz w:val="20"/>
                <w:szCs w:val="20"/>
                <w:lang w:eastAsia="pl-PL"/>
              </w:rPr>
              <w:t>i</w:t>
            </w:r>
            <w:r w:rsidR="0052643B" w:rsidRPr="00154BF9">
              <w:rPr>
                <w:rFonts w:ascii="Times New Roman" w:eastAsia="Times New Roman" w:hAnsi="Times New Roman" w:cs="Times New Roman"/>
                <w:sz w:val="20"/>
                <w:szCs w:val="20"/>
                <w:lang w:eastAsia="pl-PL"/>
              </w:rPr>
              <w:t xml:space="preserve"> </w:t>
            </w:r>
            <w:r w:rsidR="009D2AF5" w:rsidRPr="00154BF9">
              <w:rPr>
                <w:rFonts w:ascii="Times New Roman" w:eastAsia="Times New Roman" w:hAnsi="Times New Roman" w:cs="Times New Roman"/>
                <w:sz w:val="20"/>
                <w:szCs w:val="20"/>
                <w:lang w:eastAsia="pl-PL"/>
              </w:rPr>
              <w:t>baricytynibu</w:t>
            </w:r>
            <w:r w:rsidR="00C10F7E"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tofacytynibu</w:t>
            </w:r>
            <w:r w:rsidR="000770C4"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00C10F7E" w:rsidRPr="00154BF9">
              <w:rPr>
                <w:rFonts w:ascii="Times New Roman" w:eastAsia="Times New Roman" w:hAnsi="Times New Roman" w:cs="Times New Roman"/>
                <w:sz w:val="20"/>
                <w:szCs w:val="20"/>
                <w:lang w:eastAsia="pl-PL"/>
              </w:rPr>
              <w:t>upadacytynibu</w:t>
            </w:r>
            <w:r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007D77AD" w:rsidRPr="00154BF9">
              <w:rPr>
                <w:rFonts w:ascii="Times New Roman" w:eastAsia="Times New Roman" w:hAnsi="Times New Roman" w:cs="Times New Roman"/>
                <w:sz w:val="20"/>
                <w:szCs w:val="20"/>
                <w:lang w:eastAsia="pl-PL"/>
              </w:rPr>
              <w:t>filgotynibu</w:t>
            </w:r>
            <w:r w:rsidR="0068560B" w:rsidRPr="00154BF9">
              <w:rPr>
                <w:rFonts w:ascii="Times New Roman" w:eastAsia="Times New Roman" w:hAnsi="Times New Roman" w:cs="Times New Roman"/>
                <w:sz w:val="20"/>
                <w:szCs w:val="20"/>
                <w:lang w:eastAsia="pl-PL"/>
              </w:rPr>
              <w:t>,</w:t>
            </w:r>
            <w:r w:rsidR="007D77AD"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tym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więcej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niż</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dwóch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inhibitorów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TNF</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alfa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przypadku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nieskuteczności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oraz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więcej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niż</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trzech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inhibitorów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TNF</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alfa,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jeśli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przyczyną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lastRenderedPageBreak/>
              <w:t>odstawienia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przynajmniej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jednego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była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nietolerancja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działania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niepożądane</w:t>
            </w:r>
            <w:r w:rsidR="008C0EA1" w:rsidRPr="00154BF9">
              <w:rPr>
                <w:rFonts w:ascii="Times New Roman" w:eastAsia="Times New Roman" w:hAnsi="Times New Roman" w:cs="Times New Roman"/>
                <w:sz w:val="20"/>
                <w:szCs w:val="20"/>
                <w:lang w:eastAsia="pl-PL"/>
              </w:rPr>
              <w:t>.</w:t>
            </w:r>
          </w:p>
          <w:p w14:paraId="2B3A9D18" w14:textId="2B5D36D8" w:rsidR="006D087B" w:rsidRPr="00154BF9" w:rsidRDefault="006D087B" w:rsidP="00A05A8B">
            <w:pPr>
              <w:pStyle w:val="Akapitzlist"/>
              <w:numPr>
                <w:ilvl w:val="3"/>
                <w:numId w:val="19"/>
              </w:numPr>
              <w:spacing w:after="60" w:line="276" w:lineRule="auto"/>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ramach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lekowego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pacjentów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AOSD</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jest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możliwe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zastosowanie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więcej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niż</w:t>
            </w:r>
            <w:r w:rsidR="0052643B" w:rsidRPr="00154BF9">
              <w:rPr>
                <w:rFonts w:ascii="Times New Roman" w:eastAsia="Times New Roman" w:hAnsi="Times New Roman" w:cs="Times New Roman"/>
                <w:sz w:val="20"/>
                <w:szCs w:val="20"/>
                <w:lang w:eastAsia="pl-PL"/>
              </w:rPr>
              <w:t xml:space="preserve"> </w:t>
            </w:r>
            <w:r w:rsidR="006E514E">
              <w:rPr>
                <w:rFonts w:ascii="Times New Roman" w:eastAsia="Times New Roman" w:hAnsi="Times New Roman" w:cs="Times New Roman"/>
                <w:sz w:val="20"/>
                <w:szCs w:val="20"/>
                <w:lang w:eastAsia="pl-PL"/>
              </w:rPr>
              <w:t>jedenastu</w:t>
            </w:r>
            <w:r w:rsidR="006E514E"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leków,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tym</w:t>
            </w:r>
            <w:r w:rsidR="0052643B" w:rsidRPr="00154BF9">
              <w:rPr>
                <w:rFonts w:ascii="Times New Roman" w:eastAsia="Times New Roman" w:hAnsi="Times New Roman" w:cs="Times New Roman"/>
                <w:sz w:val="20"/>
                <w:szCs w:val="20"/>
                <w:lang w:eastAsia="pl-PL"/>
              </w:rPr>
              <w:t xml:space="preserve"> </w:t>
            </w:r>
            <w:r w:rsidR="00494CF1" w:rsidRPr="00154BF9">
              <w:rPr>
                <w:rFonts w:ascii="Times New Roman" w:eastAsia="Times New Roman" w:hAnsi="Times New Roman" w:cs="Times New Roman"/>
                <w:sz w:val="20"/>
                <w:szCs w:val="20"/>
                <w:lang w:eastAsia="pl-PL"/>
              </w:rPr>
              <w:t>siedmiu</w:t>
            </w:r>
            <w:r w:rsidR="0052643B" w:rsidRPr="00154BF9">
              <w:rPr>
                <w:rFonts w:ascii="Times New Roman" w:hAnsi="Times New Roman" w:cs="Times New Roman"/>
                <w:sz w:val="20"/>
                <w:szCs w:val="20"/>
              </w:rPr>
              <w:t xml:space="preserve"> </w:t>
            </w:r>
            <w:r w:rsidRPr="00154BF9">
              <w:rPr>
                <w:rFonts w:ascii="Times New Roman" w:eastAsia="Times New Roman" w:hAnsi="Times New Roman" w:cs="Times New Roman"/>
                <w:sz w:val="20"/>
                <w:szCs w:val="20"/>
                <w:lang w:eastAsia="pl-PL"/>
              </w:rPr>
              <w:t>leków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biologicznych,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baricytynibu</w:t>
            </w:r>
            <w:r w:rsidR="002140C4"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tofacytynibu</w:t>
            </w:r>
            <w:r w:rsidR="00494CF1" w:rsidRPr="00154BF9">
              <w:rPr>
                <w:rFonts w:ascii="Times New Roman" w:eastAsia="Times New Roman" w:hAnsi="Times New Roman" w:cs="Times New Roman"/>
                <w:sz w:val="20"/>
                <w:szCs w:val="20"/>
                <w:lang w:eastAsia="pl-PL"/>
              </w:rPr>
              <w:t xml:space="preserve">, </w:t>
            </w:r>
            <w:r w:rsidR="00A73D51" w:rsidRPr="00154BF9">
              <w:rPr>
                <w:rFonts w:ascii="Times New Roman" w:eastAsia="Times New Roman" w:hAnsi="Times New Roman" w:cs="Times New Roman"/>
                <w:sz w:val="20"/>
                <w:szCs w:val="20"/>
                <w:lang w:eastAsia="pl-PL"/>
              </w:rPr>
              <w:t>upadacytynibu</w:t>
            </w:r>
            <w:r w:rsidR="00494CF1" w:rsidRPr="00154BF9">
              <w:rPr>
                <w:rFonts w:ascii="Times New Roman" w:eastAsia="Times New Roman" w:hAnsi="Times New Roman" w:cs="Times New Roman"/>
                <w:sz w:val="20"/>
                <w:szCs w:val="20"/>
                <w:lang w:eastAsia="pl-PL"/>
              </w:rPr>
              <w:t xml:space="preserve"> i filgotynibu</w:t>
            </w:r>
            <w:r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tym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więcej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niż</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dwóch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inhibitorów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TNF</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alfa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przypadku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nieskuteczności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oraz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więcej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niż</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trzech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inhibitorów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TNF</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alfa,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jeśli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przyczyną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odstawienia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przynajmniej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jednego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była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nietolerancja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działania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niepożądane.</w:t>
            </w:r>
          </w:p>
          <w:p w14:paraId="7A4B5FF5" w14:textId="64AFD708" w:rsidR="00C134CF" w:rsidRPr="00154BF9" w:rsidRDefault="009D7AE1" w:rsidP="00A05A8B">
            <w:pPr>
              <w:numPr>
                <w:ilvl w:val="3"/>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ramach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dopuszcza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się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możliwości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ponownej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kwalifikacji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terapii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substancją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czynną,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którą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pacjent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był</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leczony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przeszłości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nieskutecznie.</w:t>
            </w:r>
          </w:p>
          <w:p w14:paraId="38AD40A7" w14:textId="381A487C" w:rsidR="00C134CF" w:rsidRPr="00154BF9" w:rsidRDefault="009D7AE1" w:rsidP="00A05A8B">
            <w:pPr>
              <w:numPr>
                <w:ilvl w:val="3"/>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Kwalifikacja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pacjenta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drugiego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kolejnych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ramach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lekowego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wymaga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zgody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Zespołu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Koordynacyjnego,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jeśli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jest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zgodna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opisem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programu.</w:t>
            </w:r>
          </w:p>
          <w:p w14:paraId="699609E0" w14:textId="779CEC6C" w:rsidR="00C134CF" w:rsidRPr="00154BF9" w:rsidRDefault="009D7AE1" w:rsidP="00A05A8B">
            <w:pPr>
              <w:numPr>
                <w:ilvl w:val="3"/>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przypadkach,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których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pacjentowi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grozi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kalectwo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zagrożone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jest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jego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życie,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decyzją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Zespołu</w:t>
            </w:r>
            <w:r w:rsidR="0052643B" w:rsidRPr="00154BF9">
              <w:rPr>
                <w:rFonts w:ascii="Times New Roman" w:eastAsia="Times New Roman" w:hAnsi="Times New Roman" w:cs="Times New Roman"/>
                <w:sz w:val="20"/>
                <w:szCs w:val="20"/>
                <w:lang w:eastAsia="pl-PL"/>
              </w:rPr>
              <w:t xml:space="preserve"> </w:t>
            </w:r>
            <w:r w:rsidR="00696524" w:rsidRPr="00154BF9">
              <w:rPr>
                <w:rFonts w:ascii="Times New Roman" w:eastAsia="Times New Roman" w:hAnsi="Times New Roman" w:cs="Times New Roman"/>
                <w:sz w:val="20"/>
                <w:szCs w:val="20"/>
                <w:lang w:eastAsia="pl-PL"/>
              </w:rPr>
              <w:t>Koordynacyjnego ds.</w:t>
            </w:r>
            <w:r w:rsidR="00630679"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Biologicznego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Chorobach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Reumatycznych,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pacjent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może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być</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zakwalifikowany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biologicznego</w:t>
            </w:r>
            <w:r w:rsidR="0052643B" w:rsidRPr="00154BF9">
              <w:rPr>
                <w:rFonts w:ascii="Times New Roman" w:eastAsia="Times New Roman" w:hAnsi="Times New Roman" w:cs="Times New Roman"/>
                <w:sz w:val="20"/>
                <w:szCs w:val="20"/>
                <w:lang w:eastAsia="pl-PL"/>
              </w:rPr>
              <w:t xml:space="preserve"> </w:t>
            </w:r>
            <w:r w:rsidR="00843ABB" w:rsidRPr="00154BF9">
              <w:rPr>
                <w:rFonts w:ascii="Times New Roman" w:eastAsia="Times New Roman" w:hAnsi="Times New Roman" w:cs="Times New Roman"/>
                <w:sz w:val="20"/>
                <w:szCs w:val="20"/>
                <w:lang w:eastAsia="pl-PL"/>
              </w:rPr>
              <w:t>albo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tofacytyni</w:t>
            </w:r>
            <w:r w:rsidR="000D7B59" w:rsidRPr="00154BF9">
              <w:rPr>
                <w:rFonts w:ascii="Times New Roman" w:eastAsia="Times New Roman" w:hAnsi="Times New Roman" w:cs="Times New Roman"/>
                <w:sz w:val="20"/>
                <w:szCs w:val="20"/>
                <w:lang w:eastAsia="pl-PL"/>
              </w:rPr>
              <w:t>bem</w:t>
            </w:r>
            <w:r w:rsidR="0052643B" w:rsidRPr="00154BF9">
              <w:rPr>
                <w:rFonts w:ascii="Times New Roman" w:eastAsia="Times New Roman" w:hAnsi="Times New Roman" w:cs="Times New Roman"/>
                <w:sz w:val="20"/>
                <w:szCs w:val="20"/>
                <w:lang w:eastAsia="pl-PL"/>
              </w:rPr>
              <w:t xml:space="preserve"> </w:t>
            </w:r>
            <w:r w:rsidR="00843ABB" w:rsidRPr="00154BF9">
              <w:rPr>
                <w:rFonts w:ascii="Times New Roman" w:eastAsia="Times New Roman" w:hAnsi="Times New Roman" w:cs="Times New Roman"/>
                <w:sz w:val="20"/>
                <w:szCs w:val="20"/>
                <w:lang w:eastAsia="pl-PL"/>
              </w:rPr>
              <w:t>albo</w:t>
            </w:r>
            <w:r w:rsidR="0052643B" w:rsidRPr="00154BF9">
              <w:rPr>
                <w:rFonts w:ascii="Times New Roman" w:eastAsia="Times New Roman" w:hAnsi="Times New Roman" w:cs="Times New Roman"/>
                <w:sz w:val="20"/>
                <w:szCs w:val="20"/>
                <w:lang w:eastAsia="pl-PL"/>
              </w:rPr>
              <w:t xml:space="preserve"> </w:t>
            </w:r>
            <w:r w:rsidR="008939D6" w:rsidRPr="00154BF9">
              <w:rPr>
                <w:rFonts w:ascii="Times New Roman" w:eastAsia="Times New Roman" w:hAnsi="Times New Roman" w:cs="Times New Roman"/>
                <w:sz w:val="20"/>
                <w:szCs w:val="20"/>
                <w:lang w:eastAsia="pl-PL"/>
              </w:rPr>
              <w:t>baricytynib</w:t>
            </w:r>
            <w:r w:rsidR="000D7B59" w:rsidRPr="00154BF9">
              <w:rPr>
                <w:rFonts w:ascii="Times New Roman" w:eastAsia="Times New Roman" w:hAnsi="Times New Roman" w:cs="Times New Roman"/>
                <w:sz w:val="20"/>
                <w:szCs w:val="20"/>
                <w:lang w:eastAsia="pl-PL"/>
              </w:rPr>
              <w:t>em</w:t>
            </w:r>
            <w:r w:rsidR="0052643B" w:rsidRPr="00154BF9">
              <w:rPr>
                <w:rFonts w:ascii="Times New Roman" w:hAnsi="Times New Roman" w:cs="Times New Roman"/>
                <w:sz w:val="20"/>
                <w:szCs w:val="20"/>
              </w:rPr>
              <w:t xml:space="preserve"> </w:t>
            </w:r>
            <w:r w:rsidR="00843ABB" w:rsidRPr="00154BF9">
              <w:rPr>
                <w:rFonts w:ascii="Times New Roman" w:eastAsia="Times New Roman" w:hAnsi="Times New Roman" w:cs="Times New Roman"/>
                <w:sz w:val="20"/>
                <w:szCs w:val="20"/>
                <w:lang w:eastAsia="pl-PL"/>
              </w:rPr>
              <w:t>albo</w:t>
            </w:r>
            <w:r w:rsidR="0052643B" w:rsidRPr="00154BF9">
              <w:rPr>
                <w:rFonts w:ascii="Times New Roman" w:eastAsia="Times New Roman" w:hAnsi="Times New Roman" w:cs="Times New Roman"/>
                <w:sz w:val="20"/>
                <w:szCs w:val="20"/>
                <w:lang w:eastAsia="pl-PL"/>
              </w:rPr>
              <w:t xml:space="preserve"> </w:t>
            </w:r>
            <w:r w:rsidR="00F37E0B" w:rsidRPr="00154BF9">
              <w:rPr>
                <w:rFonts w:ascii="Times New Roman" w:eastAsia="Times New Roman" w:hAnsi="Times New Roman" w:cs="Times New Roman"/>
                <w:sz w:val="20"/>
                <w:szCs w:val="20"/>
                <w:lang w:eastAsia="pl-PL"/>
              </w:rPr>
              <w:t>upadacytyni</w:t>
            </w:r>
            <w:r w:rsidR="000D7B59" w:rsidRPr="00154BF9">
              <w:rPr>
                <w:rFonts w:ascii="Times New Roman" w:eastAsia="Times New Roman" w:hAnsi="Times New Roman" w:cs="Times New Roman"/>
                <w:sz w:val="20"/>
                <w:szCs w:val="20"/>
                <w:lang w:eastAsia="pl-PL"/>
              </w:rPr>
              <w:t>bem</w:t>
            </w:r>
            <w:r w:rsidR="00843ABB" w:rsidRPr="00154BF9">
              <w:rPr>
                <w:rFonts w:ascii="Times New Roman" w:eastAsia="Times New Roman" w:hAnsi="Times New Roman" w:cs="Times New Roman"/>
                <w:sz w:val="20"/>
                <w:szCs w:val="20"/>
                <w:lang w:eastAsia="pl-PL"/>
              </w:rPr>
              <w:t xml:space="preserve"> albo</w:t>
            </w:r>
            <w:r w:rsidR="0004021B" w:rsidRPr="00154BF9">
              <w:rPr>
                <w:rFonts w:ascii="Times New Roman" w:eastAsia="Times New Roman" w:hAnsi="Times New Roman" w:cs="Times New Roman"/>
                <w:sz w:val="20"/>
                <w:szCs w:val="20"/>
                <w:lang w:eastAsia="pl-PL"/>
              </w:rPr>
              <w:t xml:space="preserve"> </w:t>
            </w:r>
            <w:r w:rsidR="00EA4A2E" w:rsidRPr="00154BF9">
              <w:rPr>
                <w:rFonts w:ascii="Times New Roman" w:eastAsia="Times New Roman" w:hAnsi="Times New Roman" w:cs="Times New Roman"/>
                <w:sz w:val="20"/>
                <w:szCs w:val="20"/>
                <w:lang w:eastAsia="pl-PL"/>
              </w:rPr>
              <w:t>filgotynibem 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przypadku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niespełnienia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części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kryteriów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opisanych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jeśli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jest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zgodne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aktualnie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obowiązującymi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rekomendacjami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oraz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wiedzą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medyczną.</w:t>
            </w:r>
          </w:p>
          <w:p w14:paraId="793CE331" w14:textId="02335E15" w:rsidR="00984622" w:rsidRPr="00154BF9" w:rsidRDefault="00984622" w:rsidP="00A05A8B">
            <w:pPr>
              <w:numPr>
                <w:ilvl w:val="3"/>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W przypadku kobiet wymagana jest zgoda na świadomą kontrolę urodzeń, zgodnie z Charakterystyką Produktu Leczniczego leku, którym odbywa się leczenie w programie lekowym.</w:t>
            </w:r>
          </w:p>
          <w:p w14:paraId="2FE4CF27" w14:textId="4644D4C7" w:rsidR="00984622" w:rsidRPr="00154BF9" w:rsidRDefault="00984622" w:rsidP="00A05A8B">
            <w:pPr>
              <w:numPr>
                <w:ilvl w:val="3"/>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W przypadku ciąży lub karmienia piersią dopuszcza się możliwość leczenia uzasadnioną aktualną wiedzą medyczną - do decyzji lekarza prowadzącego.</w:t>
            </w:r>
          </w:p>
          <w:p w14:paraId="77EBEAD9" w14:textId="03EEE8D2" w:rsidR="00984622" w:rsidRPr="00154BF9" w:rsidRDefault="00984622" w:rsidP="00A05A8B">
            <w:pPr>
              <w:numPr>
                <w:ilvl w:val="3"/>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Adekwatna wydolność narządowa określona na podstawie wyników badań laboratoryjnych krwi zgodnie z zapisami aktualnej Charakterystyki Produktu Leczniczego (zwanej dalej ChPL).</w:t>
            </w:r>
          </w:p>
          <w:p w14:paraId="309D8550" w14:textId="3EB08260" w:rsidR="00984622" w:rsidRPr="00154BF9" w:rsidRDefault="00984622" w:rsidP="00A05A8B">
            <w:pPr>
              <w:numPr>
                <w:ilvl w:val="3"/>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lastRenderedPageBreak/>
              <w:t>Nieobecność istotnych schorzeń współistniejących stanowiących przeciwskazanie do terapii stwierdzonych przez lekarza prowadzącego w oparciu o aktualną ChPL.</w:t>
            </w:r>
          </w:p>
          <w:p w14:paraId="6869E8BC" w14:textId="1CA5FFA9" w:rsidR="004038D2" w:rsidRPr="00154BF9" w:rsidRDefault="00984622" w:rsidP="00A05A8B">
            <w:pPr>
              <w:numPr>
                <w:ilvl w:val="3"/>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Brak przeciwwskazań do stosowania określonej w aktualnej ChPL substancji czynnej ujętej w programie lekowym, z uwzględnieniem rekomendacji EULAR/ ACR.</w:t>
            </w:r>
          </w:p>
          <w:p w14:paraId="68F0A7E4" w14:textId="6BF5CF33" w:rsidR="00604F32" w:rsidRDefault="00604F32" w:rsidP="00A05A8B">
            <w:pPr>
              <w:spacing w:after="60" w:line="276" w:lineRule="auto"/>
              <w:ind w:left="227"/>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Ponadto do programu lekowego kwalifikowani są pacjenci wymagający kontynuacji leczenia, którzy byli leczeni substancjami czynnymi finansowanymi w programie lekowym w ramach innego sposobu finansowania terapii (za wyjątkiem trwających badań klinicznych tych leków), pod warunkiem, że w chwili rozpoczęcia leczenia spełniali kryteria kwalifikacji do programu lekowego.</w:t>
            </w:r>
          </w:p>
          <w:p w14:paraId="3E36179F" w14:textId="77777777" w:rsidR="004F7B25" w:rsidRPr="00154BF9" w:rsidRDefault="004F7B25" w:rsidP="00A05A8B">
            <w:pPr>
              <w:spacing w:after="60" w:line="276" w:lineRule="auto"/>
              <w:ind w:left="227"/>
              <w:jc w:val="both"/>
              <w:rPr>
                <w:rFonts w:ascii="Times New Roman" w:eastAsia="Times New Roman" w:hAnsi="Times New Roman" w:cs="Times New Roman"/>
                <w:sz w:val="20"/>
                <w:szCs w:val="20"/>
                <w:lang w:eastAsia="pl-PL"/>
              </w:rPr>
            </w:pPr>
          </w:p>
          <w:p w14:paraId="0EF0979D" w14:textId="21E7DF8B" w:rsidR="009D7AE1" w:rsidRPr="004F7B25" w:rsidRDefault="009D7AE1" w:rsidP="00A05A8B">
            <w:pPr>
              <w:pStyle w:val="Akapitzlist"/>
              <w:numPr>
                <w:ilvl w:val="0"/>
                <w:numId w:val="19"/>
              </w:numPr>
              <w:spacing w:after="60" w:line="276" w:lineRule="auto"/>
              <w:contextualSpacing w:val="0"/>
              <w:jc w:val="both"/>
              <w:rPr>
                <w:rFonts w:ascii="Times New Roman" w:eastAsia="Times New Roman" w:hAnsi="Times New Roman" w:cs="Times New Roman"/>
                <w:b/>
                <w:bCs/>
                <w:sz w:val="20"/>
                <w:szCs w:val="20"/>
                <w:lang w:eastAsia="pl-PL"/>
              </w:rPr>
            </w:pPr>
            <w:r w:rsidRPr="004F7B25">
              <w:rPr>
                <w:rFonts w:ascii="Times New Roman" w:eastAsia="Times New Roman" w:hAnsi="Times New Roman" w:cs="Times New Roman"/>
                <w:b/>
                <w:bCs/>
                <w:sz w:val="20"/>
                <w:szCs w:val="20"/>
                <w:lang w:eastAsia="pl-PL"/>
              </w:rPr>
              <w:t>Czas</w:t>
            </w:r>
            <w:r w:rsidR="0052643B" w:rsidRPr="004F7B25">
              <w:rPr>
                <w:rFonts w:ascii="Times New Roman" w:eastAsia="Times New Roman" w:hAnsi="Times New Roman" w:cs="Times New Roman"/>
                <w:b/>
                <w:bCs/>
                <w:sz w:val="20"/>
                <w:szCs w:val="20"/>
                <w:lang w:eastAsia="pl-PL"/>
              </w:rPr>
              <w:t xml:space="preserve"> </w:t>
            </w:r>
            <w:r w:rsidRPr="004F7B25">
              <w:rPr>
                <w:rFonts w:ascii="Times New Roman" w:eastAsia="Times New Roman" w:hAnsi="Times New Roman" w:cs="Times New Roman"/>
                <w:b/>
                <w:bCs/>
                <w:sz w:val="20"/>
                <w:szCs w:val="20"/>
                <w:lang w:eastAsia="pl-PL"/>
              </w:rPr>
              <w:t>leczenia</w:t>
            </w:r>
            <w:r w:rsidR="0052643B" w:rsidRPr="004F7B25">
              <w:rPr>
                <w:rFonts w:ascii="Times New Roman" w:eastAsia="Times New Roman" w:hAnsi="Times New Roman" w:cs="Times New Roman"/>
                <w:b/>
                <w:bCs/>
                <w:sz w:val="20"/>
                <w:szCs w:val="20"/>
                <w:lang w:eastAsia="pl-PL"/>
              </w:rPr>
              <w:t xml:space="preserve"> </w:t>
            </w:r>
            <w:r w:rsidRPr="004F7B25">
              <w:rPr>
                <w:rFonts w:ascii="Times New Roman" w:eastAsia="Times New Roman" w:hAnsi="Times New Roman" w:cs="Times New Roman"/>
                <w:b/>
                <w:bCs/>
                <w:sz w:val="20"/>
                <w:szCs w:val="20"/>
                <w:lang w:eastAsia="pl-PL"/>
              </w:rPr>
              <w:t>w</w:t>
            </w:r>
            <w:r w:rsidR="0052643B" w:rsidRPr="004F7B25">
              <w:rPr>
                <w:rFonts w:ascii="Times New Roman" w:eastAsia="Times New Roman" w:hAnsi="Times New Roman" w:cs="Times New Roman"/>
                <w:b/>
                <w:bCs/>
                <w:sz w:val="20"/>
                <w:szCs w:val="20"/>
                <w:lang w:eastAsia="pl-PL"/>
              </w:rPr>
              <w:t xml:space="preserve"> </w:t>
            </w:r>
            <w:r w:rsidRPr="004F7B25">
              <w:rPr>
                <w:rFonts w:ascii="Times New Roman" w:eastAsia="Times New Roman" w:hAnsi="Times New Roman" w:cs="Times New Roman"/>
                <w:b/>
                <w:bCs/>
                <w:sz w:val="20"/>
                <w:szCs w:val="20"/>
                <w:lang w:eastAsia="pl-PL"/>
              </w:rPr>
              <w:t>programie</w:t>
            </w:r>
          </w:p>
          <w:p w14:paraId="46FDAC84" w14:textId="42517A64" w:rsidR="0079148F" w:rsidRDefault="0079148F" w:rsidP="00A05A8B">
            <w:pPr>
              <w:pStyle w:val="Akapitzlist"/>
              <w:numPr>
                <w:ilvl w:val="3"/>
                <w:numId w:val="19"/>
              </w:numPr>
              <w:spacing w:after="60" w:line="276" w:lineRule="auto"/>
              <w:contextualSpacing w:val="0"/>
              <w:jc w:val="both"/>
              <w:rPr>
                <w:rFonts w:ascii="Times New Roman" w:eastAsia="Times New Roman" w:hAnsi="Times New Roman" w:cs="Times New Roman"/>
                <w:bCs/>
                <w:sz w:val="20"/>
                <w:szCs w:val="20"/>
                <w:lang w:eastAsia="pl-PL"/>
              </w:rPr>
            </w:pPr>
            <w:r w:rsidRPr="00154BF9">
              <w:rPr>
                <w:rFonts w:ascii="Times New Roman" w:eastAsia="Times New Roman" w:hAnsi="Times New Roman" w:cs="Times New Roman"/>
                <w:bCs/>
                <w:sz w:val="20"/>
                <w:szCs w:val="20"/>
                <w:lang w:eastAsia="pl-PL"/>
              </w:rPr>
              <w:t>leczenie trwa do czasu podjęcia przez Zespół Koordynacyjny lub lekarza prowadzącego decyzji o wyłączeniu świadczeniobiorcy z programu, zgodnie z kryteriami wyłączenia</w:t>
            </w:r>
            <w:r w:rsidR="00813190" w:rsidRPr="00154BF9">
              <w:rPr>
                <w:rFonts w:ascii="Times New Roman" w:eastAsia="Times New Roman" w:hAnsi="Times New Roman" w:cs="Times New Roman"/>
                <w:bCs/>
                <w:sz w:val="20"/>
                <w:szCs w:val="20"/>
                <w:lang w:eastAsia="pl-PL"/>
              </w:rPr>
              <w:t>.</w:t>
            </w:r>
          </w:p>
          <w:p w14:paraId="23459392" w14:textId="77777777" w:rsidR="004F7B25" w:rsidRPr="004F7B25" w:rsidRDefault="004F7B25" w:rsidP="00A05A8B">
            <w:pPr>
              <w:spacing w:after="60" w:line="276" w:lineRule="auto"/>
              <w:ind w:left="227"/>
              <w:jc w:val="both"/>
              <w:rPr>
                <w:rFonts w:ascii="Times New Roman" w:eastAsia="Times New Roman" w:hAnsi="Times New Roman" w:cs="Times New Roman"/>
                <w:bCs/>
                <w:sz w:val="20"/>
                <w:szCs w:val="20"/>
                <w:lang w:eastAsia="pl-PL"/>
              </w:rPr>
            </w:pPr>
          </w:p>
          <w:p w14:paraId="5D919E53" w14:textId="12361C1A" w:rsidR="009D7AE1" w:rsidRPr="004F7B25" w:rsidRDefault="009D7AE1" w:rsidP="00A05A8B">
            <w:pPr>
              <w:pStyle w:val="Akapitzlist"/>
              <w:numPr>
                <w:ilvl w:val="0"/>
                <w:numId w:val="19"/>
              </w:numPr>
              <w:spacing w:after="60" w:line="276" w:lineRule="auto"/>
              <w:contextualSpacing w:val="0"/>
              <w:jc w:val="both"/>
              <w:rPr>
                <w:rFonts w:ascii="Times New Roman" w:eastAsia="Times New Roman" w:hAnsi="Times New Roman" w:cs="Times New Roman"/>
                <w:b/>
                <w:bCs/>
                <w:sz w:val="20"/>
                <w:szCs w:val="20"/>
                <w:lang w:eastAsia="pl-PL"/>
              </w:rPr>
            </w:pPr>
            <w:r w:rsidRPr="004F7B25">
              <w:rPr>
                <w:rFonts w:ascii="Times New Roman" w:eastAsia="Times New Roman" w:hAnsi="Times New Roman" w:cs="Times New Roman"/>
                <w:b/>
                <w:bCs/>
                <w:sz w:val="20"/>
                <w:szCs w:val="20"/>
                <w:lang w:eastAsia="pl-PL"/>
              </w:rPr>
              <w:t>Kryteria</w:t>
            </w:r>
            <w:r w:rsidR="0052643B" w:rsidRPr="004F7B25">
              <w:rPr>
                <w:rFonts w:ascii="Times New Roman" w:eastAsia="Times New Roman" w:hAnsi="Times New Roman" w:cs="Times New Roman"/>
                <w:b/>
                <w:bCs/>
                <w:sz w:val="20"/>
                <w:szCs w:val="20"/>
                <w:lang w:eastAsia="pl-PL"/>
              </w:rPr>
              <w:t xml:space="preserve"> </w:t>
            </w:r>
            <w:r w:rsidRPr="004F7B25">
              <w:rPr>
                <w:rFonts w:ascii="Times New Roman" w:eastAsia="Times New Roman" w:hAnsi="Times New Roman" w:cs="Times New Roman"/>
                <w:b/>
                <w:bCs/>
                <w:sz w:val="20"/>
                <w:szCs w:val="20"/>
                <w:lang w:eastAsia="pl-PL"/>
              </w:rPr>
              <w:t>wyłączenia</w:t>
            </w:r>
            <w:r w:rsidR="0052643B" w:rsidRPr="004F7B25">
              <w:rPr>
                <w:rFonts w:ascii="Times New Roman" w:eastAsia="Times New Roman" w:hAnsi="Times New Roman" w:cs="Times New Roman"/>
                <w:b/>
                <w:bCs/>
                <w:sz w:val="20"/>
                <w:szCs w:val="20"/>
                <w:lang w:eastAsia="pl-PL"/>
              </w:rPr>
              <w:t xml:space="preserve"> </w:t>
            </w:r>
            <w:r w:rsidRPr="004F7B25">
              <w:rPr>
                <w:rFonts w:ascii="Times New Roman" w:eastAsia="Times New Roman" w:hAnsi="Times New Roman" w:cs="Times New Roman"/>
                <w:b/>
                <w:bCs/>
                <w:sz w:val="20"/>
                <w:szCs w:val="20"/>
                <w:lang w:eastAsia="pl-PL"/>
              </w:rPr>
              <w:t>z</w:t>
            </w:r>
            <w:r w:rsidR="0052643B" w:rsidRPr="004F7B25">
              <w:rPr>
                <w:rFonts w:ascii="Times New Roman" w:eastAsia="Times New Roman" w:hAnsi="Times New Roman" w:cs="Times New Roman"/>
                <w:b/>
                <w:bCs/>
                <w:sz w:val="20"/>
                <w:szCs w:val="20"/>
                <w:lang w:eastAsia="pl-PL"/>
              </w:rPr>
              <w:t xml:space="preserve"> </w:t>
            </w:r>
            <w:r w:rsidRPr="004F7B25">
              <w:rPr>
                <w:rFonts w:ascii="Times New Roman" w:eastAsia="Times New Roman" w:hAnsi="Times New Roman" w:cs="Times New Roman"/>
                <w:b/>
                <w:bCs/>
                <w:sz w:val="20"/>
                <w:szCs w:val="20"/>
                <w:lang w:eastAsia="pl-PL"/>
              </w:rPr>
              <w:t>programu</w:t>
            </w:r>
          </w:p>
          <w:p w14:paraId="3673B4A3" w14:textId="320DD735" w:rsidR="009D7AE1" w:rsidRPr="00154BF9" w:rsidRDefault="00210416" w:rsidP="00A05A8B">
            <w:pPr>
              <w:numPr>
                <w:ilvl w:val="3"/>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N</w:t>
            </w:r>
            <w:r w:rsidR="009D7AE1" w:rsidRPr="00154BF9">
              <w:rPr>
                <w:rFonts w:ascii="Times New Roman" w:eastAsia="Times New Roman" w:hAnsi="Times New Roman" w:cs="Times New Roman"/>
                <w:sz w:val="20"/>
                <w:szCs w:val="20"/>
                <w:lang w:eastAsia="pl-PL"/>
              </w:rPr>
              <w:t>ie</w:t>
            </w:r>
            <w:r w:rsidR="0052643B" w:rsidRPr="00154BF9">
              <w:rPr>
                <w:rFonts w:ascii="Times New Roman" w:eastAsia="Times New Roman" w:hAnsi="Times New Roman" w:cs="Times New Roman"/>
                <w:sz w:val="20"/>
                <w:szCs w:val="20"/>
                <w:lang w:eastAsia="pl-PL"/>
              </w:rPr>
              <w:t xml:space="preserve"> </w:t>
            </w:r>
            <w:r w:rsidR="00F924F7" w:rsidRPr="00154BF9">
              <w:rPr>
                <w:rFonts w:ascii="Times New Roman" w:eastAsia="Times New Roman" w:hAnsi="Times New Roman" w:cs="Times New Roman"/>
                <w:sz w:val="20"/>
                <w:szCs w:val="20"/>
                <w:lang w:eastAsia="pl-PL"/>
              </w:rPr>
              <w:t>stwierdzenie</w:t>
            </w:r>
            <w:r w:rsidR="0052643B" w:rsidRPr="00154BF9">
              <w:rPr>
                <w:rFonts w:ascii="Times New Roman" w:eastAsia="Times New Roman" w:hAnsi="Times New Roman" w:cs="Times New Roman"/>
                <w:sz w:val="20"/>
                <w:szCs w:val="20"/>
                <w:lang w:eastAsia="pl-PL"/>
              </w:rPr>
              <w:t xml:space="preserve"> </w:t>
            </w:r>
            <w:r w:rsidR="00F924F7" w:rsidRPr="00154BF9">
              <w:rPr>
                <w:rFonts w:ascii="Times New Roman" w:eastAsia="Times New Roman" w:hAnsi="Times New Roman" w:cs="Times New Roman"/>
                <w:sz w:val="20"/>
                <w:szCs w:val="20"/>
                <w:lang w:eastAsia="pl-PL"/>
              </w:rPr>
              <w:t>po</w:t>
            </w:r>
            <w:r w:rsidR="0052643B" w:rsidRPr="00154BF9">
              <w:rPr>
                <w:rFonts w:ascii="Times New Roman" w:eastAsia="Times New Roman" w:hAnsi="Times New Roman" w:cs="Times New Roman"/>
                <w:sz w:val="20"/>
                <w:szCs w:val="20"/>
                <w:lang w:eastAsia="pl-PL"/>
              </w:rPr>
              <w:t xml:space="preserve"> </w:t>
            </w:r>
            <w:r w:rsidR="00F924F7" w:rsidRPr="00154BF9">
              <w:rPr>
                <w:rFonts w:ascii="Times New Roman" w:eastAsia="Times New Roman" w:hAnsi="Times New Roman" w:cs="Times New Roman"/>
                <w:sz w:val="20"/>
                <w:szCs w:val="20"/>
                <w:lang w:eastAsia="pl-PL"/>
              </w:rPr>
              <w:t>3</w:t>
            </w:r>
            <w:r w:rsidR="0052643B" w:rsidRPr="00154BF9">
              <w:rPr>
                <w:rFonts w:ascii="Times New Roman" w:eastAsia="Times New Roman" w:hAnsi="Times New Roman" w:cs="Times New Roman"/>
                <w:sz w:val="20"/>
                <w:szCs w:val="20"/>
                <w:lang w:eastAsia="pl-PL"/>
              </w:rPr>
              <w:t xml:space="preserve"> </w:t>
            </w:r>
            <w:r w:rsidR="00F924F7" w:rsidRPr="00154BF9">
              <w:rPr>
                <w:rFonts w:ascii="Times New Roman" w:eastAsia="Times New Roman" w:hAnsi="Times New Roman" w:cs="Times New Roman"/>
                <w:sz w:val="20"/>
                <w:szCs w:val="20"/>
                <w:lang w:eastAsia="pl-PL"/>
              </w:rPr>
              <w:t>miesiącach</w:t>
            </w:r>
            <w:r w:rsidR="0052643B" w:rsidRPr="00154BF9">
              <w:rPr>
                <w:rFonts w:ascii="Times New Roman" w:eastAsia="Times New Roman" w:hAnsi="Times New Roman" w:cs="Times New Roman"/>
                <w:sz w:val="20"/>
                <w:szCs w:val="20"/>
                <w:lang w:eastAsia="pl-PL"/>
              </w:rPr>
              <w:t xml:space="preserve"> </w:t>
            </w:r>
            <w:r w:rsidR="00F924F7" w:rsidRPr="00154BF9">
              <w:rPr>
                <w:rFonts w:ascii="Times New Roman" w:eastAsia="Times New Roman" w:hAnsi="Times New Roman" w:cs="Times New Roman"/>
                <w:sz w:val="20"/>
                <w:szCs w:val="20"/>
                <w:lang w:eastAsia="pl-PL"/>
              </w:rPr>
              <w:t>(±1</w:t>
            </w:r>
            <w:r w:rsidR="0052643B" w:rsidRPr="00154BF9">
              <w:rPr>
                <w:rFonts w:ascii="Times New Roman" w:eastAsia="Times New Roman" w:hAnsi="Times New Roman" w:cs="Times New Roman"/>
                <w:sz w:val="20"/>
                <w:szCs w:val="20"/>
                <w:lang w:eastAsia="pl-PL"/>
              </w:rPr>
              <w:t xml:space="preserve"> </w:t>
            </w:r>
            <w:r w:rsidR="00F924F7" w:rsidRPr="00154BF9">
              <w:rPr>
                <w:rFonts w:ascii="Times New Roman" w:eastAsia="Times New Roman" w:hAnsi="Times New Roman" w:cs="Times New Roman"/>
                <w:sz w:val="20"/>
                <w:szCs w:val="20"/>
                <w:lang w:eastAsia="pl-PL"/>
              </w:rPr>
              <w:t>miesiąc</w:t>
            </w:r>
            <w:r w:rsidR="009D7AE1"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od</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pierwszego</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podania</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inhibitora</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TNF</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alfa</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albo</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tocilizumabu</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albo</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tofacytynibu</w:t>
            </w:r>
            <w:r w:rsidR="0052643B" w:rsidRPr="00154BF9">
              <w:rPr>
                <w:rFonts w:ascii="Times New Roman" w:eastAsia="Times New Roman" w:hAnsi="Times New Roman" w:cs="Times New Roman"/>
                <w:sz w:val="20"/>
                <w:szCs w:val="20"/>
                <w:lang w:eastAsia="pl-PL"/>
              </w:rPr>
              <w:t xml:space="preserve"> </w:t>
            </w:r>
            <w:r w:rsidR="00D65BA7" w:rsidRPr="00154BF9">
              <w:rPr>
                <w:rFonts w:ascii="Times New Roman" w:eastAsia="Times New Roman" w:hAnsi="Times New Roman" w:cs="Times New Roman"/>
                <w:sz w:val="20"/>
                <w:szCs w:val="20"/>
                <w:lang w:eastAsia="pl-PL"/>
              </w:rPr>
              <w:t>albo</w:t>
            </w:r>
            <w:r w:rsidR="0052643B" w:rsidRPr="00154BF9">
              <w:rPr>
                <w:rFonts w:ascii="Times New Roman" w:eastAsia="Times New Roman" w:hAnsi="Times New Roman" w:cs="Times New Roman"/>
                <w:sz w:val="20"/>
                <w:szCs w:val="20"/>
                <w:lang w:eastAsia="pl-PL"/>
              </w:rPr>
              <w:t xml:space="preserve"> </w:t>
            </w:r>
            <w:r w:rsidR="00D65BA7" w:rsidRPr="00154BF9">
              <w:rPr>
                <w:rFonts w:ascii="Times New Roman" w:eastAsia="Times New Roman" w:hAnsi="Times New Roman" w:cs="Times New Roman"/>
                <w:sz w:val="20"/>
                <w:szCs w:val="20"/>
                <w:lang w:eastAsia="pl-PL"/>
              </w:rPr>
              <w:t>baricytynibu</w:t>
            </w:r>
            <w:r w:rsidR="0052643B" w:rsidRPr="00154BF9">
              <w:rPr>
                <w:rFonts w:ascii="Times New Roman" w:eastAsia="Times New Roman" w:hAnsi="Times New Roman" w:cs="Times New Roman"/>
                <w:sz w:val="20"/>
                <w:szCs w:val="20"/>
                <w:lang w:eastAsia="pl-PL"/>
              </w:rPr>
              <w:t xml:space="preserve"> </w:t>
            </w:r>
            <w:r w:rsidR="008C15AD" w:rsidRPr="00154BF9">
              <w:rPr>
                <w:rFonts w:ascii="Times New Roman" w:eastAsia="Times New Roman" w:hAnsi="Times New Roman" w:cs="Times New Roman"/>
                <w:sz w:val="20"/>
                <w:szCs w:val="20"/>
                <w:lang w:eastAsia="pl-PL"/>
              </w:rPr>
              <w:t>albo</w:t>
            </w:r>
            <w:r w:rsidR="0052643B" w:rsidRPr="00154BF9">
              <w:rPr>
                <w:rFonts w:ascii="Times New Roman" w:eastAsia="Times New Roman" w:hAnsi="Times New Roman" w:cs="Times New Roman"/>
                <w:sz w:val="20"/>
                <w:szCs w:val="20"/>
                <w:lang w:eastAsia="pl-PL"/>
              </w:rPr>
              <w:t xml:space="preserve"> </w:t>
            </w:r>
            <w:r w:rsidR="008C15AD" w:rsidRPr="00154BF9">
              <w:rPr>
                <w:rFonts w:ascii="Times New Roman" w:eastAsia="Times New Roman" w:hAnsi="Times New Roman" w:cs="Times New Roman"/>
                <w:sz w:val="20"/>
                <w:szCs w:val="20"/>
                <w:lang w:eastAsia="pl-PL"/>
              </w:rPr>
              <w:t>upadacytynibu</w:t>
            </w:r>
            <w:r w:rsidR="0052643B" w:rsidRPr="00154BF9">
              <w:rPr>
                <w:rFonts w:ascii="Times New Roman" w:eastAsia="Times New Roman" w:hAnsi="Times New Roman" w:cs="Times New Roman"/>
                <w:sz w:val="20"/>
                <w:szCs w:val="20"/>
                <w:lang w:eastAsia="pl-PL"/>
              </w:rPr>
              <w:t xml:space="preserve"> </w:t>
            </w:r>
            <w:r w:rsidR="0004021B" w:rsidRPr="00154BF9">
              <w:t xml:space="preserve"> </w:t>
            </w:r>
            <w:r w:rsidR="0004021B" w:rsidRPr="00154BF9">
              <w:rPr>
                <w:rFonts w:ascii="Times New Roman" w:eastAsia="Times New Roman" w:hAnsi="Times New Roman" w:cs="Times New Roman"/>
                <w:sz w:val="20"/>
                <w:szCs w:val="20"/>
                <w:lang w:eastAsia="pl-PL"/>
              </w:rPr>
              <w:t xml:space="preserve">albo filgotynibu  </w:t>
            </w:r>
            <w:r w:rsidR="009D7AE1" w:rsidRPr="00154BF9">
              <w:rPr>
                <w:rFonts w:ascii="Times New Roman" w:eastAsia="Times New Roman" w:hAnsi="Times New Roman" w:cs="Times New Roman"/>
                <w:sz w:val="20"/>
                <w:szCs w:val="20"/>
                <w:lang w:eastAsia="pl-PL"/>
              </w:rPr>
              <w:t>osiągnięcia</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co</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najmniej</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umiarkowanej</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aktywności</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choroby</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mierzonej</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wskaźnikiem</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DAS</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28</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5,1</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albo</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DAS</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≤3,7,</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albo</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SDAI</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26</w:t>
            </w:r>
            <w:r w:rsidR="0052643B" w:rsidRPr="00154BF9">
              <w:rPr>
                <w:rFonts w:ascii="Times New Roman" w:eastAsia="Times New Roman" w:hAnsi="Times New Roman" w:cs="Times New Roman"/>
                <w:sz w:val="20"/>
                <w:szCs w:val="20"/>
                <w:lang w:eastAsia="pl-PL"/>
              </w:rPr>
              <w:t xml:space="preserve"> </w:t>
            </w:r>
            <w:r w:rsidR="003B636C"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003B636C" w:rsidRPr="00154BF9">
              <w:rPr>
                <w:rFonts w:ascii="Times New Roman" w:eastAsia="Times New Roman" w:hAnsi="Times New Roman" w:cs="Times New Roman"/>
                <w:sz w:val="20"/>
                <w:szCs w:val="20"/>
                <w:lang w:eastAsia="pl-PL"/>
              </w:rPr>
              <w:t>nie</w:t>
            </w:r>
            <w:r w:rsidR="0052643B" w:rsidRPr="00154BF9">
              <w:rPr>
                <w:rFonts w:ascii="Times New Roman" w:eastAsia="Times New Roman" w:hAnsi="Times New Roman" w:cs="Times New Roman"/>
                <w:sz w:val="20"/>
                <w:szCs w:val="20"/>
                <w:lang w:eastAsia="pl-PL"/>
              </w:rPr>
              <w:t xml:space="preserve"> </w:t>
            </w:r>
            <w:r w:rsidR="003B636C" w:rsidRPr="00154BF9">
              <w:rPr>
                <w:rFonts w:ascii="Times New Roman" w:eastAsia="Times New Roman" w:hAnsi="Times New Roman" w:cs="Times New Roman"/>
                <w:sz w:val="20"/>
                <w:szCs w:val="20"/>
                <w:lang w:eastAsia="pl-PL"/>
              </w:rPr>
              <w:t>stwierdzenie</w:t>
            </w:r>
            <w:r w:rsidR="0052643B" w:rsidRPr="00154BF9">
              <w:rPr>
                <w:rFonts w:ascii="Times New Roman" w:eastAsia="Times New Roman" w:hAnsi="Times New Roman" w:cs="Times New Roman"/>
                <w:sz w:val="20"/>
                <w:szCs w:val="20"/>
                <w:lang w:eastAsia="pl-PL"/>
              </w:rPr>
              <w:t xml:space="preserve"> </w:t>
            </w:r>
            <w:r w:rsidR="003B636C" w:rsidRPr="00154BF9">
              <w:rPr>
                <w:rFonts w:ascii="Times New Roman" w:eastAsia="Times New Roman" w:hAnsi="Times New Roman" w:cs="Times New Roman"/>
                <w:sz w:val="20"/>
                <w:szCs w:val="20"/>
                <w:lang w:eastAsia="pl-PL"/>
              </w:rPr>
              <w:t>po</w:t>
            </w:r>
            <w:r w:rsidR="0052643B" w:rsidRPr="00154BF9">
              <w:rPr>
                <w:rFonts w:ascii="Times New Roman" w:eastAsia="Times New Roman" w:hAnsi="Times New Roman" w:cs="Times New Roman"/>
                <w:sz w:val="20"/>
                <w:szCs w:val="20"/>
                <w:lang w:eastAsia="pl-PL"/>
              </w:rPr>
              <w:t xml:space="preserve"> </w:t>
            </w:r>
            <w:r w:rsidR="003B636C" w:rsidRPr="00154BF9">
              <w:rPr>
                <w:rFonts w:ascii="Times New Roman" w:eastAsia="Times New Roman" w:hAnsi="Times New Roman" w:cs="Times New Roman"/>
                <w:sz w:val="20"/>
                <w:szCs w:val="20"/>
                <w:lang w:eastAsia="pl-PL"/>
              </w:rPr>
              <w:t>3</w:t>
            </w:r>
            <w:r w:rsidR="0052643B" w:rsidRPr="00154BF9">
              <w:rPr>
                <w:rFonts w:ascii="Times New Roman" w:eastAsia="Times New Roman" w:hAnsi="Times New Roman" w:cs="Times New Roman"/>
                <w:sz w:val="20"/>
                <w:szCs w:val="20"/>
                <w:lang w:eastAsia="pl-PL"/>
              </w:rPr>
              <w:t xml:space="preserve"> </w:t>
            </w:r>
            <w:r w:rsidR="003B636C" w:rsidRPr="00154BF9">
              <w:rPr>
                <w:rFonts w:ascii="Times New Roman" w:eastAsia="Times New Roman" w:hAnsi="Times New Roman" w:cs="Times New Roman"/>
                <w:sz w:val="20"/>
                <w:szCs w:val="20"/>
                <w:lang w:eastAsia="pl-PL"/>
              </w:rPr>
              <w:t>miesiącach</w:t>
            </w:r>
            <w:r w:rsidR="0052643B" w:rsidRPr="00154BF9">
              <w:rPr>
                <w:rFonts w:ascii="Times New Roman" w:eastAsia="Times New Roman" w:hAnsi="Times New Roman" w:cs="Times New Roman"/>
                <w:sz w:val="20"/>
                <w:szCs w:val="20"/>
                <w:lang w:eastAsia="pl-PL"/>
              </w:rPr>
              <w:t xml:space="preserve"> </w:t>
            </w:r>
            <w:r w:rsidR="003B636C" w:rsidRPr="00154BF9">
              <w:rPr>
                <w:rFonts w:ascii="Times New Roman" w:eastAsia="Times New Roman" w:hAnsi="Times New Roman" w:cs="Times New Roman"/>
                <w:sz w:val="20"/>
                <w:szCs w:val="20"/>
                <w:lang w:eastAsia="pl-PL"/>
              </w:rPr>
              <w:t>(±1</w:t>
            </w:r>
            <w:r w:rsidR="0052643B" w:rsidRPr="00154BF9">
              <w:rPr>
                <w:rFonts w:ascii="Times New Roman" w:eastAsia="Times New Roman" w:hAnsi="Times New Roman" w:cs="Times New Roman"/>
                <w:sz w:val="20"/>
                <w:szCs w:val="20"/>
                <w:lang w:eastAsia="pl-PL"/>
              </w:rPr>
              <w:t xml:space="preserve"> </w:t>
            </w:r>
            <w:r w:rsidR="003B636C" w:rsidRPr="00154BF9">
              <w:rPr>
                <w:rFonts w:ascii="Times New Roman" w:eastAsia="Times New Roman" w:hAnsi="Times New Roman" w:cs="Times New Roman"/>
                <w:sz w:val="20"/>
                <w:szCs w:val="20"/>
                <w:lang w:eastAsia="pl-PL"/>
              </w:rPr>
              <w:t>miesiąc)</w:t>
            </w:r>
            <w:r w:rsidR="0052643B" w:rsidRPr="00154BF9">
              <w:rPr>
                <w:rFonts w:ascii="Times New Roman" w:eastAsia="Times New Roman" w:hAnsi="Times New Roman" w:cs="Times New Roman"/>
                <w:sz w:val="20"/>
                <w:szCs w:val="20"/>
                <w:lang w:eastAsia="pl-PL"/>
              </w:rPr>
              <w:t xml:space="preserve"> </w:t>
            </w:r>
            <w:r w:rsidR="003B636C" w:rsidRPr="00154BF9">
              <w:rPr>
                <w:rFonts w:ascii="Times New Roman" w:eastAsia="Times New Roman" w:hAnsi="Times New Roman" w:cs="Times New Roman"/>
                <w:sz w:val="20"/>
                <w:szCs w:val="20"/>
                <w:lang w:eastAsia="pl-PL"/>
              </w:rPr>
              <w:t>od</w:t>
            </w:r>
            <w:r w:rsidR="0052643B" w:rsidRPr="00154BF9">
              <w:rPr>
                <w:rFonts w:ascii="Times New Roman" w:eastAsia="Times New Roman" w:hAnsi="Times New Roman" w:cs="Times New Roman"/>
                <w:sz w:val="20"/>
                <w:szCs w:val="20"/>
                <w:lang w:eastAsia="pl-PL"/>
              </w:rPr>
              <w:t xml:space="preserve"> </w:t>
            </w:r>
            <w:r w:rsidR="003B636C" w:rsidRPr="00154BF9">
              <w:rPr>
                <w:rFonts w:ascii="Times New Roman" w:eastAsia="Times New Roman" w:hAnsi="Times New Roman" w:cs="Times New Roman"/>
                <w:sz w:val="20"/>
                <w:szCs w:val="20"/>
                <w:lang w:eastAsia="pl-PL"/>
              </w:rPr>
              <w:t>pierwszego</w:t>
            </w:r>
            <w:r w:rsidR="0052643B" w:rsidRPr="00154BF9">
              <w:rPr>
                <w:rFonts w:ascii="Times New Roman" w:eastAsia="Times New Roman" w:hAnsi="Times New Roman" w:cs="Times New Roman"/>
                <w:sz w:val="20"/>
                <w:szCs w:val="20"/>
                <w:lang w:eastAsia="pl-PL"/>
              </w:rPr>
              <w:t xml:space="preserve"> </w:t>
            </w:r>
            <w:r w:rsidR="003B636C" w:rsidRPr="00154BF9">
              <w:rPr>
                <w:rFonts w:ascii="Times New Roman" w:eastAsia="Times New Roman" w:hAnsi="Times New Roman" w:cs="Times New Roman"/>
                <w:sz w:val="20"/>
                <w:szCs w:val="20"/>
                <w:lang w:eastAsia="pl-PL"/>
              </w:rPr>
              <w:t>podania</w:t>
            </w:r>
            <w:r w:rsidR="0052643B" w:rsidRPr="00154BF9">
              <w:rPr>
                <w:rFonts w:ascii="Times New Roman" w:eastAsia="Times New Roman" w:hAnsi="Times New Roman" w:cs="Times New Roman"/>
                <w:sz w:val="20"/>
                <w:szCs w:val="20"/>
                <w:lang w:eastAsia="pl-PL"/>
              </w:rPr>
              <w:t xml:space="preserve"> </w:t>
            </w:r>
            <w:r w:rsidR="003B636C" w:rsidRPr="00154BF9">
              <w:rPr>
                <w:rFonts w:ascii="Times New Roman" w:eastAsia="Times New Roman" w:hAnsi="Times New Roman" w:cs="Times New Roman"/>
                <w:sz w:val="20"/>
                <w:szCs w:val="20"/>
                <w:lang w:eastAsia="pl-PL"/>
              </w:rPr>
              <w:t>inhibitora</w:t>
            </w:r>
            <w:r w:rsidR="0052643B" w:rsidRPr="00154BF9">
              <w:rPr>
                <w:rFonts w:ascii="Times New Roman" w:eastAsia="Times New Roman" w:hAnsi="Times New Roman" w:cs="Times New Roman"/>
                <w:sz w:val="20"/>
                <w:szCs w:val="20"/>
                <w:lang w:eastAsia="pl-PL"/>
              </w:rPr>
              <w:t xml:space="preserve"> </w:t>
            </w:r>
            <w:r w:rsidR="003B636C" w:rsidRPr="00154BF9">
              <w:rPr>
                <w:rFonts w:ascii="Times New Roman" w:eastAsia="Times New Roman" w:hAnsi="Times New Roman" w:cs="Times New Roman"/>
                <w:sz w:val="20"/>
                <w:szCs w:val="20"/>
                <w:lang w:eastAsia="pl-PL"/>
              </w:rPr>
              <w:t>TNF</w:t>
            </w:r>
            <w:r w:rsidR="0052643B" w:rsidRPr="00154BF9">
              <w:rPr>
                <w:rFonts w:ascii="Times New Roman" w:eastAsia="Times New Roman" w:hAnsi="Times New Roman" w:cs="Times New Roman"/>
                <w:sz w:val="20"/>
                <w:szCs w:val="20"/>
                <w:lang w:eastAsia="pl-PL"/>
              </w:rPr>
              <w:t xml:space="preserve"> </w:t>
            </w:r>
            <w:r w:rsidR="003B636C" w:rsidRPr="00154BF9">
              <w:rPr>
                <w:rFonts w:ascii="Times New Roman" w:eastAsia="Times New Roman" w:hAnsi="Times New Roman" w:cs="Times New Roman"/>
                <w:sz w:val="20"/>
                <w:szCs w:val="20"/>
                <w:lang w:eastAsia="pl-PL"/>
              </w:rPr>
              <w:t>alfa</w:t>
            </w:r>
            <w:r w:rsidR="0052643B" w:rsidRPr="00154BF9">
              <w:rPr>
                <w:rFonts w:ascii="Times New Roman" w:eastAsia="Times New Roman" w:hAnsi="Times New Roman" w:cs="Times New Roman"/>
                <w:sz w:val="20"/>
                <w:szCs w:val="20"/>
                <w:lang w:eastAsia="pl-PL"/>
              </w:rPr>
              <w:t xml:space="preserve"> </w:t>
            </w:r>
            <w:r w:rsidR="003B636C" w:rsidRPr="00154BF9">
              <w:rPr>
                <w:rFonts w:ascii="Times New Roman" w:eastAsia="Times New Roman" w:hAnsi="Times New Roman" w:cs="Times New Roman"/>
                <w:sz w:val="20"/>
                <w:szCs w:val="20"/>
                <w:lang w:eastAsia="pl-PL"/>
              </w:rPr>
              <w:t>albo</w:t>
            </w:r>
            <w:r w:rsidR="0052643B" w:rsidRPr="00154BF9">
              <w:rPr>
                <w:rFonts w:ascii="Times New Roman" w:eastAsia="Times New Roman" w:hAnsi="Times New Roman" w:cs="Times New Roman"/>
                <w:sz w:val="20"/>
                <w:szCs w:val="20"/>
                <w:lang w:eastAsia="pl-PL"/>
              </w:rPr>
              <w:t xml:space="preserve"> </w:t>
            </w:r>
            <w:r w:rsidR="003B636C" w:rsidRPr="00154BF9">
              <w:rPr>
                <w:rFonts w:ascii="Times New Roman" w:eastAsia="Times New Roman" w:hAnsi="Times New Roman" w:cs="Times New Roman"/>
                <w:sz w:val="20"/>
                <w:szCs w:val="20"/>
                <w:lang w:eastAsia="pl-PL"/>
              </w:rPr>
              <w:t>tocilizumabu</w:t>
            </w:r>
            <w:r w:rsidR="0052643B" w:rsidRPr="00154BF9">
              <w:rPr>
                <w:rFonts w:ascii="Times New Roman" w:eastAsia="Times New Roman" w:hAnsi="Times New Roman" w:cs="Times New Roman"/>
                <w:sz w:val="20"/>
                <w:szCs w:val="20"/>
                <w:lang w:eastAsia="pl-PL"/>
              </w:rPr>
              <w:t xml:space="preserve"> </w:t>
            </w:r>
            <w:r w:rsidR="003B636C" w:rsidRPr="00154BF9">
              <w:rPr>
                <w:rFonts w:ascii="Times New Roman" w:eastAsia="Times New Roman" w:hAnsi="Times New Roman" w:cs="Times New Roman"/>
                <w:sz w:val="20"/>
                <w:szCs w:val="20"/>
                <w:lang w:eastAsia="pl-PL"/>
              </w:rPr>
              <w:t>albo</w:t>
            </w:r>
            <w:r w:rsidR="0052643B" w:rsidRPr="00154BF9">
              <w:rPr>
                <w:rFonts w:ascii="Times New Roman" w:eastAsia="Times New Roman" w:hAnsi="Times New Roman" w:cs="Times New Roman"/>
                <w:sz w:val="20"/>
                <w:szCs w:val="20"/>
                <w:lang w:eastAsia="pl-PL"/>
              </w:rPr>
              <w:t xml:space="preserve"> </w:t>
            </w:r>
            <w:r w:rsidR="003B636C" w:rsidRPr="00154BF9">
              <w:rPr>
                <w:rFonts w:ascii="Times New Roman" w:eastAsia="Times New Roman" w:hAnsi="Times New Roman" w:cs="Times New Roman"/>
                <w:sz w:val="20"/>
                <w:szCs w:val="20"/>
                <w:lang w:eastAsia="pl-PL"/>
              </w:rPr>
              <w:t>tofacytynibu</w:t>
            </w:r>
            <w:r w:rsidR="0052643B" w:rsidRPr="00154BF9">
              <w:rPr>
                <w:rFonts w:ascii="Times New Roman" w:eastAsia="Times New Roman" w:hAnsi="Times New Roman" w:cs="Times New Roman"/>
                <w:sz w:val="20"/>
                <w:szCs w:val="20"/>
                <w:lang w:eastAsia="pl-PL"/>
              </w:rPr>
              <w:t xml:space="preserve"> </w:t>
            </w:r>
            <w:r w:rsidR="003B636C" w:rsidRPr="00154BF9">
              <w:rPr>
                <w:rFonts w:ascii="Times New Roman" w:eastAsia="Times New Roman" w:hAnsi="Times New Roman" w:cs="Times New Roman"/>
                <w:sz w:val="20"/>
                <w:szCs w:val="20"/>
                <w:lang w:eastAsia="pl-PL"/>
              </w:rPr>
              <w:t>albo</w:t>
            </w:r>
            <w:r w:rsidR="0052643B" w:rsidRPr="00154BF9">
              <w:rPr>
                <w:rFonts w:ascii="Times New Roman" w:eastAsia="Times New Roman" w:hAnsi="Times New Roman" w:cs="Times New Roman"/>
                <w:sz w:val="20"/>
                <w:szCs w:val="20"/>
                <w:lang w:eastAsia="pl-PL"/>
              </w:rPr>
              <w:t xml:space="preserve"> </w:t>
            </w:r>
            <w:r w:rsidR="003B636C" w:rsidRPr="00154BF9">
              <w:rPr>
                <w:rFonts w:ascii="Times New Roman" w:eastAsia="Times New Roman" w:hAnsi="Times New Roman" w:cs="Times New Roman"/>
                <w:sz w:val="20"/>
                <w:szCs w:val="20"/>
                <w:lang w:eastAsia="pl-PL"/>
              </w:rPr>
              <w:t>baricytynibu</w:t>
            </w:r>
            <w:r w:rsidR="0052643B" w:rsidRPr="00154BF9">
              <w:rPr>
                <w:rFonts w:ascii="Times New Roman" w:eastAsia="Times New Roman" w:hAnsi="Times New Roman" w:cs="Times New Roman"/>
                <w:sz w:val="20"/>
                <w:szCs w:val="20"/>
                <w:lang w:eastAsia="pl-PL"/>
              </w:rPr>
              <w:t xml:space="preserve"> </w:t>
            </w:r>
            <w:r w:rsidR="002140C4" w:rsidRPr="00154BF9">
              <w:rPr>
                <w:rFonts w:ascii="Times New Roman" w:eastAsia="Times New Roman" w:hAnsi="Times New Roman" w:cs="Times New Roman"/>
                <w:sz w:val="20"/>
                <w:szCs w:val="20"/>
                <w:lang w:eastAsia="pl-PL"/>
              </w:rPr>
              <w:t>albo</w:t>
            </w:r>
            <w:r w:rsidR="0052643B" w:rsidRPr="00154BF9">
              <w:rPr>
                <w:rFonts w:ascii="Times New Roman" w:eastAsia="Times New Roman" w:hAnsi="Times New Roman" w:cs="Times New Roman"/>
                <w:sz w:val="20"/>
                <w:szCs w:val="20"/>
                <w:lang w:eastAsia="pl-PL"/>
              </w:rPr>
              <w:t xml:space="preserve"> </w:t>
            </w:r>
            <w:r w:rsidR="002140C4" w:rsidRPr="00154BF9">
              <w:rPr>
                <w:rFonts w:ascii="Times New Roman" w:eastAsia="Times New Roman" w:hAnsi="Times New Roman" w:cs="Times New Roman"/>
                <w:sz w:val="20"/>
                <w:szCs w:val="20"/>
                <w:lang w:eastAsia="pl-PL"/>
              </w:rPr>
              <w:t>upadacytynibu</w:t>
            </w:r>
            <w:r w:rsidR="0052643B" w:rsidRPr="00154BF9">
              <w:rPr>
                <w:rFonts w:ascii="Times New Roman" w:eastAsia="Times New Roman" w:hAnsi="Times New Roman" w:cs="Times New Roman"/>
                <w:sz w:val="20"/>
                <w:szCs w:val="20"/>
                <w:lang w:eastAsia="pl-PL"/>
              </w:rPr>
              <w:t xml:space="preserve"> </w:t>
            </w:r>
            <w:r w:rsidR="00494CF1" w:rsidRPr="00154BF9">
              <w:rPr>
                <w:rFonts w:ascii="Times New Roman" w:eastAsia="Times New Roman" w:hAnsi="Times New Roman" w:cs="Times New Roman"/>
                <w:sz w:val="20"/>
                <w:szCs w:val="20"/>
                <w:lang w:eastAsia="pl-PL"/>
              </w:rPr>
              <w:t xml:space="preserve">albo filgotynibu </w:t>
            </w:r>
            <w:r w:rsidR="003B636C" w:rsidRPr="00154BF9">
              <w:rPr>
                <w:rFonts w:ascii="Times New Roman" w:eastAsia="Times New Roman" w:hAnsi="Times New Roman" w:cs="Times New Roman"/>
                <w:sz w:val="20"/>
                <w:szCs w:val="20"/>
                <w:lang w:eastAsia="pl-PL"/>
              </w:rPr>
              <w:t>albo</w:t>
            </w:r>
            <w:r w:rsidR="0052643B" w:rsidRPr="00154BF9">
              <w:rPr>
                <w:rFonts w:ascii="Times New Roman" w:eastAsia="Times New Roman" w:hAnsi="Times New Roman" w:cs="Times New Roman"/>
                <w:sz w:val="20"/>
                <w:szCs w:val="20"/>
                <w:lang w:eastAsia="pl-PL"/>
              </w:rPr>
              <w:t xml:space="preserve"> </w:t>
            </w:r>
            <w:r w:rsidR="003B636C" w:rsidRPr="00154BF9">
              <w:rPr>
                <w:rFonts w:ascii="Times New Roman" w:eastAsia="Times New Roman" w:hAnsi="Times New Roman" w:cs="Times New Roman"/>
                <w:sz w:val="20"/>
                <w:szCs w:val="20"/>
                <w:lang w:eastAsia="pl-PL"/>
              </w:rPr>
              <w:t>anakinry</w:t>
            </w:r>
            <w:r w:rsidR="006E514E">
              <w:rPr>
                <w:rFonts w:ascii="Times New Roman" w:eastAsia="Times New Roman" w:hAnsi="Times New Roman" w:cs="Times New Roman"/>
                <w:sz w:val="20"/>
                <w:szCs w:val="20"/>
                <w:lang w:eastAsia="pl-PL"/>
              </w:rPr>
              <w:t xml:space="preserve"> </w:t>
            </w:r>
            <w:r w:rsidR="006E514E">
              <w:t xml:space="preserve"> </w:t>
            </w:r>
            <w:r w:rsidR="006E514E" w:rsidRPr="006E514E">
              <w:rPr>
                <w:rFonts w:ascii="Times New Roman" w:eastAsia="Times New Roman" w:hAnsi="Times New Roman" w:cs="Times New Roman"/>
                <w:sz w:val="20"/>
                <w:szCs w:val="20"/>
                <w:lang w:eastAsia="pl-PL"/>
              </w:rPr>
              <w:t>albo kanakinumabu</w:t>
            </w:r>
            <w:r w:rsidR="006E514E">
              <w:rPr>
                <w:rFonts w:ascii="Times New Roman" w:eastAsia="Times New Roman" w:hAnsi="Times New Roman" w:cs="Times New Roman"/>
                <w:sz w:val="20"/>
                <w:szCs w:val="20"/>
                <w:lang w:eastAsia="pl-PL"/>
              </w:rPr>
              <w:t xml:space="preserve"> </w:t>
            </w:r>
            <w:r w:rsidR="003B636C" w:rsidRPr="00154BF9">
              <w:rPr>
                <w:rFonts w:ascii="Times New Roman" w:eastAsia="Times New Roman" w:hAnsi="Times New Roman" w:cs="Times New Roman"/>
                <w:sz w:val="20"/>
                <w:szCs w:val="20"/>
                <w:lang w:eastAsia="pl-PL"/>
              </w:rPr>
              <w:t>znacznego</w:t>
            </w:r>
            <w:r w:rsidR="0052643B" w:rsidRPr="00154BF9">
              <w:rPr>
                <w:rFonts w:ascii="Times New Roman" w:eastAsia="Times New Roman" w:hAnsi="Times New Roman" w:cs="Times New Roman"/>
                <w:sz w:val="20"/>
                <w:szCs w:val="20"/>
                <w:lang w:eastAsia="pl-PL"/>
              </w:rPr>
              <w:t xml:space="preserve"> </w:t>
            </w:r>
            <w:r w:rsidR="003B636C" w:rsidRPr="00154BF9">
              <w:rPr>
                <w:rFonts w:ascii="Times New Roman" w:eastAsia="Times New Roman" w:hAnsi="Times New Roman" w:cs="Times New Roman"/>
                <w:sz w:val="20"/>
                <w:szCs w:val="20"/>
                <w:lang w:eastAsia="pl-PL"/>
              </w:rPr>
              <w:t>zmniejszenia</w:t>
            </w:r>
            <w:r w:rsidR="0052643B" w:rsidRPr="00154BF9">
              <w:rPr>
                <w:rFonts w:ascii="Times New Roman" w:eastAsia="Times New Roman" w:hAnsi="Times New Roman" w:cs="Times New Roman"/>
                <w:sz w:val="20"/>
                <w:szCs w:val="20"/>
                <w:lang w:eastAsia="pl-PL"/>
              </w:rPr>
              <w:t xml:space="preserve"> </w:t>
            </w:r>
            <w:r w:rsidR="003B636C" w:rsidRPr="00154BF9">
              <w:rPr>
                <w:rFonts w:ascii="Times New Roman" w:eastAsia="Times New Roman" w:hAnsi="Times New Roman" w:cs="Times New Roman"/>
                <w:sz w:val="20"/>
                <w:szCs w:val="20"/>
                <w:lang w:eastAsia="pl-PL"/>
              </w:rPr>
              <w:t>objawów</w:t>
            </w:r>
            <w:r w:rsidR="0052643B" w:rsidRPr="00154BF9">
              <w:rPr>
                <w:rFonts w:ascii="Times New Roman" w:eastAsia="Times New Roman" w:hAnsi="Times New Roman" w:cs="Times New Roman"/>
                <w:sz w:val="20"/>
                <w:szCs w:val="20"/>
                <w:lang w:eastAsia="pl-PL"/>
              </w:rPr>
              <w:t xml:space="preserve"> </w:t>
            </w:r>
            <w:r w:rsidR="003B636C" w:rsidRPr="00154BF9">
              <w:rPr>
                <w:rFonts w:ascii="Times New Roman" w:eastAsia="Times New Roman" w:hAnsi="Times New Roman" w:cs="Times New Roman"/>
                <w:sz w:val="20"/>
                <w:szCs w:val="20"/>
                <w:lang w:eastAsia="pl-PL"/>
              </w:rPr>
              <w:t>układowych</w:t>
            </w:r>
            <w:r w:rsidRPr="00154BF9">
              <w:rPr>
                <w:rFonts w:ascii="Times New Roman" w:eastAsia="Times New Roman" w:hAnsi="Times New Roman" w:cs="Times New Roman"/>
                <w:sz w:val="20"/>
                <w:szCs w:val="20"/>
                <w:lang w:eastAsia="pl-PL"/>
              </w:rPr>
              <w:t>.</w:t>
            </w:r>
          </w:p>
          <w:p w14:paraId="0FE5ACEE" w14:textId="5805E4D1" w:rsidR="009D7AE1" w:rsidRPr="00154BF9" w:rsidRDefault="00210416" w:rsidP="00A05A8B">
            <w:pPr>
              <w:numPr>
                <w:ilvl w:val="3"/>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N</w:t>
            </w:r>
            <w:r w:rsidR="009D7AE1" w:rsidRPr="00154BF9">
              <w:rPr>
                <w:rFonts w:ascii="Times New Roman" w:eastAsia="Times New Roman" w:hAnsi="Times New Roman" w:cs="Times New Roman"/>
                <w:sz w:val="20"/>
                <w:szCs w:val="20"/>
                <w:lang w:eastAsia="pl-PL"/>
              </w:rPr>
              <w:t>ie</w:t>
            </w:r>
            <w:r w:rsidR="0052643B" w:rsidRPr="00154BF9">
              <w:rPr>
                <w:rFonts w:ascii="Times New Roman" w:eastAsia="Times New Roman" w:hAnsi="Times New Roman" w:cs="Times New Roman"/>
                <w:sz w:val="20"/>
                <w:szCs w:val="20"/>
                <w:lang w:eastAsia="pl-PL"/>
              </w:rPr>
              <w:t xml:space="preserve"> </w:t>
            </w:r>
            <w:r w:rsidR="00F924F7" w:rsidRPr="00154BF9">
              <w:rPr>
                <w:rFonts w:ascii="Times New Roman" w:eastAsia="Times New Roman" w:hAnsi="Times New Roman" w:cs="Times New Roman"/>
                <w:sz w:val="20"/>
                <w:szCs w:val="20"/>
                <w:lang w:eastAsia="pl-PL"/>
              </w:rPr>
              <w:t>stwierdzenie</w:t>
            </w:r>
            <w:r w:rsidR="0052643B" w:rsidRPr="00154BF9">
              <w:rPr>
                <w:rFonts w:ascii="Times New Roman" w:eastAsia="Times New Roman" w:hAnsi="Times New Roman" w:cs="Times New Roman"/>
                <w:sz w:val="20"/>
                <w:szCs w:val="20"/>
                <w:lang w:eastAsia="pl-PL"/>
              </w:rPr>
              <w:t xml:space="preserve"> </w:t>
            </w:r>
            <w:r w:rsidR="00F924F7" w:rsidRPr="00154BF9">
              <w:rPr>
                <w:rFonts w:ascii="Times New Roman" w:eastAsia="Times New Roman" w:hAnsi="Times New Roman" w:cs="Times New Roman"/>
                <w:sz w:val="20"/>
                <w:szCs w:val="20"/>
                <w:lang w:eastAsia="pl-PL"/>
              </w:rPr>
              <w:t>po</w:t>
            </w:r>
            <w:r w:rsidR="0052643B" w:rsidRPr="00154BF9">
              <w:rPr>
                <w:rFonts w:ascii="Times New Roman" w:eastAsia="Times New Roman" w:hAnsi="Times New Roman" w:cs="Times New Roman"/>
                <w:sz w:val="20"/>
                <w:szCs w:val="20"/>
                <w:lang w:eastAsia="pl-PL"/>
              </w:rPr>
              <w:t xml:space="preserve"> </w:t>
            </w:r>
            <w:r w:rsidR="00F924F7" w:rsidRPr="00154BF9">
              <w:rPr>
                <w:rFonts w:ascii="Times New Roman" w:eastAsia="Times New Roman" w:hAnsi="Times New Roman" w:cs="Times New Roman"/>
                <w:sz w:val="20"/>
                <w:szCs w:val="20"/>
                <w:lang w:eastAsia="pl-PL"/>
              </w:rPr>
              <w:t>6</w:t>
            </w:r>
            <w:r w:rsidR="0052643B" w:rsidRPr="00154BF9">
              <w:rPr>
                <w:rFonts w:ascii="Times New Roman" w:eastAsia="Times New Roman" w:hAnsi="Times New Roman" w:cs="Times New Roman"/>
                <w:sz w:val="20"/>
                <w:szCs w:val="20"/>
                <w:lang w:eastAsia="pl-PL"/>
              </w:rPr>
              <w:t xml:space="preserve"> </w:t>
            </w:r>
            <w:r w:rsidR="00F924F7" w:rsidRPr="00154BF9">
              <w:rPr>
                <w:rFonts w:ascii="Times New Roman" w:eastAsia="Times New Roman" w:hAnsi="Times New Roman" w:cs="Times New Roman"/>
                <w:sz w:val="20"/>
                <w:szCs w:val="20"/>
                <w:lang w:eastAsia="pl-PL"/>
              </w:rPr>
              <w:t>miesiącach</w:t>
            </w:r>
            <w:r w:rsidR="0052643B" w:rsidRPr="00154BF9">
              <w:rPr>
                <w:rFonts w:ascii="Times New Roman" w:eastAsia="Times New Roman" w:hAnsi="Times New Roman" w:cs="Times New Roman"/>
                <w:sz w:val="20"/>
                <w:szCs w:val="20"/>
                <w:lang w:eastAsia="pl-PL"/>
              </w:rPr>
              <w:t xml:space="preserve"> </w:t>
            </w:r>
            <w:r w:rsidR="00F924F7" w:rsidRPr="00154BF9">
              <w:rPr>
                <w:rFonts w:ascii="Times New Roman" w:eastAsia="Times New Roman" w:hAnsi="Times New Roman" w:cs="Times New Roman"/>
                <w:sz w:val="20"/>
                <w:szCs w:val="20"/>
                <w:lang w:eastAsia="pl-PL"/>
              </w:rPr>
              <w:t>(±1</w:t>
            </w:r>
            <w:r w:rsidR="0052643B" w:rsidRPr="00154BF9">
              <w:rPr>
                <w:rFonts w:ascii="Times New Roman" w:eastAsia="Times New Roman" w:hAnsi="Times New Roman" w:cs="Times New Roman"/>
                <w:sz w:val="20"/>
                <w:szCs w:val="20"/>
                <w:lang w:eastAsia="pl-PL"/>
              </w:rPr>
              <w:t xml:space="preserve"> </w:t>
            </w:r>
            <w:r w:rsidR="00F924F7" w:rsidRPr="00154BF9">
              <w:rPr>
                <w:rFonts w:ascii="Times New Roman" w:eastAsia="Times New Roman" w:hAnsi="Times New Roman" w:cs="Times New Roman"/>
                <w:sz w:val="20"/>
                <w:szCs w:val="20"/>
                <w:lang w:eastAsia="pl-PL"/>
              </w:rPr>
              <w:t>miesiąc</w:t>
            </w:r>
            <w:r w:rsidR="009D7AE1"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od</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pierwszego</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podania</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substancj</w:t>
            </w:r>
            <w:r w:rsidR="00390D64" w:rsidRPr="00154BF9">
              <w:rPr>
                <w:rFonts w:ascii="Times New Roman" w:eastAsia="Times New Roman" w:hAnsi="Times New Roman" w:cs="Times New Roman"/>
                <w:sz w:val="20"/>
                <w:szCs w:val="20"/>
                <w:lang w:eastAsia="pl-PL"/>
              </w:rPr>
              <w:t>i</w:t>
            </w:r>
            <w:r w:rsidR="0052643B" w:rsidRPr="00154BF9">
              <w:rPr>
                <w:rFonts w:ascii="Times New Roman" w:eastAsia="Times New Roman" w:hAnsi="Times New Roman" w:cs="Times New Roman"/>
                <w:sz w:val="20"/>
                <w:szCs w:val="20"/>
                <w:lang w:eastAsia="pl-PL"/>
              </w:rPr>
              <w:t xml:space="preserve"> </w:t>
            </w:r>
            <w:r w:rsidR="00390D64" w:rsidRPr="00154BF9">
              <w:rPr>
                <w:rFonts w:ascii="Times New Roman" w:eastAsia="Times New Roman" w:hAnsi="Times New Roman" w:cs="Times New Roman"/>
                <w:sz w:val="20"/>
                <w:szCs w:val="20"/>
                <w:lang w:eastAsia="pl-PL"/>
              </w:rPr>
              <w:t>czynnej</w:t>
            </w:r>
            <w:r w:rsidR="0052643B" w:rsidRPr="00154BF9">
              <w:rPr>
                <w:rFonts w:ascii="Times New Roman" w:eastAsia="Times New Roman" w:hAnsi="Times New Roman" w:cs="Times New Roman"/>
                <w:sz w:val="20"/>
                <w:szCs w:val="20"/>
                <w:lang w:eastAsia="pl-PL"/>
              </w:rPr>
              <w:t xml:space="preserve"> </w:t>
            </w:r>
            <w:r w:rsidR="00390D64" w:rsidRPr="00154BF9">
              <w:rPr>
                <w:rFonts w:ascii="Times New Roman" w:eastAsia="Times New Roman" w:hAnsi="Times New Roman" w:cs="Times New Roman"/>
                <w:sz w:val="20"/>
                <w:szCs w:val="20"/>
                <w:lang w:eastAsia="pl-PL"/>
              </w:rPr>
              <w:t>leku</w:t>
            </w:r>
            <w:r w:rsidR="0052643B" w:rsidRPr="00154BF9">
              <w:rPr>
                <w:rFonts w:ascii="Times New Roman" w:eastAsia="Times New Roman" w:hAnsi="Times New Roman" w:cs="Times New Roman"/>
                <w:sz w:val="20"/>
                <w:szCs w:val="20"/>
                <w:lang w:eastAsia="pl-PL"/>
              </w:rPr>
              <w:t xml:space="preserve"> </w:t>
            </w:r>
            <w:r w:rsidR="00390D64" w:rsidRPr="00154BF9">
              <w:rPr>
                <w:rFonts w:ascii="Times New Roman" w:eastAsia="Times New Roman" w:hAnsi="Times New Roman" w:cs="Times New Roman"/>
                <w:sz w:val="20"/>
                <w:szCs w:val="20"/>
                <w:lang w:eastAsia="pl-PL"/>
              </w:rPr>
              <w:t>biologicznego</w:t>
            </w:r>
            <w:r w:rsidR="0052643B" w:rsidRPr="00154BF9">
              <w:rPr>
                <w:rFonts w:ascii="Times New Roman" w:eastAsia="Times New Roman" w:hAnsi="Times New Roman" w:cs="Times New Roman"/>
                <w:sz w:val="20"/>
                <w:szCs w:val="20"/>
                <w:lang w:eastAsia="pl-PL"/>
              </w:rPr>
              <w:t xml:space="preserve"> </w:t>
            </w:r>
            <w:r w:rsidR="00390D64" w:rsidRPr="00154BF9">
              <w:rPr>
                <w:rFonts w:ascii="Times New Roman" w:eastAsia="Times New Roman" w:hAnsi="Times New Roman" w:cs="Times New Roman"/>
                <w:sz w:val="20"/>
                <w:szCs w:val="20"/>
                <w:lang w:eastAsia="pl-PL"/>
              </w:rPr>
              <w:t>albo</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tofacytynibu</w:t>
            </w:r>
            <w:r w:rsidR="0052643B" w:rsidRPr="00154BF9">
              <w:rPr>
                <w:rFonts w:ascii="Times New Roman" w:eastAsia="Times New Roman" w:hAnsi="Times New Roman" w:cs="Times New Roman"/>
                <w:sz w:val="20"/>
                <w:szCs w:val="20"/>
                <w:lang w:eastAsia="pl-PL"/>
              </w:rPr>
              <w:t xml:space="preserve"> </w:t>
            </w:r>
            <w:r w:rsidR="00390D64" w:rsidRPr="00154BF9">
              <w:rPr>
                <w:rFonts w:ascii="Times New Roman" w:eastAsia="Times New Roman" w:hAnsi="Times New Roman" w:cs="Times New Roman"/>
                <w:sz w:val="20"/>
                <w:szCs w:val="20"/>
                <w:lang w:eastAsia="pl-PL"/>
              </w:rPr>
              <w:t>albo</w:t>
            </w:r>
            <w:r w:rsidR="0052643B" w:rsidRPr="00154BF9">
              <w:rPr>
                <w:rFonts w:ascii="Times New Roman" w:eastAsia="Times New Roman" w:hAnsi="Times New Roman" w:cs="Times New Roman"/>
                <w:sz w:val="20"/>
                <w:szCs w:val="20"/>
                <w:lang w:eastAsia="pl-PL"/>
              </w:rPr>
              <w:t xml:space="preserve"> </w:t>
            </w:r>
            <w:r w:rsidR="00390D64" w:rsidRPr="00154BF9">
              <w:rPr>
                <w:rFonts w:ascii="Times New Roman" w:eastAsia="Times New Roman" w:hAnsi="Times New Roman" w:cs="Times New Roman"/>
                <w:sz w:val="20"/>
                <w:szCs w:val="20"/>
                <w:lang w:eastAsia="pl-PL"/>
              </w:rPr>
              <w:t>baricytynibu</w:t>
            </w:r>
            <w:r w:rsidR="0052643B" w:rsidRPr="00154BF9">
              <w:rPr>
                <w:rFonts w:ascii="Times New Roman" w:eastAsia="Times New Roman" w:hAnsi="Times New Roman" w:cs="Times New Roman"/>
                <w:sz w:val="20"/>
                <w:szCs w:val="20"/>
                <w:lang w:eastAsia="pl-PL"/>
              </w:rPr>
              <w:t xml:space="preserve"> </w:t>
            </w:r>
            <w:r w:rsidR="008C15AD" w:rsidRPr="00154BF9">
              <w:rPr>
                <w:rFonts w:ascii="Times New Roman" w:eastAsia="Times New Roman" w:hAnsi="Times New Roman" w:cs="Times New Roman"/>
                <w:sz w:val="20"/>
                <w:szCs w:val="20"/>
                <w:lang w:eastAsia="pl-PL"/>
              </w:rPr>
              <w:t>albo</w:t>
            </w:r>
            <w:r w:rsidR="0052643B" w:rsidRPr="00154BF9">
              <w:rPr>
                <w:rFonts w:ascii="Times New Roman" w:eastAsia="Times New Roman" w:hAnsi="Times New Roman" w:cs="Times New Roman"/>
                <w:sz w:val="20"/>
                <w:szCs w:val="20"/>
                <w:lang w:eastAsia="pl-PL"/>
              </w:rPr>
              <w:t xml:space="preserve"> </w:t>
            </w:r>
            <w:r w:rsidR="008C15AD" w:rsidRPr="00154BF9">
              <w:rPr>
                <w:rFonts w:ascii="Times New Roman" w:eastAsia="Times New Roman" w:hAnsi="Times New Roman" w:cs="Times New Roman"/>
                <w:sz w:val="20"/>
                <w:szCs w:val="20"/>
                <w:lang w:eastAsia="pl-PL"/>
              </w:rPr>
              <w:t>upadacytynibu</w:t>
            </w:r>
            <w:r w:rsidR="0004021B" w:rsidRPr="00154BF9">
              <w:t xml:space="preserve"> </w:t>
            </w:r>
            <w:r w:rsidR="0004021B" w:rsidRPr="00154BF9">
              <w:rPr>
                <w:rFonts w:ascii="Times New Roman" w:eastAsia="Times New Roman" w:hAnsi="Times New Roman" w:cs="Times New Roman"/>
                <w:sz w:val="20"/>
                <w:szCs w:val="20"/>
                <w:lang w:eastAsia="pl-PL"/>
              </w:rPr>
              <w:t>albo filgotynibu</w:t>
            </w:r>
            <w:r w:rsidR="00CA0EC2"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osiągnięcia</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remisji</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niskiej</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aktywności</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choroby,</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gdy</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osiągnięcie</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tym</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czasie</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remisji</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nie</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jest</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możliwe.</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lastRenderedPageBreak/>
              <w:t>Miernikiem</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niskiej</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aktywności</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choroby</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jest</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DAS</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28</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3,2</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albo</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DAS</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≤2,4,</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albo</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SDAI</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11.</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Miernikiem</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remisji</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jest</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wartość</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DAS</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28</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2,6</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albo</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DAS</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≤1,6,</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albo</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SDAI</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3,3</w:t>
            </w:r>
            <w:r w:rsidR="0052643B" w:rsidRPr="00154BF9">
              <w:rPr>
                <w:rFonts w:ascii="Times New Roman" w:hAnsi="Times New Roman" w:cs="Times New Roman"/>
                <w:sz w:val="20"/>
                <w:szCs w:val="20"/>
              </w:rPr>
              <w:t xml:space="preserve"> </w:t>
            </w:r>
            <w:r w:rsidR="003B636C"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003B636C" w:rsidRPr="00154BF9">
              <w:rPr>
                <w:rFonts w:ascii="Times New Roman" w:eastAsia="Times New Roman" w:hAnsi="Times New Roman" w:cs="Times New Roman"/>
                <w:sz w:val="20"/>
                <w:szCs w:val="20"/>
                <w:lang w:eastAsia="pl-PL"/>
              </w:rPr>
              <w:t>nie</w:t>
            </w:r>
            <w:r w:rsidR="0052643B" w:rsidRPr="00154BF9">
              <w:rPr>
                <w:rFonts w:ascii="Times New Roman" w:eastAsia="Times New Roman" w:hAnsi="Times New Roman" w:cs="Times New Roman"/>
                <w:sz w:val="20"/>
                <w:szCs w:val="20"/>
                <w:lang w:eastAsia="pl-PL"/>
              </w:rPr>
              <w:t xml:space="preserve"> </w:t>
            </w:r>
            <w:r w:rsidR="003B636C" w:rsidRPr="00154BF9">
              <w:rPr>
                <w:rFonts w:ascii="Times New Roman" w:eastAsia="Times New Roman" w:hAnsi="Times New Roman" w:cs="Times New Roman"/>
                <w:sz w:val="20"/>
                <w:szCs w:val="20"/>
                <w:lang w:eastAsia="pl-PL"/>
              </w:rPr>
              <w:t>stwierdzenie</w:t>
            </w:r>
            <w:r w:rsidR="0052643B" w:rsidRPr="00154BF9">
              <w:rPr>
                <w:rFonts w:ascii="Times New Roman" w:eastAsia="Times New Roman" w:hAnsi="Times New Roman" w:cs="Times New Roman"/>
                <w:sz w:val="20"/>
                <w:szCs w:val="20"/>
                <w:lang w:eastAsia="pl-PL"/>
              </w:rPr>
              <w:t xml:space="preserve"> </w:t>
            </w:r>
            <w:r w:rsidR="003B636C" w:rsidRPr="00154BF9">
              <w:rPr>
                <w:rFonts w:ascii="Times New Roman" w:eastAsia="Times New Roman" w:hAnsi="Times New Roman" w:cs="Times New Roman"/>
                <w:sz w:val="20"/>
                <w:szCs w:val="20"/>
                <w:lang w:eastAsia="pl-PL"/>
              </w:rPr>
              <w:t>po</w:t>
            </w:r>
            <w:r w:rsidR="0052643B" w:rsidRPr="00154BF9">
              <w:rPr>
                <w:rFonts w:ascii="Times New Roman" w:eastAsia="Times New Roman" w:hAnsi="Times New Roman" w:cs="Times New Roman"/>
                <w:sz w:val="20"/>
                <w:szCs w:val="20"/>
                <w:lang w:eastAsia="pl-PL"/>
              </w:rPr>
              <w:t xml:space="preserve"> </w:t>
            </w:r>
            <w:r w:rsidR="003B636C" w:rsidRPr="00154BF9">
              <w:rPr>
                <w:rFonts w:ascii="Times New Roman" w:eastAsia="Times New Roman" w:hAnsi="Times New Roman" w:cs="Times New Roman"/>
                <w:sz w:val="20"/>
                <w:szCs w:val="20"/>
                <w:lang w:eastAsia="pl-PL"/>
              </w:rPr>
              <w:t>6</w:t>
            </w:r>
            <w:r w:rsidR="0052643B" w:rsidRPr="00154BF9">
              <w:rPr>
                <w:rFonts w:ascii="Times New Roman" w:eastAsia="Times New Roman" w:hAnsi="Times New Roman" w:cs="Times New Roman"/>
                <w:sz w:val="20"/>
                <w:szCs w:val="20"/>
                <w:lang w:eastAsia="pl-PL"/>
              </w:rPr>
              <w:t xml:space="preserve"> </w:t>
            </w:r>
            <w:r w:rsidR="003B636C" w:rsidRPr="00154BF9">
              <w:rPr>
                <w:rFonts w:ascii="Times New Roman" w:eastAsia="Times New Roman" w:hAnsi="Times New Roman" w:cs="Times New Roman"/>
                <w:sz w:val="20"/>
                <w:szCs w:val="20"/>
                <w:lang w:eastAsia="pl-PL"/>
              </w:rPr>
              <w:t>miesiącach</w:t>
            </w:r>
            <w:r w:rsidR="0052643B" w:rsidRPr="00154BF9">
              <w:rPr>
                <w:rFonts w:ascii="Times New Roman" w:eastAsia="Times New Roman" w:hAnsi="Times New Roman" w:cs="Times New Roman"/>
                <w:sz w:val="20"/>
                <w:szCs w:val="20"/>
                <w:lang w:eastAsia="pl-PL"/>
              </w:rPr>
              <w:t xml:space="preserve"> </w:t>
            </w:r>
            <w:r w:rsidR="003B636C" w:rsidRPr="00154BF9">
              <w:rPr>
                <w:rFonts w:ascii="Times New Roman" w:eastAsia="Times New Roman" w:hAnsi="Times New Roman" w:cs="Times New Roman"/>
                <w:sz w:val="20"/>
                <w:szCs w:val="20"/>
                <w:lang w:eastAsia="pl-PL"/>
              </w:rPr>
              <w:t>(±1</w:t>
            </w:r>
            <w:r w:rsidR="0052643B" w:rsidRPr="00154BF9">
              <w:rPr>
                <w:rFonts w:ascii="Times New Roman" w:eastAsia="Times New Roman" w:hAnsi="Times New Roman" w:cs="Times New Roman"/>
                <w:sz w:val="20"/>
                <w:szCs w:val="20"/>
                <w:lang w:eastAsia="pl-PL"/>
              </w:rPr>
              <w:t xml:space="preserve"> </w:t>
            </w:r>
            <w:r w:rsidR="003B636C" w:rsidRPr="00154BF9">
              <w:rPr>
                <w:rFonts w:ascii="Times New Roman" w:eastAsia="Times New Roman" w:hAnsi="Times New Roman" w:cs="Times New Roman"/>
                <w:sz w:val="20"/>
                <w:szCs w:val="20"/>
                <w:lang w:eastAsia="pl-PL"/>
              </w:rPr>
              <w:t>miesiąc)</w:t>
            </w:r>
            <w:r w:rsidR="0052643B" w:rsidRPr="00154BF9">
              <w:rPr>
                <w:rFonts w:ascii="Times New Roman" w:eastAsia="Times New Roman" w:hAnsi="Times New Roman" w:cs="Times New Roman"/>
                <w:sz w:val="20"/>
                <w:szCs w:val="20"/>
                <w:lang w:eastAsia="pl-PL"/>
              </w:rPr>
              <w:t xml:space="preserve"> </w:t>
            </w:r>
            <w:r w:rsidR="003B636C" w:rsidRPr="00154BF9">
              <w:rPr>
                <w:rFonts w:ascii="Times New Roman" w:eastAsia="Times New Roman" w:hAnsi="Times New Roman" w:cs="Times New Roman"/>
                <w:sz w:val="20"/>
                <w:szCs w:val="20"/>
                <w:lang w:eastAsia="pl-PL"/>
              </w:rPr>
              <w:t>od</w:t>
            </w:r>
            <w:r w:rsidR="0052643B" w:rsidRPr="00154BF9">
              <w:rPr>
                <w:rFonts w:ascii="Times New Roman" w:eastAsia="Times New Roman" w:hAnsi="Times New Roman" w:cs="Times New Roman"/>
                <w:sz w:val="20"/>
                <w:szCs w:val="20"/>
                <w:lang w:eastAsia="pl-PL"/>
              </w:rPr>
              <w:t xml:space="preserve"> </w:t>
            </w:r>
            <w:r w:rsidR="003B636C" w:rsidRPr="00154BF9">
              <w:rPr>
                <w:rFonts w:ascii="Times New Roman" w:eastAsia="Times New Roman" w:hAnsi="Times New Roman" w:cs="Times New Roman"/>
                <w:sz w:val="20"/>
                <w:szCs w:val="20"/>
                <w:lang w:eastAsia="pl-PL"/>
              </w:rPr>
              <w:t>pierwszego</w:t>
            </w:r>
            <w:r w:rsidR="0052643B" w:rsidRPr="00154BF9">
              <w:rPr>
                <w:rFonts w:ascii="Times New Roman" w:eastAsia="Times New Roman" w:hAnsi="Times New Roman" w:cs="Times New Roman"/>
                <w:sz w:val="20"/>
                <w:szCs w:val="20"/>
                <w:lang w:eastAsia="pl-PL"/>
              </w:rPr>
              <w:t xml:space="preserve"> </w:t>
            </w:r>
            <w:r w:rsidR="003B636C" w:rsidRPr="00154BF9">
              <w:rPr>
                <w:rFonts w:ascii="Times New Roman" w:eastAsia="Times New Roman" w:hAnsi="Times New Roman" w:cs="Times New Roman"/>
                <w:sz w:val="20"/>
                <w:szCs w:val="20"/>
                <w:lang w:eastAsia="pl-PL"/>
              </w:rPr>
              <w:t>podania</w:t>
            </w:r>
            <w:r w:rsidR="0052643B" w:rsidRPr="00154BF9">
              <w:rPr>
                <w:rFonts w:ascii="Times New Roman" w:eastAsia="Times New Roman" w:hAnsi="Times New Roman" w:cs="Times New Roman"/>
                <w:sz w:val="20"/>
                <w:szCs w:val="20"/>
                <w:lang w:eastAsia="pl-PL"/>
              </w:rPr>
              <w:t xml:space="preserve"> </w:t>
            </w:r>
            <w:r w:rsidR="003B636C" w:rsidRPr="00154BF9">
              <w:rPr>
                <w:rFonts w:ascii="Times New Roman" w:eastAsia="Times New Roman" w:hAnsi="Times New Roman" w:cs="Times New Roman"/>
                <w:sz w:val="20"/>
                <w:szCs w:val="20"/>
                <w:lang w:eastAsia="pl-PL"/>
              </w:rPr>
              <w:t>inhibitora</w:t>
            </w:r>
            <w:r w:rsidR="0052643B" w:rsidRPr="00154BF9">
              <w:rPr>
                <w:rFonts w:ascii="Times New Roman" w:eastAsia="Times New Roman" w:hAnsi="Times New Roman" w:cs="Times New Roman"/>
                <w:sz w:val="20"/>
                <w:szCs w:val="20"/>
                <w:lang w:eastAsia="pl-PL"/>
              </w:rPr>
              <w:t xml:space="preserve"> </w:t>
            </w:r>
            <w:r w:rsidR="003B636C" w:rsidRPr="00154BF9">
              <w:rPr>
                <w:rFonts w:ascii="Times New Roman" w:eastAsia="Times New Roman" w:hAnsi="Times New Roman" w:cs="Times New Roman"/>
                <w:sz w:val="20"/>
                <w:szCs w:val="20"/>
                <w:lang w:eastAsia="pl-PL"/>
              </w:rPr>
              <w:t>TNF</w:t>
            </w:r>
            <w:r w:rsidR="0052643B" w:rsidRPr="00154BF9">
              <w:rPr>
                <w:rFonts w:ascii="Times New Roman" w:eastAsia="Times New Roman" w:hAnsi="Times New Roman" w:cs="Times New Roman"/>
                <w:sz w:val="20"/>
                <w:szCs w:val="20"/>
                <w:lang w:eastAsia="pl-PL"/>
              </w:rPr>
              <w:t xml:space="preserve"> </w:t>
            </w:r>
            <w:r w:rsidR="003B636C" w:rsidRPr="00154BF9">
              <w:rPr>
                <w:rFonts w:ascii="Times New Roman" w:eastAsia="Times New Roman" w:hAnsi="Times New Roman" w:cs="Times New Roman"/>
                <w:sz w:val="20"/>
                <w:szCs w:val="20"/>
                <w:lang w:eastAsia="pl-PL"/>
              </w:rPr>
              <w:t>alfa</w:t>
            </w:r>
            <w:r w:rsidR="0052643B" w:rsidRPr="00154BF9">
              <w:rPr>
                <w:rFonts w:ascii="Times New Roman" w:eastAsia="Times New Roman" w:hAnsi="Times New Roman" w:cs="Times New Roman"/>
                <w:sz w:val="20"/>
                <w:szCs w:val="20"/>
                <w:lang w:eastAsia="pl-PL"/>
              </w:rPr>
              <w:t xml:space="preserve"> </w:t>
            </w:r>
            <w:r w:rsidR="003B636C" w:rsidRPr="00154BF9">
              <w:rPr>
                <w:rFonts w:ascii="Times New Roman" w:eastAsia="Times New Roman" w:hAnsi="Times New Roman" w:cs="Times New Roman"/>
                <w:sz w:val="20"/>
                <w:szCs w:val="20"/>
                <w:lang w:eastAsia="pl-PL"/>
              </w:rPr>
              <w:t>albo</w:t>
            </w:r>
            <w:r w:rsidR="0052643B" w:rsidRPr="00154BF9">
              <w:rPr>
                <w:rFonts w:ascii="Times New Roman" w:eastAsia="Times New Roman" w:hAnsi="Times New Roman" w:cs="Times New Roman"/>
                <w:sz w:val="20"/>
                <w:szCs w:val="20"/>
                <w:lang w:eastAsia="pl-PL"/>
              </w:rPr>
              <w:t xml:space="preserve"> </w:t>
            </w:r>
            <w:r w:rsidR="003B636C" w:rsidRPr="00154BF9">
              <w:rPr>
                <w:rFonts w:ascii="Times New Roman" w:eastAsia="Times New Roman" w:hAnsi="Times New Roman" w:cs="Times New Roman"/>
                <w:sz w:val="20"/>
                <w:szCs w:val="20"/>
                <w:lang w:eastAsia="pl-PL"/>
              </w:rPr>
              <w:t>tocilizumabu</w:t>
            </w:r>
            <w:r w:rsidR="0052643B" w:rsidRPr="00154BF9">
              <w:rPr>
                <w:rFonts w:ascii="Times New Roman" w:eastAsia="Times New Roman" w:hAnsi="Times New Roman" w:cs="Times New Roman"/>
                <w:sz w:val="20"/>
                <w:szCs w:val="20"/>
                <w:lang w:eastAsia="pl-PL"/>
              </w:rPr>
              <w:t xml:space="preserve"> </w:t>
            </w:r>
            <w:r w:rsidR="003B636C" w:rsidRPr="00154BF9">
              <w:rPr>
                <w:rFonts w:ascii="Times New Roman" w:eastAsia="Times New Roman" w:hAnsi="Times New Roman" w:cs="Times New Roman"/>
                <w:sz w:val="20"/>
                <w:szCs w:val="20"/>
                <w:lang w:eastAsia="pl-PL"/>
              </w:rPr>
              <w:t>albo</w:t>
            </w:r>
            <w:r w:rsidR="0052643B" w:rsidRPr="00154BF9">
              <w:rPr>
                <w:rFonts w:ascii="Times New Roman" w:eastAsia="Times New Roman" w:hAnsi="Times New Roman" w:cs="Times New Roman"/>
                <w:sz w:val="20"/>
                <w:szCs w:val="20"/>
                <w:lang w:eastAsia="pl-PL"/>
              </w:rPr>
              <w:t xml:space="preserve"> </w:t>
            </w:r>
            <w:r w:rsidR="003B636C" w:rsidRPr="00154BF9">
              <w:rPr>
                <w:rFonts w:ascii="Times New Roman" w:eastAsia="Times New Roman" w:hAnsi="Times New Roman" w:cs="Times New Roman"/>
                <w:sz w:val="20"/>
                <w:szCs w:val="20"/>
                <w:lang w:eastAsia="pl-PL"/>
              </w:rPr>
              <w:t>tofacytynibu</w:t>
            </w:r>
            <w:r w:rsidR="0052643B" w:rsidRPr="00154BF9">
              <w:rPr>
                <w:rFonts w:ascii="Times New Roman" w:eastAsia="Times New Roman" w:hAnsi="Times New Roman" w:cs="Times New Roman"/>
                <w:sz w:val="20"/>
                <w:szCs w:val="20"/>
                <w:lang w:eastAsia="pl-PL"/>
              </w:rPr>
              <w:t xml:space="preserve"> </w:t>
            </w:r>
            <w:r w:rsidR="003B636C" w:rsidRPr="00154BF9">
              <w:rPr>
                <w:rFonts w:ascii="Times New Roman" w:eastAsia="Times New Roman" w:hAnsi="Times New Roman" w:cs="Times New Roman"/>
                <w:sz w:val="20"/>
                <w:szCs w:val="20"/>
                <w:lang w:eastAsia="pl-PL"/>
              </w:rPr>
              <w:t>albo</w:t>
            </w:r>
            <w:r w:rsidR="0052643B" w:rsidRPr="00154BF9">
              <w:rPr>
                <w:rFonts w:ascii="Times New Roman" w:eastAsia="Times New Roman" w:hAnsi="Times New Roman" w:cs="Times New Roman"/>
                <w:sz w:val="20"/>
                <w:szCs w:val="20"/>
                <w:lang w:eastAsia="pl-PL"/>
              </w:rPr>
              <w:t xml:space="preserve"> </w:t>
            </w:r>
            <w:r w:rsidR="003B636C" w:rsidRPr="00154BF9">
              <w:rPr>
                <w:rFonts w:ascii="Times New Roman" w:eastAsia="Times New Roman" w:hAnsi="Times New Roman" w:cs="Times New Roman"/>
                <w:sz w:val="20"/>
                <w:szCs w:val="20"/>
                <w:lang w:eastAsia="pl-PL"/>
              </w:rPr>
              <w:t>baricytynibu</w:t>
            </w:r>
            <w:r w:rsidR="0052643B" w:rsidRPr="00154BF9">
              <w:rPr>
                <w:rFonts w:ascii="Times New Roman" w:eastAsia="Times New Roman" w:hAnsi="Times New Roman" w:cs="Times New Roman"/>
                <w:sz w:val="20"/>
                <w:szCs w:val="20"/>
                <w:lang w:eastAsia="pl-PL"/>
              </w:rPr>
              <w:t xml:space="preserve"> </w:t>
            </w:r>
            <w:r w:rsidR="002140C4" w:rsidRPr="00154BF9">
              <w:rPr>
                <w:rFonts w:ascii="Times New Roman" w:eastAsia="Times New Roman" w:hAnsi="Times New Roman" w:cs="Times New Roman"/>
                <w:sz w:val="20"/>
                <w:szCs w:val="20"/>
                <w:lang w:eastAsia="pl-PL"/>
              </w:rPr>
              <w:t>albo</w:t>
            </w:r>
            <w:r w:rsidR="0052643B" w:rsidRPr="00154BF9">
              <w:rPr>
                <w:rFonts w:ascii="Times New Roman" w:eastAsia="Times New Roman" w:hAnsi="Times New Roman" w:cs="Times New Roman"/>
                <w:sz w:val="20"/>
                <w:szCs w:val="20"/>
                <w:lang w:eastAsia="pl-PL"/>
              </w:rPr>
              <w:t xml:space="preserve"> </w:t>
            </w:r>
            <w:r w:rsidR="002140C4" w:rsidRPr="00154BF9">
              <w:rPr>
                <w:rFonts w:ascii="Times New Roman" w:eastAsia="Times New Roman" w:hAnsi="Times New Roman" w:cs="Times New Roman"/>
                <w:sz w:val="20"/>
                <w:szCs w:val="20"/>
                <w:lang w:eastAsia="pl-PL"/>
              </w:rPr>
              <w:t>upadacytynibu</w:t>
            </w:r>
            <w:r w:rsidR="00906D15" w:rsidRPr="00154BF9">
              <w:rPr>
                <w:rFonts w:ascii="Times New Roman" w:eastAsia="Times New Roman" w:hAnsi="Times New Roman" w:cs="Times New Roman"/>
                <w:sz w:val="20"/>
                <w:szCs w:val="20"/>
                <w:lang w:eastAsia="pl-PL"/>
              </w:rPr>
              <w:t xml:space="preserve"> albo filgotynibu </w:t>
            </w:r>
            <w:r w:rsidR="003B636C" w:rsidRPr="00154BF9">
              <w:rPr>
                <w:rFonts w:ascii="Times New Roman" w:eastAsia="Times New Roman" w:hAnsi="Times New Roman" w:cs="Times New Roman"/>
                <w:sz w:val="20"/>
                <w:szCs w:val="20"/>
                <w:lang w:eastAsia="pl-PL"/>
              </w:rPr>
              <w:t>albo</w:t>
            </w:r>
            <w:r w:rsidR="0052643B" w:rsidRPr="00154BF9">
              <w:rPr>
                <w:rFonts w:ascii="Times New Roman" w:eastAsia="Times New Roman" w:hAnsi="Times New Roman" w:cs="Times New Roman"/>
                <w:sz w:val="20"/>
                <w:szCs w:val="20"/>
                <w:lang w:eastAsia="pl-PL"/>
              </w:rPr>
              <w:t xml:space="preserve"> </w:t>
            </w:r>
            <w:r w:rsidR="003B636C" w:rsidRPr="00154BF9">
              <w:rPr>
                <w:rFonts w:ascii="Times New Roman" w:eastAsia="Times New Roman" w:hAnsi="Times New Roman" w:cs="Times New Roman"/>
                <w:sz w:val="20"/>
                <w:szCs w:val="20"/>
                <w:lang w:eastAsia="pl-PL"/>
              </w:rPr>
              <w:t>anakinry</w:t>
            </w:r>
            <w:r w:rsidR="006E514E">
              <w:t xml:space="preserve"> </w:t>
            </w:r>
            <w:r w:rsidR="006E514E" w:rsidRPr="006E514E">
              <w:rPr>
                <w:rFonts w:ascii="Times New Roman" w:eastAsia="Times New Roman" w:hAnsi="Times New Roman" w:cs="Times New Roman"/>
                <w:sz w:val="20"/>
                <w:szCs w:val="20"/>
                <w:lang w:eastAsia="pl-PL"/>
              </w:rPr>
              <w:t>albo kanakinumabu</w:t>
            </w:r>
            <w:r w:rsidR="006E514E">
              <w:rPr>
                <w:rFonts w:ascii="Times New Roman" w:eastAsia="Times New Roman" w:hAnsi="Times New Roman" w:cs="Times New Roman"/>
                <w:sz w:val="20"/>
                <w:szCs w:val="20"/>
                <w:lang w:eastAsia="pl-PL"/>
              </w:rPr>
              <w:t xml:space="preserve"> </w:t>
            </w:r>
            <w:r w:rsidR="003B636C" w:rsidRPr="00154BF9">
              <w:rPr>
                <w:rFonts w:ascii="Times New Roman" w:eastAsia="Times New Roman" w:hAnsi="Times New Roman" w:cs="Times New Roman"/>
                <w:sz w:val="20"/>
                <w:szCs w:val="20"/>
                <w:lang w:eastAsia="pl-PL"/>
              </w:rPr>
              <w:t>ustąpienia</w:t>
            </w:r>
            <w:r w:rsidR="0052643B" w:rsidRPr="00154BF9">
              <w:rPr>
                <w:rFonts w:ascii="Times New Roman" w:eastAsia="Times New Roman" w:hAnsi="Times New Roman" w:cs="Times New Roman"/>
                <w:sz w:val="20"/>
                <w:szCs w:val="20"/>
                <w:lang w:eastAsia="pl-PL"/>
              </w:rPr>
              <w:t xml:space="preserve"> </w:t>
            </w:r>
            <w:r w:rsidR="003B636C" w:rsidRPr="00154BF9">
              <w:rPr>
                <w:rFonts w:ascii="Times New Roman" w:eastAsia="Times New Roman" w:hAnsi="Times New Roman" w:cs="Times New Roman"/>
                <w:sz w:val="20"/>
                <w:szCs w:val="20"/>
                <w:lang w:eastAsia="pl-PL"/>
              </w:rPr>
              <w:t>objawów</w:t>
            </w:r>
            <w:r w:rsidR="0052643B" w:rsidRPr="00154BF9">
              <w:rPr>
                <w:rFonts w:ascii="Times New Roman" w:eastAsia="Times New Roman" w:hAnsi="Times New Roman" w:cs="Times New Roman"/>
                <w:sz w:val="20"/>
                <w:szCs w:val="20"/>
                <w:lang w:eastAsia="pl-PL"/>
              </w:rPr>
              <w:t xml:space="preserve"> </w:t>
            </w:r>
            <w:r w:rsidR="003B636C" w:rsidRPr="00154BF9">
              <w:rPr>
                <w:rFonts w:ascii="Times New Roman" w:eastAsia="Times New Roman" w:hAnsi="Times New Roman" w:cs="Times New Roman"/>
                <w:sz w:val="20"/>
                <w:szCs w:val="20"/>
                <w:lang w:eastAsia="pl-PL"/>
              </w:rPr>
              <w:t>układowych</w:t>
            </w:r>
            <w:r w:rsidRPr="00154BF9">
              <w:rPr>
                <w:rFonts w:ascii="Times New Roman" w:eastAsia="Times New Roman" w:hAnsi="Times New Roman" w:cs="Times New Roman"/>
                <w:sz w:val="20"/>
                <w:szCs w:val="20"/>
                <w:lang w:eastAsia="pl-PL"/>
              </w:rPr>
              <w:t>.</w:t>
            </w:r>
          </w:p>
          <w:p w14:paraId="7927E685" w14:textId="28747B72" w:rsidR="009D7AE1" w:rsidRPr="00154BF9" w:rsidRDefault="00210416" w:rsidP="00A05A8B">
            <w:pPr>
              <w:numPr>
                <w:ilvl w:val="3"/>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U</w:t>
            </w:r>
            <w:r w:rsidR="009D7AE1" w:rsidRPr="00154BF9">
              <w:rPr>
                <w:rFonts w:ascii="Times New Roman" w:eastAsia="Times New Roman" w:hAnsi="Times New Roman" w:cs="Times New Roman"/>
                <w:sz w:val="20"/>
                <w:szCs w:val="20"/>
                <w:lang w:eastAsia="pl-PL"/>
              </w:rPr>
              <w:t>trata</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adekwatnej</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odpowiedzi</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na</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leczenie,</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tj.:</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stwierdzenie</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trakcie</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dwóch</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kolejnych</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wizyt</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monitorujących</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zaostrzenia</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tak,</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że</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pacjent</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przestaje</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spełniać</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kryteria</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remisji</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niskiej</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aktywności</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choroby,</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jeżeli</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uzyskanie</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remisji</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nie</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było</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możliwe</w:t>
            </w:r>
            <w:r w:rsidRPr="00154BF9">
              <w:rPr>
                <w:rFonts w:ascii="Times New Roman" w:eastAsia="Times New Roman" w:hAnsi="Times New Roman" w:cs="Times New Roman"/>
                <w:sz w:val="20"/>
                <w:szCs w:val="20"/>
                <w:lang w:eastAsia="pl-PL"/>
              </w:rPr>
              <w:t>.</w:t>
            </w:r>
          </w:p>
          <w:p w14:paraId="358425C1" w14:textId="66E00004" w:rsidR="00C13F65" w:rsidRPr="00154BF9" w:rsidRDefault="00C13F65" w:rsidP="00A05A8B">
            <w:pPr>
              <w:numPr>
                <w:ilvl w:val="3"/>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Wystąpienie chorób lub stanów, które w opinii Zespołu Koordynacyjnego lub lekarza prowadzącego uniemożliwiają dalsze prowadzenie leczenia.</w:t>
            </w:r>
          </w:p>
          <w:p w14:paraId="29A91F47" w14:textId="1F5F7CA4" w:rsidR="00C13F65" w:rsidRPr="00154BF9" w:rsidRDefault="00C13F65" w:rsidP="00A05A8B">
            <w:pPr>
              <w:numPr>
                <w:ilvl w:val="3"/>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Wystąpienie objawów nadwrażliwości na którąkolwiek substancję czynną lub substancję pomocniczą.</w:t>
            </w:r>
          </w:p>
          <w:p w14:paraId="5821A92E" w14:textId="62143D1A" w:rsidR="00C13F65" w:rsidRPr="00154BF9" w:rsidRDefault="00C13F65" w:rsidP="00A05A8B">
            <w:pPr>
              <w:numPr>
                <w:ilvl w:val="3"/>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Wystąpienie toksyczności wymagającej zakończenia leczenia w opinii Zespołu Koordynacyjnego lub lekarza prowadzącego zgodnie z aktualną ChPL.</w:t>
            </w:r>
          </w:p>
          <w:p w14:paraId="1E642101" w14:textId="7B45BDB5" w:rsidR="00C13F65" w:rsidRPr="00154BF9" w:rsidRDefault="00C13F65" w:rsidP="00A05A8B">
            <w:pPr>
              <w:numPr>
                <w:ilvl w:val="3"/>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Pogorszenie jakości życia o istotnym znaczeniu według oceny lekarza.</w:t>
            </w:r>
          </w:p>
          <w:p w14:paraId="0252EE4C" w14:textId="295C6120" w:rsidR="00C13F65" w:rsidRPr="00154BF9" w:rsidRDefault="00C13F65" w:rsidP="00A05A8B">
            <w:pPr>
              <w:numPr>
                <w:ilvl w:val="3"/>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Brak współpracy lub nieprzestrzeganie zaleceń lekarskich, w tym zwłaszcza dotyczących okresowych badań kontrolnych oceniających skuteczność i bezpieczeństwo leczenia ze strony świadczeniobiorcy lub jego opiekuna prawnego</w:t>
            </w:r>
            <w:r w:rsidR="00BB4625" w:rsidRPr="00154BF9">
              <w:rPr>
                <w:rFonts w:ascii="Times New Roman" w:eastAsia="Times New Roman" w:hAnsi="Times New Roman" w:cs="Times New Roman"/>
                <w:sz w:val="20"/>
                <w:szCs w:val="20"/>
                <w:lang w:eastAsia="pl-PL"/>
              </w:rPr>
              <w:t>.</w:t>
            </w:r>
          </w:p>
          <w:p w14:paraId="7EA6F568" w14:textId="1C2AC638" w:rsidR="009D7AE1" w:rsidRPr="00154BF9" w:rsidRDefault="00210416" w:rsidP="00A05A8B">
            <w:pPr>
              <w:numPr>
                <w:ilvl w:val="3"/>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hAnsi="Times New Roman" w:cs="Times New Roman"/>
                <w:sz w:val="20"/>
                <w:szCs w:val="20"/>
              </w:rPr>
              <w:t>L</w:t>
            </w:r>
            <w:r w:rsidR="009D7AE1" w:rsidRPr="00154BF9">
              <w:rPr>
                <w:rFonts w:ascii="Times New Roman" w:hAnsi="Times New Roman" w:cs="Times New Roman"/>
                <w:sz w:val="20"/>
                <w:szCs w:val="20"/>
              </w:rPr>
              <w:t>ekarz</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prowadzący</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może</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zwrócić</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się</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do</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Zespołu</w:t>
            </w:r>
            <w:r w:rsidR="0052643B" w:rsidRPr="00154BF9">
              <w:rPr>
                <w:rFonts w:ascii="Times New Roman" w:hAnsi="Times New Roman" w:cs="Times New Roman"/>
                <w:sz w:val="20"/>
                <w:szCs w:val="20"/>
              </w:rPr>
              <w:t xml:space="preserve"> </w:t>
            </w:r>
            <w:r w:rsidR="00696524" w:rsidRPr="00154BF9">
              <w:rPr>
                <w:rFonts w:ascii="Times New Roman" w:hAnsi="Times New Roman" w:cs="Times New Roman"/>
                <w:sz w:val="20"/>
                <w:szCs w:val="20"/>
              </w:rPr>
              <w:t xml:space="preserve">Koordynacyjnego </w:t>
            </w:r>
            <w:r w:rsidR="00696524" w:rsidRPr="00154BF9">
              <w:rPr>
                <w:rFonts w:ascii="Times New Roman" w:eastAsia="Times New Roman" w:hAnsi="Times New Roman" w:cs="Times New Roman"/>
                <w:sz w:val="20"/>
                <w:szCs w:val="20"/>
                <w:lang w:eastAsia="pl-PL"/>
              </w:rPr>
              <w:t>ds.</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Leczenia</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Biologicznego</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w</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Chorobach</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Reumatycznych</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o</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wyrażenie</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zgody</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na</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kontynuację</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leczenia</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daną</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substancją</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czynną</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w</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uzasadnionych</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sytuacjach</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klinicznych</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w</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przypadku</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nieuzyskania</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przez</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chorego</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niskiej</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aktywności</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choroby</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zgodnie</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z</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pkt</w:t>
            </w:r>
            <w:r w:rsidR="0052643B" w:rsidRPr="00154BF9">
              <w:rPr>
                <w:rFonts w:ascii="Times New Roman" w:hAnsi="Times New Roman" w:cs="Times New Roman"/>
                <w:sz w:val="20"/>
                <w:szCs w:val="20"/>
              </w:rPr>
              <w:t xml:space="preserve"> </w:t>
            </w:r>
            <w:r w:rsidR="00C13F65" w:rsidRPr="00154BF9">
              <w:rPr>
                <w:rFonts w:ascii="Times New Roman" w:hAnsi="Times New Roman" w:cs="Times New Roman"/>
                <w:sz w:val="20"/>
                <w:szCs w:val="20"/>
              </w:rPr>
              <w:t>3</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ppkt</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2,</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szczególnie</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u</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pacjentów</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z</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wyjściową</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bardzo</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dużą</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aktywnością</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choroby</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i/lub</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występowaniem</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czynników</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złej</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prognozy.</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Bez</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zgody</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Zespołu</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Koordynacyjnego</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dalsze</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leczenie</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daną</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substancją</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czynną</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w</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przypadku</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braku</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uzyskania</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niskiej</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aktywności</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choroby</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po</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6</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miesiącach</w:t>
            </w:r>
            <w:r w:rsidR="0052643B" w:rsidRPr="00154BF9">
              <w:rPr>
                <w:rFonts w:ascii="Times New Roman" w:hAnsi="Times New Roman" w:cs="Times New Roman"/>
                <w:sz w:val="20"/>
                <w:szCs w:val="20"/>
              </w:rPr>
              <w:t xml:space="preserve"> </w:t>
            </w:r>
            <w:r w:rsidR="00556656" w:rsidRPr="00154BF9">
              <w:rPr>
                <w:rFonts w:ascii="Times New Roman" w:hAnsi="Times New Roman" w:cs="Times New Roman"/>
                <w:sz w:val="20"/>
                <w:szCs w:val="20"/>
              </w:rPr>
              <w:t>(</w:t>
            </w:r>
            <w:r w:rsidR="00556656" w:rsidRPr="00154BF9">
              <w:rPr>
                <w:rFonts w:ascii="Times New Roman" w:eastAsia="Times New Roman" w:hAnsi="Times New Roman" w:cs="Times New Roman"/>
                <w:sz w:val="20"/>
                <w:szCs w:val="20"/>
                <w:lang w:eastAsia="pl-PL"/>
              </w:rPr>
              <w:t>±1</w:t>
            </w:r>
            <w:r w:rsidR="0052643B" w:rsidRPr="00154BF9">
              <w:rPr>
                <w:rFonts w:ascii="Times New Roman" w:eastAsia="Times New Roman" w:hAnsi="Times New Roman" w:cs="Times New Roman"/>
                <w:sz w:val="20"/>
                <w:szCs w:val="20"/>
                <w:lang w:eastAsia="pl-PL"/>
              </w:rPr>
              <w:t xml:space="preserve"> </w:t>
            </w:r>
            <w:r w:rsidR="00556656" w:rsidRPr="00154BF9">
              <w:rPr>
                <w:rFonts w:ascii="Times New Roman" w:eastAsia="Times New Roman" w:hAnsi="Times New Roman" w:cs="Times New Roman"/>
                <w:sz w:val="20"/>
                <w:szCs w:val="20"/>
                <w:lang w:eastAsia="pl-PL"/>
              </w:rPr>
              <w:t>miesiąc)</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terapii</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nie</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jest</w:t>
            </w:r>
            <w:r w:rsidR="0052643B" w:rsidRPr="00154BF9">
              <w:rPr>
                <w:rFonts w:ascii="Times New Roman" w:hAnsi="Times New Roman" w:cs="Times New Roman"/>
                <w:sz w:val="20"/>
                <w:szCs w:val="20"/>
              </w:rPr>
              <w:t xml:space="preserve"> </w:t>
            </w:r>
            <w:r w:rsidR="009D7AE1" w:rsidRPr="00154BF9">
              <w:rPr>
                <w:rFonts w:ascii="Times New Roman" w:hAnsi="Times New Roman" w:cs="Times New Roman"/>
                <w:sz w:val="20"/>
                <w:szCs w:val="20"/>
              </w:rPr>
              <w:t>możliwe.</w:t>
            </w:r>
          </w:p>
          <w:p w14:paraId="662180E1" w14:textId="77777777" w:rsidR="009D7AE1" w:rsidRPr="00154BF9" w:rsidRDefault="009D7AE1" w:rsidP="00A05A8B">
            <w:pPr>
              <w:spacing w:after="60" w:line="276" w:lineRule="auto"/>
              <w:ind w:left="357"/>
              <w:jc w:val="both"/>
              <w:rPr>
                <w:rFonts w:ascii="Times New Roman" w:eastAsia="Times New Roman" w:hAnsi="Times New Roman" w:cs="Times New Roman"/>
                <w:sz w:val="20"/>
                <w:szCs w:val="20"/>
                <w:lang w:eastAsia="pl-PL"/>
              </w:rPr>
            </w:pPr>
          </w:p>
          <w:p w14:paraId="2E5A195F" w14:textId="07289B5E" w:rsidR="009D7AE1" w:rsidRPr="00154BF9" w:rsidRDefault="009D7AE1" w:rsidP="00A05A8B">
            <w:pPr>
              <w:numPr>
                <w:ilvl w:val="0"/>
                <w:numId w:val="19"/>
              </w:numPr>
              <w:spacing w:after="60" w:line="276" w:lineRule="auto"/>
              <w:jc w:val="both"/>
              <w:rPr>
                <w:rFonts w:ascii="Times New Roman" w:eastAsia="Times New Roman" w:hAnsi="Times New Roman" w:cs="Times New Roman"/>
                <w:b/>
                <w:sz w:val="20"/>
                <w:szCs w:val="20"/>
                <w:lang w:eastAsia="pl-PL"/>
              </w:rPr>
            </w:pPr>
            <w:r w:rsidRPr="00154BF9">
              <w:rPr>
                <w:rFonts w:ascii="Times New Roman" w:eastAsia="Times New Roman" w:hAnsi="Times New Roman" w:cs="Times New Roman"/>
                <w:b/>
                <w:sz w:val="20"/>
                <w:szCs w:val="20"/>
                <w:lang w:eastAsia="pl-PL"/>
              </w:rPr>
              <w:t>Kryteria</w:t>
            </w:r>
            <w:r w:rsidR="0052643B" w:rsidRPr="00154BF9">
              <w:rPr>
                <w:rFonts w:ascii="Times New Roman" w:eastAsia="Times New Roman" w:hAnsi="Times New Roman" w:cs="Times New Roman"/>
                <w:b/>
                <w:sz w:val="20"/>
                <w:szCs w:val="20"/>
                <w:lang w:eastAsia="pl-PL"/>
              </w:rPr>
              <w:t xml:space="preserve"> </w:t>
            </w:r>
            <w:r w:rsidRPr="00154BF9">
              <w:rPr>
                <w:rFonts w:ascii="Times New Roman" w:eastAsia="Times New Roman" w:hAnsi="Times New Roman" w:cs="Times New Roman"/>
                <w:b/>
                <w:sz w:val="20"/>
                <w:szCs w:val="20"/>
                <w:lang w:eastAsia="pl-PL"/>
              </w:rPr>
              <w:t>ponownego</w:t>
            </w:r>
            <w:r w:rsidR="0052643B" w:rsidRPr="00154BF9">
              <w:rPr>
                <w:rFonts w:ascii="Times New Roman" w:eastAsia="Times New Roman" w:hAnsi="Times New Roman" w:cs="Times New Roman"/>
                <w:b/>
                <w:sz w:val="20"/>
                <w:szCs w:val="20"/>
                <w:lang w:eastAsia="pl-PL"/>
              </w:rPr>
              <w:t xml:space="preserve"> </w:t>
            </w:r>
            <w:r w:rsidRPr="00154BF9">
              <w:rPr>
                <w:rFonts w:ascii="Times New Roman" w:eastAsia="Times New Roman" w:hAnsi="Times New Roman" w:cs="Times New Roman"/>
                <w:b/>
                <w:sz w:val="20"/>
                <w:szCs w:val="20"/>
                <w:lang w:eastAsia="pl-PL"/>
              </w:rPr>
              <w:t>włączenia</w:t>
            </w:r>
            <w:r w:rsidR="0052643B" w:rsidRPr="00154BF9">
              <w:rPr>
                <w:rFonts w:ascii="Times New Roman" w:eastAsia="Times New Roman" w:hAnsi="Times New Roman" w:cs="Times New Roman"/>
                <w:b/>
                <w:sz w:val="20"/>
                <w:szCs w:val="20"/>
                <w:lang w:eastAsia="pl-PL"/>
              </w:rPr>
              <w:t xml:space="preserve"> </w:t>
            </w:r>
            <w:r w:rsidRPr="00154BF9">
              <w:rPr>
                <w:rFonts w:ascii="Times New Roman" w:eastAsia="Times New Roman" w:hAnsi="Times New Roman" w:cs="Times New Roman"/>
                <w:b/>
                <w:sz w:val="20"/>
                <w:szCs w:val="20"/>
                <w:lang w:eastAsia="pl-PL"/>
              </w:rPr>
              <w:t>do</w:t>
            </w:r>
            <w:r w:rsidR="0052643B" w:rsidRPr="00154BF9">
              <w:rPr>
                <w:rFonts w:ascii="Times New Roman" w:eastAsia="Times New Roman" w:hAnsi="Times New Roman" w:cs="Times New Roman"/>
                <w:b/>
                <w:sz w:val="20"/>
                <w:szCs w:val="20"/>
                <w:lang w:eastAsia="pl-PL"/>
              </w:rPr>
              <w:t xml:space="preserve"> </w:t>
            </w:r>
            <w:r w:rsidRPr="00154BF9">
              <w:rPr>
                <w:rFonts w:ascii="Times New Roman" w:eastAsia="Times New Roman" w:hAnsi="Times New Roman" w:cs="Times New Roman"/>
                <w:b/>
                <w:sz w:val="20"/>
                <w:szCs w:val="20"/>
                <w:lang w:eastAsia="pl-PL"/>
              </w:rPr>
              <w:t>programu</w:t>
            </w:r>
          </w:p>
          <w:p w14:paraId="518C1EFD" w14:textId="18D90980" w:rsidR="009D7AE1" w:rsidRPr="00154BF9" w:rsidRDefault="009D7AE1" w:rsidP="00A05A8B">
            <w:pPr>
              <w:numPr>
                <w:ilvl w:val="3"/>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Pacjent,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którego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zaprzestano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podawania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substancji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czynnej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biologicznego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tofacytynibu</w:t>
            </w:r>
            <w:r w:rsidR="0052643B" w:rsidRPr="00154BF9">
              <w:rPr>
                <w:rFonts w:ascii="Times New Roman" w:eastAsia="Times New Roman" w:hAnsi="Times New Roman" w:cs="Times New Roman"/>
                <w:sz w:val="20"/>
                <w:szCs w:val="20"/>
                <w:lang w:eastAsia="pl-PL"/>
              </w:rPr>
              <w:t xml:space="preserve"> </w:t>
            </w:r>
            <w:r w:rsidR="00FC70C1"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00FC70C1" w:rsidRPr="00154BF9">
              <w:rPr>
                <w:rFonts w:ascii="Times New Roman" w:eastAsia="Times New Roman" w:hAnsi="Times New Roman" w:cs="Times New Roman"/>
                <w:sz w:val="20"/>
                <w:szCs w:val="20"/>
                <w:lang w:eastAsia="pl-PL"/>
              </w:rPr>
              <w:t>baricytynib</w:t>
            </w:r>
            <w:r w:rsidR="000357FD" w:rsidRPr="00154BF9">
              <w:rPr>
                <w:rFonts w:ascii="Times New Roman" w:eastAsia="Times New Roman" w:hAnsi="Times New Roman" w:cs="Times New Roman"/>
                <w:sz w:val="20"/>
                <w:szCs w:val="20"/>
                <w:lang w:eastAsia="pl-PL"/>
              </w:rPr>
              <w:t>u</w:t>
            </w:r>
            <w:r w:rsidR="0052643B" w:rsidRPr="00154BF9">
              <w:rPr>
                <w:rFonts w:ascii="Times New Roman" w:eastAsia="Times New Roman" w:hAnsi="Times New Roman" w:cs="Times New Roman"/>
                <w:sz w:val="20"/>
                <w:szCs w:val="20"/>
                <w:lang w:eastAsia="pl-PL"/>
              </w:rPr>
              <w:t xml:space="preserve"> </w:t>
            </w:r>
            <w:r w:rsidR="008C15AD"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008C15AD" w:rsidRPr="00154BF9">
              <w:rPr>
                <w:rFonts w:ascii="Times New Roman" w:eastAsia="Times New Roman" w:hAnsi="Times New Roman" w:cs="Times New Roman"/>
                <w:sz w:val="20"/>
                <w:szCs w:val="20"/>
                <w:lang w:eastAsia="pl-PL"/>
              </w:rPr>
              <w:t>upadacytynibu</w:t>
            </w:r>
            <w:r w:rsidR="0004021B" w:rsidRPr="00154BF9">
              <w:t xml:space="preserve"> </w:t>
            </w:r>
            <w:r w:rsidR="0004021B" w:rsidRPr="00154BF9">
              <w:rPr>
                <w:rFonts w:ascii="Times New Roman" w:hAnsi="Times New Roman" w:cs="Times New Roman"/>
                <w:sz w:val="20"/>
                <w:szCs w:val="20"/>
              </w:rPr>
              <w:t>lub</w:t>
            </w:r>
            <w:r w:rsidR="0004021B" w:rsidRPr="00154BF9">
              <w:rPr>
                <w:rFonts w:ascii="Times New Roman" w:eastAsia="Times New Roman" w:hAnsi="Times New Roman" w:cs="Times New Roman"/>
                <w:sz w:val="20"/>
                <w:szCs w:val="20"/>
                <w:lang w:eastAsia="pl-PL"/>
              </w:rPr>
              <w:t xml:space="preserve"> </w:t>
            </w:r>
            <w:r w:rsidR="00696524" w:rsidRPr="00154BF9">
              <w:rPr>
                <w:rFonts w:ascii="Times New Roman" w:eastAsia="Times New Roman" w:hAnsi="Times New Roman" w:cs="Times New Roman"/>
                <w:sz w:val="20"/>
                <w:szCs w:val="20"/>
                <w:lang w:eastAsia="pl-PL"/>
              </w:rPr>
              <w:t>filgotynibu zastosowanej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zgodnie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zapisami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powodu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uzyskania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remisji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niskiej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aktywności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choroby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którego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trakcie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badania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kontrolnego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stwierdzono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nawrót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aktywnej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choroby,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jest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włączany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ramach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bez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kwalifikacji.</w:t>
            </w:r>
          </w:p>
          <w:p w14:paraId="078DA2B6" w14:textId="7740BF3F" w:rsidR="009D7AE1" w:rsidRPr="00154BF9" w:rsidRDefault="009D7AE1" w:rsidP="00A05A8B">
            <w:pPr>
              <w:numPr>
                <w:ilvl w:val="3"/>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Nawrót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aktywnej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choroby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stwierdza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się</w:t>
            </w:r>
            <w:r w:rsidR="00350537"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gdy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stosunku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wartości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obliczonej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momencie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odstawienia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substancji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czynnej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biologicznego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tofacytynibu</w:t>
            </w:r>
            <w:r w:rsidR="0052643B" w:rsidRPr="00154BF9">
              <w:rPr>
                <w:rFonts w:ascii="Times New Roman" w:eastAsia="Times New Roman" w:hAnsi="Times New Roman" w:cs="Times New Roman"/>
                <w:sz w:val="20"/>
                <w:szCs w:val="20"/>
                <w:lang w:eastAsia="pl-PL"/>
              </w:rPr>
              <w:t xml:space="preserve"> </w:t>
            </w:r>
            <w:r w:rsidR="000357FD"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000357FD" w:rsidRPr="00154BF9">
              <w:rPr>
                <w:rFonts w:ascii="Times New Roman" w:eastAsia="Times New Roman" w:hAnsi="Times New Roman" w:cs="Times New Roman"/>
                <w:sz w:val="20"/>
                <w:szCs w:val="20"/>
                <w:lang w:eastAsia="pl-PL"/>
              </w:rPr>
              <w:t>baricytynibu</w:t>
            </w:r>
            <w:r w:rsidR="0052643B" w:rsidRPr="00154BF9">
              <w:rPr>
                <w:rFonts w:ascii="Times New Roman" w:eastAsia="Times New Roman" w:hAnsi="Times New Roman" w:cs="Times New Roman"/>
                <w:sz w:val="20"/>
                <w:szCs w:val="20"/>
                <w:lang w:eastAsia="pl-PL"/>
              </w:rPr>
              <w:t xml:space="preserve"> </w:t>
            </w:r>
            <w:r w:rsidR="008C15AD"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008C15AD" w:rsidRPr="00154BF9">
              <w:rPr>
                <w:rFonts w:ascii="Times New Roman" w:eastAsia="Times New Roman" w:hAnsi="Times New Roman" w:cs="Times New Roman"/>
                <w:sz w:val="20"/>
                <w:szCs w:val="20"/>
                <w:lang w:eastAsia="pl-PL"/>
              </w:rPr>
              <w:t>upadacytynibu</w:t>
            </w:r>
            <w:r w:rsidR="00342F2A" w:rsidRPr="00154BF9">
              <w:t xml:space="preserve"> </w:t>
            </w:r>
            <w:r w:rsidR="00342F2A" w:rsidRPr="00154BF9">
              <w:rPr>
                <w:rFonts w:ascii="Times New Roman" w:eastAsia="Times New Roman" w:hAnsi="Times New Roman" w:cs="Times New Roman"/>
                <w:sz w:val="20"/>
                <w:szCs w:val="20"/>
                <w:lang w:eastAsia="pl-PL"/>
              </w:rPr>
              <w:t>lub filgotynibu</w:t>
            </w:r>
            <w:r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nastąpił</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wzrost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wartości:</w:t>
            </w:r>
          </w:p>
          <w:p w14:paraId="2BDC36FD" w14:textId="594E204E" w:rsidR="00FA0590" w:rsidRPr="00154BF9" w:rsidRDefault="009D7AE1" w:rsidP="00A05A8B">
            <w:pPr>
              <w:numPr>
                <w:ilvl w:val="4"/>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DAS</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28</w:t>
            </w:r>
            <w:r w:rsidR="0052643B" w:rsidRPr="00154BF9">
              <w:rPr>
                <w:rFonts w:ascii="Times New Roman" w:eastAsia="Times New Roman" w:hAnsi="Times New Roman" w:cs="Times New Roman"/>
                <w:sz w:val="20"/>
                <w:szCs w:val="20"/>
                <w:lang w:eastAsia="pl-PL"/>
              </w:rPr>
              <w:t xml:space="preserve"> </w:t>
            </w:r>
            <w:r w:rsidR="00556656" w:rsidRPr="00154BF9">
              <w:rPr>
                <w:rFonts w:ascii="Times New Roman" w:eastAsia="Times New Roman" w:hAnsi="Times New Roman" w:cs="Times New Roman"/>
                <w:sz w:val="20"/>
                <w:szCs w:val="20"/>
                <w:lang w:eastAsia="pl-PL"/>
              </w:rPr>
              <w:t>powyżej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3,2</w:t>
            </w:r>
          </w:p>
          <w:p w14:paraId="5FA7C894" w14:textId="1238E600" w:rsidR="009D7AE1" w:rsidRPr="00154BF9" w:rsidRDefault="009D7AE1" w:rsidP="00A05A8B">
            <w:pPr>
              <w:pStyle w:val="Akapitzlist"/>
              <w:spacing w:after="60" w:line="276" w:lineRule="auto"/>
              <w:ind w:left="454"/>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albo</w:t>
            </w:r>
          </w:p>
          <w:p w14:paraId="4F9F1EF8" w14:textId="253A4201" w:rsidR="00FA0590" w:rsidRPr="00154BF9" w:rsidRDefault="009D7AE1" w:rsidP="00A05A8B">
            <w:pPr>
              <w:numPr>
                <w:ilvl w:val="4"/>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DAS</w:t>
            </w:r>
            <w:r w:rsidR="0052643B" w:rsidRPr="00154BF9">
              <w:rPr>
                <w:rFonts w:ascii="Times New Roman" w:eastAsia="Times New Roman" w:hAnsi="Times New Roman" w:cs="Times New Roman"/>
                <w:sz w:val="20"/>
                <w:szCs w:val="20"/>
                <w:lang w:eastAsia="pl-PL"/>
              </w:rPr>
              <w:t xml:space="preserve"> </w:t>
            </w:r>
            <w:r w:rsidR="00556656" w:rsidRPr="00154BF9">
              <w:rPr>
                <w:rFonts w:ascii="Times New Roman" w:eastAsia="Times New Roman" w:hAnsi="Times New Roman" w:cs="Times New Roman"/>
                <w:sz w:val="20"/>
                <w:szCs w:val="20"/>
                <w:lang w:eastAsia="pl-PL"/>
              </w:rPr>
              <w:t>powyżej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2,4</w:t>
            </w:r>
          </w:p>
          <w:p w14:paraId="42C6B2E7" w14:textId="4702E8E5" w:rsidR="009D7AE1" w:rsidRPr="00154BF9" w:rsidRDefault="009D7AE1" w:rsidP="00A05A8B">
            <w:pPr>
              <w:pStyle w:val="Akapitzlist"/>
              <w:spacing w:after="60" w:line="276" w:lineRule="auto"/>
              <w:ind w:left="454"/>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albo</w:t>
            </w:r>
          </w:p>
          <w:p w14:paraId="5BCA194A" w14:textId="4BF245AE" w:rsidR="009D7AE1" w:rsidRPr="00154BF9" w:rsidRDefault="009D7AE1" w:rsidP="00A05A8B">
            <w:pPr>
              <w:numPr>
                <w:ilvl w:val="4"/>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SDAI</w:t>
            </w:r>
            <w:r w:rsidR="0052643B" w:rsidRPr="00154BF9">
              <w:rPr>
                <w:rFonts w:ascii="Times New Roman" w:eastAsia="Times New Roman" w:hAnsi="Times New Roman" w:cs="Times New Roman"/>
                <w:sz w:val="20"/>
                <w:szCs w:val="20"/>
                <w:lang w:eastAsia="pl-PL"/>
              </w:rPr>
              <w:t xml:space="preserve"> </w:t>
            </w:r>
            <w:r w:rsidR="00556656" w:rsidRPr="00154BF9">
              <w:rPr>
                <w:rFonts w:ascii="Times New Roman" w:eastAsia="Times New Roman" w:hAnsi="Times New Roman" w:cs="Times New Roman"/>
                <w:sz w:val="20"/>
                <w:szCs w:val="20"/>
                <w:lang w:eastAsia="pl-PL"/>
              </w:rPr>
              <w:t>powyżej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11.</w:t>
            </w:r>
          </w:p>
          <w:p w14:paraId="42C55D0E" w14:textId="7B016A9E" w:rsidR="003373F6" w:rsidRPr="00154BF9" w:rsidRDefault="003373F6" w:rsidP="00A05A8B">
            <w:pPr>
              <w:pStyle w:val="Akapitzlist"/>
              <w:numPr>
                <w:ilvl w:val="3"/>
                <w:numId w:val="19"/>
              </w:numPr>
              <w:spacing w:after="60" w:line="276" w:lineRule="auto"/>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Pacjent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chorobą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Stilla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dorosłych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(AOSD)</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włączany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jest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ponownie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przypadku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nawrotu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czynnych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objawów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układowych.</w:t>
            </w:r>
          </w:p>
          <w:p w14:paraId="73390FC2" w14:textId="55AD6C70" w:rsidR="009D7AE1" w:rsidRPr="00154BF9" w:rsidRDefault="009D7AE1" w:rsidP="00A05A8B">
            <w:pPr>
              <w:numPr>
                <w:ilvl w:val="3"/>
                <w:numId w:val="19"/>
              </w:numPr>
              <w:spacing w:after="60" w:line="276" w:lineRule="auto"/>
              <w:ind w:right="67"/>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Pacjent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jest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włączany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ponownego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substancją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czynną,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której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zastosowanie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wywołało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najmniej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niską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aktywność</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choroby</w:t>
            </w:r>
            <w:r w:rsidR="0052643B" w:rsidRPr="00154BF9">
              <w:rPr>
                <w:rFonts w:ascii="Times New Roman" w:hAnsi="Times New Roman" w:cs="Times New Roman"/>
                <w:sz w:val="20"/>
                <w:szCs w:val="20"/>
              </w:rPr>
              <w:t xml:space="preserve"> </w:t>
            </w:r>
            <w:r w:rsidR="003373F6"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003373F6" w:rsidRPr="00154BF9">
              <w:rPr>
                <w:rFonts w:ascii="Times New Roman" w:eastAsia="Times New Roman" w:hAnsi="Times New Roman" w:cs="Times New Roman"/>
                <w:sz w:val="20"/>
                <w:szCs w:val="20"/>
                <w:lang w:eastAsia="pl-PL"/>
              </w:rPr>
              <w:t>ustąpienie</w:t>
            </w:r>
            <w:r w:rsidR="0052643B" w:rsidRPr="00154BF9">
              <w:rPr>
                <w:rFonts w:ascii="Times New Roman" w:eastAsia="Times New Roman" w:hAnsi="Times New Roman" w:cs="Times New Roman"/>
                <w:sz w:val="20"/>
                <w:szCs w:val="20"/>
                <w:lang w:eastAsia="pl-PL"/>
              </w:rPr>
              <w:t xml:space="preserve"> </w:t>
            </w:r>
            <w:r w:rsidR="003373F6" w:rsidRPr="00154BF9">
              <w:rPr>
                <w:rFonts w:ascii="Times New Roman" w:eastAsia="Times New Roman" w:hAnsi="Times New Roman" w:cs="Times New Roman"/>
                <w:sz w:val="20"/>
                <w:szCs w:val="20"/>
                <w:lang w:eastAsia="pl-PL"/>
              </w:rPr>
              <w:t>objawów</w:t>
            </w:r>
            <w:r w:rsidR="0052643B" w:rsidRPr="00154BF9">
              <w:rPr>
                <w:rFonts w:ascii="Times New Roman" w:eastAsia="Times New Roman" w:hAnsi="Times New Roman" w:cs="Times New Roman"/>
                <w:sz w:val="20"/>
                <w:szCs w:val="20"/>
                <w:lang w:eastAsia="pl-PL"/>
              </w:rPr>
              <w:t xml:space="preserve"> </w:t>
            </w:r>
            <w:r w:rsidR="003373F6" w:rsidRPr="00154BF9">
              <w:rPr>
                <w:rFonts w:ascii="Times New Roman" w:eastAsia="Times New Roman" w:hAnsi="Times New Roman" w:cs="Times New Roman"/>
                <w:sz w:val="20"/>
                <w:szCs w:val="20"/>
                <w:lang w:eastAsia="pl-PL"/>
              </w:rPr>
              <w:t>układowych</w:t>
            </w:r>
            <w:r w:rsidRPr="00154BF9">
              <w:rPr>
                <w:rFonts w:ascii="Times New Roman" w:eastAsia="Times New Roman" w:hAnsi="Times New Roman" w:cs="Times New Roman"/>
                <w:sz w:val="20"/>
                <w:szCs w:val="20"/>
                <w:lang w:eastAsia="pl-PL"/>
              </w:rPr>
              <w:t>.</w:t>
            </w:r>
          </w:p>
          <w:p w14:paraId="6F1E8A8C" w14:textId="7925D6F5" w:rsidR="009D7AE1" w:rsidRPr="00154BF9" w:rsidRDefault="009D7AE1" w:rsidP="00A05A8B">
            <w:pPr>
              <w:numPr>
                <w:ilvl w:val="3"/>
                <w:numId w:val="19"/>
              </w:numPr>
              <w:spacing w:after="60" w:line="276" w:lineRule="auto"/>
              <w:ind w:right="67"/>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może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być</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ponownie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włączony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pacjent,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którego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zaprzestano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podawania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substancji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czynnej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wymienionej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zastosowanej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zgodnie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jego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treścią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powodu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wystąpienia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działań</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niepożądanych,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które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ustąpiły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odstawieniu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bądź</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zastosowanym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opinii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lekarza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prowadzącego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powrót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terapii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samą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substancją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czynną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stanowi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ryzyka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dla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pacjenta.</w:t>
            </w:r>
          </w:p>
          <w:p w14:paraId="01B60D7B" w14:textId="77777777" w:rsidR="009D7AE1" w:rsidRPr="00154BF9" w:rsidRDefault="009D7AE1" w:rsidP="00F650EC">
            <w:pPr>
              <w:spacing w:after="60" w:line="276" w:lineRule="auto"/>
              <w:jc w:val="both"/>
              <w:rPr>
                <w:rFonts w:ascii="Times New Roman" w:eastAsia="Times New Roman" w:hAnsi="Times New Roman" w:cs="Times New Roman"/>
                <w:sz w:val="20"/>
                <w:szCs w:val="20"/>
                <w:lang w:eastAsia="pl-PL"/>
              </w:rPr>
            </w:pPr>
          </w:p>
        </w:tc>
        <w:tc>
          <w:tcPr>
            <w:tcW w:w="4294" w:type="dxa"/>
            <w:tcBorders>
              <w:top w:val="single" w:sz="4" w:space="0" w:color="auto"/>
              <w:bottom w:val="single" w:sz="4" w:space="0" w:color="auto"/>
            </w:tcBorders>
          </w:tcPr>
          <w:p w14:paraId="402FDB76" w14:textId="61646198" w:rsidR="009D7AE1" w:rsidRPr="004D380C" w:rsidRDefault="009D7AE1" w:rsidP="004D380C">
            <w:pPr>
              <w:pStyle w:val="Akapitzlist"/>
              <w:numPr>
                <w:ilvl w:val="0"/>
                <w:numId w:val="21"/>
              </w:numPr>
              <w:autoSpaceDE w:val="0"/>
              <w:autoSpaceDN w:val="0"/>
              <w:adjustRightInd w:val="0"/>
              <w:spacing w:before="120" w:after="60" w:line="276" w:lineRule="auto"/>
              <w:contextualSpacing w:val="0"/>
              <w:jc w:val="both"/>
              <w:rPr>
                <w:rFonts w:ascii="Times New Roman" w:eastAsia="Times New Roman" w:hAnsi="Times New Roman" w:cs="Times New Roman"/>
                <w:b/>
                <w:bCs/>
                <w:sz w:val="20"/>
                <w:szCs w:val="20"/>
                <w:lang w:eastAsia="pl-PL"/>
              </w:rPr>
            </w:pPr>
            <w:r w:rsidRPr="004D380C">
              <w:rPr>
                <w:rFonts w:ascii="Times New Roman" w:eastAsia="Times New Roman" w:hAnsi="Times New Roman" w:cs="Times New Roman"/>
                <w:b/>
                <w:bCs/>
                <w:sz w:val="20"/>
                <w:szCs w:val="20"/>
                <w:lang w:eastAsia="pl-PL"/>
              </w:rPr>
              <w:lastRenderedPageBreak/>
              <w:t>Dawkowanie</w:t>
            </w:r>
          </w:p>
          <w:p w14:paraId="0703050E" w14:textId="75281A96" w:rsidR="009D7AE1" w:rsidRPr="00154BF9" w:rsidRDefault="009D7AE1" w:rsidP="007F271B">
            <w:pPr>
              <w:numPr>
                <w:ilvl w:val="3"/>
                <w:numId w:val="21"/>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Inhibitory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TNF</w:t>
            </w:r>
            <w:r w:rsidR="0052643B" w:rsidRPr="00154BF9">
              <w:rPr>
                <w:rFonts w:ascii="Times New Roman" w:eastAsia="Times New Roman" w:hAnsi="Times New Roman" w:cs="Times New Roman"/>
                <w:sz w:val="20"/>
                <w:szCs w:val="20"/>
                <w:lang w:eastAsia="pl-PL"/>
              </w:rPr>
              <w:t xml:space="preserve"> </w:t>
            </w:r>
            <w:r w:rsidR="008245AD" w:rsidRPr="00154BF9">
              <w:rPr>
                <w:rFonts w:ascii="Times New Roman" w:eastAsia="Times New Roman" w:hAnsi="Times New Roman" w:cs="Times New Roman"/>
                <w:sz w:val="20"/>
                <w:szCs w:val="20"/>
                <w:lang w:eastAsia="pl-PL"/>
              </w:rPr>
              <w:t>alfa,</w:t>
            </w:r>
            <w:r w:rsidR="0052643B" w:rsidRPr="00154BF9">
              <w:rPr>
                <w:rFonts w:ascii="Times New Roman" w:eastAsia="Times New Roman" w:hAnsi="Times New Roman" w:cs="Times New Roman"/>
                <w:sz w:val="20"/>
                <w:szCs w:val="20"/>
                <w:lang w:eastAsia="pl-PL"/>
              </w:rPr>
              <w:t xml:space="preserve"> </w:t>
            </w:r>
            <w:r w:rsidR="008245AD" w:rsidRPr="00154BF9">
              <w:rPr>
                <w:rFonts w:ascii="Times New Roman" w:eastAsia="Times New Roman" w:hAnsi="Times New Roman" w:cs="Times New Roman"/>
                <w:sz w:val="20"/>
                <w:szCs w:val="20"/>
                <w:lang w:eastAsia="pl-PL"/>
              </w:rPr>
              <w:t>tocilizumab,</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rytuksymab</w:t>
            </w:r>
            <w:r w:rsidR="0068170D"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00D95D33" w:rsidRPr="00154BF9">
              <w:rPr>
                <w:rFonts w:ascii="Times New Roman" w:eastAsia="Times New Roman" w:hAnsi="Times New Roman" w:cs="Times New Roman"/>
                <w:sz w:val="20"/>
                <w:szCs w:val="20"/>
                <w:lang w:eastAsia="pl-PL"/>
              </w:rPr>
              <w:t>baricytynib</w:t>
            </w:r>
            <w:r w:rsidR="00F630E3"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0068170D" w:rsidRPr="00154BF9">
              <w:rPr>
                <w:rFonts w:ascii="Times New Roman" w:eastAsia="Times New Roman" w:hAnsi="Times New Roman" w:cs="Times New Roman"/>
                <w:sz w:val="20"/>
                <w:szCs w:val="20"/>
                <w:lang w:eastAsia="pl-PL"/>
              </w:rPr>
              <w:t>tofacytynib</w:t>
            </w:r>
            <w:r w:rsidR="00C172F3" w:rsidRPr="00154BF9">
              <w:rPr>
                <w:rFonts w:ascii="Times New Roman" w:eastAsia="Times New Roman" w:hAnsi="Times New Roman" w:cs="Times New Roman"/>
                <w:sz w:val="20"/>
                <w:szCs w:val="20"/>
                <w:lang w:eastAsia="pl-PL"/>
              </w:rPr>
              <w:t>,</w:t>
            </w:r>
            <w:r w:rsidR="0052643B" w:rsidRPr="00154BF9">
              <w:rPr>
                <w:rFonts w:ascii="Times New Roman" w:hAnsi="Times New Roman" w:cs="Times New Roman"/>
                <w:sz w:val="20"/>
                <w:szCs w:val="20"/>
              </w:rPr>
              <w:t xml:space="preserve"> </w:t>
            </w:r>
            <w:r w:rsidR="009C745B" w:rsidRPr="00154BF9">
              <w:rPr>
                <w:rFonts w:ascii="Times New Roman" w:eastAsia="Times New Roman" w:hAnsi="Times New Roman" w:cs="Times New Roman"/>
                <w:sz w:val="20"/>
                <w:szCs w:val="20"/>
                <w:lang w:eastAsia="pl-PL"/>
              </w:rPr>
              <w:t>upadacytynib</w:t>
            </w:r>
            <w:r w:rsidR="002564A8"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002564A8" w:rsidRPr="00154BF9">
              <w:rPr>
                <w:rFonts w:ascii="Times New Roman" w:eastAsia="Times New Roman" w:hAnsi="Times New Roman" w:cs="Times New Roman"/>
                <w:sz w:val="20"/>
                <w:szCs w:val="20"/>
                <w:lang w:eastAsia="pl-PL"/>
              </w:rPr>
              <w:t>filgotynib</w:t>
            </w:r>
            <w:r w:rsidR="006E514E">
              <w:rPr>
                <w:rFonts w:ascii="Times New Roman" w:eastAsia="Times New Roman" w:hAnsi="Times New Roman" w:cs="Times New Roman"/>
                <w:sz w:val="20"/>
                <w:szCs w:val="20"/>
                <w:lang w:eastAsia="pl-PL"/>
              </w:rPr>
              <w:t xml:space="preserve">, </w:t>
            </w:r>
            <w:r w:rsidR="005810F1" w:rsidRPr="00154BF9">
              <w:rPr>
                <w:rFonts w:ascii="Times New Roman" w:eastAsia="Times New Roman" w:hAnsi="Times New Roman" w:cs="Times New Roman"/>
                <w:sz w:val="20"/>
                <w:szCs w:val="20"/>
                <w:lang w:eastAsia="pl-PL"/>
              </w:rPr>
              <w:t>anakinr</w:t>
            </w:r>
            <w:r w:rsidR="00CA0EC2" w:rsidRPr="00154BF9">
              <w:rPr>
                <w:rFonts w:ascii="Times New Roman" w:eastAsia="Times New Roman" w:hAnsi="Times New Roman" w:cs="Times New Roman"/>
                <w:sz w:val="20"/>
                <w:szCs w:val="20"/>
                <w:lang w:eastAsia="pl-PL"/>
              </w:rPr>
              <w:t>ę</w:t>
            </w:r>
            <w:r w:rsidR="002564A8" w:rsidRPr="00154BF9">
              <w:rPr>
                <w:rFonts w:ascii="Times New Roman" w:eastAsia="Times New Roman" w:hAnsi="Times New Roman" w:cs="Times New Roman"/>
                <w:sz w:val="20"/>
                <w:szCs w:val="20"/>
                <w:lang w:eastAsia="pl-PL"/>
              </w:rPr>
              <w:t xml:space="preserve"> </w:t>
            </w:r>
            <w:r w:rsidR="006E514E">
              <w:t xml:space="preserve"> </w:t>
            </w:r>
            <w:r w:rsidR="006E514E" w:rsidRPr="006E514E">
              <w:rPr>
                <w:rFonts w:ascii="Times New Roman" w:eastAsia="Times New Roman" w:hAnsi="Times New Roman" w:cs="Times New Roman"/>
                <w:sz w:val="20"/>
                <w:szCs w:val="20"/>
                <w:lang w:eastAsia="pl-PL"/>
              </w:rPr>
              <w:t xml:space="preserve">i kanakinumab </w:t>
            </w:r>
            <w:r w:rsidR="00947D88" w:rsidRPr="00154BF9">
              <w:rPr>
                <w:rFonts w:ascii="Times New Roman" w:eastAsia="Times New Roman" w:hAnsi="Times New Roman" w:cs="Times New Roman"/>
                <w:sz w:val="20"/>
                <w:szCs w:val="20"/>
                <w:lang w:eastAsia="pl-PL"/>
              </w:rPr>
              <w:t>należy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podawać</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zgodnie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dawkowaniem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określonym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aktualnej</w:t>
            </w:r>
            <w:r w:rsidR="0052643B" w:rsidRPr="00154BF9">
              <w:rPr>
                <w:rFonts w:ascii="Times New Roman" w:hAnsi="Times New Roman" w:cs="Times New Roman"/>
                <w:sz w:val="20"/>
                <w:szCs w:val="20"/>
              </w:rPr>
              <w:t xml:space="preserve"> </w:t>
            </w:r>
            <w:r w:rsidR="006A7CEE" w:rsidRPr="00154BF9">
              <w:rPr>
                <w:rFonts w:ascii="Times New Roman" w:hAnsi="Times New Roman" w:cs="Times New Roman"/>
                <w:sz w:val="20"/>
                <w:szCs w:val="20"/>
              </w:rPr>
              <w:t>C</w:t>
            </w:r>
            <w:r w:rsidRPr="00154BF9">
              <w:rPr>
                <w:rFonts w:ascii="Times New Roman" w:eastAsia="Times New Roman" w:hAnsi="Times New Roman" w:cs="Times New Roman"/>
                <w:sz w:val="20"/>
                <w:szCs w:val="20"/>
                <w:lang w:eastAsia="pl-PL"/>
              </w:rPr>
              <w:t>harakterystyce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Produktu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Leczniczego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uwzględnieniem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rekomendacji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EULAR/ACR</w:t>
            </w:r>
            <w:r w:rsidR="000E4233"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000E4233"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000E4233" w:rsidRPr="00154BF9">
              <w:rPr>
                <w:rFonts w:ascii="Times New Roman" w:eastAsia="Times New Roman" w:hAnsi="Times New Roman" w:cs="Times New Roman"/>
                <w:sz w:val="20"/>
                <w:szCs w:val="20"/>
                <w:lang w:eastAsia="pl-PL"/>
              </w:rPr>
              <w:t>tym</w:t>
            </w:r>
            <w:r w:rsidR="0052643B" w:rsidRPr="00154BF9">
              <w:rPr>
                <w:rFonts w:ascii="Times New Roman" w:eastAsia="Times New Roman" w:hAnsi="Times New Roman" w:cs="Times New Roman"/>
                <w:sz w:val="20"/>
                <w:szCs w:val="20"/>
                <w:lang w:eastAsia="pl-PL"/>
              </w:rPr>
              <w:t xml:space="preserve"> </w:t>
            </w:r>
            <w:r w:rsidR="000E4233" w:rsidRPr="00154BF9">
              <w:rPr>
                <w:rFonts w:ascii="Times New Roman" w:eastAsia="Times New Roman" w:hAnsi="Times New Roman" w:cs="Times New Roman"/>
                <w:sz w:val="20"/>
                <w:szCs w:val="20"/>
                <w:lang w:eastAsia="pl-PL"/>
              </w:rPr>
              <w:t>możliwości</w:t>
            </w:r>
            <w:r w:rsidR="0052643B" w:rsidRPr="00154BF9">
              <w:rPr>
                <w:rFonts w:ascii="Times New Roman" w:eastAsia="Times New Roman" w:hAnsi="Times New Roman" w:cs="Times New Roman"/>
                <w:sz w:val="20"/>
                <w:szCs w:val="20"/>
                <w:lang w:eastAsia="pl-PL"/>
              </w:rPr>
              <w:t xml:space="preserve"> </w:t>
            </w:r>
            <w:r w:rsidR="000E4233" w:rsidRPr="00154BF9">
              <w:rPr>
                <w:rFonts w:ascii="Times New Roman" w:eastAsia="Times New Roman" w:hAnsi="Times New Roman" w:cs="Times New Roman"/>
                <w:sz w:val="20"/>
                <w:szCs w:val="20"/>
                <w:lang w:eastAsia="pl-PL"/>
              </w:rPr>
              <w:t>zmniejszenia</w:t>
            </w:r>
            <w:r w:rsidR="0052643B" w:rsidRPr="00154BF9">
              <w:rPr>
                <w:rFonts w:ascii="Times New Roman" w:eastAsia="Times New Roman" w:hAnsi="Times New Roman" w:cs="Times New Roman"/>
                <w:sz w:val="20"/>
                <w:szCs w:val="20"/>
                <w:lang w:eastAsia="pl-PL"/>
              </w:rPr>
              <w:t xml:space="preserve"> </w:t>
            </w:r>
            <w:r w:rsidR="000E4233" w:rsidRPr="00154BF9">
              <w:rPr>
                <w:rFonts w:ascii="Times New Roman" w:eastAsia="Times New Roman" w:hAnsi="Times New Roman" w:cs="Times New Roman"/>
                <w:sz w:val="20"/>
                <w:szCs w:val="20"/>
                <w:lang w:eastAsia="pl-PL"/>
              </w:rPr>
              <w:t>dawki</w:t>
            </w:r>
            <w:r w:rsidR="0052643B" w:rsidRPr="00154BF9">
              <w:rPr>
                <w:rFonts w:ascii="Times New Roman" w:eastAsia="Times New Roman" w:hAnsi="Times New Roman" w:cs="Times New Roman"/>
                <w:sz w:val="20"/>
                <w:szCs w:val="20"/>
                <w:lang w:eastAsia="pl-PL"/>
              </w:rPr>
              <w:t xml:space="preserve"> </w:t>
            </w:r>
            <w:r w:rsidR="000E4233" w:rsidRPr="00154BF9">
              <w:rPr>
                <w:rFonts w:ascii="Times New Roman" w:eastAsia="Times New Roman" w:hAnsi="Times New Roman" w:cs="Times New Roman"/>
                <w:sz w:val="20"/>
                <w:szCs w:val="20"/>
                <w:lang w:eastAsia="pl-PL"/>
              </w:rPr>
              <w:t>leku</w:t>
            </w:r>
            <w:r w:rsidR="0052643B" w:rsidRPr="00154BF9">
              <w:rPr>
                <w:rFonts w:ascii="Times New Roman" w:eastAsia="Times New Roman" w:hAnsi="Times New Roman" w:cs="Times New Roman"/>
                <w:sz w:val="20"/>
                <w:szCs w:val="20"/>
                <w:lang w:eastAsia="pl-PL"/>
              </w:rPr>
              <w:t xml:space="preserve"> </w:t>
            </w:r>
            <w:r w:rsidR="000E4233"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000E4233" w:rsidRPr="00154BF9">
              <w:rPr>
                <w:rFonts w:ascii="Times New Roman" w:eastAsia="Times New Roman" w:hAnsi="Times New Roman" w:cs="Times New Roman"/>
                <w:sz w:val="20"/>
                <w:szCs w:val="20"/>
                <w:lang w:eastAsia="pl-PL"/>
              </w:rPr>
              <w:t>wydłużenia</w:t>
            </w:r>
            <w:r w:rsidR="0052643B" w:rsidRPr="00154BF9">
              <w:rPr>
                <w:rFonts w:ascii="Times New Roman" w:eastAsia="Times New Roman" w:hAnsi="Times New Roman" w:cs="Times New Roman"/>
                <w:sz w:val="20"/>
                <w:szCs w:val="20"/>
                <w:lang w:eastAsia="pl-PL"/>
              </w:rPr>
              <w:t xml:space="preserve"> </w:t>
            </w:r>
            <w:r w:rsidR="000E4233" w:rsidRPr="00154BF9">
              <w:rPr>
                <w:rFonts w:ascii="Times New Roman" w:eastAsia="Times New Roman" w:hAnsi="Times New Roman" w:cs="Times New Roman"/>
                <w:sz w:val="20"/>
                <w:szCs w:val="20"/>
                <w:lang w:eastAsia="pl-PL"/>
              </w:rPr>
              <w:t>odstępu</w:t>
            </w:r>
            <w:r w:rsidR="0052643B" w:rsidRPr="00154BF9">
              <w:rPr>
                <w:rFonts w:ascii="Times New Roman" w:eastAsia="Times New Roman" w:hAnsi="Times New Roman" w:cs="Times New Roman"/>
                <w:sz w:val="20"/>
                <w:szCs w:val="20"/>
                <w:lang w:eastAsia="pl-PL"/>
              </w:rPr>
              <w:t xml:space="preserve"> </w:t>
            </w:r>
            <w:r w:rsidR="000E4233" w:rsidRPr="00154BF9">
              <w:rPr>
                <w:rFonts w:ascii="Times New Roman" w:eastAsia="Times New Roman" w:hAnsi="Times New Roman" w:cs="Times New Roman"/>
                <w:sz w:val="20"/>
                <w:szCs w:val="20"/>
                <w:lang w:eastAsia="pl-PL"/>
              </w:rPr>
              <w:t>pomiędzy</w:t>
            </w:r>
            <w:r w:rsidR="0052643B" w:rsidRPr="00154BF9">
              <w:rPr>
                <w:rFonts w:ascii="Times New Roman" w:eastAsia="Times New Roman" w:hAnsi="Times New Roman" w:cs="Times New Roman"/>
                <w:sz w:val="20"/>
                <w:szCs w:val="20"/>
                <w:lang w:eastAsia="pl-PL"/>
              </w:rPr>
              <w:t xml:space="preserve"> </w:t>
            </w:r>
            <w:r w:rsidR="000E4233" w:rsidRPr="00154BF9">
              <w:rPr>
                <w:rFonts w:ascii="Times New Roman" w:eastAsia="Times New Roman" w:hAnsi="Times New Roman" w:cs="Times New Roman"/>
                <w:sz w:val="20"/>
                <w:szCs w:val="20"/>
                <w:lang w:eastAsia="pl-PL"/>
              </w:rPr>
              <w:t>kolejnymi</w:t>
            </w:r>
            <w:r w:rsidR="0052643B" w:rsidRPr="00154BF9">
              <w:rPr>
                <w:rFonts w:ascii="Times New Roman" w:eastAsia="Times New Roman" w:hAnsi="Times New Roman" w:cs="Times New Roman"/>
                <w:sz w:val="20"/>
                <w:szCs w:val="20"/>
                <w:lang w:eastAsia="pl-PL"/>
              </w:rPr>
              <w:t xml:space="preserve"> </w:t>
            </w:r>
            <w:r w:rsidR="000E4233" w:rsidRPr="00154BF9">
              <w:rPr>
                <w:rFonts w:ascii="Times New Roman" w:eastAsia="Times New Roman" w:hAnsi="Times New Roman" w:cs="Times New Roman"/>
                <w:sz w:val="20"/>
                <w:szCs w:val="20"/>
                <w:lang w:eastAsia="pl-PL"/>
              </w:rPr>
              <w:t>dawkami</w:t>
            </w:r>
            <w:r w:rsidR="0052643B" w:rsidRPr="00154BF9">
              <w:rPr>
                <w:rFonts w:ascii="Times New Roman" w:eastAsia="Times New Roman" w:hAnsi="Times New Roman" w:cs="Times New Roman"/>
                <w:sz w:val="20"/>
                <w:szCs w:val="20"/>
                <w:lang w:eastAsia="pl-PL"/>
              </w:rPr>
              <w:t xml:space="preserve"> </w:t>
            </w:r>
            <w:r w:rsidR="000E4233" w:rsidRPr="00154BF9">
              <w:rPr>
                <w:rFonts w:ascii="Times New Roman" w:eastAsia="Times New Roman" w:hAnsi="Times New Roman" w:cs="Times New Roman"/>
                <w:sz w:val="20"/>
                <w:szCs w:val="20"/>
                <w:lang w:eastAsia="pl-PL"/>
              </w:rPr>
              <w:t>u</w:t>
            </w:r>
            <w:r w:rsidR="0052643B" w:rsidRPr="00154BF9">
              <w:rPr>
                <w:rFonts w:ascii="Times New Roman" w:eastAsia="Times New Roman" w:hAnsi="Times New Roman" w:cs="Times New Roman"/>
                <w:sz w:val="20"/>
                <w:szCs w:val="20"/>
                <w:lang w:eastAsia="pl-PL"/>
              </w:rPr>
              <w:t xml:space="preserve"> </w:t>
            </w:r>
            <w:r w:rsidR="000E4233" w:rsidRPr="00154BF9">
              <w:rPr>
                <w:rFonts w:ascii="Times New Roman" w:eastAsia="Times New Roman" w:hAnsi="Times New Roman" w:cs="Times New Roman"/>
                <w:sz w:val="20"/>
                <w:szCs w:val="20"/>
                <w:lang w:eastAsia="pl-PL"/>
              </w:rPr>
              <w:t>pacjentów,</w:t>
            </w:r>
            <w:r w:rsidR="0052643B" w:rsidRPr="00154BF9">
              <w:rPr>
                <w:rFonts w:ascii="Times New Roman" w:eastAsia="Times New Roman" w:hAnsi="Times New Roman" w:cs="Times New Roman"/>
                <w:sz w:val="20"/>
                <w:szCs w:val="20"/>
                <w:lang w:eastAsia="pl-PL"/>
              </w:rPr>
              <w:t xml:space="preserve"> </w:t>
            </w:r>
            <w:r w:rsidR="000E4233" w:rsidRPr="00154BF9">
              <w:rPr>
                <w:rFonts w:ascii="Times New Roman" w:eastAsia="Times New Roman" w:hAnsi="Times New Roman" w:cs="Times New Roman"/>
                <w:sz w:val="20"/>
                <w:szCs w:val="20"/>
                <w:lang w:eastAsia="pl-PL"/>
              </w:rPr>
              <w:t>u</w:t>
            </w:r>
            <w:r w:rsidR="0052643B" w:rsidRPr="00154BF9">
              <w:rPr>
                <w:rFonts w:ascii="Times New Roman" w:eastAsia="Times New Roman" w:hAnsi="Times New Roman" w:cs="Times New Roman"/>
                <w:sz w:val="20"/>
                <w:szCs w:val="20"/>
                <w:lang w:eastAsia="pl-PL"/>
              </w:rPr>
              <w:t xml:space="preserve"> </w:t>
            </w:r>
            <w:r w:rsidR="000E4233" w:rsidRPr="00154BF9">
              <w:rPr>
                <w:rFonts w:ascii="Times New Roman" w:eastAsia="Times New Roman" w:hAnsi="Times New Roman" w:cs="Times New Roman"/>
                <w:sz w:val="20"/>
                <w:szCs w:val="20"/>
                <w:lang w:eastAsia="pl-PL"/>
              </w:rPr>
              <w:t>których</w:t>
            </w:r>
            <w:r w:rsidR="0052643B" w:rsidRPr="00154BF9">
              <w:rPr>
                <w:rFonts w:ascii="Times New Roman" w:eastAsia="Times New Roman" w:hAnsi="Times New Roman" w:cs="Times New Roman"/>
                <w:sz w:val="20"/>
                <w:szCs w:val="20"/>
                <w:lang w:eastAsia="pl-PL"/>
              </w:rPr>
              <w:t xml:space="preserve"> </w:t>
            </w:r>
            <w:r w:rsidR="000E4233" w:rsidRPr="00154BF9">
              <w:rPr>
                <w:rFonts w:ascii="Times New Roman" w:eastAsia="Times New Roman" w:hAnsi="Times New Roman" w:cs="Times New Roman"/>
                <w:sz w:val="20"/>
                <w:szCs w:val="20"/>
                <w:lang w:eastAsia="pl-PL"/>
              </w:rPr>
              <w:t>uzyskano</w:t>
            </w:r>
            <w:r w:rsidR="0052643B" w:rsidRPr="00154BF9">
              <w:rPr>
                <w:rFonts w:ascii="Times New Roman" w:eastAsia="Times New Roman" w:hAnsi="Times New Roman" w:cs="Times New Roman"/>
                <w:sz w:val="20"/>
                <w:szCs w:val="20"/>
                <w:lang w:eastAsia="pl-PL"/>
              </w:rPr>
              <w:t xml:space="preserve"> </w:t>
            </w:r>
            <w:r w:rsidR="000E4233" w:rsidRPr="00154BF9">
              <w:rPr>
                <w:rFonts w:ascii="Times New Roman" w:eastAsia="Times New Roman" w:hAnsi="Times New Roman" w:cs="Times New Roman"/>
                <w:sz w:val="20"/>
                <w:szCs w:val="20"/>
                <w:lang w:eastAsia="pl-PL"/>
              </w:rPr>
              <w:t>cel</w:t>
            </w:r>
            <w:r w:rsidR="0052643B" w:rsidRPr="00154BF9">
              <w:rPr>
                <w:rFonts w:ascii="Times New Roman" w:eastAsia="Times New Roman" w:hAnsi="Times New Roman" w:cs="Times New Roman"/>
                <w:sz w:val="20"/>
                <w:szCs w:val="20"/>
                <w:lang w:eastAsia="pl-PL"/>
              </w:rPr>
              <w:t xml:space="preserve"> </w:t>
            </w:r>
            <w:r w:rsidR="000E4233" w:rsidRPr="00154BF9">
              <w:rPr>
                <w:rFonts w:ascii="Times New Roman" w:eastAsia="Times New Roman" w:hAnsi="Times New Roman" w:cs="Times New Roman"/>
                <w:sz w:val="20"/>
                <w:szCs w:val="20"/>
                <w:lang w:eastAsia="pl-PL"/>
              </w:rPr>
              <w:t>terapii</w:t>
            </w:r>
            <w:r w:rsidRPr="00154BF9">
              <w:rPr>
                <w:rFonts w:ascii="Times New Roman" w:eastAsia="Times New Roman" w:hAnsi="Times New Roman" w:cs="Times New Roman"/>
                <w:sz w:val="20"/>
                <w:szCs w:val="20"/>
                <w:lang w:eastAsia="pl-PL"/>
              </w:rPr>
              <w:t>.</w:t>
            </w:r>
          </w:p>
          <w:p w14:paraId="19E5A3A2" w14:textId="42775A4D" w:rsidR="009D7AE1" w:rsidRPr="00154BF9" w:rsidRDefault="009D7AE1" w:rsidP="007F271B">
            <w:pPr>
              <w:numPr>
                <w:ilvl w:val="3"/>
                <w:numId w:val="21"/>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Zmiana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postaci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dożylnej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tocilizumabu</w:t>
            </w:r>
            <w:r w:rsidR="0052643B" w:rsidRPr="00154BF9">
              <w:rPr>
                <w:rFonts w:ascii="Times New Roman" w:eastAsia="Times New Roman" w:hAnsi="Times New Roman" w:cs="Times New Roman"/>
                <w:sz w:val="20"/>
                <w:szCs w:val="20"/>
                <w:lang w:eastAsia="pl-PL"/>
              </w:rPr>
              <w:t xml:space="preserve"> </w:t>
            </w:r>
            <w:r w:rsidR="008F4D43">
              <w:rPr>
                <w:rFonts w:ascii="Times New Roman" w:eastAsia="Times New Roman" w:hAnsi="Times New Roman" w:cs="Times New Roman"/>
                <w:sz w:val="20"/>
                <w:szCs w:val="20"/>
                <w:lang w:eastAsia="pl-PL"/>
              </w:rPr>
              <w:t xml:space="preserve">albo infiksymabu </w:t>
            </w:r>
            <w:r w:rsidR="00947D88" w:rsidRPr="00154BF9">
              <w:rPr>
                <w:rFonts w:ascii="Times New Roman" w:eastAsia="Times New Roman" w:hAnsi="Times New Roman" w:cs="Times New Roman"/>
                <w:sz w:val="20"/>
                <w:szCs w:val="20"/>
                <w:lang w:eastAsia="pl-PL"/>
              </w:rPr>
              <w:t>n</w:t>
            </w:r>
            <w:r w:rsidRPr="00154BF9">
              <w:rPr>
                <w:rFonts w:ascii="Times New Roman" w:eastAsia="Times New Roman" w:hAnsi="Times New Roman" w:cs="Times New Roman"/>
                <w:sz w:val="20"/>
                <w:szCs w:val="20"/>
                <w:lang w:eastAsia="pl-PL"/>
              </w:rPr>
              <w:t>a</w:t>
            </w:r>
            <w:r w:rsidR="0052643B" w:rsidRPr="00154BF9">
              <w:rPr>
                <w:rFonts w:ascii="Times New Roman" w:eastAsia="Times New Roman" w:hAnsi="Times New Roman" w:cs="Times New Roman"/>
                <w:sz w:val="20"/>
                <w:szCs w:val="20"/>
                <w:lang w:eastAsia="pl-PL"/>
              </w:rPr>
              <w:t xml:space="preserve"> </w:t>
            </w:r>
            <w:r w:rsidR="008F4D43">
              <w:rPr>
                <w:rFonts w:ascii="Times New Roman" w:eastAsia="Times New Roman" w:hAnsi="Times New Roman" w:cs="Times New Roman"/>
                <w:sz w:val="20"/>
                <w:szCs w:val="20"/>
                <w:lang w:eastAsia="pl-PL"/>
              </w:rPr>
              <w:t xml:space="preserve">postać </w:t>
            </w:r>
            <w:r w:rsidRPr="00154BF9">
              <w:rPr>
                <w:rFonts w:ascii="Times New Roman" w:eastAsia="Times New Roman" w:hAnsi="Times New Roman" w:cs="Times New Roman"/>
                <w:sz w:val="20"/>
                <w:szCs w:val="20"/>
                <w:lang w:eastAsia="pl-PL"/>
              </w:rPr>
              <w:t>podskórną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może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być</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przeprowadzona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wyłącznie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zgodnie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wymaganiami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określonymi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aktualnej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Charakterystyce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Produktu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Leczniczego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oraz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pod</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nadzorem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wykwalifikowanego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personelu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medycznego.</w:t>
            </w:r>
          </w:p>
          <w:p w14:paraId="19C34483" w14:textId="128F8A0D" w:rsidR="009D7AE1" w:rsidRPr="00154BF9" w:rsidRDefault="009D7AE1" w:rsidP="007F271B">
            <w:pPr>
              <w:widowControl w:val="0"/>
              <w:numPr>
                <w:ilvl w:val="3"/>
                <w:numId w:val="21"/>
              </w:numPr>
              <w:autoSpaceDE w:val="0"/>
              <w:autoSpaceDN w:val="0"/>
              <w:adjustRightInd w:val="0"/>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Powyższe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podaje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się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metotreksatem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postaci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doustnej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podskórnej)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lastRenderedPageBreak/>
              <w:t>skutecznej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klinicznie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tolerowanej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przez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chorego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dawce,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chyba,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że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występują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przeciwwskazania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stosowania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metotreksatu.</w:t>
            </w:r>
          </w:p>
          <w:p w14:paraId="73281414" w14:textId="710A5E25" w:rsidR="009D7AE1" w:rsidRPr="00154BF9" w:rsidRDefault="009D7AE1" w:rsidP="007F271B">
            <w:pPr>
              <w:pStyle w:val="Akapitzlist"/>
              <w:widowControl w:val="0"/>
              <w:autoSpaceDE w:val="0"/>
              <w:autoSpaceDN w:val="0"/>
              <w:adjustRightInd w:val="0"/>
              <w:spacing w:after="60" w:line="276" w:lineRule="auto"/>
              <w:ind w:left="454"/>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przypadku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wystąpienia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przeciwwskazań</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stosowania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metotreksatu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adalimumab,</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certolizumab</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pegol,</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etanercept,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tocilizumab</w:t>
            </w:r>
            <w:r w:rsidR="0068170D"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0068170D" w:rsidRPr="00154BF9">
              <w:rPr>
                <w:rFonts w:ascii="Times New Roman" w:eastAsia="Times New Roman" w:hAnsi="Times New Roman" w:cs="Times New Roman"/>
                <w:sz w:val="20"/>
                <w:szCs w:val="20"/>
                <w:lang w:eastAsia="pl-PL"/>
              </w:rPr>
              <w:t>baricytynib</w:t>
            </w:r>
            <w:r w:rsidR="00F630E3"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tofacytynib</w:t>
            </w:r>
            <w:r w:rsidR="003F40C9"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00EA4A2E" w:rsidRPr="00154BF9">
              <w:rPr>
                <w:rFonts w:ascii="Times New Roman" w:eastAsia="Times New Roman" w:hAnsi="Times New Roman" w:cs="Times New Roman"/>
                <w:sz w:val="20"/>
                <w:szCs w:val="20"/>
                <w:lang w:eastAsia="pl-PL"/>
              </w:rPr>
              <w:t>upadacytynib</w:t>
            </w:r>
            <w:r w:rsidR="00EA4A2E">
              <w:rPr>
                <w:rFonts w:ascii="Times New Roman" w:eastAsia="Times New Roman" w:hAnsi="Times New Roman" w:cs="Times New Roman"/>
                <w:sz w:val="20"/>
                <w:szCs w:val="20"/>
                <w:lang w:eastAsia="pl-PL"/>
              </w:rPr>
              <w:t>,</w:t>
            </w:r>
            <w:r w:rsidR="00EA4A2E" w:rsidRPr="00154BF9">
              <w:rPr>
                <w:rFonts w:ascii="Times New Roman" w:eastAsia="Times New Roman" w:hAnsi="Times New Roman" w:cs="Times New Roman"/>
                <w:sz w:val="20"/>
                <w:szCs w:val="20"/>
                <w:lang w:eastAsia="pl-PL"/>
              </w:rPr>
              <w:t xml:space="preserve"> filgotynib</w:t>
            </w:r>
            <w:r w:rsidR="006E514E">
              <w:rPr>
                <w:rFonts w:ascii="Times New Roman" w:eastAsia="Times New Roman" w:hAnsi="Times New Roman" w:cs="Times New Roman"/>
                <w:sz w:val="20"/>
                <w:szCs w:val="20"/>
                <w:lang w:eastAsia="pl-PL"/>
              </w:rPr>
              <w:t xml:space="preserve">, </w:t>
            </w:r>
            <w:r w:rsidR="005810F1" w:rsidRPr="00154BF9">
              <w:rPr>
                <w:rFonts w:ascii="Times New Roman" w:eastAsia="Times New Roman" w:hAnsi="Times New Roman" w:cs="Times New Roman"/>
                <w:sz w:val="20"/>
                <w:szCs w:val="20"/>
                <w:lang w:eastAsia="pl-PL"/>
              </w:rPr>
              <w:t xml:space="preserve">anakinra </w:t>
            </w:r>
            <w:r w:rsidR="006E514E" w:rsidRPr="006E514E">
              <w:rPr>
                <w:rFonts w:ascii="Times New Roman" w:eastAsia="Times New Roman" w:hAnsi="Times New Roman" w:cs="Times New Roman"/>
                <w:sz w:val="20"/>
                <w:szCs w:val="20"/>
                <w:lang w:eastAsia="pl-PL"/>
              </w:rPr>
              <w:t xml:space="preserve">i kanakinumab </w:t>
            </w:r>
            <w:r w:rsidR="00E4719C" w:rsidRPr="00154BF9">
              <w:rPr>
                <w:rFonts w:ascii="Times New Roman" w:eastAsia="Times New Roman" w:hAnsi="Times New Roman" w:cs="Times New Roman"/>
                <w:sz w:val="20"/>
                <w:szCs w:val="20"/>
                <w:lang w:eastAsia="pl-PL"/>
              </w:rPr>
              <w:t>mogą</w:t>
            </w:r>
            <w:r w:rsidR="0052643B" w:rsidRPr="00154BF9">
              <w:rPr>
                <w:rFonts w:ascii="Times New Roman" w:eastAsia="Times New Roman" w:hAnsi="Times New Roman" w:cs="Times New Roman"/>
                <w:sz w:val="20"/>
                <w:szCs w:val="20"/>
                <w:lang w:eastAsia="pl-PL"/>
              </w:rPr>
              <w:t xml:space="preserve"> </w:t>
            </w:r>
            <w:r w:rsidR="00E4719C" w:rsidRPr="00154BF9">
              <w:rPr>
                <w:rFonts w:ascii="Times New Roman" w:eastAsia="Times New Roman" w:hAnsi="Times New Roman" w:cs="Times New Roman"/>
                <w:sz w:val="20"/>
                <w:szCs w:val="20"/>
                <w:lang w:eastAsia="pl-PL"/>
              </w:rPr>
              <w:t>być</w:t>
            </w:r>
            <w:r w:rsidR="0052643B" w:rsidRPr="00154BF9">
              <w:rPr>
                <w:rFonts w:ascii="Times New Roman" w:eastAsia="Times New Roman" w:hAnsi="Times New Roman" w:cs="Times New Roman"/>
                <w:sz w:val="20"/>
                <w:szCs w:val="20"/>
                <w:lang w:eastAsia="pl-PL"/>
              </w:rPr>
              <w:t xml:space="preserve"> </w:t>
            </w:r>
            <w:r w:rsidR="00E4719C" w:rsidRPr="00154BF9">
              <w:rPr>
                <w:rFonts w:ascii="Times New Roman" w:eastAsia="Times New Roman" w:hAnsi="Times New Roman" w:cs="Times New Roman"/>
                <w:sz w:val="20"/>
                <w:szCs w:val="20"/>
                <w:lang w:eastAsia="pl-PL"/>
              </w:rPr>
              <w:t>stosowane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monoterapii</w:t>
            </w:r>
            <w:r w:rsidR="0052643B" w:rsidRPr="00154BF9">
              <w:rPr>
                <w:rFonts w:ascii="Times New Roman" w:eastAsia="Times New Roman" w:hAnsi="Times New Roman" w:cs="Times New Roman"/>
                <w:sz w:val="20"/>
                <w:szCs w:val="20"/>
                <w:lang w:eastAsia="pl-PL"/>
              </w:rPr>
              <w:t xml:space="preserve"> </w:t>
            </w:r>
            <w:r w:rsidR="00E4719C" w:rsidRPr="00154BF9">
              <w:rPr>
                <w:rFonts w:ascii="Times New Roman" w:eastAsia="Times New Roman" w:hAnsi="Times New Roman" w:cs="Times New Roman"/>
                <w:sz w:val="20"/>
                <w:szCs w:val="20"/>
                <w:lang w:eastAsia="pl-PL"/>
              </w:rPr>
              <w:t>zgodnie</w:t>
            </w:r>
            <w:r w:rsidR="0052643B" w:rsidRPr="00154BF9">
              <w:rPr>
                <w:rFonts w:ascii="Times New Roman" w:eastAsia="Times New Roman" w:hAnsi="Times New Roman" w:cs="Times New Roman"/>
                <w:sz w:val="20"/>
                <w:szCs w:val="20"/>
                <w:lang w:eastAsia="pl-PL"/>
              </w:rPr>
              <w:t xml:space="preserve"> </w:t>
            </w:r>
            <w:r w:rsidR="00E4719C"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00E4719C" w:rsidRPr="00154BF9">
              <w:rPr>
                <w:rFonts w:ascii="Times New Roman" w:eastAsia="Times New Roman" w:hAnsi="Times New Roman" w:cs="Times New Roman"/>
                <w:sz w:val="20"/>
                <w:szCs w:val="20"/>
                <w:lang w:eastAsia="pl-PL"/>
              </w:rPr>
              <w:t>ChPL</w:t>
            </w:r>
            <w:r w:rsidR="0052643B" w:rsidRPr="00154BF9">
              <w:rPr>
                <w:rFonts w:ascii="Times New Roman" w:eastAsia="Times New Roman" w:hAnsi="Times New Roman" w:cs="Times New Roman"/>
                <w:sz w:val="20"/>
                <w:szCs w:val="20"/>
                <w:lang w:eastAsia="pl-PL"/>
              </w:rPr>
              <w:t xml:space="preserve"> </w:t>
            </w:r>
            <w:r w:rsidR="00E4719C"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00E4719C" w:rsidRPr="00154BF9">
              <w:rPr>
                <w:rFonts w:ascii="Times New Roman" w:eastAsia="Times New Roman" w:hAnsi="Times New Roman" w:cs="Times New Roman"/>
                <w:sz w:val="20"/>
                <w:szCs w:val="20"/>
                <w:lang w:eastAsia="pl-PL"/>
              </w:rPr>
              <w:t>uwzględnieniem</w:t>
            </w:r>
            <w:r w:rsidR="0052643B" w:rsidRPr="00154BF9">
              <w:rPr>
                <w:rFonts w:ascii="Times New Roman" w:eastAsia="Times New Roman" w:hAnsi="Times New Roman" w:cs="Times New Roman"/>
                <w:sz w:val="20"/>
                <w:szCs w:val="20"/>
                <w:lang w:eastAsia="pl-PL"/>
              </w:rPr>
              <w:t xml:space="preserve"> </w:t>
            </w:r>
            <w:r w:rsidR="00E4719C" w:rsidRPr="00154BF9">
              <w:rPr>
                <w:rFonts w:ascii="Times New Roman" w:eastAsia="Times New Roman" w:hAnsi="Times New Roman" w:cs="Times New Roman"/>
                <w:sz w:val="20"/>
                <w:szCs w:val="20"/>
                <w:lang w:eastAsia="pl-PL"/>
              </w:rPr>
              <w:t>rekomendacji</w:t>
            </w:r>
            <w:r w:rsidR="00DE7A19">
              <w:rPr>
                <w:rFonts w:ascii="Times New Roman" w:eastAsia="Times New Roman" w:hAnsi="Times New Roman" w:cs="Times New Roman"/>
                <w:sz w:val="20"/>
                <w:szCs w:val="20"/>
                <w:lang w:eastAsia="pl-PL"/>
              </w:rPr>
              <w:t xml:space="preserve"> </w:t>
            </w:r>
            <w:r w:rsidR="00E4719C" w:rsidRPr="00154BF9">
              <w:rPr>
                <w:rFonts w:ascii="Times New Roman" w:eastAsia="Times New Roman" w:hAnsi="Times New Roman" w:cs="Times New Roman"/>
                <w:sz w:val="20"/>
                <w:szCs w:val="20"/>
                <w:lang w:eastAsia="pl-PL"/>
              </w:rPr>
              <w:t>EULAR/ACR.</w:t>
            </w:r>
          </w:p>
          <w:p w14:paraId="03B4E80F" w14:textId="77777777" w:rsidR="00DB7742" w:rsidRPr="00154BF9" w:rsidRDefault="00DB7742" w:rsidP="007F271B">
            <w:pPr>
              <w:autoSpaceDE w:val="0"/>
              <w:autoSpaceDN w:val="0"/>
              <w:adjustRightInd w:val="0"/>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Pacjent odbywa w ośrodku minimum trzy wizyty monitorujące (z wynikami badań i oceną efektywności leczenia) od początku leczenia. Po uzyskaniu celu leczenia (niskiej aktywności lub remisji) i utrzymywania się tego stanu minimum 6 miesięcy możliwe jest wydawanie leku do kolejnej wizyty monitorującej. Leczenie może być kontynuowane w warunkach domowych, jeśli lekarz i pacjent uznają to za właściwe. Na pierwszej wizycie z podaniem leku w ośrodku pacjent lub opiekunowie prawni pacjenta otrzymują wyczerpującą informację na temat techniki podawania leków stosowanych pozajelitowo oraz potencjalnych objawach niepożądanych związanych ze stosowanym leczeniem.</w:t>
            </w:r>
          </w:p>
          <w:p w14:paraId="3A130639" w14:textId="4E374ABC" w:rsidR="009D7AE1" w:rsidRPr="00154BF9" w:rsidRDefault="00DB7742" w:rsidP="007F271B">
            <w:pPr>
              <w:autoSpaceDE w:val="0"/>
              <w:autoSpaceDN w:val="0"/>
              <w:adjustRightInd w:val="0"/>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Pacjent otrzymuje leki dla celów terapii domowej w ośrodku prowadzącym terapię w programie lekowym danego pacjenta na okres pomiędzy wizytami w ośrodku.</w:t>
            </w:r>
          </w:p>
        </w:tc>
        <w:tc>
          <w:tcPr>
            <w:tcW w:w="4295" w:type="dxa"/>
            <w:tcBorders>
              <w:top w:val="single" w:sz="4" w:space="0" w:color="auto"/>
              <w:bottom w:val="single" w:sz="4" w:space="0" w:color="auto"/>
              <w:right w:val="single" w:sz="4" w:space="0" w:color="auto"/>
            </w:tcBorders>
          </w:tcPr>
          <w:p w14:paraId="06E29E9D" w14:textId="3F5E0598" w:rsidR="009D7AE1" w:rsidRPr="004D380C" w:rsidRDefault="0043742A" w:rsidP="004D380C">
            <w:pPr>
              <w:pStyle w:val="Akapitzlist"/>
              <w:numPr>
                <w:ilvl w:val="0"/>
                <w:numId w:val="22"/>
              </w:numPr>
              <w:autoSpaceDE w:val="0"/>
              <w:autoSpaceDN w:val="0"/>
              <w:adjustRightInd w:val="0"/>
              <w:spacing w:before="120" w:after="60" w:line="276" w:lineRule="auto"/>
              <w:contextualSpacing w:val="0"/>
              <w:jc w:val="both"/>
              <w:rPr>
                <w:rFonts w:ascii="Times New Roman" w:hAnsi="Times New Roman" w:cs="Times New Roman"/>
                <w:b/>
                <w:sz w:val="20"/>
                <w:szCs w:val="20"/>
              </w:rPr>
            </w:pPr>
            <w:r w:rsidRPr="004D380C">
              <w:rPr>
                <w:rFonts w:ascii="Times New Roman" w:hAnsi="Times New Roman" w:cs="Times New Roman"/>
                <w:b/>
                <w:sz w:val="20"/>
                <w:szCs w:val="20"/>
              </w:rPr>
              <w:lastRenderedPageBreak/>
              <w:t>Badania</w:t>
            </w:r>
            <w:r w:rsidR="0052643B" w:rsidRPr="004D380C">
              <w:rPr>
                <w:rFonts w:ascii="Times New Roman" w:hAnsi="Times New Roman" w:cs="Times New Roman"/>
                <w:b/>
                <w:sz w:val="20"/>
                <w:szCs w:val="20"/>
              </w:rPr>
              <w:t xml:space="preserve"> </w:t>
            </w:r>
            <w:r w:rsidRPr="004D380C">
              <w:rPr>
                <w:rFonts w:ascii="Times New Roman" w:hAnsi="Times New Roman" w:cs="Times New Roman"/>
                <w:b/>
                <w:sz w:val="20"/>
                <w:szCs w:val="20"/>
              </w:rPr>
              <w:t>przy</w:t>
            </w:r>
            <w:r w:rsidR="0052643B" w:rsidRPr="004D380C">
              <w:rPr>
                <w:rFonts w:ascii="Times New Roman" w:hAnsi="Times New Roman" w:cs="Times New Roman"/>
                <w:b/>
                <w:sz w:val="20"/>
                <w:szCs w:val="20"/>
              </w:rPr>
              <w:t xml:space="preserve"> </w:t>
            </w:r>
            <w:r w:rsidR="009D7AE1" w:rsidRPr="004D380C">
              <w:rPr>
                <w:rFonts w:ascii="Times New Roman" w:hAnsi="Times New Roman" w:cs="Times New Roman"/>
                <w:b/>
                <w:sz w:val="20"/>
                <w:szCs w:val="20"/>
              </w:rPr>
              <w:t>kwalifikacji</w:t>
            </w:r>
            <w:r w:rsidR="0052643B" w:rsidRPr="004D380C">
              <w:rPr>
                <w:rFonts w:ascii="Times New Roman" w:hAnsi="Times New Roman" w:cs="Times New Roman"/>
                <w:b/>
                <w:sz w:val="20"/>
                <w:szCs w:val="20"/>
              </w:rPr>
              <w:t xml:space="preserve"> </w:t>
            </w:r>
            <w:r w:rsidR="009D7AE1" w:rsidRPr="004D380C">
              <w:rPr>
                <w:rFonts w:ascii="Times New Roman" w:hAnsi="Times New Roman" w:cs="Times New Roman"/>
                <w:b/>
                <w:sz w:val="20"/>
                <w:szCs w:val="20"/>
              </w:rPr>
              <w:t>do</w:t>
            </w:r>
            <w:r w:rsidR="0052643B" w:rsidRPr="004D380C">
              <w:rPr>
                <w:rFonts w:ascii="Times New Roman" w:hAnsi="Times New Roman" w:cs="Times New Roman"/>
                <w:b/>
                <w:sz w:val="20"/>
                <w:szCs w:val="20"/>
              </w:rPr>
              <w:t xml:space="preserve"> </w:t>
            </w:r>
            <w:r w:rsidR="009D7AE1" w:rsidRPr="004D380C">
              <w:rPr>
                <w:rFonts w:ascii="Times New Roman" w:hAnsi="Times New Roman" w:cs="Times New Roman"/>
                <w:b/>
                <w:sz w:val="20"/>
                <w:szCs w:val="20"/>
              </w:rPr>
              <w:t>programu</w:t>
            </w:r>
          </w:p>
          <w:p w14:paraId="3EEBA1B6" w14:textId="642F7FC4" w:rsidR="009D7AE1" w:rsidRPr="00154BF9" w:rsidRDefault="009D7AE1" w:rsidP="00DE4276">
            <w:pPr>
              <w:numPr>
                <w:ilvl w:val="3"/>
                <w:numId w:val="22"/>
              </w:numPr>
              <w:suppressAutoHyphens/>
              <w:snapToGrid w:val="0"/>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czynnik</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reumatoidalny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surowicy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aCCP</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kiedykolwiek</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przeszłości;</w:t>
            </w:r>
          </w:p>
          <w:p w14:paraId="70A79131" w14:textId="66F913D1" w:rsidR="009D7AE1" w:rsidRPr="00154BF9" w:rsidRDefault="009D7AE1" w:rsidP="00DE4276">
            <w:pPr>
              <w:numPr>
                <w:ilvl w:val="3"/>
                <w:numId w:val="22"/>
              </w:numPr>
              <w:suppressAutoHyphens/>
              <w:snapToGrid w:val="0"/>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próba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tuberkulinowa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test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Quantiferon;</w:t>
            </w:r>
          </w:p>
          <w:p w14:paraId="6779E8FA" w14:textId="199B8CC9" w:rsidR="009D7AE1" w:rsidRPr="00154BF9" w:rsidRDefault="009D7AE1" w:rsidP="00DE4276">
            <w:pPr>
              <w:numPr>
                <w:ilvl w:val="3"/>
                <w:numId w:val="22"/>
              </w:numPr>
              <w:suppressAutoHyphens/>
              <w:snapToGrid w:val="0"/>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obecność</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antygenu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HBs;</w:t>
            </w:r>
          </w:p>
          <w:p w14:paraId="7006D55A" w14:textId="19CD4A41" w:rsidR="003D3739" w:rsidRPr="00154BF9" w:rsidRDefault="003D3739" w:rsidP="00DE4276">
            <w:pPr>
              <w:numPr>
                <w:ilvl w:val="3"/>
                <w:numId w:val="22"/>
              </w:numPr>
              <w:suppressAutoHyphens/>
              <w:snapToGrid w:val="0"/>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przeciwciała anty-HBc</w:t>
            </w:r>
            <w:r w:rsidR="00DE4276">
              <w:rPr>
                <w:rFonts w:ascii="Times New Roman" w:eastAsia="Times New Roman" w:hAnsi="Times New Roman" w:cs="Times New Roman"/>
                <w:sz w:val="20"/>
                <w:szCs w:val="20"/>
                <w:lang w:eastAsia="pl-PL"/>
              </w:rPr>
              <w:t>;</w:t>
            </w:r>
          </w:p>
          <w:p w14:paraId="4AEBB97A" w14:textId="73A671CF" w:rsidR="009D7AE1" w:rsidRPr="00154BF9" w:rsidRDefault="009D7AE1" w:rsidP="00DE4276">
            <w:pPr>
              <w:numPr>
                <w:ilvl w:val="3"/>
                <w:numId w:val="22"/>
              </w:numPr>
              <w:suppressAutoHyphens/>
              <w:snapToGrid w:val="0"/>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przeciwciała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anty-HCV,</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przypadku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pozytywnego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wyniku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oznaczenie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PCR</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HCV</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metodą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ilościową;</w:t>
            </w:r>
          </w:p>
          <w:p w14:paraId="5037646C" w14:textId="1B2601FF" w:rsidR="009D7AE1" w:rsidRPr="00154BF9" w:rsidRDefault="009D7AE1" w:rsidP="00DE4276">
            <w:pPr>
              <w:numPr>
                <w:ilvl w:val="3"/>
                <w:numId w:val="22"/>
              </w:numPr>
              <w:suppressAutoHyphens/>
              <w:snapToGrid w:val="0"/>
              <w:spacing w:after="60" w:line="276" w:lineRule="auto"/>
              <w:jc w:val="both"/>
              <w:rPr>
                <w:rFonts w:ascii="Times New Roman" w:eastAsia="Times New Roman" w:hAnsi="Times New Roman" w:cs="Times New Roman"/>
                <w:sz w:val="20"/>
                <w:szCs w:val="20"/>
                <w:lang w:val="de-DE" w:eastAsia="pl-PL"/>
              </w:rPr>
            </w:pPr>
            <w:r w:rsidRPr="00154BF9">
              <w:rPr>
                <w:rFonts w:ascii="Times New Roman" w:eastAsia="Times New Roman" w:hAnsi="Times New Roman" w:cs="Times New Roman"/>
                <w:sz w:val="20"/>
                <w:szCs w:val="20"/>
                <w:lang w:val="en-US" w:eastAsia="pl-PL"/>
              </w:rPr>
              <w:t>antygen</w:t>
            </w:r>
            <w:r w:rsidR="0052643B" w:rsidRPr="00154BF9">
              <w:rPr>
                <w:rFonts w:ascii="Times New Roman" w:eastAsia="Times New Roman" w:hAnsi="Times New Roman" w:cs="Times New Roman"/>
                <w:sz w:val="20"/>
                <w:szCs w:val="20"/>
                <w:lang w:val="de-DE" w:eastAsia="pl-PL"/>
              </w:rPr>
              <w:t xml:space="preserve"> </w:t>
            </w:r>
            <w:r w:rsidRPr="00154BF9">
              <w:rPr>
                <w:rFonts w:ascii="Times New Roman" w:eastAsia="Times New Roman" w:hAnsi="Times New Roman" w:cs="Times New Roman"/>
                <w:sz w:val="20"/>
                <w:szCs w:val="20"/>
                <w:lang w:val="en-US" w:eastAsia="pl-PL"/>
              </w:rPr>
              <w:t>wirusa</w:t>
            </w:r>
            <w:r w:rsidR="0052643B" w:rsidRPr="00154BF9">
              <w:rPr>
                <w:rFonts w:ascii="Times New Roman" w:eastAsia="Times New Roman" w:hAnsi="Times New Roman" w:cs="Times New Roman"/>
                <w:sz w:val="20"/>
                <w:szCs w:val="20"/>
                <w:lang w:val="de-DE" w:eastAsia="pl-PL"/>
              </w:rPr>
              <w:t xml:space="preserve"> </w:t>
            </w:r>
            <w:r w:rsidRPr="00154BF9">
              <w:rPr>
                <w:rFonts w:ascii="Times New Roman" w:eastAsia="Times New Roman" w:hAnsi="Times New Roman" w:cs="Times New Roman"/>
                <w:sz w:val="20"/>
                <w:szCs w:val="20"/>
                <w:lang w:val="de-DE" w:eastAsia="pl-PL"/>
              </w:rPr>
              <w:t>HIV</w:t>
            </w:r>
            <w:r w:rsidR="0052643B" w:rsidRPr="00154BF9">
              <w:rPr>
                <w:rFonts w:ascii="Times New Roman" w:eastAsia="Times New Roman" w:hAnsi="Times New Roman" w:cs="Times New Roman"/>
                <w:sz w:val="20"/>
                <w:szCs w:val="20"/>
                <w:lang w:val="de-DE" w:eastAsia="pl-PL"/>
              </w:rPr>
              <w:t xml:space="preserve"> </w:t>
            </w:r>
            <w:r w:rsidRPr="00154BF9">
              <w:rPr>
                <w:rFonts w:ascii="Times New Roman" w:eastAsia="Times New Roman" w:hAnsi="Times New Roman" w:cs="Times New Roman"/>
                <w:sz w:val="20"/>
                <w:szCs w:val="20"/>
                <w:lang w:val="de-DE" w:eastAsia="pl-PL"/>
              </w:rPr>
              <w:t>(HIV</w:t>
            </w:r>
            <w:r w:rsidR="0052643B" w:rsidRPr="00154BF9">
              <w:rPr>
                <w:rFonts w:ascii="Times New Roman" w:eastAsia="Times New Roman" w:hAnsi="Times New Roman" w:cs="Times New Roman"/>
                <w:sz w:val="20"/>
                <w:szCs w:val="20"/>
                <w:lang w:val="de-DE" w:eastAsia="pl-PL"/>
              </w:rPr>
              <w:t xml:space="preserve"> </w:t>
            </w:r>
            <w:r w:rsidRPr="00154BF9">
              <w:rPr>
                <w:rFonts w:ascii="Times New Roman" w:eastAsia="Times New Roman" w:hAnsi="Times New Roman" w:cs="Times New Roman"/>
                <w:sz w:val="20"/>
                <w:szCs w:val="20"/>
                <w:lang w:val="de-DE" w:eastAsia="pl-PL"/>
              </w:rPr>
              <w:t>Ag/Ab</w:t>
            </w:r>
            <w:r w:rsidR="0052643B" w:rsidRPr="00154BF9">
              <w:rPr>
                <w:rFonts w:ascii="Times New Roman" w:eastAsia="Times New Roman" w:hAnsi="Times New Roman" w:cs="Times New Roman"/>
                <w:sz w:val="20"/>
                <w:szCs w:val="20"/>
                <w:lang w:val="de-DE" w:eastAsia="pl-PL"/>
              </w:rPr>
              <w:t xml:space="preserve"> </w:t>
            </w:r>
            <w:r w:rsidRPr="00154BF9">
              <w:rPr>
                <w:rFonts w:ascii="Times New Roman" w:eastAsia="Times New Roman" w:hAnsi="Times New Roman" w:cs="Times New Roman"/>
                <w:sz w:val="20"/>
                <w:szCs w:val="20"/>
                <w:lang w:val="de-DE" w:eastAsia="pl-PL"/>
              </w:rPr>
              <w:t>Combo);</w:t>
            </w:r>
          </w:p>
          <w:p w14:paraId="78145AAC" w14:textId="43A38DD3" w:rsidR="009D7AE1" w:rsidRPr="00154BF9" w:rsidRDefault="009D7AE1" w:rsidP="00DE4276">
            <w:pPr>
              <w:numPr>
                <w:ilvl w:val="3"/>
                <w:numId w:val="22"/>
              </w:numPr>
              <w:suppressAutoHyphens/>
              <w:snapToGrid w:val="0"/>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RTG</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klatki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piersiowej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opisem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(maksymalnie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6</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miesięcy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przed</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kwalifikacją);</w:t>
            </w:r>
          </w:p>
          <w:p w14:paraId="3FE777B7" w14:textId="346C16A3" w:rsidR="006A7CEE" w:rsidRPr="00154BF9" w:rsidRDefault="009D7AE1" w:rsidP="00DE4276">
            <w:pPr>
              <w:numPr>
                <w:ilvl w:val="3"/>
                <w:numId w:val="22"/>
              </w:numPr>
              <w:suppressAutoHyphens/>
              <w:snapToGrid w:val="0"/>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val="en-US" w:eastAsia="pl-PL"/>
              </w:rPr>
              <w:t>EKG</w:t>
            </w:r>
            <w:r w:rsidR="0052643B" w:rsidRPr="00154BF9">
              <w:rPr>
                <w:rFonts w:ascii="Times New Roman" w:eastAsia="Times New Roman" w:hAnsi="Times New Roman" w:cs="Times New Roman"/>
                <w:sz w:val="20"/>
                <w:szCs w:val="20"/>
                <w:lang w:val="en-US" w:eastAsia="pl-PL"/>
              </w:rPr>
              <w:t xml:space="preserve"> </w:t>
            </w:r>
            <w:r w:rsidRPr="00154BF9">
              <w:rPr>
                <w:rFonts w:ascii="Times New Roman" w:eastAsia="Times New Roman" w:hAnsi="Times New Roman" w:cs="Times New Roman"/>
                <w:sz w:val="20"/>
                <w:szCs w:val="20"/>
                <w:lang w:val="en-US" w:eastAsia="pl-PL"/>
              </w:rPr>
              <w:t>z</w:t>
            </w:r>
            <w:r w:rsidR="0052643B" w:rsidRPr="00154BF9">
              <w:rPr>
                <w:rFonts w:ascii="Times New Roman" w:eastAsia="Times New Roman" w:hAnsi="Times New Roman" w:cs="Times New Roman"/>
                <w:sz w:val="20"/>
                <w:szCs w:val="20"/>
                <w:lang w:val="en-US" w:eastAsia="pl-PL"/>
              </w:rPr>
              <w:t xml:space="preserve"> </w:t>
            </w:r>
            <w:r w:rsidRPr="00154BF9">
              <w:rPr>
                <w:rFonts w:ascii="Times New Roman" w:eastAsia="Times New Roman" w:hAnsi="Times New Roman" w:cs="Times New Roman"/>
                <w:sz w:val="20"/>
                <w:szCs w:val="20"/>
                <w:lang w:eastAsia="pl-PL"/>
              </w:rPr>
              <w:t>opisem</w:t>
            </w:r>
            <w:r w:rsidR="000161B7" w:rsidRPr="00154BF9">
              <w:rPr>
                <w:rFonts w:ascii="Times New Roman" w:eastAsia="Times New Roman" w:hAnsi="Times New Roman" w:cs="Times New Roman"/>
                <w:sz w:val="20"/>
                <w:szCs w:val="20"/>
                <w:lang w:val="en-US" w:eastAsia="pl-PL"/>
              </w:rPr>
              <w:t>;</w:t>
            </w:r>
          </w:p>
          <w:p w14:paraId="2DE86B71" w14:textId="35CA9F70" w:rsidR="006A7CEE" w:rsidRPr="00154BF9" w:rsidRDefault="006A7CEE" w:rsidP="00DE4276">
            <w:pPr>
              <w:numPr>
                <w:ilvl w:val="3"/>
                <w:numId w:val="22"/>
              </w:numPr>
              <w:suppressAutoHyphens/>
              <w:snapToGrid w:val="0"/>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morfologia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krwi,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przypadku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pacjentów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kwalifikowanych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tocilizumabem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baricytynibem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tofacytynibem</w:t>
            </w:r>
            <w:r w:rsidR="0052643B" w:rsidRPr="00154BF9">
              <w:rPr>
                <w:rFonts w:ascii="Times New Roman" w:eastAsia="Times New Roman" w:hAnsi="Times New Roman" w:cs="Times New Roman"/>
                <w:sz w:val="20"/>
                <w:szCs w:val="20"/>
                <w:lang w:eastAsia="pl-PL"/>
              </w:rPr>
              <w:t xml:space="preserve"> </w:t>
            </w:r>
            <w:r w:rsidR="003F40C9"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003F40C9" w:rsidRPr="00154BF9">
              <w:rPr>
                <w:rFonts w:ascii="Times New Roman" w:eastAsia="Times New Roman" w:hAnsi="Times New Roman" w:cs="Times New Roman"/>
                <w:sz w:val="20"/>
                <w:szCs w:val="20"/>
                <w:lang w:eastAsia="pl-PL"/>
              </w:rPr>
              <w:t>upadacytynibem</w:t>
            </w:r>
            <w:r w:rsidR="0052643B" w:rsidRPr="00154BF9">
              <w:rPr>
                <w:rFonts w:ascii="Times New Roman" w:hAnsi="Times New Roman" w:cs="Times New Roman"/>
                <w:sz w:val="20"/>
                <w:szCs w:val="20"/>
              </w:rPr>
              <w:t xml:space="preserve"> </w:t>
            </w:r>
            <w:r w:rsidR="007B64CE" w:rsidRPr="00154BF9">
              <w:rPr>
                <w:rFonts w:ascii="Times New Roman" w:eastAsia="Times New Roman" w:hAnsi="Times New Roman" w:cs="Times New Roman"/>
                <w:sz w:val="20"/>
                <w:szCs w:val="20"/>
                <w:lang w:eastAsia="pl-PL"/>
              </w:rPr>
              <w:t xml:space="preserve">lub </w:t>
            </w:r>
            <w:r w:rsidR="00EA4A2E" w:rsidRPr="00154BF9">
              <w:rPr>
                <w:rFonts w:ascii="Times New Roman" w:eastAsia="Times New Roman" w:hAnsi="Times New Roman" w:cs="Times New Roman"/>
                <w:sz w:val="20"/>
                <w:szCs w:val="20"/>
                <w:lang w:eastAsia="pl-PL"/>
              </w:rPr>
              <w:t>filgotynibem lub</w:t>
            </w:r>
            <w:r w:rsidR="005810F1" w:rsidRPr="00154BF9">
              <w:rPr>
                <w:rFonts w:ascii="Times New Roman" w:eastAsia="Times New Roman" w:hAnsi="Times New Roman" w:cs="Times New Roman"/>
                <w:sz w:val="20"/>
                <w:szCs w:val="20"/>
                <w:lang w:eastAsia="pl-PL"/>
              </w:rPr>
              <w:t xml:space="preserve"> anakinrą </w:t>
            </w:r>
            <w:r w:rsidR="00C63D99" w:rsidRPr="00C63D99">
              <w:rPr>
                <w:rFonts w:ascii="Times New Roman" w:eastAsia="Times New Roman" w:hAnsi="Times New Roman" w:cs="Times New Roman"/>
                <w:sz w:val="20"/>
                <w:szCs w:val="20"/>
                <w:lang w:eastAsia="pl-PL"/>
              </w:rPr>
              <w:t xml:space="preserve">lub kanakinumabem </w:t>
            </w:r>
            <w:r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morfologia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lastRenderedPageBreak/>
              <w:t>krwi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rozmazem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oraz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oznaczeniem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bezwzględnej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liczby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granulocytów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obojętnochłonnych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oraz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limfocytów;</w:t>
            </w:r>
          </w:p>
          <w:p w14:paraId="486E9E39" w14:textId="0F5B7B7B" w:rsidR="006A7CEE" w:rsidRPr="00154BF9" w:rsidRDefault="005A3F21" w:rsidP="00DE4276">
            <w:pPr>
              <w:numPr>
                <w:ilvl w:val="3"/>
                <w:numId w:val="22"/>
              </w:numPr>
              <w:suppressAutoHyphens/>
              <w:snapToGrid w:val="0"/>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 xml:space="preserve">oznaczenie </w:t>
            </w:r>
            <w:r w:rsidR="006A7CEE" w:rsidRPr="00154BF9">
              <w:rPr>
                <w:rFonts w:ascii="Times New Roman" w:eastAsia="Times New Roman" w:hAnsi="Times New Roman" w:cs="Times New Roman"/>
                <w:sz w:val="20"/>
                <w:szCs w:val="20"/>
                <w:lang w:eastAsia="pl-PL"/>
              </w:rPr>
              <w:t>pły</w:t>
            </w:r>
            <w:r w:rsidRPr="00154BF9">
              <w:rPr>
                <w:rFonts w:ascii="Times New Roman" w:eastAsia="Times New Roman" w:hAnsi="Times New Roman" w:cs="Times New Roman"/>
                <w:sz w:val="20"/>
                <w:szCs w:val="20"/>
                <w:lang w:eastAsia="pl-PL"/>
              </w:rPr>
              <w:t xml:space="preserve">tek </w:t>
            </w:r>
            <w:r w:rsidR="006A7CEE" w:rsidRPr="00154BF9">
              <w:rPr>
                <w:rFonts w:ascii="Times New Roman" w:eastAsia="Times New Roman" w:hAnsi="Times New Roman" w:cs="Times New Roman"/>
                <w:sz w:val="20"/>
                <w:szCs w:val="20"/>
                <w:lang w:eastAsia="pl-PL"/>
              </w:rPr>
              <w:t>krwi</w:t>
            </w:r>
            <w:r w:rsidR="0052643B" w:rsidRPr="00154BF9">
              <w:rPr>
                <w:rFonts w:ascii="Times New Roman" w:eastAsia="Times New Roman" w:hAnsi="Times New Roman" w:cs="Times New Roman"/>
                <w:sz w:val="20"/>
                <w:szCs w:val="20"/>
                <w:lang w:eastAsia="pl-PL"/>
              </w:rPr>
              <w:t xml:space="preserve"> </w:t>
            </w:r>
            <w:r w:rsidR="006A7CEE" w:rsidRPr="00154BF9">
              <w:rPr>
                <w:rFonts w:ascii="Times New Roman" w:eastAsia="Times New Roman" w:hAnsi="Times New Roman" w:cs="Times New Roman"/>
                <w:sz w:val="20"/>
                <w:szCs w:val="20"/>
                <w:lang w:eastAsia="pl-PL"/>
              </w:rPr>
              <w:t>(PLT);</w:t>
            </w:r>
          </w:p>
          <w:p w14:paraId="56B8D82F" w14:textId="1A90843A" w:rsidR="006A7CEE" w:rsidRPr="00154BF9" w:rsidRDefault="005A3F21" w:rsidP="00DE4276">
            <w:pPr>
              <w:numPr>
                <w:ilvl w:val="3"/>
                <w:numId w:val="22"/>
              </w:numPr>
              <w:suppressAutoHyphens/>
              <w:snapToGrid w:val="0"/>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 xml:space="preserve">oznaczenie wartości </w:t>
            </w:r>
            <w:r w:rsidR="006A7CEE" w:rsidRPr="00154BF9">
              <w:rPr>
                <w:rFonts w:ascii="Times New Roman" w:eastAsia="Times New Roman" w:hAnsi="Times New Roman" w:cs="Times New Roman"/>
                <w:sz w:val="20"/>
                <w:szCs w:val="20"/>
                <w:lang w:eastAsia="pl-PL"/>
              </w:rPr>
              <w:t>odczyn</w:t>
            </w:r>
            <w:r w:rsidRPr="00154BF9">
              <w:rPr>
                <w:rFonts w:ascii="Times New Roman" w:eastAsia="Times New Roman" w:hAnsi="Times New Roman" w:cs="Times New Roman"/>
                <w:sz w:val="20"/>
                <w:szCs w:val="20"/>
                <w:lang w:eastAsia="pl-PL"/>
              </w:rPr>
              <w:t>u</w:t>
            </w:r>
            <w:r w:rsidR="0052643B" w:rsidRPr="00154BF9">
              <w:rPr>
                <w:rFonts w:ascii="Times New Roman" w:eastAsia="Times New Roman" w:hAnsi="Times New Roman" w:cs="Times New Roman"/>
                <w:sz w:val="20"/>
                <w:szCs w:val="20"/>
                <w:lang w:eastAsia="pl-PL"/>
              </w:rPr>
              <w:t xml:space="preserve"> </w:t>
            </w:r>
            <w:r w:rsidR="006A7CEE" w:rsidRPr="00154BF9">
              <w:rPr>
                <w:rFonts w:ascii="Times New Roman" w:eastAsia="Times New Roman" w:hAnsi="Times New Roman" w:cs="Times New Roman"/>
                <w:sz w:val="20"/>
                <w:szCs w:val="20"/>
                <w:lang w:eastAsia="pl-PL"/>
              </w:rPr>
              <w:t>Biernackiego</w:t>
            </w:r>
            <w:r w:rsidR="0052643B" w:rsidRPr="00154BF9">
              <w:rPr>
                <w:rFonts w:ascii="Times New Roman" w:eastAsia="Times New Roman" w:hAnsi="Times New Roman" w:cs="Times New Roman"/>
                <w:sz w:val="20"/>
                <w:szCs w:val="20"/>
                <w:lang w:eastAsia="pl-PL"/>
              </w:rPr>
              <w:t xml:space="preserve"> </w:t>
            </w:r>
            <w:r w:rsidR="006A7CEE" w:rsidRPr="00154BF9">
              <w:rPr>
                <w:rFonts w:ascii="Times New Roman" w:eastAsia="Times New Roman" w:hAnsi="Times New Roman" w:cs="Times New Roman"/>
                <w:sz w:val="20"/>
                <w:szCs w:val="20"/>
                <w:lang w:eastAsia="pl-PL"/>
              </w:rPr>
              <w:t>(OB);</w:t>
            </w:r>
          </w:p>
          <w:p w14:paraId="0C4A56FF" w14:textId="4C489736" w:rsidR="006A7CEE" w:rsidRPr="00154BF9" w:rsidRDefault="005A3F21" w:rsidP="00DE4276">
            <w:pPr>
              <w:numPr>
                <w:ilvl w:val="3"/>
                <w:numId w:val="22"/>
              </w:numPr>
              <w:suppressAutoHyphens/>
              <w:snapToGrid w:val="0"/>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 xml:space="preserve">oznaczenie </w:t>
            </w:r>
            <w:r w:rsidR="006A7CEE" w:rsidRPr="00154BF9">
              <w:rPr>
                <w:rFonts w:ascii="Times New Roman" w:eastAsia="Times New Roman" w:hAnsi="Times New Roman" w:cs="Times New Roman"/>
                <w:sz w:val="20"/>
                <w:szCs w:val="20"/>
                <w:lang w:eastAsia="pl-PL"/>
              </w:rPr>
              <w:t>stężeni</w:t>
            </w:r>
            <w:r w:rsidR="00CA7829" w:rsidRPr="00154BF9">
              <w:rPr>
                <w:rFonts w:ascii="Times New Roman" w:eastAsia="Times New Roman" w:hAnsi="Times New Roman" w:cs="Times New Roman"/>
                <w:sz w:val="20"/>
                <w:szCs w:val="20"/>
                <w:lang w:eastAsia="pl-PL"/>
              </w:rPr>
              <w:t>a</w:t>
            </w:r>
            <w:r w:rsidR="0052643B" w:rsidRPr="00154BF9">
              <w:rPr>
                <w:rFonts w:ascii="Times New Roman" w:eastAsia="Times New Roman" w:hAnsi="Times New Roman" w:cs="Times New Roman"/>
                <w:sz w:val="20"/>
                <w:szCs w:val="20"/>
                <w:lang w:eastAsia="pl-PL"/>
              </w:rPr>
              <w:t xml:space="preserve"> </w:t>
            </w:r>
            <w:r w:rsidR="006A7CEE" w:rsidRPr="00154BF9">
              <w:rPr>
                <w:rFonts w:ascii="Times New Roman" w:eastAsia="Times New Roman" w:hAnsi="Times New Roman" w:cs="Times New Roman"/>
                <w:sz w:val="20"/>
                <w:szCs w:val="20"/>
                <w:lang w:eastAsia="pl-PL"/>
              </w:rPr>
              <w:t>białka</w:t>
            </w:r>
            <w:r w:rsidR="0052643B" w:rsidRPr="00154BF9">
              <w:rPr>
                <w:rFonts w:ascii="Times New Roman" w:eastAsia="Times New Roman" w:hAnsi="Times New Roman" w:cs="Times New Roman"/>
                <w:sz w:val="20"/>
                <w:szCs w:val="20"/>
                <w:lang w:eastAsia="pl-PL"/>
              </w:rPr>
              <w:t xml:space="preserve"> </w:t>
            </w:r>
            <w:r w:rsidR="006A7CEE" w:rsidRPr="00154BF9">
              <w:rPr>
                <w:rFonts w:ascii="Times New Roman" w:eastAsia="Times New Roman" w:hAnsi="Times New Roman" w:cs="Times New Roman"/>
                <w:sz w:val="20"/>
                <w:szCs w:val="20"/>
                <w:lang w:eastAsia="pl-PL"/>
              </w:rPr>
              <w:t>C-reaktywnego</w:t>
            </w:r>
            <w:r w:rsidR="0052643B" w:rsidRPr="00154BF9">
              <w:rPr>
                <w:rFonts w:ascii="Times New Roman" w:eastAsia="Times New Roman" w:hAnsi="Times New Roman" w:cs="Times New Roman"/>
                <w:sz w:val="20"/>
                <w:szCs w:val="20"/>
                <w:lang w:eastAsia="pl-PL"/>
              </w:rPr>
              <w:t xml:space="preserve"> </w:t>
            </w:r>
            <w:r w:rsidR="006A7CEE" w:rsidRPr="00154BF9">
              <w:rPr>
                <w:rFonts w:ascii="Times New Roman" w:eastAsia="Times New Roman" w:hAnsi="Times New Roman" w:cs="Times New Roman"/>
                <w:sz w:val="20"/>
                <w:szCs w:val="20"/>
                <w:lang w:eastAsia="pl-PL"/>
              </w:rPr>
              <w:t>(CRP);</w:t>
            </w:r>
          </w:p>
          <w:p w14:paraId="1AF838E6" w14:textId="6AE8F74E" w:rsidR="006A7CEE" w:rsidRPr="00154BF9" w:rsidRDefault="00CA7829" w:rsidP="00DE4276">
            <w:pPr>
              <w:numPr>
                <w:ilvl w:val="3"/>
                <w:numId w:val="22"/>
              </w:numPr>
              <w:suppressAutoHyphens/>
              <w:snapToGrid w:val="0"/>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oznaczenie stężenia kreatyniny w surowicy krwi</w:t>
            </w:r>
            <w:r w:rsidR="006A7CEE" w:rsidRPr="00154BF9">
              <w:rPr>
                <w:rFonts w:ascii="Times New Roman" w:eastAsia="Times New Roman" w:hAnsi="Times New Roman" w:cs="Times New Roman"/>
                <w:sz w:val="20"/>
                <w:szCs w:val="20"/>
                <w:lang w:eastAsia="pl-PL"/>
              </w:rPr>
              <w:t>;</w:t>
            </w:r>
          </w:p>
          <w:p w14:paraId="2491BD2D" w14:textId="77777777" w:rsidR="00CA7829" w:rsidRPr="00154BF9" w:rsidRDefault="00CA7829" w:rsidP="00DE4276">
            <w:pPr>
              <w:pStyle w:val="Akapitzlist"/>
              <w:numPr>
                <w:ilvl w:val="3"/>
                <w:numId w:val="22"/>
              </w:numPr>
              <w:spacing w:after="60" w:line="276" w:lineRule="auto"/>
              <w:contextualSpacing w:val="0"/>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oznaczenie aktywności aminotransferazy asparaginianowej (AST);</w:t>
            </w:r>
          </w:p>
          <w:p w14:paraId="34891C27" w14:textId="3D8965ED" w:rsidR="006A7CEE" w:rsidRPr="00154BF9" w:rsidRDefault="00CA7829" w:rsidP="00DE4276">
            <w:pPr>
              <w:numPr>
                <w:ilvl w:val="3"/>
                <w:numId w:val="22"/>
              </w:numPr>
              <w:suppressAutoHyphens/>
              <w:snapToGrid w:val="0"/>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oznaczenie aktywności aminotransferazy alaninowej (ALT)</w:t>
            </w:r>
            <w:r w:rsidR="006A7CEE" w:rsidRPr="00154BF9">
              <w:rPr>
                <w:rFonts w:ascii="Times New Roman" w:eastAsia="Times New Roman" w:hAnsi="Times New Roman" w:cs="Times New Roman"/>
                <w:sz w:val="20"/>
                <w:szCs w:val="20"/>
                <w:lang w:eastAsia="pl-PL"/>
              </w:rPr>
              <w:t>;</w:t>
            </w:r>
          </w:p>
          <w:p w14:paraId="0B09D997" w14:textId="3873847D" w:rsidR="006A7CEE" w:rsidRPr="00154BF9" w:rsidRDefault="006A7CEE" w:rsidP="00DE4276">
            <w:pPr>
              <w:numPr>
                <w:ilvl w:val="3"/>
                <w:numId w:val="22"/>
              </w:numPr>
              <w:suppressAutoHyphens/>
              <w:snapToGrid w:val="0"/>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badanie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ogólne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moczu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decyzji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lekarza);</w:t>
            </w:r>
          </w:p>
          <w:p w14:paraId="13ED2C08" w14:textId="14E9B603" w:rsidR="006A7CEE" w:rsidRPr="00154BF9" w:rsidRDefault="00CA7829" w:rsidP="00DE4276">
            <w:pPr>
              <w:numPr>
                <w:ilvl w:val="3"/>
                <w:numId w:val="22"/>
              </w:numPr>
              <w:suppressAutoHyphens/>
              <w:snapToGrid w:val="0"/>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 xml:space="preserve">oznaczenie </w:t>
            </w:r>
            <w:r w:rsidR="006A7CEE" w:rsidRPr="00154BF9">
              <w:rPr>
                <w:rFonts w:ascii="Times New Roman" w:eastAsia="Times New Roman" w:hAnsi="Times New Roman" w:cs="Times New Roman"/>
                <w:sz w:val="20"/>
                <w:szCs w:val="20"/>
                <w:lang w:eastAsia="pl-PL"/>
              </w:rPr>
              <w:t>stężenie</w:t>
            </w:r>
            <w:r w:rsidR="0052643B" w:rsidRPr="00154BF9">
              <w:rPr>
                <w:rFonts w:ascii="Times New Roman" w:eastAsia="Times New Roman" w:hAnsi="Times New Roman" w:cs="Times New Roman"/>
                <w:sz w:val="20"/>
                <w:szCs w:val="20"/>
                <w:lang w:eastAsia="pl-PL"/>
              </w:rPr>
              <w:t xml:space="preserve"> </w:t>
            </w:r>
            <w:r w:rsidR="006A7CEE" w:rsidRPr="00154BF9">
              <w:rPr>
                <w:rFonts w:ascii="Times New Roman" w:eastAsia="Times New Roman" w:hAnsi="Times New Roman" w:cs="Times New Roman"/>
                <w:sz w:val="20"/>
                <w:szCs w:val="20"/>
                <w:lang w:eastAsia="pl-PL"/>
              </w:rPr>
              <w:t>immunoglobulin</w:t>
            </w:r>
            <w:r w:rsidR="0052643B" w:rsidRPr="00154BF9">
              <w:rPr>
                <w:rFonts w:ascii="Times New Roman" w:eastAsia="Times New Roman" w:hAnsi="Times New Roman" w:cs="Times New Roman"/>
                <w:sz w:val="20"/>
                <w:szCs w:val="20"/>
                <w:lang w:eastAsia="pl-PL"/>
              </w:rPr>
              <w:t xml:space="preserve"> </w:t>
            </w:r>
            <w:r w:rsidR="006A7CEE" w:rsidRPr="00154BF9">
              <w:rPr>
                <w:rFonts w:ascii="Times New Roman" w:eastAsia="Times New Roman" w:hAnsi="Times New Roman" w:cs="Times New Roman"/>
                <w:sz w:val="20"/>
                <w:szCs w:val="20"/>
                <w:lang w:eastAsia="pl-PL"/>
              </w:rPr>
              <w:t>G</w:t>
            </w:r>
            <w:r w:rsidR="0052643B" w:rsidRPr="00154BF9">
              <w:rPr>
                <w:rFonts w:ascii="Times New Roman" w:eastAsia="Times New Roman" w:hAnsi="Times New Roman" w:cs="Times New Roman"/>
                <w:sz w:val="20"/>
                <w:szCs w:val="20"/>
                <w:lang w:eastAsia="pl-PL"/>
              </w:rPr>
              <w:t xml:space="preserve"> </w:t>
            </w:r>
            <w:r w:rsidR="006A7CEE" w:rsidRPr="00154BF9">
              <w:rPr>
                <w:rFonts w:ascii="Times New Roman" w:eastAsia="Times New Roman" w:hAnsi="Times New Roman" w:cs="Times New Roman"/>
                <w:sz w:val="20"/>
                <w:szCs w:val="20"/>
                <w:lang w:eastAsia="pl-PL"/>
              </w:rPr>
              <w:t>i</w:t>
            </w:r>
            <w:r w:rsidR="0052643B" w:rsidRPr="00154BF9">
              <w:rPr>
                <w:rFonts w:ascii="Times New Roman" w:eastAsia="Times New Roman" w:hAnsi="Times New Roman" w:cs="Times New Roman"/>
                <w:sz w:val="20"/>
                <w:szCs w:val="20"/>
                <w:lang w:eastAsia="pl-PL"/>
              </w:rPr>
              <w:t xml:space="preserve"> </w:t>
            </w:r>
            <w:r w:rsidR="006A7CEE" w:rsidRPr="00154BF9">
              <w:rPr>
                <w:rFonts w:ascii="Times New Roman" w:eastAsia="Times New Roman" w:hAnsi="Times New Roman" w:cs="Times New Roman"/>
                <w:sz w:val="20"/>
                <w:szCs w:val="20"/>
                <w:lang w:eastAsia="pl-PL"/>
              </w:rPr>
              <w:t>M</w:t>
            </w:r>
            <w:r w:rsidR="0052643B" w:rsidRPr="00154BF9">
              <w:rPr>
                <w:rFonts w:ascii="Times New Roman" w:eastAsia="Times New Roman" w:hAnsi="Times New Roman" w:cs="Times New Roman"/>
                <w:sz w:val="20"/>
                <w:szCs w:val="20"/>
                <w:lang w:eastAsia="pl-PL"/>
              </w:rPr>
              <w:t xml:space="preserve"> </w:t>
            </w:r>
            <w:r w:rsidR="006A7CEE"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006A7CEE" w:rsidRPr="00154BF9">
              <w:rPr>
                <w:rFonts w:ascii="Times New Roman" w:eastAsia="Times New Roman" w:hAnsi="Times New Roman" w:cs="Times New Roman"/>
                <w:sz w:val="20"/>
                <w:szCs w:val="20"/>
                <w:lang w:eastAsia="pl-PL"/>
              </w:rPr>
              <w:t>surowicy</w:t>
            </w:r>
            <w:r w:rsidR="0052643B" w:rsidRPr="00154BF9">
              <w:rPr>
                <w:rFonts w:ascii="Times New Roman" w:eastAsia="Times New Roman" w:hAnsi="Times New Roman" w:cs="Times New Roman"/>
                <w:sz w:val="20"/>
                <w:szCs w:val="20"/>
                <w:lang w:eastAsia="pl-PL"/>
              </w:rPr>
              <w:t xml:space="preserve"> </w:t>
            </w:r>
            <w:r w:rsidR="006A7CEE"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006A7CEE" w:rsidRPr="00154BF9">
              <w:rPr>
                <w:rFonts w:ascii="Times New Roman" w:eastAsia="Times New Roman" w:hAnsi="Times New Roman" w:cs="Times New Roman"/>
                <w:sz w:val="20"/>
                <w:szCs w:val="20"/>
                <w:lang w:eastAsia="pl-PL"/>
              </w:rPr>
              <w:t>u</w:t>
            </w:r>
            <w:r w:rsidR="0052643B" w:rsidRPr="00154BF9">
              <w:rPr>
                <w:rFonts w:ascii="Times New Roman" w:eastAsia="Times New Roman" w:hAnsi="Times New Roman" w:cs="Times New Roman"/>
                <w:sz w:val="20"/>
                <w:szCs w:val="20"/>
                <w:lang w:eastAsia="pl-PL"/>
              </w:rPr>
              <w:t xml:space="preserve"> </w:t>
            </w:r>
            <w:r w:rsidR="006A7CEE" w:rsidRPr="00154BF9">
              <w:rPr>
                <w:rFonts w:ascii="Times New Roman" w:eastAsia="Times New Roman" w:hAnsi="Times New Roman" w:cs="Times New Roman"/>
                <w:sz w:val="20"/>
                <w:szCs w:val="20"/>
                <w:lang w:eastAsia="pl-PL"/>
              </w:rPr>
              <w:t>pacjentów</w:t>
            </w:r>
            <w:r w:rsidR="0052643B" w:rsidRPr="00154BF9">
              <w:rPr>
                <w:rFonts w:ascii="Times New Roman" w:eastAsia="Times New Roman" w:hAnsi="Times New Roman" w:cs="Times New Roman"/>
                <w:sz w:val="20"/>
                <w:szCs w:val="20"/>
                <w:lang w:eastAsia="pl-PL"/>
              </w:rPr>
              <w:t xml:space="preserve"> </w:t>
            </w:r>
            <w:r w:rsidR="006A7CEE" w:rsidRPr="00154BF9">
              <w:rPr>
                <w:rFonts w:ascii="Times New Roman" w:eastAsia="Times New Roman" w:hAnsi="Times New Roman" w:cs="Times New Roman"/>
                <w:sz w:val="20"/>
                <w:szCs w:val="20"/>
                <w:lang w:eastAsia="pl-PL"/>
              </w:rPr>
              <w:t>kwalifikowanych</w:t>
            </w:r>
            <w:r w:rsidR="0052643B" w:rsidRPr="00154BF9">
              <w:rPr>
                <w:rFonts w:ascii="Times New Roman" w:eastAsia="Times New Roman" w:hAnsi="Times New Roman" w:cs="Times New Roman"/>
                <w:sz w:val="20"/>
                <w:szCs w:val="20"/>
                <w:lang w:eastAsia="pl-PL"/>
              </w:rPr>
              <w:t xml:space="preserve"> </w:t>
            </w:r>
            <w:r w:rsidR="006A7CEE"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006A7CEE" w:rsidRPr="00154BF9">
              <w:rPr>
                <w:rFonts w:ascii="Times New Roman" w:eastAsia="Times New Roman" w:hAnsi="Times New Roman" w:cs="Times New Roman"/>
                <w:sz w:val="20"/>
                <w:szCs w:val="20"/>
                <w:lang w:eastAsia="pl-PL"/>
              </w:rPr>
              <w:t>leczenia</w:t>
            </w:r>
            <w:r w:rsidR="0052643B" w:rsidRPr="00154BF9">
              <w:rPr>
                <w:rFonts w:ascii="Times New Roman" w:eastAsia="Times New Roman" w:hAnsi="Times New Roman" w:cs="Times New Roman"/>
                <w:sz w:val="20"/>
                <w:szCs w:val="20"/>
                <w:lang w:eastAsia="pl-PL"/>
              </w:rPr>
              <w:t xml:space="preserve"> </w:t>
            </w:r>
            <w:r w:rsidR="006A7CEE" w:rsidRPr="00154BF9">
              <w:rPr>
                <w:rFonts w:ascii="Times New Roman" w:eastAsia="Times New Roman" w:hAnsi="Times New Roman" w:cs="Times New Roman"/>
                <w:sz w:val="20"/>
                <w:szCs w:val="20"/>
                <w:lang w:eastAsia="pl-PL"/>
              </w:rPr>
              <w:t>rytuksymabem;</w:t>
            </w:r>
          </w:p>
          <w:p w14:paraId="0CBEEEE6" w14:textId="450EE48E" w:rsidR="000219B9" w:rsidRPr="00154BF9" w:rsidRDefault="00CA7829" w:rsidP="00DE4276">
            <w:pPr>
              <w:numPr>
                <w:ilvl w:val="3"/>
                <w:numId w:val="22"/>
              </w:numPr>
              <w:suppressAutoHyphens/>
              <w:snapToGrid w:val="0"/>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 xml:space="preserve">oznaczenie </w:t>
            </w:r>
            <w:r w:rsidR="000219B9" w:rsidRPr="00154BF9">
              <w:rPr>
                <w:rFonts w:ascii="Times New Roman" w:eastAsia="Times New Roman" w:hAnsi="Times New Roman" w:cs="Times New Roman"/>
                <w:sz w:val="20"/>
                <w:szCs w:val="20"/>
                <w:lang w:eastAsia="pl-PL"/>
              </w:rPr>
              <w:t>stężeni</w:t>
            </w:r>
            <w:r w:rsidRPr="00154BF9">
              <w:rPr>
                <w:rFonts w:ascii="Times New Roman" w:eastAsia="Times New Roman" w:hAnsi="Times New Roman" w:cs="Times New Roman"/>
                <w:sz w:val="20"/>
                <w:szCs w:val="20"/>
                <w:lang w:eastAsia="pl-PL"/>
              </w:rPr>
              <w:t>a</w:t>
            </w:r>
            <w:r w:rsidR="0052643B" w:rsidRPr="00154BF9">
              <w:rPr>
                <w:rFonts w:ascii="Times New Roman" w:eastAsia="Times New Roman" w:hAnsi="Times New Roman" w:cs="Times New Roman"/>
                <w:sz w:val="20"/>
                <w:szCs w:val="20"/>
                <w:lang w:eastAsia="pl-PL"/>
              </w:rPr>
              <w:t xml:space="preserve"> </w:t>
            </w:r>
            <w:r w:rsidR="000219B9" w:rsidRPr="00154BF9">
              <w:rPr>
                <w:rFonts w:ascii="Times New Roman" w:eastAsia="Times New Roman" w:hAnsi="Times New Roman" w:cs="Times New Roman"/>
                <w:sz w:val="20"/>
                <w:szCs w:val="20"/>
                <w:lang w:eastAsia="pl-PL"/>
              </w:rPr>
              <w:t>cholesterolu</w:t>
            </w:r>
            <w:r w:rsidRPr="00154BF9">
              <w:rPr>
                <w:rFonts w:ascii="Times New Roman" w:eastAsia="Times New Roman" w:hAnsi="Times New Roman" w:cs="Times New Roman"/>
                <w:sz w:val="20"/>
                <w:szCs w:val="20"/>
                <w:lang w:eastAsia="pl-PL"/>
              </w:rPr>
              <w:t xml:space="preserve"> </w:t>
            </w:r>
            <w:r w:rsidR="000219B9" w:rsidRPr="00154BF9">
              <w:rPr>
                <w:rFonts w:ascii="Times New Roman" w:eastAsia="Times New Roman" w:hAnsi="Times New Roman" w:cs="Times New Roman"/>
                <w:sz w:val="20"/>
                <w:szCs w:val="20"/>
                <w:lang w:eastAsia="pl-PL"/>
              </w:rPr>
              <w:t>całkowitego,</w:t>
            </w:r>
            <w:r w:rsidR="0052643B" w:rsidRPr="00154BF9">
              <w:rPr>
                <w:rFonts w:ascii="Times New Roman" w:eastAsia="Times New Roman" w:hAnsi="Times New Roman" w:cs="Times New Roman"/>
                <w:sz w:val="20"/>
                <w:szCs w:val="20"/>
                <w:lang w:eastAsia="pl-PL"/>
              </w:rPr>
              <w:t xml:space="preserve"> </w:t>
            </w:r>
            <w:r w:rsidR="000219B9" w:rsidRPr="00154BF9">
              <w:rPr>
                <w:rFonts w:ascii="Times New Roman" w:eastAsia="Times New Roman" w:hAnsi="Times New Roman" w:cs="Times New Roman"/>
                <w:sz w:val="20"/>
                <w:szCs w:val="20"/>
                <w:lang w:eastAsia="pl-PL"/>
              </w:rPr>
              <w:t>LDL,</w:t>
            </w:r>
            <w:r w:rsidR="0052643B" w:rsidRPr="00154BF9">
              <w:rPr>
                <w:rFonts w:ascii="Times New Roman" w:eastAsia="Times New Roman" w:hAnsi="Times New Roman" w:cs="Times New Roman"/>
                <w:sz w:val="20"/>
                <w:szCs w:val="20"/>
                <w:lang w:eastAsia="pl-PL"/>
              </w:rPr>
              <w:t xml:space="preserve"> </w:t>
            </w:r>
            <w:r w:rsidR="000219B9" w:rsidRPr="00154BF9">
              <w:rPr>
                <w:rFonts w:ascii="Times New Roman" w:eastAsia="Times New Roman" w:hAnsi="Times New Roman" w:cs="Times New Roman"/>
                <w:sz w:val="20"/>
                <w:szCs w:val="20"/>
                <w:lang w:eastAsia="pl-PL"/>
              </w:rPr>
              <w:t>HDL,</w:t>
            </w:r>
            <w:r w:rsidR="0052643B" w:rsidRPr="00154BF9">
              <w:rPr>
                <w:rFonts w:ascii="Times New Roman" w:eastAsia="Times New Roman" w:hAnsi="Times New Roman" w:cs="Times New Roman"/>
                <w:sz w:val="20"/>
                <w:szCs w:val="20"/>
                <w:lang w:eastAsia="pl-PL"/>
              </w:rPr>
              <w:t xml:space="preserve"> </w:t>
            </w:r>
            <w:r w:rsidR="000219B9" w:rsidRPr="00154BF9">
              <w:rPr>
                <w:rFonts w:ascii="Times New Roman" w:eastAsia="Times New Roman" w:hAnsi="Times New Roman" w:cs="Times New Roman"/>
                <w:sz w:val="20"/>
                <w:szCs w:val="20"/>
                <w:lang w:eastAsia="pl-PL"/>
              </w:rPr>
              <w:t>trójglicerydów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000219B9" w:rsidRPr="00154BF9">
              <w:rPr>
                <w:rFonts w:ascii="Times New Roman" w:eastAsia="Times New Roman" w:hAnsi="Times New Roman" w:cs="Times New Roman"/>
                <w:sz w:val="20"/>
                <w:szCs w:val="20"/>
                <w:lang w:eastAsia="pl-PL"/>
              </w:rPr>
              <w:t>u</w:t>
            </w:r>
            <w:r w:rsidRPr="00154BF9">
              <w:rPr>
                <w:rFonts w:ascii="Times New Roman" w:eastAsia="Times New Roman" w:hAnsi="Times New Roman" w:cs="Times New Roman"/>
                <w:sz w:val="20"/>
                <w:szCs w:val="20"/>
                <w:lang w:eastAsia="pl-PL"/>
              </w:rPr>
              <w:t xml:space="preserve"> </w:t>
            </w:r>
            <w:r w:rsidR="000219B9" w:rsidRPr="00154BF9">
              <w:rPr>
                <w:rFonts w:ascii="Times New Roman" w:eastAsia="Times New Roman" w:hAnsi="Times New Roman" w:cs="Times New Roman"/>
                <w:sz w:val="20"/>
                <w:szCs w:val="20"/>
                <w:lang w:eastAsia="pl-PL"/>
              </w:rPr>
              <w:t>pacjentów</w:t>
            </w:r>
            <w:r w:rsidR="0052643B" w:rsidRPr="00154BF9">
              <w:rPr>
                <w:rFonts w:ascii="Times New Roman" w:eastAsia="Times New Roman" w:hAnsi="Times New Roman" w:cs="Times New Roman"/>
                <w:sz w:val="20"/>
                <w:szCs w:val="20"/>
                <w:lang w:eastAsia="pl-PL"/>
              </w:rPr>
              <w:t xml:space="preserve"> </w:t>
            </w:r>
            <w:r w:rsidR="000219B9" w:rsidRPr="00154BF9">
              <w:rPr>
                <w:rFonts w:ascii="Times New Roman" w:eastAsia="Times New Roman" w:hAnsi="Times New Roman" w:cs="Times New Roman"/>
                <w:sz w:val="20"/>
                <w:szCs w:val="20"/>
                <w:lang w:eastAsia="pl-PL"/>
              </w:rPr>
              <w:t>kwalifikowanych</w:t>
            </w:r>
            <w:r w:rsidR="0052643B" w:rsidRPr="00154BF9">
              <w:rPr>
                <w:rFonts w:ascii="Times New Roman" w:eastAsia="Times New Roman" w:hAnsi="Times New Roman" w:cs="Times New Roman"/>
                <w:sz w:val="20"/>
                <w:szCs w:val="20"/>
                <w:lang w:eastAsia="pl-PL"/>
              </w:rPr>
              <w:t xml:space="preserve"> </w:t>
            </w:r>
            <w:r w:rsidR="000219B9"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000219B9" w:rsidRPr="00154BF9">
              <w:rPr>
                <w:rFonts w:ascii="Times New Roman" w:eastAsia="Times New Roman" w:hAnsi="Times New Roman" w:cs="Times New Roman"/>
                <w:sz w:val="20"/>
                <w:szCs w:val="20"/>
                <w:lang w:eastAsia="pl-PL"/>
              </w:rPr>
              <w:t>leczenia</w:t>
            </w:r>
            <w:r w:rsidR="0052643B" w:rsidRPr="00154BF9">
              <w:rPr>
                <w:rFonts w:ascii="Times New Roman" w:eastAsia="Times New Roman" w:hAnsi="Times New Roman" w:cs="Times New Roman"/>
                <w:sz w:val="20"/>
                <w:szCs w:val="20"/>
                <w:lang w:eastAsia="pl-PL"/>
              </w:rPr>
              <w:t xml:space="preserve"> </w:t>
            </w:r>
            <w:r w:rsidR="000219B9" w:rsidRPr="00154BF9">
              <w:rPr>
                <w:rFonts w:ascii="Times New Roman" w:eastAsia="Times New Roman" w:hAnsi="Times New Roman" w:cs="Times New Roman"/>
                <w:sz w:val="20"/>
                <w:szCs w:val="20"/>
                <w:lang w:eastAsia="pl-PL"/>
              </w:rPr>
              <w:t>tocilizumabem</w:t>
            </w:r>
            <w:r w:rsidR="0052643B" w:rsidRPr="00154BF9">
              <w:rPr>
                <w:rFonts w:ascii="Times New Roman" w:eastAsia="Times New Roman" w:hAnsi="Times New Roman" w:cs="Times New Roman"/>
                <w:sz w:val="20"/>
                <w:szCs w:val="20"/>
                <w:lang w:eastAsia="pl-PL"/>
              </w:rPr>
              <w:t xml:space="preserve"> </w:t>
            </w:r>
            <w:r w:rsidR="000219B9"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000219B9" w:rsidRPr="00154BF9">
              <w:rPr>
                <w:rFonts w:ascii="Times New Roman" w:eastAsia="Times New Roman" w:hAnsi="Times New Roman" w:cs="Times New Roman"/>
                <w:sz w:val="20"/>
                <w:szCs w:val="20"/>
                <w:lang w:eastAsia="pl-PL"/>
              </w:rPr>
              <w:t>tofacytynibem</w:t>
            </w:r>
            <w:r w:rsidR="0052643B" w:rsidRPr="00154BF9">
              <w:rPr>
                <w:rFonts w:ascii="Times New Roman" w:eastAsia="Times New Roman" w:hAnsi="Times New Roman" w:cs="Times New Roman"/>
                <w:sz w:val="20"/>
                <w:szCs w:val="20"/>
                <w:lang w:eastAsia="pl-PL"/>
              </w:rPr>
              <w:t xml:space="preserve"> </w:t>
            </w:r>
            <w:r w:rsidR="000219B9"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000219B9" w:rsidRPr="00154BF9">
              <w:rPr>
                <w:rFonts w:ascii="Times New Roman" w:eastAsia="Times New Roman" w:hAnsi="Times New Roman" w:cs="Times New Roman"/>
                <w:sz w:val="20"/>
                <w:szCs w:val="20"/>
                <w:lang w:eastAsia="pl-PL"/>
              </w:rPr>
              <w:t>baricytynibem</w:t>
            </w:r>
            <w:r w:rsidR="0052643B" w:rsidRPr="00154BF9">
              <w:rPr>
                <w:rFonts w:ascii="Times New Roman" w:eastAsia="Times New Roman" w:hAnsi="Times New Roman" w:cs="Times New Roman"/>
                <w:sz w:val="20"/>
                <w:szCs w:val="20"/>
                <w:lang w:eastAsia="pl-PL"/>
              </w:rPr>
              <w:t xml:space="preserve"> </w:t>
            </w:r>
            <w:r w:rsidR="00D443F5"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00D443F5" w:rsidRPr="00154BF9">
              <w:rPr>
                <w:rFonts w:ascii="Times New Roman" w:eastAsia="Times New Roman" w:hAnsi="Times New Roman" w:cs="Times New Roman"/>
                <w:sz w:val="20"/>
                <w:szCs w:val="20"/>
                <w:lang w:eastAsia="pl-PL"/>
              </w:rPr>
              <w:t>upadacytynibem</w:t>
            </w:r>
            <w:r w:rsidR="007B64CE" w:rsidRPr="00154BF9">
              <w:t xml:space="preserve"> </w:t>
            </w:r>
            <w:r w:rsidR="007B64CE" w:rsidRPr="00154BF9">
              <w:rPr>
                <w:rFonts w:ascii="Times New Roman" w:eastAsia="Times New Roman" w:hAnsi="Times New Roman" w:cs="Times New Roman"/>
                <w:sz w:val="20"/>
                <w:szCs w:val="20"/>
                <w:lang w:eastAsia="pl-PL"/>
              </w:rPr>
              <w:t>lub filgotynibem</w:t>
            </w:r>
            <w:r w:rsidR="000219B9" w:rsidRPr="00154BF9">
              <w:rPr>
                <w:rFonts w:ascii="Times New Roman" w:eastAsia="Times New Roman" w:hAnsi="Times New Roman" w:cs="Times New Roman"/>
                <w:sz w:val="20"/>
                <w:szCs w:val="20"/>
                <w:lang w:eastAsia="pl-PL"/>
              </w:rPr>
              <w:t>.</w:t>
            </w:r>
          </w:p>
          <w:p w14:paraId="13DFA5AE" w14:textId="77777777" w:rsidR="007050E5" w:rsidRPr="00154BF9" w:rsidRDefault="007050E5" w:rsidP="00DE4276">
            <w:pPr>
              <w:suppressAutoHyphens/>
              <w:snapToGrid w:val="0"/>
              <w:spacing w:after="60" w:line="276" w:lineRule="auto"/>
              <w:ind w:left="357"/>
              <w:jc w:val="both"/>
              <w:rPr>
                <w:rFonts w:ascii="Times New Roman" w:eastAsia="Times New Roman" w:hAnsi="Times New Roman" w:cs="Times New Roman"/>
                <w:sz w:val="20"/>
                <w:szCs w:val="20"/>
                <w:lang w:eastAsia="pl-PL"/>
              </w:rPr>
            </w:pPr>
          </w:p>
          <w:p w14:paraId="05E3B990" w14:textId="2F0E1E2A" w:rsidR="009D7AE1" w:rsidRPr="00154BF9" w:rsidRDefault="009D7AE1" w:rsidP="00DE4276">
            <w:pPr>
              <w:pStyle w:val="Akapitzlist"/>
              <w:numPr>
                <w:ilvl w:val="0"/>
                <w:numId w:val="22"/>
              </w:numPr>
              <w:spacing w:after="60" w:line="276" w:lineRule="auto"/>
              <w:contextualSpacing w:val="0"/>
              <w:jc w:val="both"/>
              <w:rPr>
                <w:rFonts w:ascii="Times New Roman" w:eastAsia="Times New Roman" w:hAnsi="Times New Roman" w:cs="Times New Roman"/>
                <w:b/>
                <w:sz w:val="20"/>
                <w:szCs w:val="20"/>
                <w:lang w:eastAsia="pl-PL"/>
              </w:rPr>
            </w:pPr>
            <w:r w:rsidRPr="00154BF9">
              <w:rPr>
                <w:rFonts w:ascii="Times New Roman" w:eastAsia="Times New Roman" w:hAnsi="Times New Roman" w:cs="Times New Roman"/>
                <w:b/>
                <w:sz w:val="20"/>
                <w:szCs w:val="20"/>
                <w:lang w:eastAsia="pl-PL"/>
              </w:rPr>
              <w:t>Monitorowanie</w:t>
            </w:r>
            <w:r w:rsidR="0052643B" w:rsidRPr="00154BF9">
              <w:rPr>
                <w:rFonts w:ascii="Times New Roman" w:eastAsia="Times New Roman" w:hAnsi="Times New Roman" w:cs="Times New Roman"/>
                <w:b/>
                <w:sz w:val="20"/>
                <w:szCs w:val="20"/>
                <w:lang w:eastAsia="pl-PL"/>
              </w:rPr>
              <w:t xml:space="preserve"> </w:t>
            </w:r>
            <w:r w:rsidRPr="00154BF9">
              <w:rPr>
                <w:rFonts w:ascii="Times New Roman" w:eastAsia="Times New Roman" w:hAnsi="Times New Roman" w:cs="Times New Roman"/>
                <w:b/>
                <w:sz w:val="20"/>
                <w:szCs w:val="20"/>
                <w:lang w:eastAsia="pl-PL"/>
              </w:rPr>
              <w:t>leczenia</w:t>
            </w:r>
          </w:p>
          <w:p w14:paraId="0C528961" w14:textId="6798A2C1" w:rsidR="009D7AE1" w:rsidRPr="00154BF9" w:rsidRDefault="009D7AE1" w:rsidP="00DE4276">
            <w:pPr>
              <w:numPr>
                <w:ilvl w:val="1"/>
                <w:numId w:val="22"/>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b/>
                <w:bCs/>
                <w:sz w:val="20"/>
                <w:szCs w:val="20"/>
                <w:lang w:eastAsia="pl-PL"/>
              </w:rPr>
              <w:t>Monitorowanie</w:t>
            </w:r>
            <w:r w:rsidR="0052643B" w:rsidRPr="00154BF9">
              <w:rPr>
                <w:rFonts w:ascii="Times New Roman" w:eastAsia="Times New Roman" w:hAnsi="Times New Roman" w:cs="Times New Roman"/>
                <w:b/>
                <w:bCs/>
                <w:sz w:val="20"/>
                <w:szCs w:val="20"/>
                <w:lang w:eastAsia="pl-PL"/>
              </w:rPr>
              <w:t xml:space="preserve"> </w:t>
            </w:r>
            <w:r w:rsidRPr="00154BF9">
              <w:rPr>
                <w:rFonts w:ascii="Times New Roman" w:eastAsia="Times New Roman" w:hAnsi="Times New Roman" w:cs="Times New Roman"/>
                <w:b/>
                <w:bCs/>
                <w:sz w:val="20"/>
                <w:szCs w:val="20"/>
                <w:lang w:eastAsia="pl-PL"/>
              </w:rPr>
              <w:t>terapii</w:t>
            </w:r>
            <w:r w:rsidR="0052643B" w:rsidRPr="00154BF9">
              <w:rPr>
                <w:rFonts w:ascii="Times New Roman" w:eastAsia="Times New Roman" w:hAnsi="Times New Roman" w:cs="Times New Roman"/>
                <w:b/>
                <w:bCs/>
                <w:sz w:val="20"/>
                <w:szCs w:val="20"/>
                <w:lang w:eastAsia="pl-PL"/>
              </w:rPr>
              <w:t xml:space="preserve"> </w:t>
            </w:r>
            <w:r w:rsidRPr="00154BF9">
              <w:rPr>
                <w:rFonts w:ascii="Times New Roman" w:eastAsia="Times New Roman" w:hAnsi="Times New Roman" w:cs="Times New Roman"/>
                <w:b/>
                <w:bCs/>
                <w:sz w:val="20"/>
                <w:szCs w:val="20"/>
                <w:lang w:eastAsia="pl-PL"/>
              </w:rPr>
              <w:t>inhibitorem</w:t>
            </w:r>
            <w:r w:rsidR="0052643B" w:rsidRPr="00154BF9">
              <w:rPr>
                <w:rFonts w:ascii="Times New Roman" w:eastAsia="Times New Roman" w:hAnsi="Times New Roman" w:cs="Times New Roman"/>
                <w:b/>
                <w:bCs/>
                <w:sz w:val="20"/>
                <w:szCs w:val="20"/>
                <w:lang w:eastAsia="pl-PL"/>
              </w:rPr>
              <w:t xml:space="preserve"> </w:t>
            </w:r>
            <w:r w:rsidRPr="00154BF9">
              <w:rPr>
                <w:rFonts w:ascii="Times New Roman" w:eastAsia="Times New Roman" w:hAnsi="Times New Roman" w:cs="Times New Roman"/>
                <w:b/>
                <w:bCs/>
                <w:sz w:val="20"/>
                <w:szCs w:val="20"/>
                <w:lang w:eastAsia="pl-PL"/>
              </w:rPr>
              <w:t>TNF</w:t>
            </w:r>
            <w:r w:rsidR="0052643B" w:rsidRPr="00154BF9">
              <w:rPr>
                <w:rFonts w:ascii="Times New Roman" w:eastAsia="Times New Roman" w:hAnsi="Times New Roman" w:cs="Times New Roman"/>
                <w:b/>
                <w:bCs/>
                <w:sz w:val="20"/>
                <w:szCs w:val="20"/>
                <w:lang w:eastAsia="pl-PL"/>
              </w:rPr>
              <w:t xml:space="preserve"> </w:t>
            </w:r>
            <w:r w:rsidRPr="00154BF9">
              <w:rPr>
                <w:rFonts w:ascii="Times New Roman" w:eastAsia="Times New Roman" w:hAnsi="Times New Roman" w:cs="Times New Roman"/>
                <w:b/>
                <w:bCs/>
                <w:sz w:val="20"/>
                <w:szCs w:val="20"/>
                <w:lang w:eastAsia="pl-PL"/>
              </w:rPr>
              <w:t>alfa</w:t>
            </w:r>
            <w:r w:rsidR="0052643B" w:rsidRPr="00154BF9">
              <w:rPr>
                <w:rFonts w:ascii="Times New Roman" w:eastAsia="Times New Roman" w:hAnsi="Times New Roman" w:cs="Times New Roman"/>
                <w:b/>
                <w:bCs/>
                <w:sz w:val="20"/>
                <w:szCs w:val="20"/>
                <w:lang w:eastAsia="pl-PL"/>
              </w:rPr>
              <w:t xml:space="preserve"> </w:t>
            </w:r>
            <w:r w:rsidRPr="00154BF9">
              <w:rPr>
                <w:rFonts w:ascii="Times New Roman" w:eastAsia="Times New Roman" w:hAnsi="Times New Roman" w:cs="Times New Roman"/>
                <w:b/>
                <w:bCs/>
                <w:sz w:val="20"/>
                <w:szCs w:val="20"/>
                <w:lang w:eastAsia="pl-PL"/>
              </w:rPr>
              <w:t>lub</w:t>
            </w:r>
            <w:r w:rsidR="0052643B" w:rsidRPr="00154BF9">
              <w:rPr>
                <w:rFonts w:ascii="Times New Roman" w:eastAsia="Times New Roman" w:hAnsi="Times New Roman" w:cs="Times New Roman"/>
                <w:b/>
                <w:bCs/>
                <w:sz w:val="20"/>
                <w:szCs w:val="20"/>
                <w:lang w:eastAsia="pl-PL"/>
              </w:rPr>
              <w:t xml:space="preserve"> </w:t>
            </w:r>
            <w:r w:rsidRPr="00154BF9">
              <w:rPr>
                <w:rFonts w:ascii="Times New Roman" w:eastAsia="Times New Roman" w:hAnsi="Times New Roman" w:cs="Times New Roman"/>
                <w:b/>
                <w:bCs/>
                <w:sz w:val="20"/>
                <w:szCs w:val="20"/>
                <w:lang w:eastAsia="pl-PL"/>
              </w:rPr>
              <w:t>tocilizumabem</w:t>
            </w:r>
            <w:r w:rsidR="0052643B" w:rsidRPr="00154BF9">
              <w:rPr>
                <w:rFonts w:ascii="Times New Roman" w:eastAsia="Times New Roman" w:hAnsi="Times New Roman" w:cs="Times New Roman"/>
                <w:b/>
                <w:bCs/>
                <w:sz w:val="20"/>
                <w:szCs w:val="20"/>
                <w:lang w:eastAsia="pl-PL"/>
              </w:rPr>
              <w:t xml:space="preserve"> </w:t>
            </w:r>
            <w:r w:rsidR="00370A55" w:rsidRPr="00154BF9">
              <w:rPr>
                <w:rFonts w:ascii="Times New Roman" w:eastAsia="Times New Roman" w:hAnsi="Times New Roman" w:cs="Times New Roman"/>
                <w:b/>
                <w:bCs/>
                <w:sz w:val="20"/>
                <w:szCs w:val="20"/>
                <w:lang w:eastAsia="pl-PL"/>
              </w:rPr>
              <w:t>lub</w:t>
            </w:r>
            <w:r w:rsidR="0052643B" w:rsidRPr="00154BF9">
              <w:rPr>
                <w:rFonts w:ascii="Times New Roman" w:eastAsia="Times New Roman" w:hAnsi="Times New Roman" w:cs="Times New Roman"/>
                <w:b/>
                <w:bCs/>
                <w:sz w:val="20"/>
                <w:szCs w:val="20"/>
                <w:lang w:eastAsia="pl-PL"/>
              </w:rPr>
              <w:t xml:space="preserve"> </w:t>
            </w:r>
            <w:r w:rsidR="00370A55" w:rsidRPr="00154BF9">
              <w:rPr>
                <w:rFonts w:ascii="Times New Roman" w:eastAsia="Times New Roman" w:hAnsi="Times New Roman" w:cs="Times New Roman"/>
                <w:b/>
                <w:bCs/>
                <w:sz w:val="20"/>
                <w:szCs w:val="20"/>
                <w:lang w:eastAsia="pl-PL"/>
              </w:rPr>
              <w:t>baricytynibem</w:t>
            </w:r>
            <w:r w:rsidR="0052643B" w:rsidRPr="00154BF9">
              <w:rPr>
                <w:rFonts w:ascii="Times New Roman" w:eastAsia="Times New Roman" w:hAnsi="Times New Roman" w:cs="Times New Roman"/>
                <w:b/>
                <w:bCs/>
                <w:sz w:val="20"/>
                <w:szCs w:val="20"/>
                <w:lang w:eastAsia="pl-PL"/>
              </w:rPr>
              <w:t xml:space="preserve"> </w:t>
            </w:r>
            <w:r w:rsidR="0068170D" w:rsidRPr="00154BF9">
              <w:rPr>
                <w:rFonts w:ascii="Times New Roman" w:eastAsia="Times New Roman" w:hAnsi="Times New Roman" w:cs="Times New Roman"/>
                <w:b/>
                <w:bCs/>
                <w:sz w:val="20"/>
                <w:szCs w:val="20"/>
                <w:lang w:eastAsia="pl-PL"/>
              </w:rPr>
              <w:t>lub</w:t>
            </w:r>
            <w:r w:rsidR="0052643B" w:rsidRPr="00154BF9">
              <w:rPr>
                <w:rFonts w:ascii="Times New Roman" w:eastAsia="Times New Roman" w:hAnsi="Times New Roman" w:cs="Times New Roman"/>
                <w:b/>
                <w:bCs/>
                <w:sz w:val="20"/>
                <w:szCs w:val="20"/>
                <w:lang w:eastAsia="pl-PL"/>
              </w:rPr>
              <w:t xml:space="preserve"> </w:t>
            </w:r>
            <w:r w:rsidR="0068170D" w:rsidRPr="00154BF9">
              <w:rPr>
                <w:rFonts w:ascii="Times New Roman" w:eastAsia="Times New Roman" w:hAnsi="Times New Roman" w:cs="Times New Roman"/>
                <w:b/>
                <w:bCs/>
                <w:sz w:val="20"/>
                <w:szCs w:val="20"/>
                <w:lang w:eastAsia="pl-PL"/>
              </w:rPr>
              <w:t>tofacytynibem</w:t>
            </w:r>
            <w:r w:rsidR="0052643B" w:rsidRPr="00154BF9">
              <w:rPr>
                <w:rFonts w:ascii="Times New Roman" w:eastAsia="Times New Roman" w:hAnsi="Times New Roman" w:cs="Times New Roman"/>
                <w:b/>
                <w:bCs/>
                <w:sz w:val="20"/>
                <w:szCs w:val="20"/>
                <w:lang w:eastAsia="pl-PL"/>
              </w:rPr>
              <w:t xml:space="preserve"> </w:t>
            </w:r>
            <w:r w:rsidR="00B96557" w:rsidRPr="00154BF9">
              <w:rPr>
                <w:rFonts w:ascii="Times New Roman" w:eastAsia="Times New Roman" w:hAnsi="Times New Roman" w:cs="Times New Roman"/>
                <w:b/>
                <w:bCs/>
                <w:sz w:val="20"/>
                <w:szCs w:val="20"/>
                <w:lang w:eastAsia="pl-PL"/>
              </w:rPr>
              <w:t>lub</w:t>
            </w:r>
            <w:r w:rsidR="0052643B" w:rsidRPr="00154BF9">
              <w:rPr>
                <w:rFonts w:ascii="Times New Roman" w:eastAsia="Times New Roman" w:hAnsi="Times New Roman" w:cs="Times New Roman"/>
                <w:b/>
                <w:bCs/>
                <w:sz w:val="20"/>
                <w:szCs w:val="20"/>
                <w:lang w:eastAsia="pl-PL"/>
              </w:rPr>
              <w:t xml:space="preserve"> </w:t>
            </w:r>
            <w:r w:rsidR="00B96557" w:rsidRPr="00154BF9">
              <w:rPr>
                <w:rFonts w:ascii="Times New Roman" w:eastAsia="Times New Roman" w:hAnsi="Times New Roman" w:cs="Times New Roman"/>
                <w:b/>
                <w:bCs/>
                <w:sz w:val="20"/>
                <w:szCs w:val="20"/>
                <w:lang w:eastAsia="pl-PL"/>
              </w:rPr>
              <w:t>upadacytynibem</w:t>
            </w:r>
            <w:r w:rsidR="0052643B" w:rsidRPr="00154BF9">
              <w:rPr>
                <w:rFonts w:ascii="Times New Roman" w:hAnsi="Times New Roman" w:cs="Times New Roman"/>
                <w:b/>
                <w:bCs/>
                <w:sz w:val="20"/>
                <w:szCs w:val="20"/>
              </w:rPr>
              <w:t xml:space="preserve"> </w:t>
            </w:r>
            <w:r w:rsidR="00527E22" w:rsidRPr="00154BF9">
              <w:rPr>
                <w:rFonts w:ascii="Times New Roman" w:eastAsia="Times New Roman" w:hAnsi="Times New Roman" w:cs="Times New Roman"/>
                <w:b/>
                <w:bCs/>
                <w:sz w:val="20"/>
                <w:szCs w:val="20"/>
                <w:lang w:eastAsia="pl-PL"/>
              </w:rPr>
              <w:t>lub filgotynibem</w:t>
            </w:r>
            <w:r w:rsidR="00CA0EC2" w:rsidRPr="00154BF9">
              <w:rPr>
                <w:rFonts w:ascii="Times New Roman" w:eastAsia="Times New Roman" w:hAnsi="Times New Roman" w:cs="Times New Roman"/>
                <w:b/>
                <w:bCs/>
                <w:sz w:val="20"/>
                <w:szCs w:val="20"/>
                <w:lang w:eastAsia="pl-PL"/>
              </w:rPr>
              <w:t xml:space="preserve"> </w:t>
            </w:r>
            <w:r w:rsidR="005810F1" w:rsidRPr="00154BF9">
              <w:rPr>
                <w:rFonts w:ascii="Times New Roman" w:eastAsia="Times New Roman" w:hAnsi="Times New Roman" w:cs="Times New Roman"/>
                <w:b/>
                <w:bCs/>
                <w:sz w:val="20"/>
                <w:szCs w:val="20"/>
                <w:lang w:eastAsia="pl-PL"/>
              </w:rPr>
              <w:t>lub anakinrą</w:t>
            </w:r>
            <w:r w:rsidR="005810F1" w:rsidRPr="00154BF9">
              <w:rPr>
                <w:rFonts w:ascii="Times New Roman" w:eastAsia="Times New Roman" w:hAnsi="Times New Roman" w:cs="Times New Roman"/>
                <w:sz w:val="20"/>
                <w:szCs w:val="20"/>
                <w:lang w:eastAsia="pl-PL"/>
              </w:rPr>
              <w:t xml:space="preserve"> </w:t>
            </w:r>
            <w:r w:rsidR="00C63D99">
              <w:t xml:space="preserve"> </w:t>
            </w:r>
            <w:r w:rsidR="00C63D99" w:rsidRPr="00EC7B60">
              <w:rPr>
                <w:rFonts w:ascii="Times New Roman" w:eastAsia="Times New Roman" w:hAnsi="Times New Roman" w:cs="Times New Roman"/>
                <w:b/>
                <w:bCs/>
                <w:sz w:val="20"/>
                <w:szCs w:val="20"/>
                <w:lang w:eastAsia="pl-PL"/>
              </w:rPr>
              <w:t xml:space="preserve">lub </w:t>
            </w:r>
            <w:r w:rsidR="00C63D99" w:rsidRPr="00EC7B60">
              <w:rPr>
                <w:rFonts w:ascii="Times New Roman" w:eastAsia="Times New Roman" w:hAnsi="Times New Roman" w:cs="Times New Roman"/>
                <w:b/>
                <w:bCs/>
                <w:sz w:val="20"/>
                <w:szCs w:val="20"/>
                <w:lang w:eastAsia="pl-PL"/>
              </w:rPr>
              <w:lastRenderedPageBreak/>
              <w:t>kanakinumabem</w:t>
            </w:r>
            <w:r w:rsidR="00C63D99" w:rsidRPr="00C63D99">
              <w:rPr>
                <w:rFonts w:ascii="Times New Roman" w:eastAsia="Times New Roman" w:hAnsi="Times New Roman" w:cs="Times New Roman"/>
                <w:sz w:val="20"/>
                <w:szCs w:val="20"/>
                <w:lang w:eastAsia="pl-PL"/>
              </w:rPr>
              <w:t xml:space="preserve"> </w:t>
            </w:r>
            <w:r w:rsidR="00F650EC"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w:t>
            </w:r>
            <w:r w:rsidR="0052643B" w:rsidRPr="00154BF9">
              <w:rPr>
                <w:rFonts w:ascii="Times New Roman" w:eastAsia="Times New Roman" w:hAnsi="Times New Roman" w:cs="Times New Roman"/>
                <w:sz w:val="20"/>
                <w:szCs w:val="20"/>
                <w:lang w:eastAsia="pl-PL"/>
              </w:rPr>
              <w:t xml:space="preserve"> </w:t>
            </w:r>
            <w:r w:rsidR="00AF4063" w:rsidRPr="00154BF9">
              <w:rPr>
                <w:rFonts w:ascii="Times New Roman" w:eastAsia="Times New Roman" w:hAnsi="Times New Roman" w:cs="Times New Roman"/>
                <w:sz w:val="20"/>
                <w:szCs w:val="20"/>
                <w:lang w:eastAsia="pl-PL"/>
              </w:rPr>
              <w:t>3</w:t>
            </w:r>
            <w:r w:rsidR="0052643B" w:rsidRPr="00154BF9">
              <w:rPr>
                <w:rFonts w:ascii="Times New Roman" w:eastAsia="Times New Roman" w:hAnsi="Times New Roman" w:cs="Times New Roman"/>
                <w:sz w:val="20"/>
                <w:szCs w:val="20"/>
                <w:lang w:eastAsia="pl-PL"/>
              </w:rPr>
              <w:t xml:space="preserve"> </w:t>
            </w:r>
            <w:r w:rsidR="00AF4063" w:rsidRPr="00154BF9">
              <w:rPr>
                <w:rFonts w:ascii="Times New Roman" w:eastAsia="Times New Roman" w:hAnsi="Times New Roman" w:cs="Times New Roman"/>
                <w:sz w:val="20"/>
                <w:szCs w:val="20"/>
                <w:lang w:eastAsia="pl-PL"/>
              </w:rPr>
              <w:t>miesiącach</w:t>
            </w:r>
            <w:r w:rsidR="0052643B" w:rsidRPr="00154BF9">
              <w:rPr>
                <w:rFonts w:ascii="Times New Roman" w:eastAsia="Times New Roman" w:hAnsi="Times New Roman" w:cs="Times New Roman"/>
                <w:sz w:val="20"/>
                <w:szCs w:val="20"/>
                <w:lang w:eastAsia="pl-PL"/>
              </w:rPr>
              <w:t xml:space="preserve"> </w:t>
            </w:r>
            <w:r w:rsidR="00AF4063" w:rsidRPr="00154BF9">
              <w:rPr>
                <w:rFonts w:ascii="Times New Roman" w:eastAsia="Times New Roman" w:hAnsi="Times New Roman" w:cs="Times New Roman"/>
                <w:sz w:val="20"/>
                <w:szCs w:val="20"/>
                <w:lang w:eastAsia="pl-PL"/>
              </w:rPr>
              <w:t>(±1</w:t>
            </w:r>
            <w:r w:rsidR="0052643B" w:rsidRPr="00154BF9">
              <w:rPr>
                <w:rFonts w:ascii="Times New Roman" w:eastAsia="Times New Roman" w:hAnsi="Times New Roman" w:cs="Times New Roman"/>
                <w:sz w:val="20"/>
                <w:szCs w:val="20"/>
                <w:lang w:eastAsia="pl-PL"/>
              </w:rPr>
              <w:t xml:space="preserve"> </w:t>
            </w:r>
            <w:r w:rsidR="00AF4063" w:rsidRPr="00154BF9">
              <w:rPr>
                <w:rFonts w:ascii="Times New Roman" w:eastAsia="Times New Roman" w:hAnsi="Times New Roman" w:cs="Times New Roman"/>
                <w:sz w:val="20"/>
                <w:szCs w:val="20"/>
                <w:lang w:eastAsia="pl-PL"/>
              </w:rPr>
              <w:t>miesiąc</w:t>
            </w:r>
            <w:r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w:t>
            </w:r>
            <w:r w:rsidR="0052643B" w:rsidRPr="00154BF9">
              <w:rPr>
                <w:rFonts w:ascii="Times New Roman" w:eastAsia="Times New Roman" w:hAnsi="Times New Roman" w:cs="Times New Roman"/>
                <w:sz w:val="20"/>
                <w:szCs w:val="20"/>
                <w:lang w:eastAsia="pl-PL"/>
              </w:rPr>
              <w:t xml:space="preserve"> </w:t>
            </w:r>
            <w:r w:rsidR="00AF4063" w:rsidRPr="00154BF9">
              <w:rPr>
                <w:rFonts w:ascii="Times New Roman" w:eastAsia="Times New Roman" w:hAnsi="Times New Roman" w:cs="Times New Roman"/>
                <w:sz w:val="20"/>
                <w:szCs w:val="20"/>
                <w:lang w:eastAsia="pl-PL"/>
              </w:rPr>
              <w:t>6</w:t>
            </w:r>
            <w:r w:rsidR="0052643B" w:rsidRPr="00154BF9">
              <w:rPr>
                <w:rFonts w:ascii="Times New Roman" w:eastAsia="Times New Roman" w:hAnsi="Times New Roman" w:cs="Times New Roman"/>
                <w:sz w:val="20"/>
                <w:szCs w:val="20"/>
                <w:lang w:eastAsia="pl-PL"/>
              </w:rPr>
              <w:t xml:space="preserve"> </w:t>
            </w:r>
            <w:r w:rsidR="00AF4063" w:rsidRPr="00154BF9">
              <w:rPr>
                <w:rFonts w:ascii="Times New Roman" w:eastAsia="Times New Roman" w:hAnsi="Times New Roman" w:cs="Times New Roman"/>
                <w:sz w:val="20"/>
                <w:szCs w:val="20"/>
                <w:lang w:eastAsia="pl-PL"/>
              </w:rPr>
              <w:t>miesiącach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t>
            </w:r>
            <w:r w:rsidR="00AF4063" w:rsidRPr="00154BF9">
              <w:rPr>
                <w:rFonts w:ascii="Times New Roman" w:eastAsia="Times New Roman" w:hAnsi="Times New Roman" w:cs="Times New Roman"/>
                <w:sz w:val="20"/>
                <w:szCs w:val="20"/>
                <w:lang w:eastAsia="pl-PL"/>
              </w:rPr>
              <w:t>1</w:t>
            </w:r>
            <w:r w:rsidR="0052643B" w:rsidRPr="00154BF9">
              <w:rPr>
                <w:rFonts w:ascii="Times New Roman" w:eastAsia="Times New Roman" w:hAnsi="Times New Roman" w:cs="Times New Roman"/>
                <w:sz w:val="20"/>
                <w:szCs w:val="20"/>
                <w:lang w:eastAsia="pl-PL"/>
              </w:rPr>
              <w:t xml:space="preserve"> </w:t>
            </w:r>
            <w:r w:rsidR="00AF4063" w:rsidRPr="00154BF9">
              <w:rPr>
                <w:rFonts w:ascii="Times New Roman" w:eastAsia="Times New Roman" w:hAnsi="Times New Roman" w:cs="Times New Roman"/>
                <w:sz w:val="20"/>
                <w:szCs w:val="20"/>
                <w:lang w:eastAsia="pl-PL"/>
              </w:rPr>
              <w:t>miesiąc</w:t>
            </w:r>
            <w:r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od</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pierwszego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podania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substancji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czynnej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należy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wykonać:</w:t>
            </w:r>
          </w:p>
          <w:p w14:paraId="556D0D54" w14:textId="5368F601" w:rsidR="009D7AE1" w:rsidRPr="00154BF9" w:rsidRDefault="009D7AE1" w:rsidP="00DE4276">
            <w:pPr>
              <w:numPr>
                <w:ilvl w:val="3"/>
                <w:numId w:val="22"/>
              </w:numPr>
              <w:suppressAutoHyphens/>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morfologię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krwi,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przypadku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pacjentów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leczonych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tocilizumabem</w:t>
            </w:r>
            <w:r w:rsidR="0052643B" w:rsidRPr="00154BF9">
              <w:rPr>
                <w:rFonts w:ascii="Times New Roman" w:eastAsia="Times New Roman" w:hAnsi="Times New Roman" w:cs="Times New Roman"/>
                <w:sz w:val="20"/>
                <w:szCs w:val="20"/>
                <w:lang w:eastAsia="pl-PL"/>
              </w:rPr>
              <w:t xml:space="preserve"> </w:t>
            </w:r>
            <w:r w:rsidR="0068170D"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0068170D" w:rsidRPr="00154BF9">
              <w:rPr>
                <w:rFonts w:ascii="Times New Roman" w:eastAsia="Times New Roman" w:hAnsi="Times New Roman" w:cs="Times New Roman"/>
                <w:sz w:val="20"/>
                <w:szCs w:val="20"/>
                <w:lang w:eastAsia="pl-PL"/>
              </w:rPr>
              <w:t>baricytynibem</w:t>
            </w:r>
            <w:r w:rsidR="0052643B" w:rsidRPr="00154BF9">
              <w:rPr>
                <w:rFonts w:ascii="Times New Roman" w:eastAsia="Times New Roman" w:hAnsi="Times New Roman" w:cs="Times New Roman"/>
                <w:sz w:val="20"/>
                <w:szCs w:val="20"/>
                <w:lang w:eastAsia="pl-PL"/>
              </w:rPr>
              <w:t xml:space="preserve"> </w:t>
            </w:r>
            <w:r w:rsidR="0068170D"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0068170D" w:rsidRPr="00154BF9">
              <w:rPr>
                <w:rFonts w:ascii="Times New Roman" w:eastAsia="Times New Roman" w:hAnsi="Times New Roman" w:cs="Times New Roman"/>
                <w:sz w:val="20"/>
                <w:szCs w:val="20"/>
                <w:lang w:eastAsia="pl-PL"/>
              </w:rPr>
              <w:t>tofacytynibem</w:t>
            </w:r>
            <w:r w:rsidR="0052643B" w:rsidRPr="00154BF9">
              <w:rPr>
                <w:rFonts w:ascii="Times New Roman" w:eastAsia="Times New Roman" w:hAnsi="Times New Roman" w:cs="Times New Roman"/>
                <w:sz w:val="20"/>
                <w:szCs w:val="20"/>
                <w:lang w:eastAsia="pl-PL"/>
              </w:rPr>
              <w:t xml:space="preserve"> </w:t>
            </w:r>
            <w:r w:rsidR="00B42909"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00D443F5" w:rsidRPr="00154BF9">
              <w:rPr>
                <w:rFonts w:ascii="Times New Roman" w:eastAsia="Times New Roman" w:hAnsi="Times New Roman" w:cs="Times New Roman"/>
                <w:sz w:val="20"/>
                <w:szCs w:val="20"/>
                <w:lang w:eastAsia="pl-PL"/>
              </w:rPr>
              <w:t>upadacytynibem</w:t>
            </w:r>
            <w:r w:rsidR="00527E22" w:rsidRPr="00154BF9">
              <w:rPr>
                <w:rFonts w:ascii="Times New Roman" w:eastAsia="Times New Roman" w:hAnsi="Times New Roman" w:cs="Times New Roman"/>
                <w:sz w:val="20"/>
                <w:szCs w:val="20"/>
                <w:lang w:eastAsia="pl-PL"/>
              </w:rPr>
              <w:t xml:space="preserve"> </w:t>
            </w:r>
            <w:r w:rsidR="0052643B" w:rsidRPr="00154BF9">
              <w:rPr>
                <w:rFonts w:ascii="Times New Roman" w:eastAsia="Times New Roman" w:hAnsi="Times New Roman" w:cs="Times New Roman"/>
                <w:sz w:val="20"/>
                <w:szCs w:val="20"/>
                <w:lang w:eastAsia="pl-PL"/>
              </w:rPr>
              <w:t xml:space="preserve"> </w:t>
            </w:r>
            <w:r w:rsidR="00527E22" w:rsidRPr="00154BF9">
              <w:t xml:space="preserve"> </w:t>
            </w:r>
            <w:r w:rsidR="00527E22" w:rsidRPr="00154BF9">
              <w:rPr>
                <w:rFonts w:ascii="Times New Roman" w:eastAsia="Times New Roman" w:hAnsi="Times New Roman" w:cs="Times New Roman"/>
                <w:sz w:val="20"/>
                <w:szCs w:val="20"/>
                <w:lang w:eastAsia="pl-PL"/>
              </w:rPr>
              <w:t xml:space="preserve">lub filgotynibem </w:t>
            </w:r>
            <w:r w:rsidR="005810F1" w:rsidRPr="00154BF9">
              <w:rPr>
                <w:rFonts w:ascii="Times New Roman" w:eastAsia="Times New Roman" w:hAnsi="Times New Roman" w:cs="Times New Roman"/>
                <w:sz w:val="20"/>
                <w:szCs w:val="20"/>
                <w:lang w:eastAsia="pl-PL"/>
              </w:rPr>
              <w:t xml:space="preserve">lub anakinrą </w:t>
            </w:r>
            <w:r w:rsidR="00C63D99">
              <w:t xml:space="preserve"> </w:t>
            </w:r>
            <w:r w:rsidR="00C63D99" w:rsidRPr="00C63D99">
              <w:rPr>
                <w:rFonts w:ascii="Times New Roman" w:eastAsia="Times New Roman" w:hAnsi="Times New Roman" w:cs="Times New Roman"/>
                <w:sz w:val="20"/>
                <w:szCs w:val="20"/>
                <w:lang w:eastAsia="pl-PL"/>
              </w:rPr>
              <w:t xml:space="preserve">lub kanakinumabem </w:t>
            </w:r>
            <w:r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morfologia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krwi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rozmazem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oraz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oznaczeniem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bezwzględnej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liczby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granulocytów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obojętnochłonnych</w:t>
            </w:r>
            <w:r w:rsidR="0052643B" w:rsidRPr="00154BF9">
              <w:rPr>
                <w:rFonts w:ascii="Times New Roman" w:eastAsia="Times New Roman" w:hAnsi="Times New Roman" w:cs="Times New Roman"/>
                <w:sz w:val="20"/>
                <w:szCs w:val="20"/>
                <w:lang w:eastAsia="pl-PL"/>
              </w:rPr>
              <w:t xml:space="preserve"> </w:t>
            </w:r>
            <w:r w:rsidR="0068170D" w:rsidRPr="00154BF9">
              <w:rPr>
                <w:rFonts w:ascii="Times New Roman" w:eastAsia="Times New Roman" w:hAnsi="Times New Roman" w:cs="Times New Roman"/>
                <w:sz w:val="20"/>
                <w:szCs w:val="20"/>
                <w:lang w:eastAsia="pl-PL"/>
              </w:rPr>
              <w:t>i</w:t>
            </w:r>
            <w:r w:rsidR="0052643B" w:rsidRPr="00154BF9">
              <w:rPr>
                <w:rFonts w:ascii="Times New Roman" w:eastAsia="Times New Roman" w:hAnsi="Times New Roman" w:cs="Times New Roman"/>
                <w:sz w:val="20"/>
                <w:szCs w:val="20"/>
                <w:lang w:eastAsia="pl-PL"/>
              </w:rPr>
              <w:t xml:space="preserve"> </w:t>
            </w:r>
            <w:r w:rsidR="0068170D" w:rsidRPr="00154BF9">
              <w:rPr>
                <w:rFonts w:ascii="Times New Roman" w:eastAsia="Times New Roman" w:hAnsi="Times New Roman" w:cs="Times New Roman"/>
                <w:sz w:val="20"/>
                <w:szCs w:val="20"/>
                <w:lang w:eastAsia="pl-PL"/>
              </w:rPr>
              <w:t>limfocytów</w:t>
            </w:r>
          </w:p>
          <w:p w14:paraId="3C01011D" w14:textId="77777777" w:rsidR="000B6F95" w:rsidRPr="00154BF9" w:rsidRDefault="000B6F95" w:rsidP="00DE4276">
            <w:pPr>
              <w:pStyle w:val="Akapitzlist"/>
              <w:numPr>
                <w:ilvl w:val="3"/>
                <w:numId w:val="22"/>
              </w:numPr>
              <w:spacing w:after="60" w:line="276" w:lineRule="auto"/>
              <w:contextualSpacing w:val="0"/>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oznaczenie płytek krwi (PLT);</w:t>
            </w:r>
          </w:p>
          <w:p w14:paraId="05AD8666" w14:textId="77777777" w:rsidR="000B6F95" w:rsidRPr="00154BF9" w:rsidRDefault="000B6F95" w:rsidP="00DE4276">
            <w:pPr>
              <w:pStyle w:val="Akapitzlist"/>
              <w:numPr>
                <w:ilvl w:val="3"/>
                <w:numId w:val="22"/>
              </w:numPr>
              <w:spacing w:after="60" w:line="276" w:lineRule="auto"/>
              <w:contextualSpacing w:val="0"/>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oznaczenie wartości odczynu Biernackiego (OB);</w:t>
            </w:r>
          </w:p>
          <w:p w14:paraId="035EE559" w14:textId="77777777" w:rsidR="000B6F95" w:rsidRPr="00154BF9" w:rsidRDefault="000B6F95" w:rsidP="00DE4276">
            <w:pPr>
              <w:pStyle w:val="Akapitzlist"/>
              <w:numPr>
                <w:ilvl w:val="3"/>
                <w:numId w:val="22"/>
              </w:numPr>
              <w:spacing w:after="60" w:line="276" w:lineRule="auto"/>
              <w:contextualSpacing w:val="0"/>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oznaczenie stężenia białka C-reaktywnego (CRP);</w:t>
            </w:r>
          </w:p>
          <w:p w14:paraId="2B8F8AD8" w14:textId="77777777" w:rsidR="000B6F95" w:rsidRPr="00154BF9" w:rsidRDefault="000B6F95" w:rsidP="00DE4276">
            <w:pPr>
              <w:pStyle w:val="Akapitzlist"/>
              <w:numPr>
                <w:ilvl w:val="3"/>
                <w:numId w:val="22"/>
              </w:numPr>
              <w:spacing w:after="60" w:line="276" w:lineRule="auto"/>
              <w:contextualSpacing w:val="0"/>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oznaczenie stężenia kreatyniny w surowicy krwi;</w:t>
            </w:r>
          </w:p>
          <w:p w14:paraId="3D93F034" w14:textId="5C99C699" w:rsidR="000B6F95" w:rsidRPr="00154BF9" w:rsidRDefault="000B6F95" w:rsidP="00DE4276">
            <w:pPr>
              <w:pStyle w:val="Akapitzlist"/>
              <w:numPr>
                <w:ilvl w:val="3"/>
                <w:numId w:val="22"/>
              </w:numPr>
              <w:spacing w:after="60" w:line="276" w:lineRule="auto"/>
              <w:contextualSpacing w:val="0"/>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oznaczenie aktywności aminotransferazy asparaginianowej (AST);</w:t>
            </w:r>
          </w:p>
          <w:p w14:paraId="77D588EC" w14:textId="000EB4EE" w:rsidR="009D7AE1" w:rsidRPr="00154BF9" w:rsidRDefault="000B6F95" w:rsidP="00DE4276">
            <w:pPr>
              <w:pStyle w:val="Akapitzlist"/>
              <w:numPr>
                <w:ilvl w:val="3"/>
                <w:numId w:val="22"/>
              </w:numPr>
              <w:spacing w:after="60" w:line="276" w:lineRule="auto"/>
              <w:contextualSpacing w:val="0"/>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oznaczenie aktywności aminotransferazy alaninowej (ALT);</w:t>
            </w:r>
          </w:p>
          <w:p w14:paraId="55F2B35A" w14:textId="68DA0A73" w:rsidR="009D7AE1" w:rsidRPr="00154BF9" w:rsidRDefault="000B6F95" w:rsidP="00DE4276">
            <w:pPr>
              <w:numPr>
                <w:ilvl w:val="3"/>
                <w:numId w:val="22"/>
              </w:numPr>
              <w:suppressAutoHyphens/>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 xml:space="preserve">oznaczenie </w:t>
            </w:r>
            <w:r w:rsidR="009D7AE1" w:rsidRPr="00154BF9">
              <w:rPr>
                <w:rFonts w:ascii="Times New Roman" w:eastAsia="Times New Roman" w:hAnsi="Times New Roman" w:cs="Times New Roman"/>
                <w:sz w:val="20"/>
                <w:szCs w:val="20"/>
                <w:lang w:eastAsia="pl-PL"/>
              </w:rPr>
              <w:t>stężenie</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cholesterolu</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całkowitego,</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LDL,</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HDL,</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trójglicerydów</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u</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pacjentów</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leczonych</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tocilizumabem</w:t>
            </w:r>
            <w:r w:rsidR="0052643B" w:rsidRPr="00154BF9">
              <w:rPr>
                <w:rFonts w:ascii="Times New Roman" w:eastAsia="Times New Roman" w:hAnsi="Times New Roman" w:cs="Times New Roman"/>
                <w:sz w:val="20"/>
                <w:szCs w:val="20"/>
                <w:lang w:eastAsia="pl-PL"/>
              </w:rPr>
              <w:t xml:space="preserve"> </w:t>
            </w:r>
            <w:r w:rsidR="00370A55"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00370A55" w:rsidRPr="00154BF9">
              <w:rPr>
                <w:rFonts w:ascii="Times New Roman" w:eastAsia="Times New Roman" w:hAnsi="Times New Roman" w:cs="Times New Roman"/>
                <w:sz w:val="20"/>
                <w:szCs w:val="20"/>
                <w:lang w:eastAsia="pl-PL"/>
              </w:rPr>
              <w:t>baricytynibem</w:t>
            </w:r>
            <w:r w:rsidR="0052643B" w:rsidRPr="00154BF9">
              <w:rPr>
                <w:rFonts w:ascii="Times New Roman" w:eastAsia="Times New Roman" w:hAnsi="Times New Roman" w:cs="Times New Roman"/>
                <w:sz w:val="20"/>
                <w:szCs w:val="20"/>
                <w:lang w:eastAsia="pl-PL"/>
              </w:rPr>
              <w:t xml:space="preserve"> </w:t>
            </w:r>
            <w:r w:rsidR="0068170D"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0068170D" w:rsidRPr="00154BF9">
              <w:rPr>
                <w:rFonts w:ascii="Times New Roman" w:eastAsia="Times New Roman" w:hAnsi="Times New Roman" w:cs="Times New Roman"/>
                <w:sz w:val="20"/>
                <w:szCs w:val="20"/>
                <w:lang w:eastAsia="pl-PL"/>
              </w:rPr>
              <w:t>tofacytynibem</w:t>
            </w:r>
            <w:r w:rsidR="0052643B" w:rsidRPr="00154BF9">
              <w:rPr>
                <w:rFonts w:ascii="Times New Roman" w:hAnsi="Times New Roman" w:cs="Times New Roman"/>
                <w:sz w:val="20"/>
                <w:szCs w:val="20"/>
              </w:rPr>
              <w:t xml:space="preserve"> </w:t>
            </w:r>
            <w:r w:rsidR="001F28D2"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00EA4A2E" w:rsidRPr="00154BF9">
              <w:rPr>
                <w:rFonts w:ascii="Times New Roman" w:eastAsia="Times New Roman" w:hAnsi="Times New Roman" w:cs="Times New Roman"/>
                <w:sz w:val="20"/>
                <w:szCs w:val="20"/>
                <w:lang w:eastAsia="pl-PL"/>
              </w:rPr>
              <w:t xml:space="preserve">upadacytynibem </w:t>
            </w:r>
            <w:r w:rsidR="00EA4A2E" w:rsidRPr="00154BF9">
              <w:t>lub</w:t>
            </w:r>
            <w:r w:rsidR="00527E22" w:rsidRPr="00154BF9">
              <w:rPr>
                <w:rFonts w:ascii="Times New Roman" w:eastAsia="Times New Roman" w:hAnsi="Times New Roman" w:cs="Times New Roman"/>
                <w:sz w:val="20"/>
                <w:szCs w:val="20"/>
                <w:lang w:eastAsia="pl-PL"/>
              </w:rPr>
              <w:t xml:space="preserve"> filgotynibem</w:t>
            </w:r>
          </w:p>
          <w:p w14:paraId="45F76A33" w14:textId="6B3E3F8B" w:rsidR="00462B7E" w:rsidRPr="00154BF9" w:rsidRDefault="009D7AE1" w:rsidP="00DE4276">
            <w:pPr>
              <w:pStyle w:val="Akapitzlist"/>
              <w:spacing w:after="60" w:line="276" w:lineRule="auto"/>
              <w:ind w:left="227"/>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oraz</w:t>
            </w:r>
            <w:r w:rsidR="0052643B" w:rsidRPr="00154BF9">
              <w:rPr>
                <w:rFonts w:ascii="Times New Roman" w:eastAsia="Times New Roman" w:hAnsi="Times New Roman" w:cs="Times New Roman"/>
                <w:sz w:val="20"/>
                <w:szCs w:val="20"/>
                <w:lang w:eastAsia="pl-PL"/>
              </w:rPr>
              <w:t xml:space="preserve"> </w:t>
            </w:r>
          </w:p>
          <w:p w14:paraId="5AD77A01" w14:textId="6BA6DE9F" w:rsidR="009D7AE1" w:rsidRPr="00154BF9" w:rsidRDefault="009D7AE1" w:rsidP="00DE4276">
            <w:pPr>
              <w:pStyle w:val="Akapitzlist"/>
              <w:spacing w:after="60" w:line="276" w:lineRule="auto"/>
              <w:ind w:left="227"/>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obliczyć</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wartość</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wskaźnika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DAS</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28</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DAS</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SDAI,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także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dokonać</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oceny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skuteczności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lastRenderedPageBreak/>
              <w:t>zastosowanej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terapii</w:t>
            </w:r>
            <w:r w:rsidR="0052643B" w:rsidRPr="00154BF9">
              <w:rPr>
                <w:rFonts w:ascii="Times New Roman" w:hAnsi="Times New Roman" w:cs="Times New Roman"/>
                <w:sz w:val="20"/>
                <w:szCs w:val="20"/>
              </w:rPr>
              <w:t xml:space="preserve"> </w:t>
            </w:r>
            <w:r w:rsidR="00B42909"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00B42909" w:rsidRPr="00154BF9">
              <w:rPr>
                <w:rFonts w:ascii="Times New Roman" w:eastAsia="Times New Roman" w:hAnsi="Times New Roman" w:cs="Times New Roman"/>
                <w:sz w:val="20"/>
                <w:szCs w:val="20"/>
                <w:lang w:eastAsia="pl-PL"/>
              </w:rPr>
              <w:t>uwzględnieniem</w:t>
            </w:r>
            <w:r w:rsidR="0052643B" w:rsidRPr="00154BF9">
              <w:rPr>
                <w:rFonts w:ascii="Times New Roman" w:eastAsia="Times New Roman" w:hAnsi="Times New Roman" w:cs="Times New Roman"/>
                <w:sz w:val="20"/>
                <w:szCs w:val="20"/>
                <w:lang w:eastAsia="pl-PL"/>
              </w:rPr>
              <w:t xml:space="preserve"> </w:t>
            </w:r>
            <w:r w:rsidR="00B42909" w:rsidRPr="00154BF9">
              <w:rPr>
                <w:rFonts w:ascii="Times New Roman" w:eastAsia="Times New Roman" w:hAnsi="Times New Roman" w:cs="Times New Roman"/>
                <w:sz w:val="20"/>
                <w:szCs w:val="20"/>
                <w:lang w:eastAsia="pl-PL"/>
              </w:rPr>
              <w:t>objawów</w:t>
            </w:r>
            <w:r w:rsidR="0052643B" w:rsidRPr="00154BF9">
              <w:rPr>
                <w:rFonts w:ascii="Times New Roman" w:eastAsia="Times New Roman" w:hAnsi="Times New Roman" w:cs="Times New Roman"/>
                <w:sz w:val="20"/>
                <w:szCs w:val="20"/>
                <w:lang w:eastAsia="pl-PL"/>
              </w:rPr>
              <w:t xml:space="preserve"> </w:t>
            </w:r>
            <w:r w:rsidR="00B42909" w:rsidRPr="00154BF9">
              <w:rPr>
                <w:rFonts w:ascii="Times New Roman" w:eastAsia="Times New Roman" w:hAnsi="Times New Roman" w:cs="Times New Roman"/>
                <w:sz w:val="20"/>
                <w:szCs w:val="20"/>
                <w:lang w:eastAsia="pl-PL"/>
              </w:rPr>
              <w:t>układowych</w:t>
            </w:r>
            <w:r w:rsidR="0052643B" w:rsidRPr="00154BF9">
              <w:rPr>
                <w:rFonts w:ascii="Times New Roman" w:eastAsia="Times New Roman" w:hAnsi="Times New Roman" w:cs="Times New Roman"/>
                <w:sz w:val="20"/>
                <w:szCs w:val="20"/>
                <w:lang w:eastAsia="pl-PL"/>
              </w:rPr>
              <w:t xml:space="preserve"> </w:t>
            </w:r>
            <w:r w:rsidR="00B42909" w:rsidRPr="00154BF9">
              <w:rPr>
                <w:rFonts w:ascii="Times New Roman" w:eastAsia="Times New Roman" w:hAnsi="Times New Roman" w:cs="Times New Roman"/>
                <w:sz w:val="20"/>
                <w:szCs w:val="20"/>
                <w:lang w:eastAsia="pl-PL"/>
              </w:rPr>
              <w:t>u</w:t>
            </w:r>
            <w:r w:rsidR="0052643B" w:rsidRPr="00154BF9">
              <w:rPr>
                <w:rFonts w:ascii="Times New Roman" w:eastAsia="Times New Roman" w:hAnsi="Times New Roman" w:cs="Times New Roman"/>
                <w:sz w:val="20"/>
                <w:szCs w:val="20"/>
                <w:lang w:eastAsia="pl-PL"/>
              </w:rPr>
              <w:t xml:space="preserve"> </w:t>
            </w:r>
            <w:r w:rsidR="00B42909" w:rsidRPr="00154BF9">
              <w:rPr>
                <w:rFonts w:ascii="Times New Roman" w:eastAsia="Times New Roman" w:hAnsi="Times New Roman" w:cs="Times New Roman"/>
                <w:sz w:val="20"/>
                <w:szCs w:val="20"/>
                <w:lang w:eastAsia="pl-PL"/>
              </w:rPr>
              <w:t>pacjentów</w:t>
            </w:r>
            <w:r w:rsidR="0052643B" w:rsidRPr="00154BF9">
              <w:rPr>
                <w:rFonts w:ascii="Times New Roman" w:eastAsia="Times New Roman" w:hAnsi="Times New Roman" w:cs="Times New Roman"/>
                <w:sz w:val="20"/>
                <w:szCs w:val="20"/>
                <w:lang w:eastAsia="pl-PL"/>
              </w:rPr>
              <w:t xml:space="preserve"> </w:t>
            </w:r>
            <w:r w:rsidR="00B42909"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00B42909" w:rsidRPr="00154BF9">
              <w:rPr>
                <w:rFonts w:ascii="Times New Roman" w:eastAsia="Times New Roman" w:hAnsi="Times New Roman" w:cs="Times New Roman"/>
                <w:sz w:val="20"/>
                <w:szCs w:val="20"/>
                <w:lang w:eastAsia="pl-PL"/>
              </w:rPr>
              <w:t>AOSD</w:t>
            </w:r>
            <w:r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p>
          <w:p w14:paraId="1770714D" w14:textId="0794C979" w:rsidR="009D7AE1" w:rsidRPr="00154BF9" w:rsidRDefault="009D7AE1" w:rsidP="00DE4276">
            <w:pPr>
              <w:pStyle w:val="Akapitzlist"/>
              <w:spacing w:after="60" w:line="276" w:lineRule="auto"/>
              <w:ind w:left="227"/>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Jeżeli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terapia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jest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kontynuowana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powyższe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powtarzać</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w:t>
            </w:r>
            <w:r w:rsidR="0052643B" w:rsidRPr="00154BF9">
              <w:rPr>
                <w:rFonts w:ascii="Times New Roman" w:eastAsia="Times New Roman" w:hAnsi="Times New Roman" w:cs="Times New Roman"/>
                <w:sz w:val="20"/>
                <w:szCs w:val="20"/>
                <w:lang w:eastAsia="pl-PL"/>
              </w:rPr>
              <w:t xml:space="preserve"> </w:t>
            </w:r>
            <w:r w:rsidR="00AF4063" w:rsidRPr="00154BF9">
              <w:rPr>
                <w:rFonts w:ascii="Times New Roman" w:eastAsia="Times New Roman" w:hAnsi="Times New Roman" w:cs="Times New Roman"/>
                <w:sz w:val="20"/>
                <w:szCs w:val="20"/>
                <w:lang w:eastAsia="pl-PL"/>
              </w:rPr>
              <w:t>każdych</w:t>
            </w:r>
            <w:r w:rsidR="0052643B" w:rsidRPr="00154BF9">
              <w:rPr>
                <w:rFonts w:ascii="Times New Roman" w:eastAsia="Times New Roman" w:hAnsi="Times New Roman" w:cs="Times New Roman"/>
                <w:sz w:val="20"/>
                <w:szCs w:val="20"/>
                <w:lang w:eastAsia="pl-PL"/>
              </w:rPr>
              <w:t xml:space="preserve"> </w:t>
            </w:r>
            <w:r w:rsidR="00AF4063" w:rsidRPr="00154BF9">
              <w:rPr>
                <w:rFonts w:ascii="Times New Roman" w:eastAsia="Times New Roman" w:hAnsi="Times New Roman" w:cs="Times New Roman"/>
                <w:sz w:val="20"/>
                <w:szCs w:val="20"/>
                <w:lang w:eastAsia="pl-PL"/>
              </w:rPr>
              <w:t>kolejnych</w:t>
            </w:r>
            <w:r w:rsidR="0052643B" w:rsidRPr="00154BF9">
              <w:rPr>
                <w:rFonts w:ascii="Times New Roman" w:eastAsia="Times New Roman" w:hAnsi="Times New Roman" w:cs="Times New Roman"/>
                <w:sz w:val="20"/>
                <w:szCs w:val="20"/>
                <w:lang w:eastAsia="pl-PL"/>
              </w:rPr>
              <w:t xml:space="preserve"> </w:t>
            </w:r>
            <w:r w:rsidR="00AF4063" w:rsidRPr="00154BF9">
              <w:rPr>
                <w:rFonts w:ascii="Times New Roman" w:eastAsia="Times New Roman" w:hAnsi="Times New Roman" w:cs="Times New Roman"/>
                <w:sz w:val="20"/>
                <w:szCs w:val="20"/>
                <w:lang w:eastAsia="pl-PL"/>
              </w:rPr>
              <w:t>6</w:t>
            </w:r>
            <w:r w:rsidR="0052643B" w:rsidRPr="00154BF9">
              <w:rPr>
                <w:rFonts w:ascii="Times New Roman" w:eastAsia="Times New Roman" w:hAnsi="Times New Roman" w:cs="Times New Roman"/>
                <w:sz w:val="20"/>
                <w:szCs w:val="20"/>
                <w:lang w:eastAsia="pl-PL"/>
              </w:rPr>
              <w:t xml:space="preserve"> </w:t>
            </w:r>
            <w:r w:rsidR="00AF4063" w:rsidRPr="00154BF9">
              <w:rPr>
                <w:rFonts w:ascii="Times New Roman" w:eastAsia="Times New Roman" w:hAnsi="Times New Roman" w:cs="Times New Roman"/>
                <w:sz w:val="20"/>
                <w:szCs w:val="20"/>
                <w:lang w:eastAsia="pl-PL"/>
              </w:rPr>
              <w:t>miesiącach</w:t>
            </w:r>
            <w:r w:rsidR="0052643B" w:rsidRPr="00154BF9">
              <w:rPr>
                <w:rFonts w:ascii="Times New Roman" w:eastAsia="Times New Roman" w:hAnsi="Times New Roman" w:cs="Times New Roman"/>
                <w:sz w:val="20"/>
                <w:szCs w:val="20"/>
                <w:lang w:eastAsia="pl-PL"/>
              </w:rPr>
              <w:t xml:space="preserve"> </w:t>
            </w:r>
            <w:r w:rsidR="00AF4063" w:rsidRPr="00154BF9">
              <w:rPr>
                <w:rFonts w:ascii="Times New Roman" w:eastAsia="Times New Roman" w:hAnsi="Times New Roman" w:cs="Times New Roman"/>
                <w:sz w:val="20"/>
                <w:szCs w:val="20"/>
                <w:lang w:eastAsia="pl-PL"/>
              </w:rPr>
              <w:t>(±1</w:t>
            </w:r>
            <w:r w:rsidR="0052643B" w:rsidRPr="00154BF9">
              <w:rPr>
                <w:rFonts w:ascii="Times New Roman" w:eastAsia="Times New Roman" w:hAnsi="Times New Roman" w:cs="Times New Roman"/>
                <w:sz w:val="20"/>
                <w:szCs w:val="20"/>
                <w:lang w:eastAsia="pl-PL"/>
              </w:rPr>
              <w:t xml:space="preserve"> </w:t>
            </w:r>
            <w:r w:rsidR="00AF4063" w:rsidRPr="00154BF9">
              <w:rPr>
                <w:rFonts w:ascii="Times New Roman" w:eastAsia="Times New Roman" w:hAnsi="Times New Roman" w:cs="Times New Roman"/>
                <w:sz w:val="20"/>
                <w:szCs w:val="20"/>
                <w:lang w:eastAsia="pl-PL"/>
              </w:rPr>
              <w:t>miesiąc</w:t>
            </w:r>
            <w:r w:rsidRPr="00154BF9">
              <w:rPr>
                <w:rFonts w:ascii="Times New Roman" w:eastAsia="Times New Roman" w:hAnsi="Times New Roman" w:cs="Times New Roman"/>
                <w:sz w:val="20"/>
                <w:szCs w:val="20"/>
                <w:lang w:eastAsia="pl-PL"/>
              </w:rPr>
              <w:t>).</w:t>
            </w:r>
          </w:p>
          <w:p w14:paraId="2759BE0A" w14:textId="77777777" w:rsidR="00F650EC" w:rsidRPr="00154BF9" w:rsidRDefault="00F650EC" w:rsidP="00DE4276">
            <w:pPr>
              <w:pStyle w:val="Akapitzlist"/>
              <w:spacing w:after="60" w:line="276" w:lineRule="auto"/>
              <w:ind w:left="227"/>
              <w:contextualSpacing w:val="0"/>
              <w:jc w:val="both"/>
              <w:rPr>
                <w:rFonts w:ascii="Times New Roman" w:eastAsia="Times New Roman" w:hAnsi="Times New Roman" w:cs="Times New Roman"/>
                <w:sz w:val="20"/>
                <w:szCs w:val="20"/>
                <w:lang w:eastAsia="pl-PL"/>
              </w:rPr>
            </w:pPr>
          </w:p>
          <w:p w14:paraId="4FB750E4" w14:textId="7CB25C1A" w:rsidR="009D7AE1" w:rsidRPr="00154BF9" w:rsidRDefault="009D7AE1" w:rsidP="00DE4276">
            <w:pPr>
              <w:numPr>
                <w:ilvl w:val="1"/>
                <w:numId w:val="22"/>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b/>
                <w:bCs/>
                <w:sz w:val="20"/>
                <w:szCs w:val="20"/>
                <w:lang w:eastAsia="pl-PL"/>
              </w:rPr>
              <w:t>Monitorowanie</w:t>
            </w:r>
            <w:r w:rsidR="0052643B" w:rsidRPr="00154BF9">
              <w:rPr>
                <w:rFonts w:ascii="Times New Roman" w:eastAsia="Times New Roman" w:hAnsi="Times New Roman" w:cs="Times New Roman"/>
                <w:b/>
                <w:bCs/>
                <w:sz w:val="20"/>
                <w:szCs w:val="20"/>
                <w:lang w:eastAsia="pl-PL"/>
              </w:rPr>
              <w:t xml:space="preserve"> </w:t>
            </w:r>
            <w:r w:rsidRPr="00154BF9">
              <w:rPr>
                <w:rFonts w:ascii="Times New Roman" w:eastAsia="Times New Roman" w:hAnsi="Times New Roman" w:cs="Times New Roman"/>
                <w:b/>
                <w:bCs/>
                <w:sz w:val="20"/>
                <w:szCs w:val="20"/>
                <w:lang w:eastAsia="pl-PL"/>
              </w:rPr>
              <w:t>terapii</w:t>
            </w:r>
            <w:r w:rsidR="0052643B" w:rsidRPr="00154BF9">
              <w:rPr>
                <w:rFonts w:ascii="Times New Roman" w:eastAsia="Times New Roman" w:hAnsi="Times New Roman" w:cs="Times New Roman"/>
                <w:b/>
                <w:bCs/>
                <w:sz w:val="20"/>
                <w:szCs w:val="20"/>
                <w:lang w:eastAsia="pl-PL"/>
              </w:rPr>
              <w:t xml:space="preserve"> </w:t>
            </w:r>
            <w:r w:rsidRPr="00154BF9">
              <w:rPr>
                <w:rFonts w:ascii="Times New Roman" w:eastAsia="Times New Roman" w:hAnsi="Times New Roman" w:cs="Times New Roman"/>
                <w:b/>
                <w:bCs/>
                <w:sz w:val="20"/>
                <w:szCs w:val="20"/>
                <w:lang w:eastAsia="pl-PL"/>
              </w:rPr>
              <w:t>rytuksymabem</w:t>
            </w:r>
            <w:r w:rsidR="0052643B" w:rsidRPr="00154BF9">
              <w:rPr>
                <w:rFonts w:ascii="Times New Roman" w:eastAsia="Times New Roman" w:hAnsi="Times New Roman" w:cs="Times New Roman"/>
                <w:sz w:val="20"/>
                <w:szCs w:val="20"/>
                <w:lang w:eastAsia="pl-PL"/>
              </w:rPr>
              <w:t xml:space="preserve"> </w:t>
            </w:r>
            <w:r w:rsidR="00F650EC"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00AF4063" w:rsidRPr="00154BF9">
              <w:rPr>
                <w:rFonts w:ascii="Times New Roman" w:eastAsia="Times New Roman" w:hAnsi="Times New Roman" w:cs="Times New Roman"/>
                <w:sz w:val="20"/>
                <w:szCs w:val="20"/>
                <w:lang w:eastAsia="pl-PL"/>
              </w:rPr>
              <w:t>po</w:t>
            </w:r>
            <w:r w:rsidR="0052643B" w:rsidRPr="00154BF9">
              <w:rPr>
                <w:rFonts w:ascii="Times New Roman" w:eastAsia="Times New Roman" w:hAnsi="Times New Roman" w:cs="Times New Roman"/>
                <w:sz w:val="20"/>
                <w:szCs w:val="20"/>
                <w:lang w:eastAsia="pl-PL"/>
              </w:rPr>
              <w:t xml:space="preserve"> </w:t>
            </w:r>
            <w:r w:rsidR="00AF4063" w:rsidRPr="00154BF9">
              <w:rPr>
                <w:rFonts w:ascii="Times New Roman" w:eastAsia="Times New Roman" w:hAnsi="Times New Roman" w:cs="Times New Roman"/>
                <w:sz w:val="20"/>
                <w:szCs w:val="20"/>
                <w:lang w:eastAsia="pl-PL"/>
              </w:rPr>
              <w:t>6</w:t>
            </w:r>
            <w:r w:rsidR="0052643B" w:rsidRPr="00154BF9">
              <w:rPr>
                <w:rFonts w:ascii="Times New Roman" w:eastAsia="Times New Roman" w:hAnsi="Times New Roman" w:cs="Times New Roman"/>
                <w:sz w:val="20"/>
                <w:szCs w:val="20"/>
                <w:lang w:eastAsia="pl-PL"/>
              </w:rPr>
              <w:t xml:space="preserve"> </w:t>
            </w:r>
            <w:r w:rsidR="00AF4063" w:rsidRPr="00154BF9">
              <w:rPr>
                <w:rFonts w:ascii="Times New Roman" w:eastAsia="Times New Roman" w:hAnsi="Times New Roman" w:cs="Times New Roman"/>
                <w:sz w:val="20"/>
                <w:szCs w:val="20"/>
                <w:lang w:eastAsia="pl-PL"/>
              </w:rPr>
              <w:t>miesiącach</w:t>
            </w:r>
            <w:r w:rsidR="0052643B" w:rsidRPr="00154BF9">
              <w:rPr>
                <w:rFonts w:ascii="Times New Roman" w:eastAsia="Times New Roman" w:hAnsi="Times New Roman" w:cs="Times New Roman"/>
                <w:sz w:val="20"/>
                <w:szCs w:val="20"/>
                <w:lang w:eastAsia="pl-PL"/>
              </w:rPr>
              <w:t xml:space="preserve"> </w:t>
            </w:r>
            <w:r w:rsidR="00AF4063" w:rsidRPr="00154BF9">
              <w:rPr>
                <w:rFonts w:ascii="Times New Roman" w:eastAsia="Times New Roman" w:hAnsi="Times New Roman" w:cs="Times New Roman"/>
                <w:sz w:val="20"/>
                <w:szCs w:val="20"/>
                <w:lang w:eastAsia="pl-PL"/>
              </w:rPr>
              <w:t>(±1</w:t>
            </w:r>
            <w:r w:rsidR="0052643B" w:rsidRPr="00154BF9">
              <w:rPr>
                <w:rFonts w:ascii="Times New Roman" w:eastAsia="Times New Roman" w:hAnsi="Times New Roman" w:cs="Times New Roman"/>
                <w:sz w:val="20"/>
                <w:szCs w:val="20"/>
                <w:lang w:eastAsia="pl-PL"/>
              </w:rPr>
              <w:t xml:space="preserve"> </w:t>
            </w:r>
            <w:r w:rsidR="00AF4063" w:rsidRPr="00154BF9">
              <w:rPr>
                <w:rFonts w:ascii="Times New Roman" w:eastAsia="Times New Roman" w:hAnsi="Times New Roman" w:cs="Times New Roman"/>
                <w:sz w:val="20"/>
                <w:szCs w:val="20"/>
                <w:lang w:eastAsia="pl-PL"/>
              </w:rPr>
              <w:t>miesiąc</w:t>
            </w:r>
            <w:r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od</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pierwszego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podania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substancji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czynnej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biologicznego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należy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wykonać:</w:t>
            </w:r>
          </w:p>
          <w:p w14:paraId="46A72454" w14:textId="6184462F" w:rsidR="009D7AE1" w:rsidRPr="00154BF9" w:rsidRDefault="009D7AE1" w:rsidP="00DE4276">
            <w:pPr>
              <w:numPr>
                <w:ilvl w:val="3"/>
                <w:numId w:val="22"/>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morfologię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krwi;</w:t>
            </w:r>
          </w:p>
          <w:p w14:paraId="3FF43843" w14:textId="77777777" w:rsidR="000B6F95" w:rsidRPr="00154BF9" w:rsidRDefault="000B6F95" w:rsidP="00DE4276">
            <w:pPr>
              <w:pStyle w:val="Akapitzlist"/>
              <w:numPr>
                <w:ilvl w:val="3"/>
                <w:numId w:val="22"/>
              </w:numPr>
              <w:spacing w:after="60" w:line="276" w:lineRule="auto"/>
              <w:contextualSpacing w:val="0"/>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oznaczenie wartości odczynu Biernackiego (OB);</w:t>
            </w:r>
          </w:p>
          <w:p w14:paraId="6BE14552" w14:textId="77777777" w:rsidR="000B6F95" w:rsidRPr="00154BF9" w:rsidRDefault="000B6F95" w:rsidP="00DE4276">
            <w:pPr>
              <w:pStyle w:val="Akapitzlist"/>
              <w:numPr>
                <w:ilvl w:val="3"/>
                <w:numId w:val="22"/>
              </w:numPr>
              <w:spacing w:after="60" w:line="276" w:lineRule="auto"/>
              <w:contextualSpacing w:val="0"/>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oznaczenie stężenia białka C-reaktywnego (CRP);</w:t>
            </w:r>
          </w:p>
          <w:p w14:paraId="2A73BAC2" w14:textId="77777777" w:rsidR="000B6F95" w:rsidRPr="00154BF9" w:rsidRDefault="000B6F95" w:rsidP="00DE4276">
            <w:pPr>
              <w:pStyle w:val="Akapitzlist"/>
              <w:numPr>
                <w:ilvl w:val="3"/>
                <w:numId w:val="22"/>
              </w:numPr>
              <w:spacing w:after="60" w:line="276" w:lineRule="auto"/>
              <w:contextualSpacing w:val="0"/>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oznaczenie stężenia kreatyniny w surowicy krwi;</w:t>
            </w:r>
          </w:p>
          <w:p w14:paraId="5BD4C7CD" w14:textId="3441F444" w:rsidR="000B6F95" w:rsidRPr="00154BF9" w:rsidRDefault="000B6F95" w:rsidP="00DE4276">
            <w:pPr>
              <w:pStyle w:val="Akapitzlist"/>
              <w:numPr>
                <w:ilvl w:val="3"/>
                <w:numId w:val="22"/>
              </w:numPr>
              <w:spacing w:after="60" w:line="276" w:lineRule="auto"/>
              <w:contextualSpacing w:val="0"/>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oznaczenie aktywności aminotransferazy asparaginianowej (AST);</w:t>
            </w:r>
          </w:p>
          <w:p w14:paraId="274514A6" w14:textId="77777777" w:rsidR="000B6F95" w:rsidRPr="00154BF9" w:rsidRDefault="000B6F95" w:rsidP="00DE4276">
            <w:pPr>
              <w:pStyle w:val="Akapitzlist"/>
              <w:numPr>
                <w:ilvl w:val="3"/>
                <w:numId w:val="22"/>
              </w:numPr>
              <w:spacing w:after="60" w:line="276" w:lineRule="auto"/>
              <w:contextualSpacing w:val="0"/>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oznaczenie aktywności aminotransferazy alaninowej (ALT);</w:t>
            </w:r>
          </w:p>
          <w:p w14:paraId="0BF12AB5" w14:textId="5D17D5B5" w:rsidR="009D7AE1" w:rsidRPr="00154BF9" w:rsidRDefault="000B6F95" w:rsidP="00DE4276">
            <w:pPr>
              <w:numPr>
                <w:ilvl w:val="3"/>
                <w:numId w:val="22"/>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 xml:space="preserve">oznaczenie </w:t>
            </w:r>
            <w:r w:rsidR="009D7AE1" w:rsidRPr="00154BF9">
              <w:rPr>
                <w:rFonts w:ascii="Times New Roman" w:eastAsia="Times New Roman" w:hAnsi="Times New Roman" w:cs="Times New Roman"/>
                <w:sz w:val="20"/>
                <w:szCs w:val="20"/>
                <w:lang w:eastAsia="pl-PL"/>
              </w:rPr>
              <w:t>stężenie</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immunoglobulin</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G</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i</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M</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surowicy</w:t>
            </w:r>
            <w:r w:rsidR="004D380C">
              <w:rPr>
                <w:rFonts w:ascii="Times New Roman" w:eastAsia="Times New Roman" w:hAnsi="Times New Roman" w:cs="Times New Roman"/>
                <w:sz w:val="20"/>
                <w:szCs w:val="20"/>
                <w:lang w:eastAsia="pl-PL"/>
              </w:rPr>
              <w:t>;</w:t>
            </w:r>
          </w:p>
          <w:p w14:paraId="3E0026FD" w14:textId="1EC35113" w:rsidR="009D7AE1" w:rsidRPr="00154BF9" w:rsidRDefault="009D7AE1" w:rsidP="00DE4276">
            <w:pPr>
              <w:pStyle w:val="Akapitzlist"/>
              <w:spacing w:after="60" w:line="276" w:lineRule="auto"/>
              <w:ind w:left="227"/>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oraz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obliczyć</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wartość</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wskaźnika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DAS</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28</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DAS</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SDAI,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także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dokonać</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oceny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skuteczności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leczenia.</w:t>
            </w:r>
          </w:p>
          <w:p w14:paraId="26E48B75" w14:textId="3ACDCC92" w:rsidR="009D7AE1" w:rsidRPr="00154BF9" w:rsidRDefault="009D7AE1" w:rsidP="00DE4276">
            <w:pPr>
              <w:autoSpaceDE w:val="0"/>
              <w:autoSpaceDN w:val="0"/>
              <w:adjustRightInd w:val="0"/>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Jeżeli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terapia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jest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powtarzana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powyższe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powtarzać</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w:t>
            </w:r>
            <w:r w:rsidR="0052643B" w:rsidRPr="00154BF9">
              <w:rPr>
                <w:rFonts w:ascii="Times New Roman" w:eastAsia="Times New Roman" w:hAnsi="Times New Roman" w:cs="Times New Roman"/>
                <w:sz w:val="20"/>
                <w:szCs w:val="20"/>
                <w:lang w:eastAsia="pl-PL"/>
              </w:rPr>
              <w:t xml:space="preserve"> </w:t>
            </w:r>
            <w:r w:rsidR="00AF4063" w:rsidRPr="00154BF9">
              <w:rPr>
                <w:rFonts w:ascii="Times New Roman" w:eastAsia="Times New Roman" w:hAnsi="Times New Roman" w:cs="Times New Roman"/>
                <w:sz w:val="20"/>
                <w:szCs w:val="20"/>
                <w:lang w:eastAsia="pl-PL"/>
              </w:rPr>
              <w:t>kolejnych</w:t>
            </w:r>
            <w:r w:rsidR="0052643B" w:rsidRPr="00154BF9">
              <w:rPr>
                <w:rFonts w:ascii="Times New Roman" w:eastAsia="Times New Roman" w:hAnsi="Times New Roman" w:cs="Times New Roman"/>
                <w:sz w:val="20"/>
                <w:szCs w:val="20"/>
                <w:lang w:eastAsia="pl-PL"/>
              </w:rPr>
              <w:t xml:space="preserve"> </w:t>
            </w:r>
            <w:r w:rsidR="00AF4063" w:rsidRPr="00154BF9">
              <w:rPr>
                <w:rFonts w:ascii="Times New Roman" w:eastAsia="Times New Roman" w:hAnsi="Times New Roman" w:cs="Times New Roman"/>
                <w:sz w:val="20"/>
                <w:szCs w:val="20"/>
                <w:lang w:eastAsia="pl-PL"/>
              </w:rPr>
              <w:t>6</w:t>
            </w:r>
            <w:r w:rsidR="0052643B" w:rsidRPr="00154BF9">
              <w:rPr>
                <w:rFonts w:ascii="Times New Roman" w:eastAsia="Times New Roman" w:hAnsi="Times New Roman" w:cs="Times New Roman"/>
                <w:sz w:val="20"/>
                <w:szCs w:val="20"/>
                <w:lang w:eastAsia="pl-PL"/>
              </w:rPr>
              <w:t xml:space="preserve"> </w:t>
            </w:r>
            <w:r w:rsidR="00AF4063" w:rsidRPr="00154BF9">
              <w:rPr>
                <w:rFonts w:ascii="Times New Roman" w:eastAsia="Times New Roman" w:hAnsi="Times New Roman" w:cs="Times New Roman"/>
                <w:sz w:val="20"/>
                <w:szCs w:val="20"/>
                <w:lang w:eastAsia="pl-PL"/>
              </w:rPr>
              <w:t>miesiącach</w:t>
            </w:r>
            <w:r w:rsidR="0052643B" w:rsidRPr="00154BF9">
              <w:rPr>
                <w:rFonts w:ascii="Times New Roman" w:eastAsia="Times New Roman" w:hAnsi="Times New Roman" w:cs="Times New Roman"/>
                <w:sz w:val="20"/>
                <w:szCs w:val="20"/>
                <w:lang w:eastAsia="pl-PL"/>
              </w:rPr>
              <w:t xml:space="preserve"> </w:t>
            </w:r>
            <w:r w:rsidR="00AF4063" w:rsidRPr="00154BF9">
              <w:rPr>
                <w:rFonts w:ascii="Times New Roman" w:eastAsia="Times New Roman" w:hAnsi="Times New Roman" w:cs="Times New Roman"/>
                <w:sz w:val="20"/>
                <w:szCs w:val="20"/>
                <w:lang w:eastAsia="pl-PL"/>
              </w:rPr>
              <w:t>(±1</w:t>
            </w:r>
            <w:r w:rsidR="0052643B" w:rsidRPr="00154BF9">
              <w:rPr>
                <w:rFonts w:ascii="Times New Roman" w:eastAsia="Times New Roman" w:hAnsi="Times New Roman" w:cs="Times New Roman"/>
                <w:sz w:val="20"/>
                <w:szCs w:val="20"/>
                <w:lang w:eastAsia="pl-PL"/>
              </w:rPr>
              <w:t xml:space="preserve"> </w:t>
            </w:r>
            <w:r w:rsidR="00AF4063" w:rsidRPr="00154BF9">
              <w:rPr>
                <w:rFonts w:ascii="Times New Roman" w:eastAsia="Times New Roman" w:hAnsi="Times New Roman" w:cs="Times New Roman"/>
                <w:sz w:val="20"/>
                <w:szCs w:val="20"/>
                <w:lang w:eastAsia="pl-PL"/>
              </w:rPr>
              <w:t>miesiąc</w:t>
            </w:r>
            <w:r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od</w:t>
            </w:r>
            <w:r w:rsidR="0052643B" w:rsidRPr="00154BF9">
              <w:rPr>
                <w:rFonts w:ascii="Times New Roman" w:eastAsia="Times New Roman" w:hAnsi="Times New Roman" w:cs="Times New Roman"/>
                <w:sz w:val="20"/>
                <w:szCs w:val="20"/>
                <w:lang w:eastAsia="pl-PL"/>
              </w:rPr>
              <w:t xml:space="preserve"> </w:t>
            </w:r>
            <w:r w:rsidR="000E4233" w:rsidRPr="00154BF9">
              <w:rPr>
                <w:rFonts w:ascii="Times New Roman" w:eastAsia="Times New Roman" w:hAnsi="Times New Roman" w:cs="Times New Roman"/>
                <w:sz w:val="20"/>
                <w:szCs w:val="20"/>
                <w:lang w:eastAsia="pl-PL"/>
              </w:rPr>
              <w:t>każdego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ponownego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podania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leku.</w:t>
            </w:r>
          </w:p>
          <w:p w14:paraId="3A300AE4" w14:textId="2A8552EA" w:rsidR="00CA7829" w:rsidRPr="00154BF9" w:rsidRDefault="00CA7829" w:rsidP="00DE4276">
            <w:pPr>
              <w:autoSpaceDE w:val="0"/>
              <w:autoSpaceDN w:val="0"/>
              <w:adjustRightInd w:val="0"/>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lastRenderedPageBreak/>
              <w:t xml:space="preserve">Zespół Koordynacyjny w celu monitorowania </w:t>
            </w:r>
            <w:r w:rsidR="006675ED" w:rsidRPr="00154BF9">
              <w:rPr>
                <w:rFonts w:ascii="Times New Roman" w:eastAsia="Times New Roman" w:hAnsi="Times New Roman" w:cs="Times New Roman"/>
                <w:sz w:val="20"/>
                <w:szCs w:val="20"/>
                <w:lang w:eastAsia="pl-PL"/>
              </w:rPr>
              <w:t>adekwatnej odpowiedzi na</w:t>
            </w:r>
            <w:r w:rsidR="000B6F95" w:rsidRPr="00154BF9">
              <w:rPr>
                <w:rFonts w:ascii="Times New Roman" w:eastAsia="Times New Roman" w:hAnsi="Times New Roman" w:cs="Times New Roman"/>
                <w:sz w:val="20"/>
                <w:szCs w:val="20"/>
                <w:lang w:eastAsia="pl-PL"/>
              </w:rPr>
              <w:t xml:space="preserve"> leczeni</w:t>
            </w:r>
            <w:r w:rsidR="006675ED" w:rsidRPr="00154BF9">
              <w:rPr>
                <w:rFonts w:ascii="Times New Roman" w:eastAsia="Times New Roman" w:hAnsi="Times New Roman" w:cs="Times New Roman"/>
                <w:sz w:val="20"/>
                <w:szCs w:val="20"/>
                <w:lang w:eastAsia="pl-PL"/>
              </w:rPr>
              <w:t>e</w:t>
            </w:r>
            <w:r w:rsidRPr="00154BF9">
              <w:rPr>
                <w:rFonts w:ascii="Times New Roman" w:eastAsia="Times New Roman" w:hAnsi="Times New Roman" w:cs="Times New Roman"/>
                <w:sz w:val="20"/>
                <w:szCs w:val="20"/>
                <w:lang w:eastAsia="pl-PL"/>
              </w:rPr>
              <w:t>, na podstawie danych gromadzonych w elektronicznym systemie monitorowania programów lekowych podsumowuje wyniki leczenia w programie lekowym na koniec każdego roku.</w:t>
            </w:r>
          </w:p>
          <w:p w14:paraId="601E974E" w14:textId="77777777" w:rsidR="00CA7829" w:rsidRPr="00154BF9" w:rsidRDefault="00CA7829" w:rsidP="00DE4276">
            <w:pPr>
              <w:autoSpaceDE w:val="0"/>
              <w:autoSpaceDN w:val="0"/>
              <w:adjustRightInd w:val="0"/>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Możliwe jest, po wyrażeniu zgody przez lekarza prowadzącego terapię, przeprowadzenie wizyty w programie w formie zdalnej konsultacji i przesunięcie wykonania badań w programie na późniejszy okres o ile nie stanowi to zagrożenia dla zdrowia pacjenta i pozostaje bez wpływu na skuteczność i bezpieczeństwo prowadzonej terapii. W takiej sytuacji możliwe jest wydanie leków osobie przez niego upoważnionej w ilości każdorazowo nie większej niż niezbędna do zabezpieczenia 4-6 miesięcy terapii (w zależności od indywidualnego dawkowania oraz wielkości opakowań poszczególnych leków). Opisane powyżej postępowanie, w tym wynik zdalnej konsultacji i ocena stanu zdrowia dokonana przez lekarza prowadzącego, powinno zostać odnotowane w dokumentacji medycznej pacjenta oraz elektronicznym systemie monitorowania programów lekowych. Osobiste stawiennictwo pacjenta w ośrodku prowadzącym terapię nie może być jednak rzadsze niż 2 razy w ciągu każdych kolejnych 12 miesięcy z wyjątkiem sytuacji nadzwyczajnych, w tym zjawisk epidemicznych, kiedy dopuszcza się osobiste stawiennictwo w ośrodku prowadzącym terapię nie rzadziej niż 1 raz w ciągu każdych kolejnych 12 miesięcy.</w:t>
            </w:r>
          </w:p>
          <w:p w14:paraId="28C6CF49" w14:textId="77777777" w:rsidR="007050E5" w:rsidRPr="00154BF9" w:rsidRDefault="007050E5" w:rsidP="00DE4276">
            <w:pPr>
              <w:spacing w:after="60" w:line="276" w:lineRule="auto"/>
              <w:ind w:left="357"/>
              <w:jc w:val="both"/>
              <w:rPr>
                <w:rFonts w:ascii="Times New Roman" w:eastAsia="Times New Roman" w:hAnsi="Times New Roman" w:cs="Times New Roman"/>
                <w:sz w:val="20"/>
                <w:szCs w:val="20"/>
                <w:lang w:eastAsia="pl-PL"/>
              </w:rPr>
            </w:pPr>
          </w:p>
          <w:p w14:paraId="6E0AFDCE" w14:textId="6F51139F" w:rsidR="009D7AE1" w:rsidRPr="00154BF9" w:rsidRDefault="009D7AE1" w:rsidP="00DE4276">
            <w:pPr>
              <w:pStyle w:val="Akapitzlist"/>
              <w:widowControl w:val="0"/>
              <w:numPr>
                <w:ilvl w:val="0"/>
                <w:numId w:val="22"/>
              </w:numPr>
              <w:autoSpaceDE w:val="0"/>
              <w:autoSpaceDN w:val="0"/>
              <w:adjustRightInd w:val="0"/>
              <w:spacing w:after="60" w:line="276" w:lineRule="auto"/>
              <w:contextualSpacing w:val="0"/>
              <w:jc w:val="both"/>
              <w:rPr>
                <w:rFonts w:ascii="Times New Roman" w:eastAsia="Times New Roman" w:hAnsi="Times New Roman" w:cs="Times New Roman"/>
                <w:b/>
                <w:sz w:val="20"/>
                <w:szCs w:val="20"/>
                <w:lang w:eastAsia="pl-PL"/>
              </w:rPr>
            </w:pPr>
            <w:r w:rsidRPr="00154BF9">
              <w:rPr>
                <w:rFonts w:ascii="Times New Roman" w:eastAsia="Times New Roman" w:hAnsi="Times New Roman" w:cs="Times New Roman"/>
                <w:b/>
                <w:sz w:val="20"/>
                <w:szCs w:val="20"/>
                <w:lang w:eastAsia="pl-PL"/>
              </w:rPr>
              <w:t>Monitorowanie</w:t>
            </w:r>
            <w:r w:rsidR="0052643B" w:rsidRPr="00154BF9">
              <w:rPr>
                <w:rFonts w:ascii="Times New Roman" w:eastAsia="Times New Roman" w:hAnsi="Times New Roman" w:cs="Times New Roman"/>
                <w:b/>
                <w:sz w:val="20"/>
                <w:szCs w:val="20"/>
                <w:lang w:eastAsia="pl-PL"/>
              </w:rPr>
              <w:t xml:space="preserve"> </w:t>
            </w:r>
            <w:r w:rsidRPr="00154BF9">
              <w:rPr>
                <w:rFonts w:ascii="Times New Roman" w:eastAsia="Times New Roman" w:hAnsi="Times New Roman" w:cs="Times New Roman"/>
                <w:b/>
                <w:sz w:val="20"/>
                <w:szCs w:val="20"/>
                <w:lang w:eastAsia="pl-PL"/>
              </w:rPr>
              <w:t>programu</w:t>
            </w:r>
          </w:p>
          <w:p w14:paraId="36B7C352" w14:textId="44FE19AD" w:rsidR="009D7AE1" w:rsidRPr="00154BF9" w:rsidRDefault="00946409" w:rsidP="00DE4276">
            <w:pPr>
              <w:numPr>
                <w:ilvl w:val="3"/>
                <w:numId w:val="22"/>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g</w:t>
            </w:r>
            <w:r w:rsidR="009D7AE1" w:rsidRPr="00154BF9">
              <w:rPr>
                <w:rFonts w:ascii="Times New Roman" w:eastAsia="Times New Roman" w:hAnsi="Times New Roman" w:cs="Times New Roman"/>
                <w:sz w:val="20"/>
                <w:szCs w:val="20"/>
                <w:lang w:eastAsia="pl-PL"/>
              </w:rPr>
              <w:t>romadzenie</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dokumentacji</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medycznej</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pacjenta</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danych</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dotyczących</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monitorowania</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leczenia</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i</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każdorazowe</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ich</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przedstawianie</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na</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żądanie</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kontrolerów</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Narodowego</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Funduszu</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Zdrowia</w:t>
            </w:r>
            <w:r w:rsidRPr="00154BF9">
              <w:rPr>
                <w:rFonts w:ascii="Times New Roman" w:eastAsia="Times New Roman" w:hAnsi="Times New Roman" w:cs="Times New Roman"/>
                <w:sz w:val="20"/>
                <w:szCs w:val="20"/>
                <w:lang w:eastAsia="pl-PL"/>
              </w:rPr>
              <w:t>;</w:t>
            </w:r>
          </w:p>
          <w:p w14:paraId="42CCE174" w14:textId="18294135" w:rsidR="009D7AE1" w:rsidRPr="00154BF9" w:rsidRDefault="00946409" w:rsidP="00DE4276">
            <w:pPr>
              <w:numPr>
                <w:ilvl w:val="3"/>
                <w:numId w:val="22"/>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u</w:t>
            </w:r>
            <w:r w:rsidR="009D7AE1" w:rsidRPr="00154BF9">
              <w:rPr>
                <w:rFonts w:ascii="Times New Roman" w:eastAsia="Times New Roman" w:hAnsi="Times New Roman" w:cs="Times New Roman"/>
                <w:sz w:val="20"/>
                <w:szCs w:val="20"/>
                <w:lang w:eastAsia="pl-PL"/>
              </w:rPr>
              <w:t>zupełnianie</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danych</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zawartych</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00C14552" w:rsidRPr="00154BF9">
              <w:rPr>
                <w:rFonts w:ascii="Times New Roman" w:eastAsia="Times New Roman" w:hAnsi="Times New Roman" w:cs="Times New Roman"/>
                <w:sz w:val="20"/>
                <w:szCs w:val="20"/>
                <w:lang w:eastAsia="pl-PL"/>
              </w:rPr>
              <w:t>elektronicznym</w:t>
            </w:r>
            <w:r w:rsidR="0052643B" w:rsidRPr="00154BF9">
              <w:rPr>
                <w:rFonts w:ascii="Times New Roman" w:eastAsia="Times New Roman" w:hAnsi="Times New Roman" w:cs="Times New Roman"/>
                <w:sz w:val="20"/>
                <w:szCs w:val="20"/>
                <w:lang w:eastAsia="pl-PL"/>
              </w:rPr>
              <w:t xml:space="preserve"> </w:t>
            </w:r>
            <w:r w:rsidR="00C14552" w:rsidRPr="00154BF9">
              <w:rPr>
                <w:rFonts w:ascii="Times New Roman" w:eastAsia="Times New Roman" w:hAnsi="Times New Roman" w:cs="Times New Roman"/>
                <w:sz w:val="20"/>
                <w:szCs w:val="20"/>
                <w:lang w:eastAsia="pl-PL"/>
              </w:rPr>
              <w:t>systemie</w:t>
            </w:r>
            <w:r w:rsidR="0052643B" w:rsidRPr="00154BF9">
              <w:rPr>
                <w:rFonts w:ascii="Times New Roman" w:eastAsia="Times New Roman" w:hAnsi="Times New Roman" w:cs="Times New Roman"/>
                <w:sz w:val="20"/>
                <w:szCs w:val="20"/>
                <w:lang w:eastAsia="pl-PL"/>
              </w:rPr>
              <w:t xml:space="preserve"> </w:t>
            </w:r>
            <w:r w:rsidR="00C14552" w:rsidRPr="00154BF9">
              <w:rPr>
                <w:rFonts w:ascii="Times New Roman" w:eastAsia="Times New Roman" w:hAnsi="Times New Roman" w:cs="Times New Roman"/>
                <w:sz w:val="20"/>
                <w:szCs w:val="20"/>
                <w:lang w:eastAsia="pl-PL"/>
              </w:rPr>
              <w:t>monitorowania</w:t>
            </w:r>
            <w:r w:rsidR="0052643B" w:rsidRPr="00154BF9">
              <w:rPr>
                <w:rFonts w:ascii="Times New Roman" w:eastAsia="Times New Roman" w:hAnsi="Times New Roman" w:cs="Times New Roman"/>
                <w:sz w:val="20"/>
                <w:szCs w:val="20"/>
                <w:lang w:eastAsia="pl-PL"/>
              </w:rPr>
              <w:t xml:space="preserve"> </w:t>
            </w:r>
            <w:r w:rsidR="00C14552" w:rsidRPr="00154BF9">
              <w:rPr>
                <w:rFonts w:ascii="Times New Roman" w:eastAsia="Times New Roman" w:hAnsi="Times New Roman" w:cs="Times New Roman"/>
                <w:sz w:val="20"/>
                <w:szCs w:val="20"/>
                <w:lang w:eastAsia="pl-PL"/>
              </w:rPr>
              <w:t>programów</w:t>
            </w:r>
            <w:r w:rsidR="0052643B" w:rsidRPr="00154BF9">
              <w:rPr>
                <w:rFonts w:ascii="Times New Roman" w:eastAsia="Times New Roman" w:hAnsi="Times New Roman" w:cs="Times New Roman"/>
                <w:sz w:val="20"/>
                <w:szCs w:val="20"/>
                <w:lang w:eastAsia="pl-PL"/>
              </w:rPr>
              <w:t xml:space="preserve"> </w:t>
            </w:r>
            <w:r w:rsidR="00C14552" w:rsidRPr="00154BF9">
              <w:rPr>
                <w:rFonts w:ascii="Times New Roman" w:eastAsia="Times New Roman" w:hAnsi="Times New Roman" w:cs="Times New Roman"/>
                <w:sz w:val="20"/>
                <w:szCs w:val="20"/>
                <w:lang w:eastAsia="pl-PL"/>
              </w:rPr>
              <w:t>lekowych,</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dostępnym</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za</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pomocą</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aplikacji</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internetowej</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udostępnionej</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przez</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OW</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NFZ,</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częstotliwością</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zgodną</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opisem</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programu</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oraz</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na</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zakończenie</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leczenia</w:t>
            </w:r>
            <w:r w:rsidRPr="00154BF9">
              <w:rPr>
                <w:rFonts w:ascii="Times New Roman" w:eastAsia="Times New Roman" w:hAnsi="Times New Roman" w:cs="Times New Roman"/>
                <w:sz w:val="20"/>
                <w:szCs w:val="20"/>
                <w:lang w:eastAsia="pl-PL"/>
              </w:rPr>
              <w:t>;</w:t>
            </w:r>
          </w:p>
          <w:p w14:paraId="48F1EF9D" w14:textId="12795B81" w:rsidR="009D7AE1" w:rsidRPr="00154BF9" w:rsidRDefault="00946409" w:rsidP="00DE4276">
            <w:pPr>
              <w:numPr>
                <w:ilvl w:val="3"/>
                <w:numId w:val="22"/>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p</w:t>
            </w:r>
            <w:r w:rsidR="009D7AE1" w:rsidRPr="00154BF9">
              <w:rPr>
                <w:rFonts w:ascii="Times New Roman" w:eastAsia="Times New Roman" w:hAnsi="Times New Roman" w:cs="Times New Roman"/>
                <w:sz w:val="20"/>
                <w:szCs w:val="20"/>
                <w:lang w:eastAsia="pl-PL"/>
              </w:rPr>
              <w:t>rzekazywanie</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informacji</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sprawozdawczo-rozliczeniowych</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NFZ:</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informacje</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przekazuje</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się</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NFZ</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formie</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papierowej</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formie</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elektronicznej,</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zgodnie</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wymaganiami</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opublikowanymi</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przez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NFZ</w:t>
            </w:r>
            <w:r w:rsidR="009D7AE1" w:rsidRPr="00154BF9">
              <w:rPr>
                <w:rFonts w:ascii="Times New Roman" w:eastAsia="Times New Roman" w:hAnsi="Times New Roman" w:cs="Times New Roman"/>
                <w:sz w:val="20"/>
                <w:szCs w:val="20"/>
                <w:lang w:eastAsia="pl-PL"/>
              </w:rPr>
              <w:t>.</w:t>
            </w:r>
          </w:p>
          <w:p w14:paraId="04823706" w14:textId="77777777" w:rsidR="009D7AE1" w:rsidRPr="00154BF9" w:rsidRDefault="009D7AE1" w:rsidP="00F650EC">
            <w:pPr>
              <w:suppressAutoHyphens/>
              <w:spacing w:after="60" w:line="276" w:lineRule="auto"/>
              <w:ind w:left="48"/>
              <w:jc w:val="both"/>
              <w:rPr>
                <w:rFonts w:ascii="Times New Roman" w:eastAsia="Times New Roman" w:hAnsi="Times New Roman" w:cs="Times New Roman"/>
                <w:b/>
                <w:sz w:val="20"/>
                <w:szCs w:val="20"/>
                <w:lang w:eastAsia="pl-PL"/>
              </w:rPr>
            </w:pPr>
          </w:p>
        </w:tc>
      </w:tr>
      <w:tr w:rsidR="00154BF9" w:rsidRPr="00154BF9" w14:paraId="7164677D" w14:textId="77777777" w:rsidTr="00CB2AC0">
        <w:trPr>
          <w:trHeight w:val="567"/>
        </w:trPr>
        <w:tc>
          <w:tcPr>
            <w:tcW w:w="0" w:type="auto"/>
            <w:gridSpan w:val="3"/>
            <w:tcBorders>
              <w:top w:val="single" w:sz="4" w:space="0" w:color="auto"/>
              <w:left w:val="single" w:sz="4" w:space="0" w:color="auto"/>
              <w:bottom w:val="single" w:sz="4" w:space="0" w:color="auto"/>
              <w:right w:val="single" w:sz="4" w:space="0" w:color="auto"/>
            </w:tcBorders>
            <w:vAlign w:val="center"/>
          </w:tcPr>
          <w:p w14:paraId="2C090729" w14:textId="31A08E44" w:rsidR="009D7AE1" w:rsidRPr="00154BF9" w:rsidRDefault="009D7AE1" w:rsidP="00B27143">
            <w:pPr>
              <w:spacing w:after="60" w:line="240" w:lineRule="auto"/>
              <w:jc w:val="center"/>
              <w:rPr>
                <w:rFonts w:ascii="Times New Roman" w:eastAsia="Times New Roman" w:hAnsi="Times New Roman" w:cs="Times New Roman"/>
                <w:b/>
                <w:sz w:val="20"/>
                <w:szCs w:val="20"/>
                <w:lang w:eastAsia="pl-PL"/>
              </w:rPr>
            </w:pPr>
            <w:r w:rsidRPr="00154BF9">
              <w:rPr>
                <w:rFonts w:ascii="Times New Roman" w:eastAsia="Times New Roman" w:hAnsi="Times New Roman" w:cs="Times New Roman"/>
                <w:b/>
                <w:sz w:val="20"/>
                <w:szCs w:val="20"/>
                <w:lang w:eastAsia="pl-PL"/>
              </w:rPr>
              <w:lastRenderedPageBreak/>
              <w:t>MŁODZIEŃCZE</w:t>
            </w:r>
            <w:r w:rsidR="0052643B" w:rsidRPr="00154BF9">
              <w:rPr>
                <w:rFonts w:ascii="Times New Roman" w:eastAsia="Times New Roman" w:hAnsi="Times New Roman" w:cs="Times New Roman"/>
                <w:b/>
                <w:sz w:val="20"/>
                <w:szCs w:val="20"/>
                <w:lang w:eastAsia="pl-PL"/>
              </w:rPr>
              <w:t xml:space="preserve"> </w:t>
            </w:r>
            <w:r w:rsidRPr="00154BF9">
              <w:rPr>
                <w:rFonts w:ascii="Times New Roman" w:eastAsia="Times New Roman" w:hAnsi="Times New Roman" w:cs="Times New Roman"/>
                <w:b/>
                <w:sz w:val="20"/>
                <w:szCs w:val="20"/>
                <w:lang w:eastAsia="pl-PL"/>
              </w:rPr>
              <w:t>IDIOPATYCZNE</w:t>
            </w:r>
            <w:r w:rsidR="0052643B" w:rsidRPr="00154BF9">
              <w:rPr>
                <w:rFonts w:ascii="Times New Roman" w:eastAsia="Times New Roman" w:hAnsi="Times New Roman" w:cs="Times New Roman"/>
                <w:b/>
                <w:sz w:val="20"/>
                <w:szCs w:val="20"/>
                <w:lang w:eastAsia="pl-PL"/>
              </w:rPr>
              <w:t xml:space="preserve"> </w:t>
            </w:r>
            <w:r w:rsidRPr="00154BF9">
              <w:rPr>
                <w:rFonts w:ascii="Times New Roman" w:eastAsia="Times New Roman" w:hAnsi="Times New Roman" w:cs="Times New Roman"/>
                <w:b/>
                <w:sz w:val="20"/>
                <w:szCs w:val="20"/>
                <w:lang w:eastAsia="pl-PL"/>
              </w:rPr>
              <w:t>ZAPALENIE</w:t>
            </w:r>
            <w:r w:rsidR="0052643B" w:rsidRPr="00154BF9">
              <w:rPr>
                <w:rFonts w:ascii="Times New Roman" w:eastAsia="Times New Roman" w:hAnsi="Times New Roman" w:cs="Times New Roman"/>
                <w:b/>
                <w:sz w:val="20"/>
                <w:szCs w:val="20"/>
                <w:lang w:eastAsia="pl-PL"/>
              </w:rPr>
              <w:t xml:space="preserve"> </w:t>
            </w:r>
            <w:r w:rsidRPr="00154BF9">
              <w:rPr>
                <w:rFonts w:ascii="Times New Roman" w:eastAsia="Times New Roman" w:hAnsi="Times New Roman" w:cs="Times New Roman"/>
                <w:b/>
                <w:sz w:val="20"/>
                <w:szCs w:val="20"/>
                <w:lang w:eastAsia="pl-PL"/>
              </w:rPr>
              <w:t>STAWÓW</w:t>
            </w:r>
            <w:r w:rsidR="00EC7B60">
              <w:rPr>
                <w:rFonts w:ascii="Times New Roman" w:eastAsia="Times New Roman" w:hAnsi="Times New Roman" w:cs="Times New Roman"/>
                <w:b/>
                <w:sz w:val="20"/>
                <w:szCs w:val="20"/>
                <w:lang w:eastAsia="pl-PL"/>
              </w:rPr>
              <w:t xml:space="preserve"> (MIZS)</w:t>
            </w:r>
          </w:p>
        </w:tc>
      </w:tr>
      <w:tr w:rsidR="00154BF9" w:rsidRPr="00154BF9" w14:paraId="280CD3AA" w14:textId="77777777" w:rsidTr="00FE3490">
        <w:tc>
          <w:tcPr>
            <w:tcW w:w="6799" w:type="dxa"/>
            <w:tcBorders>
              <w:top w:val="single" w:sz="4" w:space="0" w:color="auto"/>
              <w:left w:val="single" w:sz="4" w:space="0" w:color="auto"/>
              <w:bottom w:val="single" w:sz="4" w:space="0" w:color="auto"/>
            </w:tcBorders>
          </w:tcPr>
          <w:p w14:paraId="28A20C82" w14:textId="77777777" w:rsidR="00876779" w:rsidRPr="00154BF9" w:rsidRDefault="00876779" w:rsidP="00127ABF">
            <w:pPr>
              <w:autoSpaceDE w:val="0"/>
              <w:autoSpaceDN w:val="0"/>
              <w:adjustRightInd w:val="0"/>
              <w:spacing w:before="120"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W ramach programu lekowego udostępnia się terapie:</w:t>
            </w:r>
          </w:p>
          <w:p w14:paraId="6BC6A5C0" w14:textId="77777777" w:rsidR="00876779" w:rsidRPr="004F7B25" w:rsidRDefault="00876779" w:rsidP="00127ABF">
            <w:pPr>
              <w:pStyle w:val="Akapitzlist"/>
              <w:numPr>
                <w:ilvl w:val="0"/>
                <w:numId w:val="27"/>
              </w:numPr>
              <w:autoSpaceDE w:val="0"/>
              <w:autoSpaceDN w:val="0"/>
              <w:adjustRightInd w:val="0"/>
              <w:spacing w:after="60" w:line="276" w:lineRule="auto"/>
              <w:contextualSpacing w:val="0"/>
              <w:jc w:val="both"/>
              <w:rPr>
                <w:rFonts w:ascii="Times New Roman" w:eastAsia="Times New Roman" w:hAnsi="Times New Roman" w:cs="Times New Roman"/>
                <w:i/>
                <w:iCs/>
                <w:color w:val="000000"/>
                <w:sz w:val="20"/>
                <w:szCs w:val="20"/>
                <w:lang w:eastAsia="pl-PL"/>
              </w:rPr>
            </w:pPr>
            <w:r w:rsidRPr="004F7B25">
              <w:rPr>
                <w:rFonts w:ascii="Times New Roman" w:eastAsia="Times New Roman" w:hAnsi="Times New Roman" w:cs="Times New Roman"/>
                <w:i/>
                <w:iCs/>
                <w:color w:val="000000"/>
                <w:sz w:val="20"/>
                <w:szCs w:val="20"/>
                <w:lang w:eastAsia="pl-PL"/>
              </w:rPr>
              <w:t>adalimumabem,</w:t>
            </w:r>
          </w:p>
          <w:p w14:paraId="0C6EE6FF" w14:textId="7E582F22" w:rsidR="00876779" w:rsidRPr="004F7B25" w:rsidRDefault="00876779" w:rsidP="00127ABF">
            <w:pPr>
              <w:pStyle w:val="Akapitzlist"/>
              <w:numPr>
                <w:ilvl w:val="0"/>
                <w:numId w:val="27"/>
              </w:numPr>
              <w:autoSpaceDE w:val="0"/>
              <w:autoSpaceDN w:val="0"/>
              <w:adjustRightInd w:val="0"/>
              <w:spacing w:after="60" w:line="276" w:lineRule="auto"/>
              <w:contextualSpacing w:val="0"/>
              <w:jc w:val="both"/>
              <w:rPr>
                <w:rFonts w:ascii="Times New Roman" w:eastAsia="Times New Roman" w:hAnsi="Times New Roman" w:cs="Times New Roman"/>
                <w:i/>
                <w:iCs/>
                <w:color w:val="000000"/>
                <w:sz w:val="20"/>
                <w:szCs w:val="20"/>
                <w:lang w:eastAsia="pl-PL"/>
              </w:rPr>
            </w:pPr>
            <w:r w:rsidRPr="004F7B25">
              <w:rPr>
                <w:rFonts w:ascii="Times New Roman" w:eastAsia="Times New Roman" w:hAnsi="Times New Roman" w:cs="Times New Roman"/>
                <w:i/>
                <w:iCs/>
                <w:color w:val="000000"/>
                <w:sz w:val="20"/>
                <w:szCs w:val="20"/>
                <w:lang w:eastAsia="pl-PL"/>
              </w:rPr>
              <w:t>etanerceptem,</w:t>
            </w:r>
          </w:p>
          <w:p w14:paraId="15A07857" w14:textId="0FE7EE3B" w:rsidR="00876779" w:rsidRPr="004F7B25" w:rsidRDefault="00876779" w:rsidP="00127ABF">
            <w:pPr>
              <w:pStyle w:val="Akapitzlist"/>
              <w:numPr>
                <w:ilvl w:val="0"/>
                <w:numId w:val="27"/>
              </w:numPr>
              <w:autoSpaceDE w:val="0"/>
              <w:autoSpaceDN w:val="0"/>
              <w:adjustRightInd w:val="0"/>
              <w:spacing w:after="60" w:line="276" w:lineRule="auto"/>
              <w:contextualSpacing w:val="0"/>
              <w:jc w:val="both"/>
              <w:rPr>
                <w:rFonts w:ascii="Times New Roman" w:eastAsia="Times New Roman" w:hAnsi="Times New Roman" w:cs="Times New Roman"/>
                <w:i/>
                <w:iCs/>
                <w:color w:val="000000"/>
                <w:sz w:val="20"/>
                <w:szCs w:val="20"/>
                <w:lang w:eastAsia="pl-PL"/>
              </w:rPr>
            </w:pPr>
            <w:r w:rsidRPr="004F7B25">
              <w:rPr>
                <w:rFonts w:ascii="Times New Roman" w:eastAsia="Times New Roman" w:hAnsi="Times New Roman" w:cs="Times New Roman"/>
                <w:i/>
                <w:iCs/>
                <w:color w:val="000000"/>
                <w:sz w:val="20"/>
                <w:szCs w:val="20"/>
                <w:lang w:eastAsia="pl-PL"/>
              </w:rPr>
              <w:t>sekukinumabem,</w:t>
            </w:r>
          </w:p>
          <w:p w14:paraId="483561D2" w14:textId="10237209" w:rsidR="00876779" w:rsidRPr="004F7B25" w:rsidRDefault="00876779" w:rsidP="00127ABF">
            <w:pPr>
              <w:pStyle w:val="Akapitzlist"/>
              <w:numPr>
                <w:ilvl w:val="0"/>
                <w:numId w:val="27"/>
              </w:numPr>
              <w:autoSpaceDE w:val="0"/>
              <w:autoSpaceDN w:val="0"/>
              <w:adjustRightInd w:val="0"/>
              <w:spacing w:after="60" w:line="276" w:lineRule="auto"/>
              <w:contextualSpacing w:val="0"/>
              <w:jc w:val="both"/>
              <w:rPr>
                <w:rFonts w:ascii="Times New Roman" w:eastAsia="Times New Roman" w:hAnsi="Times New Roman" w:cs="Times New Roman"/>
                <w:i/>
                <w:iCs/>
                <w:color w:val="000000"/>
                <w:sz w:val="20"/>
                <w:szCs w:val="20"/>
                <w:lang w:eastAsia="pl-PL"/>
              </w:rPr>
            </w:pPr>
            <w:r w:rsidRPr="004F7B25">
              <w:rPr>
                <w:rFonts w:ascii="Times New Roman" w:eastAsia="Times New Roman" w:hAnsi="Times New Roman" w:cs="Times New Roman"/>
                <w:i/>
                <w:iCs/>
                <w:color w:val="000000"/>
                <w:sz w:val="20"/>
                <w:szCs w:val="20"/>
                <w:lang w:eastAsia="pl-PL"/>
              </w:rPr>
              <w:t>tocilizumabem w postaci dożylnej,</w:t>
            </w:r>
          </w:p>
          <w:p w14:paraId="0E37496B" w14:textId="77777777" w:rsidR="000717B4" w:rsidRDefault="00876779" w:rsidP="00127ABF">
            <w:pPr>
              <w:pStyle w:val="Akapitzlist"/>
              <w:numPr>
                <w:ilvl w:val="0"/>
                <w:numId w:val="27"/>
              </w:numPr>
              <w:autoSpaceDE w:val="0"/>
              <w:autoSpaceDN w:val="0"/>
              <w:adjustRightInd w:val="0"/>
              <w:spacing w:after="60" w:line="276" w:lineRule="auto"/>
              <w:contextualSpacing w:val="0"/>
              <w:jc w:val="both"/>
              <w:rPr>
                <w:rFonts w:ascii="Times New Roman" w:eastAsia="Times New Roman" w:hAnsi="Times New Roman" w:cs="Times New Roman"/>
                <w:i/>
                <w:iCs/>
                <w:color w:val="000000"/>
                <w:sz w:val="20"/>
                <w:szCs w:val="20"/>
                <w:lang w:eastAsia="pl-PL"/>
              </w:rPr>
            </w:pPr>
            <w:r w:rsidRPr="004F7B25">
              <w:rPr>
                <w:rFonts w:ascii="Times New Roman" w:eastAsia="Times New Roman" w:hAnsi="Times New Roman" w:cs="Times New Roman"/>
                <w:i/>
                <w:iCs/>
                <w:color w:val="000000"/>
                <w:sz w:val="20"/>
                <w:szCs w:val="20"/>
                <w:lang w:eastAsia="pl-PL"/>
              </w:rPr>
              <w:t>anakinrą</w:t>
            </w:r>
            <w:r w:rsidR="000717B4">
              <w:rPr>
                <w:rFonts w:ascii="Times New Roman" w:eastAsia="Times New Roman" w:hAnsi="Times New Roman" w:cs="Times New Roman"/>
                <w:i/>
                <w:iCs/>
                <w:color w:val="000000"/>
                <w:sz w:val="20"/>
                <w:szCs w:val="20"/>
                <w:lang w:eastAsia="pl-PL"/>
              </w:rPr>
              <w:t>,</w:t>
            </w:r>
          </w:p>
          <w:p w14:paraId="39B92000" w14:textId="77777777" w:rsidR="00C35B46" w:rsidRDefault="000717B4" w:rsidP="00127ABF">
            <w:pPr>
              <w:pStyle w:val="Akapitzlist"/>
              <w:numPr>
                <w:ilvl w:val="0"/>
                <w:numId w:val="27"/>
              </w:numPr>
              <w:autoSpaceDE w:val="0"/>
              <w:autoSpaceDN w:val="0"/>
              <w:adjustRightInd w:val="0"/>
              <w:spacing w:after="60" w:line="276" w:lineRule="auto"/>
              <w:contextualSpacing w:val="0"/>
              <w:jc w:val="both"/>
              <w:rPr>
                <w:rFonts w:ascii="Times New Roman" w:eastAsia="Times New Roman" w:hAnsi="Times New Roman" w:cs="Times New Roman"/>
                <w:i/>
                <w:iCs/>
                <w:color w:val="000000"/>
                <w:sz w:val="20"/>
                <w:szCs w:val="20"/>
                <w:lang w:eastAsia="pl-PL"/>
              </w:rPr>
            </w:pPr>
            <w:r>
              <w:rPr>
                <w:rFonts w:ascii="Times New Roman" w:eastAsia="Times New Roman" w:hAnsi="Times New Roman" w:cs="Times New Roman"/>
                <w:i/>
                <w:iCs/>
                <w:color w:val="000000"/>
                <w:sz w:val="20"/>
                <w:szCs w:val="20"/>
                <w:lang w:eastAsia="pl-PL"/>
              </w:rPr>
              <w:t>tofacytynibem</w:t>
            </w:r>
            <w:r w:rsidR="00C35B46">
              <w:rPr>
                <w:rFonts w:ascii="Times New Roman" w:eastAsia="Times New Roman" w:hAnsi="Times New Roman" w:cs="Times New Roman"/>
                <w:i/>
                <w:iCs/>
                <w:color w:val="000000"/>
                <w:sz w:val="20"/>
                <w:szCs w:val="20"/>
                <w:lang w:eastAsia="pl-PL"/>
              </w:rPr>
              <w:t>,</w:t>
            </w:r>
          </w:p>
          <w:p w14:paraId="15093C93" w14:textId="181533CC" w:rsidR="00876779" w:rsidRPr="004F7B25" w:rsidRDefault="00C35B46" w:rsidP="00127ABF">
            <w:pPr>
              <w:pStyle w:val="Akapitzlist"/>
              <w:numPr>
                <w:ilvl w:val="0"/>
                <w:numId w:val="27"/>
              </w:numPr>
              <w:autoSpaceDE w:val="0"/>
              <w:autoSpaceDN w:val="0"/>
              <w:adjustRightInd w:val="0"/>
              <w:spacing w:after="60" w:line="276" w:lineRule="auto"/>
              <w:contextualSpacing w:val="0"/>
              <w:jc w:val="both"/>
              <w:rPr>
                <w:rFonts w:ascii="Times New Roman" w:eastAsia="Times New Roman" w:hAnsi="Times New Roman" w:cs="Times New Roman"/>
                <w:i/>
                <w:iCs/>
                <w:color w:val="000000"/>
                <w:sz w:val="20"/>
                <w:szCs w:val="20"/>
                <w:lang w:eastAsia="pl-PL"/>
              </w:rPr>
            </w:pPr>
            <w:r w:rsidRPr="00C35B46">
              <w:rPr>
                <w:rFonts w:ascii="Times New Roman" w:eastAsia="Times New Roman" w:hAnsi="Times New Roman" w:cs="Times New Roman"/>
                <w:i/>
                <w:iCs/>
                <w:color w:val="000000"/>
                <w:sz w:val="20"/>
                <w:szCs w:val="20"/>
                <w:lang w:eastAsia="pl-PL"/>
              </w:rPr>
              <w:t>kanakinumabe</w:t>
            </w:r>
            <w:r>
              <w:rPr>
                <w:rFonts w:ascii="Times New Roman" w:eastAsia="Times New Roman" w:hAnsi="Times New Roman" w:cs="Times New Roman"/>
                <w:i/>
                <w:iCs/>
                <w:color w:val="000000"/>
                <w:sz w:val="20"/>
                <w:szCs w:val="20"/>
                <w:lang w:eastAsia="pl-PL"/>
              </w:rPr>
              <w:t>m.</w:t>
            </w:r>
          </w:p>
          <w:p w14:paraId="1E65938B" w14:textId="77777777" w:rsidR="00876779" w:rsidRPr="004F7B25" w:rsidRDefault="00876779" w:rsidP="00127ABF">
            <w:pPr>
              <w:spacing w:after="60" w:line="276" w:lineRule="auto"/>
              <w:jc w:val="both"/>
              <w:rPr>
                <w:rFonts w:ascii="Times New Roman" w:hAnsi="Times New Roman" w:cs="Times New Roman"/>
                <w:sz w:val="20"/>
                <w:szCs w:val="20"/>
                <w:u w:val="single"/>
              </w:rPr>
            </w:pPr>
            <w:r w:rsidRPr="004F7B25">
              <w:rPr>
                <w:rFonts w:ascii="Times New Roman" w:hAnsi="Times New Roman" w:cs="Times New Roman"/>
                <w:sz w:val="20"/>
                <w:szCs w:val="20"/>
                <w:u w:val="single"/>
              </w:rPr>
              <w:t>zgodnie ze wskazanymi w opisie programu warunkami i kryteriami.</w:t>
            </w:r>
          </w:p>
          <w:p w14:paraId="39DA018E" w14:textId="77777777" w:rsidR="00876779" w:rsidRPr="004F7B25" w:rsidRDefault="00876779" w:rsidP="00127ABF">
            <w:pPr>
              <w:spacing w:after="60" w:line="276" w:lineRule="auto"/>
              <w:jc w:val="both"/>
              <w:rPr>
                <w:rFonts w:ascii="Times New Roman" w:hAnsi="Times New Roman" w:cs="Times New Roman"/>
                <w:sz w:val="20"/>
                <w:szCs w:val="20"/>
              </w:rPr>
            </w:pPr>
            <w:r w:rsidRPr="004F7B25">
              <w:rPr>
                <w:rFonts w:ascii="Times New Roman" w:hAnsi="Times New Roman" w:cs="Times New Roman"/>
                <w:sz w:val="20"/>
                <w:szCs w:val="20"/>
              </w:rPr>
              <w:t>Kwalifikacja świadczeniobiorców do programu przeprowadzana jest przez Zespół Koordynacyjny ds. Leczenia Biologicznego w Chorobach Reumatycznych powoływany przez Prezesa Narodowego Funduszu Zdrowia.</w:t>
            </w:r>
          </w:p>
          <w:p w14:paraId="1439A95F" w14:textId="77777777" w:rsidR="00876779" w:rsidRPr="00154BF9" w:rsidRDefault="00876779" w:rsidP="006C3A73">
            <w:pPr>
              <w:spacing w:after="60" w:line="276" w:lineRule="auto"/>
              <w:ind w:left="227"/>
              <w:jc w:val="both"/>
              <w:rPr>
                <w:rFonts w:ascii="Times New Roman" w:eastAsia="Times New Roman" w:hAnsi="Times New Roman" w:cs="Times New Roman"/>
                <w:b/>
                <w:sz w:val="20"/>
                <w:szCs w:val="20"/>
                <w:lang w:eastAsia="pl-PL"/>
              </w:rPr>
            </w:pPr>
          </w:p>
          <w:p w14:paraId="33E31E12" w14:textId="5027717D" w:rsidR="009D7AE1" w:rsidRPr="004F7B25" w:rsidRDefault="009D7AE1" w:rsidP="006C3A73">
            <w:pPr>
              <w:pStyle w:val="Akapitzlist"/>
              <w:numPr>
                <w:ilvl w:val="0"/>
                <w:numId w:val="20"/>
              </w:numPr>
              <w:autoSpaceDE w:val="0"/>
              <w:autoSpaceDN w:val="0"/>
              <w:adjustRightInd w:val="0"/>
              <w:spacing w:after="60" w:line="276" w:lineRule="auto"/>
              <w:contextualSpacing w:val="0"/>
              <w:jc w:val="both"/>
              <w:rPr>
                <w:rFonts w:ascii="Times New Roman" w:eastAsia="Times New Roman" w:hAnsi="Times New Roman" w:cs="Times New Roman"/>
                <w:b/>
                <w:bCs/>
                <w:sz w:val="20"/>
                <w:szCs w:val="20"/>
                <w:lang w:eastAsia="pl-PL"/>
              </w:rPr>
            </w:pPr>
            <w:r w:rsidRPr="004F7B25">
              <w:rPr>
                <w:rFonts w:ascii="Times New Roman" w:eastAsia="Times New Roman" w:hAnsi="Times New Roman" w:cs="Times New Roman"/>
                <w:b/>
                <w:bCs/>
                <w:sz w:val="20"/>
                <w:szCs w:val="20"/>
                <w:lang w:eastAsia="pl-PL"/>
              </w:rPr>
              <w:t>Kryteria</w:t>
            </w:r>
            <w:r w:rsidR="0052643B" w:rsidRPr="004F7B25">
              <w:rPr>
                <w:rFonts w:ascii="Times New Roman" w:eastAsia="Times New Roman" w:hAnsi="Times New Roman" w:cs="Times New Roman"/>
                <w:b/>
                <w:bCs/>
                <w:sz w:val="20"/>
                <w:szCs w:val="20"/>
                <w:lang w:eastAsia="pl-PL"/>
              </w:rPr>
              <w:t xml:space="preserve"> </w:t>
            </w:r>
            <w:r w:rsidRPr="004F7B25">
              <w:rPr>
                <w:rFonts w:ascii="Times New Roman" w:eastAsia="Times New Roman" w:hAnsi="Times New Roman" w:cs="Times New Roman"/>
                <w:b/>
                <w:bCs/>
                <w:sz w:val="20"/>
                <w:szCs w:val="20"/>
                <w:lang w:eastAsia="pl-PL"/>
              </w:rPr>
              <w:t>kwalifikacji</w:t>
            </w:r>
          </w:p>
          <w:p w14:paraId="052A9109" w14:textId="1AD2A98C" w:rsidR="009F08ED" w:rsidRPr="00154BF9" w:rsidRDefault="009F08ED" w:rsidP="006C3A73">
            <w:pPr>
              <w:spacing w:after="60" w:line="276" w:lineRule="auto"/>
              <w:jc w:val="both"/>
              <w:rPr>
                <w:rFonts w:ascii="Times New Roman" w:eastAsia="Times New Roman" w:hAnsi="Times New Roman" w:cs="Times New Roman"/>
                <w:bCs/>
                <w:sz w:val="20"/>
                <w:szCs w:val="20"/>
                <w:lang w:eastAsia="pl-PL"/>
              </w:rPr>
            </w:pPr>
            <w:r w:rsidRPr="00154BF9">
              <w:rPr>
                <w:rFonts w:ascii="Times New Roman" w:eastAsia="Times New Roman" w:hAnsi="Times New Roman" w:cs="Times New Roman"/>
                <w:bCs/>
                <w:sz w:val="20"/>
                <w:szCs w:val="20"/>
                <w:lang w:eastAsia="pl-PL"/>
              </w:rPr>
              <w:t>Do programu kwalifikowani są pacjenci spełniający łącznie następujące kryteria:</w:t>
            </w:r>
          </w:p>
          <w:p w14:paraId="75795770" w14:textId="35DAF8AF" w:rsidR="009D7AE1" w:rsidRPr="00154BF9" w:rsidRDefault="009D7AE1" w:rsidP="006C3A73">
            <w:pPr>
              <w:numPr>
                <w:ilvl w:val="3"/>
                <w:numId w:val="20"/>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kwalifikuje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się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pacjentów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od</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2</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roku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życia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terapii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adalimumabem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tocilizumabem</w:t>
            </w:r>
            <w:r w:rsidR="0052643B" w:rsidRPr="00154BF9">
              <w:rPr>
                <w:rFonts w:ascii="Times New Roman" w:eastAsia="Times New Roman" w:hAnsi="Times New Roman" w:cs="Times New Roman"/>
                <w:sz w:val="20"/>
                <w:szCs w:val="20"/>
                <w:lang w:eastAsia="pl-PL"/>
              </w:rPr>
              <w:t xml:space="preserve"> </w:t>
            </w:r>
            <w:r w:rsidR="00057286"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00057286" w:rsidRPr="00154BF9">
              <w:rPr>
                <w:rFonts w:ascii="Times New Roman" w:eastAsia="Times New Roman" w:hAnsi="Times New Roman" w:cs="Times New Roman"/>
                <w:sz w:val="20"/>
                <w:szCs w:val="20"/>
                <w:lang w:eastAsia="pl-PL"/>
              </w:rPr>
              <w:t>postaci</w:t>
            </w:r>
            <w:r w:rsidR="0052643B" w:rsidRPr="00154BF9">
              <w:rPr>
                <w:rFonts w:ascii="Times New Roman" w:eastAsia="Times New Roman" w:hAnsi="Times New Roman" w:cs="Times New Roman"/>
                <w:sz w:val="20"/>
                <w:szCs w:val="20"/>
                <w:lang w:eastAsia="pl-PL"/>
              </w:rPr>
              <w:t xml:space="preserve"> </w:t>
            </w:r>
            <w:r w:rsidR="00057286" w:rsidRPr="00154BF9">
              <w:rPr>
                <w:rFonts w:ascii="Times New Roman" w:eastAsia="Times New Roman" w:hAnsi="Times New Roman" w:cs="Times New Roman"/>
                <w:sz w:val="20"/>
                <w:szCs w:val="20"/>
                <w:lang w:eastAsia="pl-PL"/>
              </w:rPr>
              <w:t>dożylnej</w:t>
            </w:r>
            <w:r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albo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od</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4</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roku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życia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terapii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etanerceptem),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spełniających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kryteria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rozpoznania:</w:t>
            </w:r>
          </w:p>
          <w:p w14:paraId="55568B7C" w14:textId="18D3B476" w:rsidR="00A857A0" w:rsidRPr="00154BF9" w:rsidRDefault="009D7AE1" w:rsidP="006C3A73">
            <w:pPr>
              <w:numPr>
                <w:ilvl w:val="4"/>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wielostawowej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postaci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młodzieńczego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idiopatycznego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zapalenia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stawów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(MIZS)</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najmniej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5</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obrzękniętymi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stawami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najmniej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3</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stawami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ograniczonej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ruchomości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oraz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bolesnością,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przyspieszonym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powyżej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normy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OB.</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CRP</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oceną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przez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lekarza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aktywności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choroby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najmniej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4</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10-punktowej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skali,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mimo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dwoma,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wymienionymi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lekami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modyfikującymi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przebieg</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choroby/lekami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immunosupresyjnymi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obowiązujących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dawkach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tym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metotreksatem)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przez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minimum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3</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miesiące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każdym</w:t>
            </w:r>
          </w:p>
          <w:p w14:paraId="4B1C6803" w14:textId="7107DA81" w:rsidR="009D7AE1" w:rsidRPr="00154BF9" w:rsidRDefault="009D7AE1" w:rsidP="006C3A73">
            <w:pPr>
              <w:pStyle w:val="Akapitzlist"/>
              <w:spacing w:after="60" w:line="276" w:lineRule="auto"/>
              <w:ind w:left="589"/>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albo</w:t>
            </w:r>
          </w:p>
          <w:p w14:paraId="3D6B4D83" w14:textId="0CBED063" w:rsidR="00A857A0" w:rsidRPr="00154BF9" w:rsidRDefault="009D7AE1" w:rsidP="006C3A73">
            <w:pPr>
              <w:numPr>
                <w:ilvl w:val="4"/>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lastRenderedPageBreak/>
              <w:t>nielicznostawowej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postaci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MIZS,</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rozszerzającej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się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przetrwałej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ponad</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6</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miesięcy,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występujących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czynnikach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złej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prognozy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(wg</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ACR)</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obecnością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najmniej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2</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stawów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obrzękniętych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ograniczoną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ruchomością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bolesnością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oceną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przez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lekarza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aktywności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choroby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najmniej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5</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10-punktowej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skali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towarzyszącym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bólem,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tkliwością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obiema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tymi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cechami,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mimo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dwoma,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wymienionymi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lekami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modyfikującymi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przebieg</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choroby/lekami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immunosupresyjnymi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obowiązujących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dawkach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tym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metotreksatem)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przez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minimum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3</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miesiące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każdym</w:t>
            </w:r>
          </w:p>
          <w:p w14:paraId="1BFD9925" w14:textId="0F4D1E50" w:rsidR="008B5670" w:rsidRPr="00FC0580" w:rsidRDefault="009D7AE1" w:rsidP="006C3A73">
            <w:pPr>
              <w:pStyle w:val="Akapitzlist"/>
              <w:spacing w:after="60" w:line="276" w:lineRule="auto"/>
              <w:ind w:left="589"/>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albo</w:t>
            </w:r>
          </w:p>
          <w:p w14:paraId="361E5DAE" w14:textId="61511086" w:rsidR="000B0258" w:rsidRDefault="009D7AE1" w:rsidP="006C3A73">
            <w:pPr>
              <w:numPr>
                <w:ilvl w:val="4"/>
                <w:numId w:val="1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MIZS</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dominującym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zapaleniem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błony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naczyniowej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oka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niepoddającym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się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dwoma,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wymienionymi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lekami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modyfikującymi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przebieg</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choroby/lekami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immunosupresyjnymi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obowiązujących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dawkach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tym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metotreksatem)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przez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minimum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3</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miesiące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każdym,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niezależnie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od</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ilości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zajętych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stawów.</w:t>
            </w:r>
          </w:p>
          <w:p w14:paraId="0B5C606E" w14:textId="77777777" w:rsidR="006C3A73" w:rsidRPr="006C3A73" w:rsidRDefault="006C3A73" w:rsidP="006C3A73">
            <w:pPr>
              <w:spacing w:after="60" w:line="276" w:lineRule="auto"/>
              <w:jc w:val="both"/>
              <w:rPr>
                <w:rFonts w:ascii="Times New Roman" w:eastAsia="Times New Roman" w:hAnsi="Times New Roman" w:cs="Times New Roman"/>
                <w:sz w:val="20"/>
                <w:szCs w:val="20"/>
                <w:lang w:eastAsia="pl-PL"/>
              </w:rPr>
            </w:pPr>
          </w:p>
          <w:p w14:paraId="0A14CB95" w14:textId="5BCB9CEC" w:rsidR="000B0258" w:rsidRPr="006C3A73" w:rsidRDefault="000B0258" w:rsidP="006C3A73">
            <w:pPr>
              <w:pStyle w:val="Default"/>
              <w:numPr>
                <w:ilvl w:val="3"/>
                <w:numId w:val="20"/>
              </w:numPr>
              <w:spacing w:after="60" w:line="276" w:lineRule="auto"/>
              <w:jc w:val="both"/>
              <w:rPr>
                <w:sz w:val="20"/>
                <w:szCs w:val="20"/>
              </w:rPr>
            </w:pPr>
            <w:r>
              <w:rPr>
                <w:sz w:val="20"/>
                <w:szCs w:val="20"/>
              </w:rPr>
              <w:t xml:space="preserve">Do terapii tofacytynibem kwalifikuje się pacjentów od 2 roku życia, spełniających kryteria rozpoznania: </w:t>
            </w:r>
          </w:p>
          <w:p w14:paraId="11BD1F1A" w14:textId="7C058079" w:rsidR="008B5670" w:rsidRPr="00FC0580" w:rsidRDefault="008B5670" w:rsidP="006C3A73">
            <w:pPr>
              <w:pStyle w:val="Akapitzlist"/>
              <w:numPr>
                <w:ilvl w:val="4"/>
                <w:numId w:val="20"/>
              </w:numPr>
              <w:spacing w:after="60" w:line="276" w:lineRule="auto"/>
              <w:contextualSpacing w:val="0"/>
              <w:jc w:val="both"/>
              <w:rPr>
                <w:rFonts w:ascii="Times New Roman" w:eastAsia="Times New Roman" w:hAnsi="Times New Roman" w:cs="Times New Roman"/>
                <w:sz w:val="20"/>
                <w:szCs w:val="20"/>
                <w:lang w:eastAsia="pl-PL"/>
              </w:rPr>
            </w:pPr>
            <w:r w:rsidRPr="00FC0580">
              <w:rPr>
                <w:rFonts w:ascii="Times New Roman" w:eastAsia="Times New Roman" w:hAnsi="Times New Roman" w:cs="Times New Roman"/>
                <w:sz w:val="20"/>
                <w:szCs w:val="20"/>
                <w:lang w:eastAsia="pl-PL"/>
              </w:rPr>
              <w:t>wielostawowej postaci młodzieńczego idiopatycznego zapalenia stawów (MIZS) z co najmniej 5 obrzękniętymi stawami i co najmniej 3 stawami o ograniczonej ruchomości oraz bolesnością, przyspieszonym powyżej normy OB. lub CRP i oceną przez lekarza aktywności choroby na co najmniej 4 w 10-punktowej skali, mimo leczenia dwoma, wymienionymi w programie lekami modyfikującymi przebieg choroby/lekami immunosupresyjnymi w obowiązujących dawkach (w tym metotreksatem) przez minimum 3 miesiące każdym</w:t>
            </w:r>
          </w:p>
          <w:p w14:paraId="1B979CF9" w14:textId="77777777" w:rsidR="00FC0580" w:rsidRDefault="008B5670" w:rsidP="006C3A73">
            <w:pPr>
              <w:pStyle w:val="Akapitzlist"/>
              <w:spacing w:after="60" w:line="276" w:lineRule="auto"/>
              <w:ind w:left="589"/>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albo</w:t>
            </w:r>
          </w:p>
          <w:p w14:paraId="15EF856C" w14:textId="7A1EA36E" w:rsidR="008B5670" w:rsidRPr="00FC0580" w:rsidRDefault="008B5670" w:rsidP="006C3A73">
            <w:pPr>
              <w:pStyle w:val="Akapitzlist"/>
              <w:numPr>
                <w:ilvl w:val="4"/>
                <w:numId w:val="20"/>
              </w:numPr>
              <w:spacing w:after="60" w:line="276" w:lineRule="auto"/>
              <w:contextualSpacing w:val="0"/>
              <w:jc w:val="both"/>
              <w:rPr>
                <w:rFonts w:ascii="Times New Roman" w:eastAsia="Times New Roman" w:hAnsi="Times New Roman" w:cs="Times New Roman"/>
                <w:sz w:val="20"/>
                <w:szCs w:val="20"/>
                <w:lang w:eastAsia="pl-PL"/>
              </w:rPr>
            </w:pPr>
            <w:r w:rsidRPr="00FC0580">
              <w:rPr>
                <w:rFonts w:ascii="Times New Roman" w:eastAsia="Times New Roman" w:hAnsi="Times New Roman" w:cs="Times New Roman"/>
                <w:sz w:val="20"/>
                <w:szCs w:val="20"/>
                <w:lang w:eastAsia="pl-PL"/>
              </w:rPr>
              <w:t xml:space="preserve">nielicznostawowej postaci MIZS, rozszerzającej się i przetrwałej ponad 6 miesięcy, przy występujących czynnikach złej prognozy (wg ACR) i z obecnością co najmniej 2 stawów obrzękniętych lub z ograniczoną ruchomością i bolesnością i oceną przez lekarza aktywności choroby na co </w:t>
            </w:r>
            <w:r w:rsidRPr="00FC0580">
              <w:rPr>
                <w:rFonts w:ascii="Times New Roman" w:eastAsia="Times New Roman" w:hAnsi="Times New Roman" w:cs="Times New Roman"/>
                <w:sz w:val="20"/>
                <w:szCs w:val="20"/>
                <w:lang w:eastAsia="pl-PL"/>
              </w:rPr>
              <w:lastRenderedPageBreak/>
              <w:t>najmniej 5 w 10-punktowej skali z towarzyszącym bólem, tkliwością lub obiema tymi cechami, mimo leczenia dwoma, wymienionymi w programie lekami modyfikującymi przebieg choroby/lekami immunosupresyjnymi w obowiązujących dawkach (w tym metotreksatem) przez minimum 3 miesiące każdym</w:t>
            </w:r>
          </w:p>
          <w:p w14:paraId="04D23A74" w14:textId="77777777" w:rsidR="00FC0580" w:rsidRDefault="008B5670" w:rsidP="006C3A73">
            <w:pPr>
              <w:pStyle w:val="Akapitzlist"/>
              <w:spacing w:after="60" w:line="276" w:lineRule="auto"/>
              <w:ind w:left="589"/>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 xml:space="preserve">albo </w:t>
            </w:r>
          </w:p>
          <w:p w14:paraId="14DF4CBD" w14:textId="2E62996B" w:rsidR="008B5670" w:rsidRPr="00FC0580" w:rsidRDefault="008B5670" w:rsidP="006C3A73">
            <w:pPr>
              <w:pStyle w:val="Akapitzlist"/>
              <w:numPr>
                <w:ilvl w:val="4"/>
                <w:numId w:val="20"/>
              </w:numPr>
              <w:spacing w:after="60" w:line="276" w:lineRule="auto"/>
              <w:contextualSpacing w:val="0"/>
              <w:jc w:val="both"/>
              <w:rPr>
                <w:rFonts w:ascii="Times New Roman" w:eastAsia="Times New Roman" w:hAnsi="Times New Roman" w:cs="Times New Roman"/>
                <w:sz w:val="20"/>
                <w:szCs w:val="20"/>
                <w:lang w:eastAsia="pl-PL"/>
              </w:rPr>
            </w:pPr>
            <w:r w:rsidRPr="00FC0580">
              <w:rPr>
                <w:rFonts w:ascii="Times New Roman" w:eastAsia="Times New Roman" w:hAnsi="Times New Roman" w:cs="Times New Roman"/>
                <w:sz w:val="20"/>
                <w:szCs w:val="20"/>
                <w:lang w:eastAsia="pl-PL"/>
              </w:rPr>
              <w:t>młodzieńczego łuszczycowego zapalenia stawów zgodnie z kryteriami ILAR z obecnością co najmniej 3 stawów obrzękniętych lub z ograniczoną ruchomością i tkliwością oraz co najmniej jednego aktywnego (lub w wywiadzie) zapalenia przyczepów ścięgnistych lub z aktywnym zapaleniem stawów krzyżowo-biodrowych u pacjentów z nietolerancją lub niezadowalającą odpowiedzią na co najmniej jeden niesteroidowy lek przeciwzapalny stosowany w maksymalnej rekomendowanej lub tolerowanej przez chorego dawce przez okres jednego miesiąca, chyba, że występują przeciwwskazania do jego stosowania oraz nietolerancją lub niezadowalającą odpowiedzią na co najmniej jeden lek modyfikujący przebieg choroby stosowany w maksymalnej rekomendowanej lub tolerowanej przez chorego dawce przez okres dwóch miesięcy, chyba, że występują przeciwwskazania do jego stosowania</w:t>
            </w:r>
            <w:r w:rsidR="00FC0580">
              <w:rPr>
                <w:rFonts w:ascii="Times New Roman" w:eastAsia="Times New Roman" w:hAnsi="Times New Roman" w:cs="Times New Roman"/>
                <w:sz w:val="20"/>
                <w:szCs w:val="20"/>
                <w:lang w:eastAsia="pl-PL"/>
              </w:rPr>
              <w:t>.</w:t>
            </w:r>
          </w:p>
          <w:p w14:paraId="4BB6D405" w14:textId="558FAD73" w:rsidR="008B5670" w:rsidRPr="000B0258" w:rsidRDefault="008B5670" w:rsidP="006C3A73">
            <w:pPr>
              <w:pStyle w:val="Default"/>
              <w:spacing w:after="60" w:line="276" w:lineRule="auto"/>
              <w:jc w:val="both"/>
              <w:rPr>
                <w:sz w:val="20"/>
                <w:szCs w:val="20"/>
              </w:rPr>
            </w:pPr>
          </w:p>
          <w:p w14:paraId="185B73C4" w14:textId="77777777" w:rsidR="00551DED" w:rsidRPr="00154BF9" w:rsidRDefault="00551DED" w:rsidP="006C3A73">
            <w:pPr>
              <w:numPr>
                <w:ilvl w:val="3"/>
                <w:numId w:val="20"/>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Do terapii sekukinumabem kwalifikuje się pacjentów od 6 roku życia, spełniających kryteria rozpoznania:</w:t>
            </w:r>
          </w:p>
          <w:p w14:paraId="0774D6D6" w14:textId="657EEEC6" w:rsidR="00551DED" w:rsidRPr="00FC0580" w:rsidRDefault="00551DED" w:rsidP="006C3A73">
            <w:pPr>
              <w:pStyle w:val="Akapitzlist"/>
              <w:numPr>
                <w:ilvl w:val="4"/>
                <w:numId w:val="20"/>
              </w:numPr>
              <w:spacing w:after="60" w:line="276" w:lineRule="auto"/>
              <w:contextualSpacing w:val="0"/>
              <w:rPr>
                <w:rFonts w:ascii="Times New Roman" w:hAnsi="Times New Roman" w:cs="Times New Roman"/>
                <w:sz w:val="20"/>
                <w:szCs w:val="20"/>
                <w:lang w:eastAsia="pl-PL"/>
              </w:rPr>
            </w:pPr>
            <w:r w:rsidRPr="00FC0580">
              <w:rPr>
                <w:rFonts w:ascii="Times New Roman" w:hAnsi="Times New Roman" w:cs="Times New Roman"/>
                <w:sz w:val="20"/>
                <w:szCs w:val="20"/>
                <w:lang w:eastAsia="pl-PL"/>
              </w:rPr>
              <w:t xml:space="preserve">młodzieńczego łuszczycowego zapalenia stawów zgodnie z kryteriami ILAR z obecnością co najmniej 3 stawów obrzękniętych lub z ograniczoną ruchomością i tkliwością oraz co najmniej jednego aktywnego (lub w wywiadzie) zapalenia przyczepów ścięgnistych lub z aktywnym zapaleniem stawów krzyżowo-biodrowych u pacjentów z nietolerancją lub niezadowalającą odpowiedzią na co najmniej jeden niesteroidowy lek przeciwzapalny stosowany w maksymalnej rekomendowanej lub tolerowanej przez chorego dawce przez okres jednego miesiąca, chyba, że występują przeciwwskazania do jego stosowania oraz nietolerancją lub niezadowalającą odpowiedzią na co </w:t>
            </w:r>
            <w:r w:rsidRPr="00FC0580">
              <w:rPr>
                <w:rFonts w:ascii="Times New Roman" w:hAnsi="Times New Roman" w:cs="Times New Roman"/>
                <w:sz w:val="20"/>
                <w:szCs w:val="20"/>
                <w:lang w:eastAsia="pl-PL"/>
              </w:rPr>
              <w:lastRenderedPageBreak/>
              <w:t>najmniej jeden lek modyfikujący przebieg choroby stosowany w maksymalnej rekomendowanej lub tolerowanej przez chorego dawce przez okres dwóch miesięcy, chyba, że występują przeciwwskazania do jego stosowania</w:t>
            </w:r>
          </w:p>
          <w:p w14:paraId="28627ECD" w14:textId="77777777" w:rsidR="00551DED" w:rsidRPr="00FC0580" w:rsidRDefault="00551DED" w:rsidP="006C3A73">
            <w:pPr>
              <w:pStyle w:val="Akapitzlist"/>
              <w:spacing w:after="60" w:line="276" w:lineRule="auto"/>
              <w:ind w:left="589"/>
              <w:contextualSpacing w:val="0"/>
              <w:jc w:val="both"/>
              <w:rPr>
                <w:rFonts w:ascii="Times New Roman" w:eastAsia="Times New Roman" w:hAnsi="Times New Roman" w:cs="Times New Roman"/>
                <w:sz w:val="20"/>
                <w:szCs w:val="20"/>
                <w:lang w:eastAsia="pl-PL"/>
              </w:rPr>
            </w:pPr>
            <w:r w:rsidRPr="00FC0580">
              <w:rPr>
                <w:rFonts w:ascii="Times New Roman" w:eastAsia="Times New Roman" w:hAnsi="Times New Roman" w:cs="Times New Roman"/>
                <w:sz w:val="20"/>
                <w:szCs w:val="20"/>
                <w:lang w:eastAsia="pl-PL"/>
              </w:rPr>
              <w:t>albo</w:t>
            </w:r>
          </w:p>
          <w:p w14:paraId="51434852" w14:textId="25EFD852" w:rsidR="00551DED" w:rsidRPr="00FC0580" w:rsidRDefault="00551DED" w:rsidP="006C3A73">
            <w:pPr>
              <w:pStyle w:val="Akapitzlist"/>
              <w:numPr>
                <w:ilvl w:val="4"/>
                <w:numId w:val="20"/>
              </w:numPr>
              <w:spacing w:after="60" w:line="276" w:lineRule="auto"/>
              <w:contextualSpacing w:val="0"/>
              <w:rPr>
                <w:rFonts w:ascii="Times New Roman" w:hAnsi="Times New Roman" w:cs="Times New Roman"/>
                <w:sz w:val="20"/>
                <w:szCs w:val="20"/>
                <w:lang w:eastAsia="pl-PL"/>
              </w:rPr>
            </w:pPr>
            <w:r w:rsidRPr="00FC0580">
              <w:rPr>
                <w:rFonts w:ascii="Times New Roman" w:hAnsi="Times New Roman" w:cs="Times New Roman"/>
                <w:sz w:val="20"/>
                <w:szCs w:val="20"/>
                <w:lang w:eastAsia="pl-PL"/>
              </w:rPr>
              <w:t>zapalenia stawów z zapaleniem przyczepów ścięgnistych zgodnie z kryteriami ILAR z obecnością co najmniej 3 stawów obrzękniętych lub z ograniczoną ruchomością i tkliwością oraz co najmniej jednego aktywnego (lub w wywiadzie) zapalenia przyczepów ścięgnistych lub z aktywnym zapaleniem stawów krzyżowo-biodrowych u pacjentów z nietolerancją lub niezadowalającą odpowiedzią na co najmniej jeden niesteroidowy lek przeciwzapalny stosowany w maksymalnej rekomendowanej lub tolerowanej przez chorego dawce przez okres jednego miesiąca, chyba, że występują przeciwwskazania do jego stosowania  oraz nietolerancją lub niezadowalającą odpowiedzią na co najmniej jeden lek modyfikujący przebieg choroby  stosowany w maksymalnej rekomendowanej lub tolerowanej przez chorego dawce przez okres dwóch miesięcy, chyba, że występują przeciwwskazania do jego stosowania.</w:t>
            </w:r>
          </w:p>
          <w:p w14:paraId="12A35DFD" w14:textId="1323B654" w:rsidR="009D7AE1" w:rsidRPr="00154BF9" w:rsidRDefault="00A56095" w:rsidP="006C3A73">
            <w:pPr>
              <w:numPr>
                <w:ilvl w:val="3"/>
                <w:numId w:val="20"/>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Ponadto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kwalifikują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się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pacjenci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od</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2</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roku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życia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terapii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tocilizumabem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postaci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dożylnej</w:t>
            </w:r>
            <w:r w:rsidR="00FE68ED">
              <w:rPr>
                <w:rFonts w:ascii="Times New Roman" w:eastAsia="Times New Roman" w:hAnsi="Times New Roman" w:cs="Times New Roman"/>
                <w:sz w:val="20"/>
                <w:szCs w:val="20"/>
                <w:lang w:eastAsia="pl-PL"/>
              </w:rPr>
              <w:t xml:space="preserve"> </w:t>
            </w:r>
            <w:r w:rsidR="00FE68ED">
              <w:t xml:space="preserve"> </w:t>
            </w:r>
            <w:r w:rsidR="00FE68ED" w:rsidRPr="00FE68ED">
              <w:rPr>
                <w:rFonts w:ascii="Times New Roman" w:eastAsia="Times New Roman" w:hAnsi="Times New Roman" w:cs="Times New Roman"/>
                <w:sz w:val="20"/>
                <w:szCs w:val="20"/>
                <w:lang w:eastAsia="pl-PL"/>
              </w:rPr>
              <w:t>lub kanakinumabem</w:t>
            </w:r>
            <w:r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pacjenci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od</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8</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miesiąca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życia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masą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ciała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najmniej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10</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kg</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terapii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anakinrą)</w:t>
            </w:r>
            <w:r w:rsidR="009D7AE1"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rozpoznaniem:</w:t>
            </w:r>
          </w:p>
          <w:p w14:paraId="2CA06D7F" w14:textId="7E72B6A3" w:rsidR="00A857A0" w:rsidRPr="00154BF9" w:rsidRDefault="009D7AE1" w:rsidP="006C3A73">
            <w:pPr>
              <w:numPr>
                <w:ilvl w:val="4"/>
                <w:numId w:val="2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MIZS</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początku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uogólnionym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(rozpoznanie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podstawie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kryteriów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ILAR</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1997</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dominującymi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objawami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układowymi,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których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mimo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stosowania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przez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najmniej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2</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tygodnie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pełnych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dawek</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glikokortykosteroidów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(GKS)</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(doustnie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1-2</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mg/kg</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m.c./dobę,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maksymalnie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60</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mg/dobę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metyloprednizolonu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10-30</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mg/kg</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m.c./wlew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przez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3</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dni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ewentualnie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powtarzane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przez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kolejne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tygodnie)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utrzymuje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się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wystąpiła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ponownie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gorączka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utrzymują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się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układowe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objawy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wysokiej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aktywności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choroby,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rozumianej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jako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wartość</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5</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więcej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10-punktowej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skali,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wg</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oceny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lekarza</w:t>
            </w:r>
            <w:r w:rsidR="0052643B" w:rsidRPr="00154BF9">
              <w:rPr>
                <w:rFonts w:ascii="Times New Roman" w:eastAsia="Times New Roman" w:hAnsi="Times New Roman" w:cs="Times New Roman"/>
                <w:sz w:val="20"/>
                <w:szCs w:val="20"/>
                <w:lang w:eastAsia="pl-PL"/>
              </w:rPr>
              <w:t xml:space="preserve"> </w:t>
            </w:r>
          </w:p>
          <w:p w14:paraId="20597D9E" w14:textId="588976D3" w:rsidR="009D7AE1" w:rsidRPr="00154BF9" w:rsidRDefault="009D7AE1" w:rsidP="006C3A73">
            <w:pPr>
              <w:pStyle w:val="Akapitzlist"/>
              <w:spacing w:after="60" w:line="276" w:lineRule="auto"/>
              <w:ind w:left="589"/>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lastRenderedPageBreak/>
              <w:t>albo</w:t>
            </w:r>
          </w:p>
          <w:p w14:paraId="2434CD8C" w14:textId="0470AE5F" w:rsidR="009D7AE1" w:rsidRPr="00154BF9" w:rsidRDefault="009D7AE1" w:rsidP="006C3A73">
            <w:pPr>
              <w:numPr>
                <w:ilvl w:val="4"/>
                <w:numId w:val="29"/>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MIZS</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początku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uogólnionym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(rozpoznanie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podstawie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kryteriów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ILAR</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1997</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zajęciem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najmniej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5</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stawów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zajęciem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najmniej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2</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stawów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towarzyszącą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gorączką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powyżej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38</w:t>
            </w:r>
            <w:r w:rsidRPr="004F7B25">
              <w:rPr>
                <w:rFonts w:ascii="Times New Roman" w:eastAsia="Times New Roman" w:hAnsi="Times New Roman" w:cs="Times New Roman"/>
                <w:sz w:val="20"/>
                <w:szCs w:val="20"/>
                <w:lang w:eastAsia="pl-PL"/>
              </w:rPr>
              <w:t>o</w:t>
            </w:r>
            <w:r w:rsidRPr="00154BF9">
              <w:rPr>
                <w:rFonts w:ascii="Times New Roman" w:eastAsia="Times New Roman" w:hAnsi="Times New Roman" w:cs="Times New Roman"/>
                <w:sz w:val="20"/>
                <w:szCs w:val="20"/>
                <w:lang w:eastAsia="pl-PL"/>
              </w:rPr>
              <w:t>C,</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których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aktywna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choroba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utrzymuje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się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przez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najmniej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3</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miesiące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niewystarczająco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odpowiada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GKS</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dawce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niższej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niż</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0,5</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mg/kg</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m.c./dobę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oraz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metotreksatem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obowiązującej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dawce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(ewentualnie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postaci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podskórnej),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podawanym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przez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najmniej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3</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miesiące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albo,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przypadku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nietolerancji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metotreksatu,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innym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lekiem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modyfikującym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przebieg</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choroby/lekiem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immunosupresyjnym,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podawanym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obowiązującej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dawce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przez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najmniej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3</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miesiące.</w:t>
            </w:r>
          </w:p>
          <w:p w14:paraId="18BE41B6" w14:textId="375E9912" w:rsidR="009D7AE1" w:rsidRPr="00154BF9" w:rsidRDefault="009D7AE1" w:rsidP="006C3A73">
            <w:pPr>
              <w:numPr>
                <w:ilvl w:val="3"/>
                <w:numId w:val="20"/>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kwalifikują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się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także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pacjenci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poddani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MIZS</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inhibitorem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TNF</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alfa</w:t>
            </w:r>
            <w:r w:rsidR="00551DED" w:rsidRPr="00154BF9">
              <w:rPr>
                <w:rFonts w:ascii="Times New Roman" w:eastAsia="Times New Roman" w:hAnsi="Times New Roman" w:cs="Times New Roman"/>
                <w:sz w:val="20"/>
                <w:szCs w:val="20"/>
                <w:lang w:eastAsia="pl-PL"/>
              </w:rPr>
              <w:t>, sekukinumabem</w:t>
            </w:r>
            <w:r w:rsidR="00F442F5">
              <w:rPr>
                <w:rFonts w:ascii="Times New Roman" w:eastAsia="Times New Roman" w:hAnsi="Times New Roman" w:cs="Times New Roman"/>
                <w:sz w:val="20"/>
                <w:szCs w:val="20"/>
                <w:lang w:eastAsia="pl-PL"/>
              </w:rPr>
              <w:t xml:space="preserve">, </w:t>
            </w:r>
            <w:r w:rsidR="00EA4A2E">
              <w:rPr>
                <w:rFonts w:ascii="Times New Roman" w:eastAsia="Times New Roman" w:hAnsi="Times New Roman" w:cs="Times New Roman"/>
                <w:sz w:val="20"/>
                <w:szCs w:val="20"/>
                <w:lang w:eastAsia="pl-PL"/>
              </w:rPr>
              <w:t>tofacytynibem</w:t>
            </w:r>
            <w:r w:rsidR="00EA4A2E" w:rsidRPr="00154BF9">
              <w:rPr>
                <w:rFonts w:ascii="Times New Roman" w:eastAsia="Times New Roman" w:hAnsi="Times New Roman" w:cs="Times New Roman"/>
                <w:sz w:val="20"/>
                <w:szCs w:val="20"/>
                <w:lang w:eastAsia="pl-PL"/>
              </w:rPr>
              <w:t xml:space="preserve"> albo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tocilizumabem</w:t>
            </w:r>
            <w:r w:rsidR="0052643B" w:rsidRPr="00154BF9">
              <w:rPr>
                <w:rFonts w:ascii="Times New Roman" w:eastAsia="Times New Roman" w:hAnsi="Times New Roman" w:cs="Times New Roman"/>
                <w:sz w:val="20"/>
                <w:szCs w:val="20"/>
                <w:lang w:eastAsia="pl-PL"/>
              </w:rPr>
              <w:t xml:space="preserve"> </w:t>
            </w:r>
            <w:r w:rsidR="00057286"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00057286" w:rsidRPr="00154BF9">
              <w:rPr>
                <w:rFonts w:ascii="Times New Roman" w:eastAsia="Times New Roman" w:hAnsi="Times New Roman" w:cs="Times New Roman"/>
                <w:sz w:val="20"/>
                <w:szCs w:val="20"/>
                <w:lang w:eastAsia="pl-PL"/>
              </w:rPr>
              <w:t>postaci</w:t>
            </w:r>
            <w:r w:rsidR="0052643B" w:rsidRPr="00154BF9">
              <w:rPr>
                <w:rFonts w:ascii="Times New Roman" w:eastAsia="Times New Roman" w:hAnsi="Times New Roman" w:cs="Times New Roman"/>
                <w:sz w:val="20"/>
                <w:szCs w:val="20"/>
                <w:lang w:eastAsia="pl-PL"/>
              </w:rPr>
              <w:t xml:space="preserve"> </w:t>
            </w:r>
            <w:r w:rsidR="00057286" w:rsidRPr="00154BF9">
              <w:rPr>
                <w:rFonts w:ascii="Times New Roman" w:eastAsia="Times New Roman" w:hAnsi="Times New Roman" w:cs="Times New Roman"/>
                <w:sz w:val="20"/>
                <w:szCs w:val="20"/>
                <w:lang w:eastAsia="pl-PL"/>
              </w:rPr>
              <w:t>dożylnej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ramach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lekowego,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których:</w:t>
            </w:r>
          </w:p>
          <w:p w14:paraId="7C06783C" w14:textId="71DE2C47" w:rsidR="00A857A0" w:rsidRPr="00154BF9" w:rsidRDefault="009D7AE1" w:rsidP="006C3A73">
            <w:pPr>
              <w:numPr>
                <w:ilvl w:val="4"/>
                <w:numId w:val="30"/>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wystąpiła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ciężka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reakcja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uczuleniowa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substancję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czynną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pomocniczą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leku</w:t>
            </w:r>
          </w:p>
          <w:p w14:paraId="55EBB264" w14:textId="219569BF" w:rsidR="009D7AE1" w:rsidRPr="00154BF9" w:rsidRDefault="009D7AE1" w:rsidP="006C3A73">
            <w:pPr>
              <w:pStyle w:val="Akapitzlist"/>
              <w:spacing w:after="60" w:line="276" w:lineRule="auto"/>
              <w:ind w:left="454"/>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lub</w:t>
            </w:r>
          </w:p>
          <w:p w14:paraId="63A9E3EB" w14:textId="7355A1B7" w:rsidR="00A857A0" w:rsidRPr="00154BF9" w:rsidRDefault="009D7AE1" w:rsidP="006C3A73">
            <w:pPr>
              <w:numPr>
                <w:ilvl w:val="4"/>
                <w:numId w:val="30"/>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wystąpiły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ciężkie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działania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niepożądane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uniemożliwiające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kontynuowanie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terapii,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które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ustępują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mimo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dostosowywania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dawki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zgodnie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ChPL</w:t>
            </w:r>
          </w:p>
          <w:p w14:paraId="4E2786E9" w14:textId="1F3F8A50" w:rsidR="009D7AE1" w:rsidRPr="00154BF9" w:rsidRDefault="009D7AE1" w:rsidP="006C3A73">
            <w:pPr>
              <w:pStyle w:val="Akapitzlist"/>
              <w:spacing w:after="60" w:line="276" w:lineRule="auto"/>
              <w:ind w:left="454"/>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lub</w:t>
            </w:r>
          </w:p>
          <w:p w14:paraId="5D6F77A7" w14:textId="111ED40B" w:rsidR="009D7AE1" w:rsidRPr="00154BF9" w:rsidRDefault="009D7AE1" w:rsidP="006C3A73">
            <w:pPr>
              <w:numPr>
                <w:ilvl w:val="4"/>
                <w:numId w:val="30"/>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stwierdzono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brak</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albo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utratę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odpowiedzi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zastosowane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(zgodnie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definicją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zawartą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kryteriach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wyłączenia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części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dotyczącej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MIZS</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niniejszego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lekowego).</w:t>
            </w:r>
          </w:p>
          <w:p w14:paraId="3B839BED" w14:textId="6D60AD99" w:rsidR="00A56095" w:rsidRPr="00154BF9" w:rsidRDefault="00A56095" w:rsidP="006C3A73">
            <w:pPr>
              <w:numPr>
                <w:ilvl w:val="3"/>
                <w:numId w:val="20"/>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terapii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anakinrą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kwalifikują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się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także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pacjenci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MIZS</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początku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uogólnionym,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poddani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najmniej:</w:t>
            </w:r>
          </w:p>
          <w:p w14:paraId="5E5C5EB5" w14:textId="635B5031" w:rsidR="00946409" w:rsidRPr="00154BF9" w:rsidRDefault="00A56095" w:rsidP="006C3A73">
            <w:pPr>
              <w:pStyle w:val="Akapitzlist"/>
              <w:numPr>
                <w:ilvl w:val="5"/>
                <w:numId w:val="20"/>
              </w:numPr>
              <w:spacing w:after="60" w:line="276" w:lineRule="auto"/>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dwoma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inhibitorami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TNF</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alfa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oraz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tocilizumabem</w:t>
            </w:r>
            <w:r w:rsidR="0052643B" w:rsidRPr="00154BF9">
              <w:rPr>
                <w:rFonts w:ascii="Times New Roman" w:eastAsia="Times New Roman" w:hAnsi="Times New Roman" w:cs="Times New Roman"/>
                <w:sz w:val="20"/>
                <w:szCs w:val="20"/>
                <w:lang w:eastAsia="pl-PL"/>
              </w:rPr>
              <w:t xml:space="preserve"> </w:t>
            </w:r>
            <w:r w:rsidR="00FE68ED">
              <w:t xml:space="preserve"> </w:t>
            </w:r>
            <w:r w:rsidR="00FE68ED" w:rsidRPr="00FE68ED">
              <w:rPr>
                <w:rFonts w:ascii="Times New Roman" w:eastAsia="Times New Roman" w:hAnsi="Times New Roman" w:cs="Times New Roman"/>
                <w:sz w:val="20"/>
                <w:szCs w:val="20"/>
                <w:lang w:eastAsia="pl-PL"/>
              </w:rPr>
              <w:t>oraz  kanakinumabem</w:t>
            </w:r>
          </w:p>
          <w:p w14:paraId="4301B075" w14:textId="5D070570" w:rsidR="00A56095" w:rsidRPr="00154BF9" w:rsidRDefault="00946409" w:rsidP="006C3A73">
            <w:pPr>
              <w:pStyle w:val="Akapitzlist"/>
              <w:spacing w:after="60" w:line="276" w:lineRule="auto"/>
              <w:ind w:left="680"/>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l</w:t>
            </w:r>
            <w:r w:rsidR="00A56095" w:rsidRPr="00154BF9">
              <w:rPr>
                <w:rFonts w:ascii="Times New Roman" w:eastAsia="Times New Roman" w:hAnsi="Times New Roman" w:cs="Times New Roman"/>
                <w:sz w:val="20"/>
                <w:szCs w:val="20"/>
                <w:lang w:eastAsia="pl-PL"/>
              </w:rPr>
              <w:t>ub</w:t>
            </w:r>
            <w:r w:rsidR="0052643B" w:rsidRPr="00154BF9">
              <w:rPr>
                <w:rFonts w:ascii="Times New Roman" w:eastAsia="Times New Roman" w:hAnsi="Times New Roman" w:cs="Times New Roman"/>
                <w:sz w:val="20"/>
                <w:szCs w:val="20"/>
                <w:lang w:eastAsia="pl-PL"/>
              </w:rPr>
              <w:t xml:space="preserve"> </w:t>
            </w:r>
          </w:p>
          <w:p w14:paraId="32DB5EC8" w14:textId="0C637E85" w:rsidR="00A56095" w:rsidRPr="00154BF9" w:rsidRDefault="00A56095" w:rsidP="006C3A73">
            <w:pPr>
              <w:pStyle w:val="Akapitzlist"/>
              <w:numPr>
                <w:ilvl w:val="5"/>
                <w:numId w:val="20"/>
              </w:numPr>
              <w:spacing w:after="60" w:line="276" w:lineRule="auto"/>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lastRenderedPageBreak/>
              <w:t>tocilizumabem</w:t>
            </w:r>
            <w:r w:rsidR="00FE68ED">
              <w:rPr>
                <w:rFonts w:ascii="Times New Roman" w:eastAsia="Times New Roman" w:hAnsi="Times New Roman" w:cs="Times New Roman"/>
                <w:sz w:val="20"/>
                <w:szCs w:val="20"/>
                <w:lang w:eastAsia="pl-PL"/>
              </w:rPr>
              <w:t xml:space="preserve"> </w:t>
            </w:r>
            <w:r w:rsidR="00FE68ED">
              <w:t xml:space="preserve"> </w:t>
            </w:r>
            <w:r w:rsidR="00FE68ED" w:rsidRPr="00FE68ED">
              <w:rPr>
                <w:rFonts w:ascii="Times New Roman" w:eastAsia="Times New Roman" w:hAnsi="Times New Roman" w:cs="Times New Roman"/>
                <w:sz w:val="20"/>
                <w:szCs w:val="20"/>
                <w:lang w:eastAsia="pl-PL"/>
              </w:rPr>
              <w:t>oraz  kanakinumabem</w:t>
            </w:r>
            <w:r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których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zastosowanie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pozostałych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leków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jest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przeciwwskazane,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ponieważ:</w:t>
            </w:r>
          </w:p>
          <w:p w14:paraId="24CFF62D" w14:textId="0CCB965A" w:rsidR="00A56095" w:rsidRPr="00154BF9" w:rsidRDefault="00A56095" w:rsidP="006C3A73">
            <w:pPr>
              <w:pStyle w:val="Akapitzlist"/>
              <w:numPr>
                <w:ilvl w:val="6"/>
                <w:numId w:val="20"/>
              </w:numPr>
              <w:spacing w:after="60" w:line="276" w:lineRule="auto"/>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wystąpiła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ciężka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reakcja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uczuleniowa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substancję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czynną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pomocniczą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lub</w:t>
            </w:r>
          </w:p>
          <w:p w14:paraId="5923D5D1" w14:textId="3168E438" w:rsidR="00A56095" w:rsidRPr="00154BF9" w:rsidRDefault="00A56095" w:rsidP="006C3A73">
            <w:pPr>
              <w:pStyle w:val="Akapitzlist"/>
              <w:numPr>
                <w:ilvl w:val="6"/>
                <w:numId w:val="20"/>
              </w:numPr>
              <w:spacing w:after="60" w:line="276" w:lineRule="auto"/>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wystąpiły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ciężkie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działania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niepożądane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uniemożliwiające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kontynuowanie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terapii,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które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ustępują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mimo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dostosowywania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dawki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zgodnie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ChPL</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lub</w:t>
            </w:r>
          </w:p>
          <w:p w14:paraId="4ECE98FA" w14:textId="4017D3BC" w:rsidR="00A56095" w:rsidRDefault="00A56095" w:rsidP="006C3A73">
            <w:pPr>
              <w:pStyle w:val="Akapitzlist"/>
              <w:numPr>
                <w:ilvl w:val="6"/>
                <w:numId w:val="20"/>
              </w:numPr>
              <w:spacing w:after="60" w:line="276" w:lineRule="auto"/>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stwierdzono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brak</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albo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utratę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odpowiedzi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zastosowane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(zgodnie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definicją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zawartą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kryteriach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wyłączenia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części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dotyczącej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MIZS</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niniejszego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lekowego).</w:t>
            </w:r>
          </w:p>
          <w:p w14:paraId="318BCCC0" w14:textId="77777777" w:rsidR="00D92C20" w:rsidRPr="004E3C30" w:rsidRDefault="00D92C20" w:rsidP="006C3A73">
            <w:pPr>
              <w:pStyle w:val="Akapitzlist"/>
              <w:numPr>
                <w:ilvl w:val="3"/>
                <w:numId w:val="20"/>
              </w:numPr>
              <w:spacing w:after="60" w:line="276" w:lineRule="auto"/>
              <w:contextualSpacing w:val="0"/>
              <w:rPr>
                <w:rFonts w:ascii="Times New Roman" w:eastAsia="Times New Roman" w:hAnsi="Times New Roman" w:cs="Times New Roman"/>
                <w:sz w:val="20"/>
                <w:szCs w:val="20"/>
                <w:lang w:eastAsia="pl-PL"/>
              </w:rPr>
            </w:pPr>
            <w:r w:rsidRPr="004E3C30">
              <w:rPr>
                <w:rFonts w:ascii="Times New Roman" w:eastAsia="Times New Roman" w:hAnsi="Times New Roman" w:cs="Times New Roman"/>
                <w:sz w:val="20"/>
                <w:szCs w:val="20"/>
                <w:lang w:eastAsia="pl-PL"/>
              </w:rPr>
              <w:t>Do terapii kanakinumabem kwalifikują się także pacjenci z MIZS o początku uogólnionym, poddani wcześniejszemu leczeniu inhibitorem TNF alfa lub tocilizumabem w postaci dożylnej lub anakinrą, u których:</w:t>
            </w:r>
          </w:p>
          <w:p w14:paraId="5B3AA7E2" w14:textId="2008005A" w:rsidR="00D92C20" w:rsidRPr="004E3C30" w:rsidRDefault="00D92C20" w:rsidP="006C3A73">
            <w:pPr>
              <w:numPr>
                <w:ilvl w:val="4"/>
                <w:numId w:val="20"/>
              </w:numPr>
              <w:spacing w:after="60" w:line="276" w:lineRule="auto"/>
              <w:jc w:val="both"/>
              <w:rPr>
                <w:rFonts w:ascii="Times New Roman" w:eastAsia="Times New Roman" w:hAnsi="Times New Roman" w:cs="Times New Roman"/>
                <w:sz w:val="20"/>
                <w:szCs w:val="20"/>
                <w:lang w:eastAsia="pl-PL"/>
              </w:rPr>
            </w:pPr>
            <w:r w:rsidRPr="004E3C30">
              <w:rPr>
                <w:rFonts w:ascii="Times New Roman" w:eastAsia="Times New Roman" w:hAnsi="Times New Roman" w:cs="Times New Roman"/>
                <w:sz w:val="20"/>
                <w:szCs w:val="20"/>
                <w:lang w:eastAsia="pl-PL"/>
              </w:rPr>
              <w:t>wystąpiła ciężka reakcja uczuleniowa na substancję czynną lub pomocniczą leku</w:t>
            </w:r>
          </w:p>
          <w:p w14:paraId="74477A8A" w14:textId="77777777" w:rsidR="00D92C20" w:rsidRPr="004E3C30" w:rsidRDefault="00D92C20" w:rsidP="006C3A73">
            <w:pPr>
              <w:pStyle w:val="Akapitzlist"/>
              <w:spacing w:after="60" w:line="276" w:lineRule="auto"/>
              <w:ind w:left="454"/>
              <w:contextualSpacing w:val="0"/>
              <w:jc w:val="both"/>
              <w:rPr>
                <w:rFonts w:ascii="Times New Roman" w:eastAsia="Times New Roman" w:hAnsi="Times New Roman" w:cs="Times New Roman"/>
                <w:sz w:val="20"/>
                <w:szCs w:val="20"/>
                <w:lang w:eastAsia="pl-PL"/>
              </w:rPr>
            </w:pPr>
            <w:r w:rsidRPr="004E3C30">
              <w:rPr>
                <w:rFonts w:ascii="Times New Roman" w:eastAsia="Times New Roman" w:hAnsi="Times New Roman" w:cs="Times New Roman"/>
                <w:sz w:val="20"/>
                <w:szCs w:val="20"/>
                <w:lang w:eastAsia="pl-PL"/>
              </w:rPr>
              <w:t>lub</w:t>
            </w:r>
          </w:p>
          <w:p w14:paraId="7535007B" w14:textId="6E024586" w:rsidR="00D92C20" w:rsidRPr="004E3C30" w:rsidRDefault="00D92C20" w:rsidP="006C3A73">
            <w:pPr>
              <w:numPr>
                <w:ilvl w:val="4"/>
                <w:numId w:val="20"/>
              </w:numPr>
              <w:spacing w:after="60" w:line="276" w:lineRule="auto"/>
              <w:jc w:val="both"/>
              <w:rPr>
                <w:rFonts w:ascii="Times New Roman" w:eastAsia="Times New Roman" w:hAnsi="Times New Roman" w:cs="Times New Roman"/>
                <w:sz w:val="20"/>
                <w:szCs w:val="20"/>
                <w:lang w:eastAsia="pl-PL"/>
              </w:rPr>
            </w:pPr>
            <w:r w:rsidRPr="004E3C30">
              <w:rPr>
                <w:rFonts w:ascii="Times New Roman" w:eastAsia="Times New Roman" w:hAnsi="Times New Roman" w:cs="Times New Roman"/>
                <w:sz w:val="20"/>
                <w:szCs w:val="20"/>
                <w:lang w:eastAsia="pl-PL"/>
              </w:rPr>
              <w:t>wystąpiły ciężkie działania niepożądane uniemożliwiające kontynuowanie terapii, które nie ustępują mimo dostosowywania dawki leku zgodnie z ChPL</w:t>
            </w:r>
          </w:p>
          <w:p w14:paraId="0D6074BC" w14:textId="77777777" w:rsidR="00D92C20" w:rsidRPr="004E3C30" w:rsidRDefault="00D92C20" w:rsidP="006C3A73">
            <w:pPr>
              <w:pStyle w:val="Akapitzlist"/>
              <w:spacing w:after="60" w:line="276" w:lineRule="auto"/>
              <w:ind w:left="454"/>
              <w:contextualSpacing w:val="0"/>
              <w:jc w:val="both"/>
              <w:rPr>
                <w:rFonts w:ascii="Times New Roman" w:eastAsia="Times New Roman" w:hAnsi="Times New Roman" w:cs="Times New Roman"/>
                <w:sz w:val="20"/>
                <w:szCs w:val="20"/>
                <w:lang w:eastAsia="pl-PL"/>
              </w:rPr>
            </w:pPr>
            <w:r w:rsidRPr="004E3C30">
              <w:rPr>
                <w:rFonts w:ascii="Times New Roman" w:eastAsia="Times New Roman" w:hAnsi="Times New Roman" w:cs="Times New Roman"/>
                <w:sz w:val="20"/>
                <w:szCs w:val="20"/>
                <w:lang w:eastAsia="pl-PL"/>
              </w:rPr>
              <w:t>lub</w:t>
            </w:r>
          </w:p>
          <w:p w14:paraId="486B0220" w14:textId="77777777" w:rsidR="00D92C20" w:rsidRPr="004E3C30" w:rsidRDefault="00D92C20" w:rsidP="006C3A73">
            <w:pPr>
              <w:numPr>
                <w:ilvl w:val="4"/>
                <w:numId w:val="20"/>
              </w:numPr>
              <w:spacing w:after="60" w:line="276" w:lineRule="auto"/>
              <w:jc w:val="both"/>
              <w:rPr>
                <w:rFonts w:ascii="Times New Roman" w:eastAsia="Times New Roman" w:hAnsi="Times New Roman" w:cs="Times New Roman"/>
                <w:sz w:val="20"/>
                <w:szCs w:val="20"/>
                <w:lang w:eastAsia="pl-PL"/>
              </w:rPr>
            </w:pPr>
            <w:r w:rsidRPr="004E3C30">
              <w:rPr>
                <w:rFonts w:ascii="Times New Roman" w:eastAsia="Times New Roman" w:hAnsi="Times New Roman" w:cs="Times New Roman"/>
                <w:sz w:val="20"/>
                <w:szCs w:val="20"/>
                <w:lang w:eastAsia="pl-PL"/>
              </w:rPr>
              <w:t>stwierdzono brak albo utratę odpowiedzi na zastosowane leczenie (zgodnie z definicją zawartą w kryteriach wyłączenia z programu w części dotyczącej MIZS niniejszego programu lekowego).</w:t>
            </w:r>
          </w:p>
          <w:p w14:paraId="184E27CC" w14:textId="54A4677F" w:rsidR="009D7AE1" w:rsidRPr="00154BF9" w:rsidRDefault="009D7AE1" w:rsidP="006C3A73">
            <w:pPr>
              <w:numPr>
                <w:ilvl w:val="3"/>
                <w:numId w:val="20"/>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kwalifikowani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również</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pacjenci,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uprzednio</w:t>
            </w:r>
            <w:r w:rsidR="0052643B" w:rsidRPr="00154BF9">
              <w:rPr>
                <w:rFonts w:ascii="Times New Roman" w:eastAsia="Times New Roman" w:hAnsi="Times New Roman" w:cs="Times New Roman"/>
                <w:sz w:val="20"/>
                <w:szCs w:val="20"/>
                <w:lang w:eastAsia="pl-PL"/>
              </w:rPr>
              <w:t xml:space="preserve"> </w:t>
            </w:r>
            <w:r w:rsidR="00696524" w:rsidRPr="00154BF9">
              <w:rPr>
                <w:rFonts w:ascii="Times New Roman" w:eastAsia="Times New Roman" w:hAnsi="Times New Roman" w:cs="Times New Roman"/>
                <w:sz w:val="20"/>
                <w:szCs w:val="20"/>
                <w:lang w:eastAsia="pl-PL"/>
              </w:rPr>
              <w:t>leczeni sekukinumabem</w:t>
            </w:r>
            <w:r w:rsidR="00301909"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tocilizumabem</w:t>
            </w:r>
            <w:r w:rsidR="0052643B" w:rsidRPr="00154BF9">
              <w:rPr>
                <w:rFonts w:ascii="Times New Roman" w:eastAsia="Times New Roman" w:hAnsi="Times New Roman" w:cs="Times New Roman"/>
                <w:sz w:val="20"/>
                <w:szCs w:val="20"/>
                <w:lang w:eastAsia="pl-PL"/>
              </w:rPr>
              <w:t xml:space="preserve"> </w:t>
            </w:r>
            <w:r w:rsidR="00057286"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00057286" w:rsidRPr="00154BF9">
              <w:rPr>
                <w:rFonts w:ascii="Times New Roman" w:eastAsia="Times New Roman" w:hAnsi="Times New Roman" w:cs="Times New Roman"/>
                <w:sz w:val="20"/>
                <w:szCs w:val="20"/>
                <w:lang w:eastAsia="pl-PL"/>
              </w:rPr>
              <w:t>postaci</w:t>
            </w:r>
            <w:r w:rsidR="0052643B" w:rsidRPr="00154BF9">
              <w:rPr>
                <w:rFonts w:ascii="Times New Roman" w:eastAsia="Times New Roman" w:hAnsi="Times New Roman" w:cs="Times New Roman"/>
                <w:sz w:val="20"/>
                <w:szCs w:val="20"/>
                <w:lang w:eastAsia="pl-PL"/>
              </w:rPr>
              <w:t xml:space="preserve"> </w:t>
            </w:r>
            <w:r w:rsidR="00057286" w:rsidRPr="00154BF9">
              <w:rPr>
                <w:rFonts w:ascii="Times New Roman" w:eastAsia="Times New Roman" w:hAnsi="Times New Roman" w:cs="Times New Roman"/>
                <w:sz w:val="20"/>
                <w:szCs w:val="20"/>
                <w:lang w:eastAsia="pl-PL"/>
              </w:rPr>
              <w:t>dożylnej</w:t>
            </w:r>
            <w:r w:rsidR="0052643B" w:rsidRPr="00154BF9">
              <w:rPr>
                <w:rFonts w:ascii="Times New Roman" w:eastAsia="Times New Roman" w:hAnsi="Times New Roman" w:cs="Times New Roman"/>
                <w:sz w:val="20"/>
                <w:szCs w:val="20"/>
                <w:lang w:eastAsia="pl-PL"/>
              </w:rPr>
              <w:t xml:space="preserve"> </w:t>
            </w:r>
            <w:r w:rsidR="00301909" w:rsidRPr="00154BF9">
              <w:rPr>
                <w:rFonts w:ascii="Times New Roman" w:eastAsia="Times New Roman" w:hAnsi="Times New Roman" w:cs="Times New Roman"/>
                <w:sz w:val="20"/>
                <w:szCs w:val="20"/>
                <w:lang w:eastAsia="pl-PL"/>
              </w:rPr>
              <w:t>albo</w:t>
            </w:r>
            <w:r w:rsidR="0052643B" w:rsidRPr="00154BF9">
              <w:rPr>
                <w:rFonts w:ascii="Times New Roman" w:eastAsia="Times New Roman" w:hAnsi="Times New Roman" w:cs="Times New Roman"/>
                <w:sz w:val="20"/>
                <w:szCs w:val="20"/>
                <w:lang w:eastAsia="pl-PL"/>
              </w:rPr>
              <w:t xml:space="preserve"> </w:t>
            </w:r>
            <w:r w:rsidR="00C32E4B" w:rsidRPr="00154BF9">
              <w:rPr>
                <w:rFonts w:ascii="Times New Roman" w:eastAsia="Times New Roman" w:hAnsi="Times New Roman" w:cs="Times New Roman"/>
                <w:sz w:val="20"/>
                <w:szCs w:val="20"/>
                <w:lang w:eastAsia="pl-PL"/>
              </w:rPr>
              <w:t>anakinrą</w:t>
            </w:r>
            <w:r w:rsidR="0052643B" w:rsidRPr="00154BF9">
              <w:rPr>
                <w:rFonts w:ascii="Times New Roman" w:eastAsia="Times New Roman" w:hAnsi="Times New Roman" w:cs="Times New Roman"/>
                <w:sz w:val="20"/>
                <w:szCs w:val="20"/>
                <w:lang w:eastAsia="pl-PL"/>
              </w:rPr>
              <w:t xml:space="preserve"> </w:t>
            </w:r>
            <w:r w:rsidR="00F442F5">
              <w:rPr>
                <w:rFonts w:ascii="Times New Roman" w:eastAsia="Times New Roman" w:hAnsi="Times New Roman" w:cs="Times New Roman"/>
                <w:sz w:val="20"/>
                <w:szCs w:val="20"/>
                <w:lang w:eastAsia="pl-PL"/>
              </w:rPr>
              <w:t xml:space="preserve">albo tofacytynibem </w:t>
            </w:r>
            <w:r w:rsidR="00D92C20">
              <w:t xml:space="preserve"> </w:t>
            </w:r>
            <w:r w:rsidR="00D92C20" w:rsidRPr="00D92C20">
              <w:rPr>
                <w:rFonts w:ascii="Times New Roman" w:eastAsia="Times New Roman" w:hAnsi="Times New Roman" w:cs="Times New Roman"/>
                <w:sz w:val="20"/>
                <w:szCs w:val="20"/>
                <w:lang w:eastAsia="pl-PL"/>
              </w:rPr>
              <w:t xml:space="preserve">albo kanakinumabem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ramach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hospitalizacji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według</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jednorodnych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grup</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pacjentów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(JGP)</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pod</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warunkiem,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że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przed</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rozpoczęciem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terapii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spełniali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kryteria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włączenia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oraz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spełnili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kryteriów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zakończenia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udziału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uzyskaniu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akceptacji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Zespołu</w:t>
            </w:r>
            <w:r w:rsidR="0052643B" w:rsidRPr="00154BF9">
              <w:rPr>
                <w:rFonts w:ascii="Times New Roman" w:eastAsia="Times New Roman" w:hAnsi="Times New Roman" w:cs="Times New Roman"/>
                <w:sz w:val="20"/>
                <w:szCs w:val="20"/>
                <w:lang w:eastAsia="pl-PL"/>
              </w:rPr>
              <w:t xml:space="preserve"> </w:t>
            </w:r>
            <w:r w:rsidR="00EA4A2E" w:rsidRPr="00154BF9">
              <w:rPr>
                <w:rFonts w:ascii="Times New Roman" w:eastAsia="Times New Roman" w:hAnsi="Times New Roman" w:cs="Times New Roman"/>
                <w:sz w:val="20"/>
                <w:szCs w:val="20"/>
                <w:lang w:eastAsia="pl-PL"/>
              </w:rPr>
              <w:t>Koordynacyjnego ds.</w:t>
            </w:r>
            <w:r w:rsidR="00630679"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Biologicznego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Chorobach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Reumatycznych.</w:t>
            </w:r>
          </w:p>
          <w:p w14:paraId="095986B1" w14:textId="385E2ECC" w:rsidR="009D7AE1" w:rsidRPr="00154BF9" w:rsidRDefault="009D7AE1" w:rsidP="006C3A73">
            <w:pPr>
              <w:numPr>
                <w:ilvl w:val="3"/>
                <w:numId w:val="20"/>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lastRenderedPageBreak/>
              <w:t>Pacjent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rozpoznaniem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MIZS,</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który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ukończył</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18</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rok</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życia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może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być</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leczony,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zależności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od</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obrazu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klinicznego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choroby,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zasadach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określonych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programach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lekowych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dotyczących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terapii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RZS</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albo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ŁZS,</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albo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ZZSK.</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Jeśli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obraz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choroby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odpowiada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jednej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postaci,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prowadzone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jest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dotyczącym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MIZS.</w:t>
            </w:r>
          </w:p>
          <w:p w14:paraId="4A90F603" w14:textId="71D625E1" w:rsidR="009D7AE1" w:rsidRPr="00154BF9" w:rsidRDefault="009D7AE1" w:rsidP="006C3A73">
            <w:pPr>
              <w:numPr>
                <w:ilvl w:val="3"/>
                <w:numId w:val="20"/>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ramach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dopuszcza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się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możliwości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ponownej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kwalifikacji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terapii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substancją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czynną,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którą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pacjent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był</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leczony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przeszłości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nieskutecznie.</w:t>
            </w:r>
          </w:p>
          <w:p w14:paraId="363AB665" w14:textId="1F666C9C" w:rsidR="009D7AE1" w:rsidRPr="00154BF9" w:rsidRDefault="009D7AE1" w:rsidP="006C3A73">
            <w:pPr>
              <w:numPr>
                <w:ilvl w:val="3"/>
                <w:numId w:val="20"/>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Kwalifikacja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pacjenta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drugiego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kolejnych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ramach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lekowego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wymaga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zgody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Zespołu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Koordynacyjnego,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jeśli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jest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zgodna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opisem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programu.</w:t>
            </w:r>
          </w:p>
          <w:p w14:paraId="05740A5A" w14:textId="683214CC" w:rsidR="009D7AE1" w:rsidRPr="00154BF9" w:rsidRDefault="009D7AE1" w:rsidP="006C3A73">
            <w:pPr>
              <w:numPr>
                <w:ilvl w:val="3"/>
                <w:numId w:val="20"/>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Obowiązujące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dawki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leków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modyfikujących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przebieg</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choroby/leków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immunosupresyjnych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wynoszą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dla: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metotreksatu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10-20</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mg/m²/tydzień</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(maksymalnie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30</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mg/tydzień),</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sulfasalazyny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20-50</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mg/kg</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m.c./dobę,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cyklosporyny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3-5</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mg/kg</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m.c./dobę,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chlorochiny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(ewentualnie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hydroksychlorochiny)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4-6</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mg/kg</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m.c./dobę,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azatiopryny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1,0-2,5</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mg/kg</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m.c./dobę,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jeżeli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jest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dobrze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tolerowane.</w:t>
            </w:r>
          </w:p>
          <w:p w14:paraId="4FBDC103" w14:textId="4C1CC817" w:rsidR="009D7AE1" w:rsidRPr="00154BF9" w:rsidRDefault="009D7AE1" w:rsidP="006C3A73">
            <w:pPr>
              <w:numPr>
                <w:ilvl w:val="3"/>
                <w:numId w:val="20"/>
              </w:numPr>
              <w:spacing w:after="60" w:line="276" w:lineRule="auto"/>
              <w:jc w:val="both"/>
              <w:rPr>
                <w:rFonts w:ascii="Times New Roman" w:eastAsia="Times New Roman" w:hAnsi="Times New Roman" w:cs="Times New Roman"/>
                <w:sz w:val="20"/>
                <w:szCs w:val="20"/>
                <w:lang w:eastAsia="pl-PL"/>
              </w:rPr>
            </w:pPr>
            <w:r w:rsidRPr="004F7B25">
              <w:rPr>
                <w:rFonts w:ascii="Times New Roman" w:eastAsia="Times New Roman" w:hAnsi="Times New Roman" w:cs="Times New Roman"/>
                <w:sz w:val="20"/>
                <w:szCs w:val="20"/>
                <w:lang w:eastAsia="pl-PL"/>
              </w:rPr>
              <w:t>W</w:t>
            </w:r>
            <w:r w:rsidR="0052643B" w:rsidRPr="004F7B25">
              <w:rPr>
                <w:rFonts w:ascii="Times New Roman" w:eastAsia="Times New Roman" w:hAnsi="Times New Roman" w:cs="Times New Roman"/>
                <w:sz w:val="20"/>
                <w:szCs w:val="20"/>
                <w:lang w:eastAsia="pl-PL"/>
              </w:rPr>
              <w:t xml:space="preserve"> </w:t>
            </w:r>
            <w:r w:rsidRPr="004F7B25">
              <w:rPr>
                <w:rFonts w:ascii="Times New Roman" w:eastAsia="Times New Roman" w:hAnsi="Times New Roman" w:cs="Times New Roman"/>
                <w:sz w:val="20"/>
                <w:szCs w:val="20"/>
                <w:lang w:eastAsia="pl-PL"/>
              </w:rPr>
              <w:t>przypadkach,</w:t>
            </w:r>
            <w:r w:rsidR="0052643B" w:rsidRPr="004F7B25">
              <w:rPr>
                <w:rFonts w:ascii="Times New Roman" w:eastAsia="Times New Roman" w:hAnsi="Times New Roman" w:cs="Times New Roman"/>
                <w:sz w:val="20"/>
                <w:szCs w:val="20"/>
                <w:lang w:eastAsia="pl-PL"/>
              </w:rPr>
              <w:t xml:space="preserve"> </w:t>
            </w:r>
            <w:r w:rsidRPr="004F7B25">
              <w:rPr>
                <w:rFonts w:ascii="Times New Roman" w:eastAsia="Times New Roman" w:hAnsi="Times New Roman" w:cs="Times New Roman"/>
                <w:sz w:val="20"/>
                <w:szCs w:val="20"/>
                <w:lang w:eastAsia="pl-PL"/>
              </w:rPr>
              <w:t>w</w:t>
            </w:r>
            <w:r w:rsidR="0052643B" w:rsidRPr="004F7B25">
              <w:rPr>
                <w:rFonts w:ascii="Times New Roman" w:eastAsia="Times New Roman" w:hAnsi="Times New Roman" w:cs="Times New Roman"/>
                <w:sz w:val="20"/>
                <w:szCs w:val="20"/>
                <w:lang w:eastAsia="pl-PL"/>
              </w:rPr>
              <w:t xml:space="preserve"> </w:t>
            </w:r>
            <w:r w:rsidRPr="004F7B25">
              <w:rPr>
                <w:rFonts w:ascii="Times New Roman" w:eastAsia="Times New Roman" w:hAnsi="Times New Roman" w:cs="Times New Roman"/>
                <w:sz w:val="20"/>
                <w:szCs w:val="20"/>
                <w:lang w:eastAsia="pl-PL"/>
              </w:rPr>
              <w:t>których</w:t>
            </w:r>
            <w:r w:rsidR="0052643B" w:rsidRPr="004F7B25">
              <w:rPr>
                <w:rFonts w:ascii="Times New Roman" w:eastAsia="Times New Roman" w:hAnsi="Times New Roman" w:cs="Times New Roman"/>
                <w:sz w:val="20"/>
                <w:szCs w:val="20"/>
                <w:lang w:eastAsia="pl-PL"/>
              </w:rPr>
              <w:t xml:space="preserve"> </w:t>
            </w:r>
            <w:r w:rsidRPr="004F7B25">
              <w:rPr>
                <w:rFonts w:ascii="Times New Roman" w:eastAsia="Times New Roman" w:hAnsi="Times New Roman" w:cs="Times New Roman"/>
                <w:sz w:val="20"/>
                <w:szCs w:val="20"/>
                <w:lang w:eastAsia="pl-PL"/>
              </w:rPr>
              <w:t>pacjentowi</w:t>
            </w:r>
            <w:r w:rsidR="0052643B" w:rsidRPr="004F7B25">
              <w:rPr>
                <w:rFonts w:ascii="Times New Roman" w:eastAsia="Times New Roman" w:hAnsi="Times New Roman" w:cs="Times New Roman"/>
                <w:sz w:val="20"/>
                <w:szCs w:val="20"/>
                <w:lang w:eastAsia="pl-PL"/>
              </w:rPr>
              <w:t xml:space="preserve"> </w:t>
            </w:r>
            <w:r w:rsidRPr="004F7B25">
              <w:rPr>
                <w:rFonts w:ascii="Times New Roman" w:eastAsia="Times New Roman" w:hAnsi="Times New Roman" w:cs="Times New Roman"/>
                <w:sz w:val="20"/>
                <w:szCs w:val="20"/>
                <w:lang w:eastAsia="pl-PL"/>
              </w:rPr>
              <w:t>grozi</w:t>
            </w:r>
            <w:r w:rsidR="0052643B" w:rsidRPr="004F7B25">
              <w:rPr>
                <w:rFonts w:ascii="Times New Roman" w:eastAsia="Times New Roman" w:hAnsi="Times New Roman" w:cs="Times New Roman"/>
                <w:sz w:val="20"/>
                <w:szCs w:val="20"/>
                <w:lang w:eastAsia="pl-PL"/>
              </w:rPr>
              <w:t xml:space="preserve"> </w:t>
            </w:r>
            <w:r w:rsidRPr="004F7B25">
              <w:rPr>
                <w:rFonts w:ascii="Times New Roman" w:eastAsia="Times New Roman" w:hAnsi="Times New Roman" w:cs="Times New Roman"/>
                <w:sz w:val="20"/>
                <w:szCs w:val="20"/>
                <w:lang w:eastAsia="pl-PL"/>
              </w:rPr>
              <w:t>kalectwo</w:t>
            </w:r>
            <w:r w:rsidR="0052643B" w:rsidRPr="004F7B25">
              <w:rPr>
                <w:rFonts w:ascii="Times New Roman" w:eastAsia="Times New Roman" w:hAnsi="Times New Roman" w:cs="Times New Roman"/>
                <w:sz w:val="20"/>
                <w:szCs w:val="20"/>
                <w:lang w:eastAsia="pl-PL"/>
              </w:rPr>
              <w:t xml:space="preserve"> </w:t>
            </w:r>
            <w:r w:rsidRPr="004F7B25">
              <w:rPr>
                <w:rFonts w:ascii="Times New Roman" w:eastAsia="Times New Roman" w:hAnsi="Times New Roman" w:cs="Times New Roman"/>
                <w:sz w:val="20"/>
                <w:szCs w:val="20"/>
                <w:lang w:eastAsia="pl-PL"/>
              </w:rPr>
              <w:t>lub</w:t>
            </w:r>
            <w:r w:rsidR="0052643B" w:rsidRPr="004F7B25">
              <w:rPr>
                <w:rFonts w:ascii="Times New Roman" w:eastAsia="Times New Roman" w:hAnsi="Times New Roman" w:cs="Times New Roman"/>
                <w:sz w:val="20"/>
                <w:szCs w:val="20"/>
                <w:lang w:eastAsia="pl-PL"/>
              </w:rPr>
              <w:t xml:space="preserve"> </w:t>
            </w:r>
            <w:r w:rsidRPr="004F7B25">
              <w:rPr>
                <w:rFonts w:ascii="Times New Roman" w:eastAsia="Times New Roman" w:hAnsi="Times New Roman" w:cs="Times New Roman"/>
                <w:sz w:val="20"/>
                <w:szCs w:val="20"/>
                <w:lang w:eastAsia="pl-PL"/>
              </w:rPr>
              <w:t>zagrożone</w:t>
            </w:r>
            <w:r w:rsidR="0052643B" w:rsidRPr="004F7B25">
              <w:rPr>
                <w:rFonts w:ascii="Times New Roman" w:eastAsia="Times New Roman" w:hAnsi="Times New Roman" w:cs="Times New Roman"/>
                <w:sz w:val="20"/>
                <w:szCs w:val="20"/>
                <w:lang w:eastAsia="pl-PL"/>
              </w:rPr>
              <w:t xml:space="preserve"> </w:t>
            </w:r>
            <w:r w:rsidRPr="004F7B25">
              <w:rPr>
                <w:rFonts w:ascii="Times New Roman" w:eastAsia="Times New Roman" w:hAnsi="Times New Roman" w:cs="Times New Roman"/>
                <w:sz w:val="20"/>
                <w:szCs w:val="20"/>
                <w:lang w:eastAsia="pl-PL"/>
              </w:rPr>
              <w:t>jest</w:t>
            </w:r>
            <w:r w:rsidR="0052643B" w:rsidRPr="004F7B25">
              <w:rPr>
                <w:rFonts w:ascii="Times New Roman" w:eastAsia="Times New Roman" w:hAnsi="Times New Roman" w:cs="Times New Roman"/>
                <w:sz w:val="20"/>
                <w:szCs w:val="20"/>
                <w:lang w:eastAsia="pl-PL"/>
              </w:rPr>
              <w:t xml:space="preserve"> </w:t>
            </w:r>
            <w:r w:rsidRPr="004F7B25">
              <w:rPr>
                <w:rFonts w:ascii="Times New Roman" w:eastAsia="Times New Roman" w:hAnsi="Times New Roman" w:cs="Times New Roman"/>
                <w:sz w:val="20"/>
                <w:szCs w:val="20"/>
                <w:lang w:eastAsia="pl-PL"/>
              </w:rPr>
              <w:t>jego</w:t>
            </w:r>
            <w:r w:rsidR="0052643B" w:rsidRPr="004F7B25">
              <w:rPr>
                <w:rFonts w:ascii="Times New Roman" w:eastAsia="Times New Roman" w:hAnsi="Times New Roman" w:cs="Times New Roman"/>
                <w:sz w:val="20"/>
                <w:szCs w:val="20"/>
                <w:lang w:eastAsia="pl-PL"/>
              </w:rPr>
              <w:t xml:space="preserve"> </w:t>
            </w:r>
            <w:r w:rsidRPr="004F7B25">
              <w:rPr>
                <w:rFonts w:ascii="Times New Roman" w:eastAsia="Times New Roman" w:hAnsi="Times New Roman" w:cs="Times New Roman"/>
                <w:sz w:val="20"/>
                <w:szCs w:val="20"/>
                <w:lang w:eastAsia="pl-PL"/>
              </w:rPr>
              <w:t>życie,</w:t>
            </w:r>
            <w:r w:rsidR="0052643B" w:rsidRPr="004F7B25">
              <w:rPr>
                <w:rFonts w:ascii="Times New Roman" w:eastAsia="Times New Roman" w:hAnsi="Times New Roman" w:cs="Times New Roman"/>
                <w:sz w:val="20"/>
                <w:szCs w:val="20"/>
                <w:lang w:eastAsia="pl-PL"/>
              </w:rPr>
              <w:t xml:space="preserve"> </w:t>
            </w:r>
            <w:r w:rsidRPr="004F7B25">
              <w:rPr>
                <w:rFonts w:ascii="Times New Roman" w:eastAsia="Times New Roman" w:hAnsi="Times New Roman" w:cs="Times New Roman"/>
                <w:sz w:val="20"/>
                <w:szCs w:val="20"/>
                <w:lang w:eastAsia="pl-PL"/>
              </w:rPr>
              <w:t>decyzją</w:t>
            </w:r>
            <w:r w:rsidR="0052643B" w:rsidRPr="004F7B25">
              <w:rPr>
                <w:rFonts w:ascii="Times New Roman" w:eastAsia="Times New Roman" w:hAnsi="Times New Roman" w:cs="Times New Roman"/>
                <w:sz w:val="20"/>
                <w:szCs w:val="20"/>
                <w:lang w:eastAsia="pl-PL"/>
              </w:rPr>
              <w:t xml:space="preserve"> </w:t>
            </w:r>
            <w:r w:rsidRPr="004F7B25">
              <w:rPr>
                <w:rFonts w:ascii="Times New Roman" w:eastAsia="Times New Roman" w:hAnsi="Times New Roman" w:cs="Times New Roman"/>
                <w:sz w:val="20"/>
                <w:szCs w:val="20"/>
                <w:lang w:eastAsia="pl-PL"/>
              </w:rPr>
              <w:t>Zespołu</w:t>
            </w:r>
            <w:r w:rsidR="0052643B" w:rsidRPr="004F7B25">
              <w:rPr>
                <w:rFonts w:ascii="Times New Roman" w:eastAsia="Times New Roman" w:hAnsi="Times New Roman" w:cs="Times New Roman"/>
                <w:sz w:val="20"/>
                <w:szCs w:val="20"/>
                <w:lang w:eastAsia="pl-PL"/>
              </w:rPr>
              <w:t xml:space="preserve"> </w:t>
            </w:r>
            <w:r w:rsidR="00696524" w:rsidRPr="004F7B25">
              <w:rPr>
                <w:rFonts w:ascii="Times New Roman" w:eastAsia="Times New Roman" w:hAnsi="Times New Roman" w:cs="Times New Roman"/>
                <w:sz w:val="20"/>
                <w:szCs w:val="20"/>
                <w:lang w:eastAsia="pl-PL"/>
              </w:rPr>
              <w:t xml:space="preserve">Koordynacyjnego </w:t>
            </w:r>
            <w:r w:rsidR="00696524" w:rsidRPr="00154BF9">
              <w:rPr>
                <w:rFonts w:ascii="Times New Roman" w:eastAsia="Times New Roman" w:hAnsi="Times New Roman" w:cs="Times New Roman"/>
                <w:sz w:val="20"/>
                <w:szCs w:val="20"/>
                <w:lang w:eastAsia="pl-PL"/>
              </w:rPr>
              <w:t>ds.</w:t>
            </w:r>
            <w:r w:rsidR="00630679" w:rsidRPr="004F7B25">
              <w:rPr>
                <w:rFonts w:ascii="Times New Roman" w:eastAsia="Times New Roman" w:hAnsi="Times New Roman" w:cs="Times New Roman"/>
                <w:sz w:val="20"/>
                <w:szCs w:val="20"/>
                <w:lang w:eastAsia="pl-PL"/>
              </w:rPr>
              <w:t xml:space="preserve"> </w:t>
            </w:r>
            <w:r w:rsidRPr="004F7B25">
              <w:rPr>
                <w:rFonts w:ascii="Times New Roman" w:eastAsia="Times New Roman" w:hAnsi="Times New Roman" w:cs="Times New Roman"/>
                <w:sz w:val="20"/>
                <w:szCs w:val="20"/>
                <w:lang w:eastAsia="pl-PL"/>
              </w:rPr>
              <w:t>Leczenia</w:t>
            </w:r>
            <w:r w:rsidR="0052643B" w:rsidRPr="004F7B25">
              <w:rPr>
                <w:rFonts w:ascii="Times New Roman" w:eastAsia="Times New Roman" w:hAnsi="Times New Roman" w:cs="Times New Roman"/>
                <w:sz w:val="20"/>
                <w:szCs w:val="20"/>
                <w:lang w:eastAsia="pl-PL"/>
              </w:rPr>
              <w:t xml:space="preserve"> </w:t>
            </w:r>
            <w:r w:rsidRPr="004F7B25">
              <w:rPr>
                <w:rFonts w:ascii="Times New Roman" w:eastAsia="Times New Roman" w:hAnsi="Times New Roman" w:cs="Times New Roman"/>
                <w:sz w:val="20"/>
                <w:szCs w:val="20"/>
                <w:lang w:eastAsia="pl-PL"/>
              </w:rPr>
              <w:t>Biologicznego</w:t>
            </w:r>
            <w:r w:rsidR="0052643B" w:rsidRPr="004F7B25">
              <w:rPr>
                <w:rFonts w:ascii="Times New Roman" w:eastAsia="Times New Roman" w:hAnsi="Times New Roman" w:cs="Times New Roman"/>
                <w:sz w:val="20"/>
                <w:szCs w:val="20"/>
                <w:lang w:eastAsia="pl-PL"/>
              </w:rPr>
              <w:t xml:space="preserve"> </w:t>
            </w:r>
            <w:r w:rsidRPr="004F7B25">
              <w:rPr>
                <w:rFonts w:ascii="Times New Roman" w:eastAsia="Times New Roman" w:hAnsi="Times New Roman" w:cs="Times New Roman"/>
                <w:sz w:val="20"/>
                <w:szCs w:val="20"/>
                <w:lang w:eastAsia="pl-PL"/>
              </w:rPr>
              <w:t>w</w:t>
            </w:r>
            <w:r w:rsidR="0052643B" w:rsidRPr="004F7B25">
              <w:rPr>
                <w:rFonts w:ascii="Times New Roman" w:eastAsia="Times New Roman" w:hAnsi="Times New Roman" w:cs="Times New Roman"/>
                <w:sz w:val="20"/>
                <w:szCs w:val="20"/>
                <w:lang w:eastAsia="pl-PL"/>
              </w:rPr>
              <w:t xml:space="preserve"> </w:t>
            </w:r>
            <w:r w:rsidRPr="004F7B25">
              <w:rPr>
                <w:rFonts w:ascii="Times New Roman" w:eastAsia="Times New Roman" w:hAnsi="Times New Roman" w:cs="Times New Roman"/>
                <w:sz w:val="20"/>
                <w:szCs w:val="20"/>
                <w:lang w:eastAsia="pl-PL"/>
              </w:rPr>
              <w:t>Chorobach</w:t>
            </w:r>
            <w:r w:rsidR="0052643B" w:rsidRPr="004F7B25">
              <w:rPr>
                <w:rFonts w:ascii="Times New Roman" w:eastAsia="Times New Roman" w:hAnsi="Times New Roman" w:cs="Times New Roman"/>
                <w:sz w:val="20"/>
                <w:szCs w:val="20"/>
                <w:lang w:eastAsia="pl-PL"/>
              </w:rPr>
              <w:t xml:space="preserve"> </w:t>
            </w:r>
            <w:r w:rsidRPr="004F7B25">
              <w:rPr>
                <w:rFonts w:ascii="Times New Roman" w:eastAsia="Times New Roman" w:hAnsi="Times New Roman" w:cs="Times New Roman"/>
                <w:sz w:val="20"/>
                <w:szCs w:val="20"/>
                <w:lang w:eastAsia="pl-PL"/>
              </w:rPr>
              <w:t>Reumatycznych,</w:t>
            </w:r>
            <w:r w:rsidR="0052643B" w:rsidRPr="004F7B25">
              <w:rPr>
                <w:rFonts w:ascii="Times New Roman" w:eastAsia="Times New Roman" w:hAnsi="Times New Roman" w:cs="Times New Roman"/>
                <w:sz w:val="20"/>
                <w:szCs w:val="20"/>
                <w:lang w:eastAsia="pl-PL"/>
              </w:rPr>
              <w:t xml:space="preserve"> </w:t>
            </w:r>
            <w:r w:rsidRPr="004F7B25">
              <w:rPr>
                <w:rFonts w:ascii="Times New Roman" w:eastAsia="Times New Roman" w:hAnsi="Times New Roman" w:cs="Times New Roman"/>
                <w:sz w:val="20"/>
                <w:szCs w:val="20"/>
                <w:lang w:eastAsia="pl-PL"/>
              </w:rPr>
              <w:t>pacjent</w:t>
            </w:r>
            <w:r w:rsidR="0052643B" w:rsidRPr="004F7B25">
              <w:rPr>
                <w:rFonts w:ascii="Times New Roman" w:eastAsia="Times New Roman" w:hAnsi="Times New Roman" w:cs="Times New Roman"/>
                <w:sz w:val="20"/>
                <w:szCs w:val="20"/>
                <w:lang w:eastAsia="pl-PL"/>
              </w:rPr>
              <w:t xml:space="preserve"> </w:t>
            </w:r>
            <w:r w:rsidRPr="004F7B25">
              <w:rPr>
                <w:rFonts w:ascii="Times New Roman" w:eastAsia="Times New Roman" w:hAnsi="Times New Roman" w:cs="Times New Roman"/>
                <w:sz w:val="20"/>
                <w:szCs w:val="20"/>
                <w:lang w:eastAsia="pl-PL"/>
              </w:rPr>
              <w:t>może</w:t>
            </w:r>
            <w:r w:rsidR="0052643B" w:rsidRPr="004F7B25">
              <w:rPr>
                <w:rFonts w:ascii="Times New Roman" w:eastAsia="Times New Roman" w:hAnsi="Times New Roman" w:cs="Times New Roman"/>
                <w:sz w:val="20"/>
                <w:szCs w:val="20"/>
                <w:lang w:eastAsia="pl-PL"/>
              </w:rPr>
              <w:t xml:space="preserve"> </w:t>
            </w:r>
            <w:r w:rsidRPr="004F7B25">
              <w:rPr>
                <w:rFonts w:ascii="Times New Roman" w:eastAsia="Times New Roman" w:hAnsi="Times New Roman" w:cs="Times New Roman"/>
                <w:sz w:val="20"/>
                <w:szCs w:val="20"/>
                <w:lang w:eastAsia="pl-PL"/>
              </w:rPr>
              <w:t>być</w:t>
            </w:r>
            <w:r w:rsidR="0052643B" w:rsidRPr="004F7B25">
              <w:rPr>
                <w:rFonts w:ascii="Times New Roman" w:eastAsia="Times New Roman" w:hAnsi="Times New Roman" w:cs="Times New Roman"/>
                <w:sz w:val="20"/>
                <w:szCs w:val="20"/>
                <w:lang w:eastAsia="pl-PL"/>
              </w:rPr>
              <w:t xml:space="preserve"> </w:t>
            </w:r>
            <w:r w:rsidRPr="004F7B25">
              <w:rPr>
                <w:rFonts w:ascii="Times New Roman" w:eastAsia="Times New Roman" w:hAnsi="Times New Roman" w:cs="Times New Roman"/>
                <w:sz w:val="20"/>
                <w:szCs w:val="20"/>
                <w:lang w:eastAsia="pl-PL"/>
              </w:rPr>
              <w:t>zakwalifikowany</w:t>
            </w:r>
            <w:r w:rsidR="0052643B" w:rsidRPr="004F7B25">
              <w:rPr>
                <w:rFonts w:ascii="Times New Roman" w:eastAsia="Times New Roman" w:hAnsi="Times New Roman" w:cs="Times New Roman"/>
                <w:sz w:val="20"/>
                <w:szCs w:val="20"/>
                <w:lang w:eastAsia="pl-PL"/>
              </w:rPr>
              <w:t xml:space="preserve"> </w:t>
            </w:r>
            <w:r w:rsidRPr="004F7B25">
              <w:rPr>
                <w:rFonts w:ascii="Times New Roman" w:eastAsia="Times New Roman" w:hAnsi="Times New Roman" w:cs="Times New Roman"/>
                <w:sz w:val="20"/>
                <w:szCs w:val="20"/>
                <w:lang w:eastAsia="pl-PL"/>
              </w:rPr>
              <w:t>do</w:t>
            </w:r>
            <w:r w:rsidR="0052643B" w:rsidRPr="004F7B25">
              <w:rPr>
                <w:rFonts w:ascii="Times New Roman" w:eastAsia="Times New Roman" w:hAnsi="Times New Roman" w:cs="Times New Roman"/>
                <w:sz w:val="20"/>
                <w:szCs w:val="20"/>
                <w:lang w:eastAsia="pl-PL"/>
              </w:rPr>
              <w:t xml:space="preserve"> </w:t>
            </w:r>
            <w:r w:rsidRPr="004F7B25">
              <w:rPr>
                <w:rFonts w:ascii="Times New Roman" w:eastAsia="Times New Roman" w:hAnsi="Times New Roman" w:cs="Times New Roman"/>
                <w:sz w:val="20"/>
                <w:szCs w:val="20"/>
                <w:lang w:eastAsia="pl-PL"/>
              </w:rPr>
              <w:t>leczenia</w:t>
            </w:r>
            <w:r w:rsidR="0052643B" w:rsidRPr="004F7B25">
              <w:rPr>
                <w:rFonts w:ascii="Times New Roman" w:eastAsia="Times New Roman" w:hAnsi="Times New Roman" w:cs="Times New Roman"/>
                <w:sz w:val="20"/>
                <w:szCs w:val="20"/>
                <w:lang w:eastAsia="pl-PL"/>
              </w:rPr>
              <w:t xml:space="preserve"> </w:t>
            </w:r>
            <w:r w:rsidRPr="004F7B25">
              <w:rPr>
                <w:rFonts w:ascii="Times New Roman" w:eastAsia="Times New Roman" w:hAnsi="Times New Roman" w:cs="Times New Roman"/>
                <w:sz w:val="20"/>
                <w:szCs w:val="20"/>
                <w:lang w:eastAsia="pl-PL"/>
              </w:rPr>
              <w:t>w</w:t>
            </w:r>
            <w:r w:rsidR="0052643B" w:rsidRPr="004F7B25">
              <w:rPr>
                <w:rFonts w:ascii="Times New Roman" w:eastAsia="Times New Roman" w:hAnsi="Times New Roman" w:cs="Times New Roman"/>
                <w:sz w:val="20"/>
                <w:szCs w:val="20"/>
                <w:lang w:eastAsia="pl-PL"/>
              </w:rPr>
              <w:t xml:space="preserve"> </w:t>
            </w:r>
            <w:r w:rsidRPr="004F7B25">
              <w:rPr>
                <w:rFonts w:ascii="Times New Roman" w:eastAsia="Times New Roman" w:hAnsi="Times New Roman" w:cs="Times New Roman"/>
                <w:sz w:val="20"/>
                <w:szCs w:val="20"/>
                <w:lang w:eastAsia="pl-PL"/>
              </w:rPr>
              <w:t>przypadku</w:t>
            </w:r>
            <w:r w:rsidR="0052643B" w:rsidRPr="004F7B25">
              <w:rPr>
                <w:rFonts w:ascii="Times New Roman" w:eastAsia="Times New Roman" w:hAnsi="Times New Roman" w:cs="Times New Roman"/>
                <w:sz w:val="20"/>
                <w:szCs w:val="20"/>
                <w:lang w:eastAsia="pl-PL"/>
              </w:rPr>
              <w:t xml:space="preserve"> </w:t>
            </w:r>
            <w:r w:rsidRPr="004F7B25">
              <w:rPr>
                <w:rFonts w:ascii="Times New Roman" w:eastAsia="Times New Roman" w:hAnsi="Times New Roman" w:cs="Times New Roman"/>
                <w:sz w:val="20"/>
                <w:szCs w:val="20"/>
                <w:lang w:eastAsia="pl-PL"/>
              </w:rPr>
              <w:t>niespełnienia</w:t>
            </w:r>
            <w:r w:rsidR="0052643B" w:rsidRPr="004F7B25">
              <w:rPr>
                <w:rFonts w:ascii="Times New Roman" w:eastAsia="Times New Roman" w:hAnsi="Times New Roman" w:cs="Times New Roman"/>
                <w:sz w:val="20"/>
                <w:szCs w:val="20"/>
                <w:lang w:eastAsia="pl-PL"/>
              </w:rPr>
              <w:t xml:space="preserve"> </w:t>
            </w:r>
            <w:r w:rsidRPr="004F7B25">
              <w:rPr>
                <w:rFonts w:ascii="Times New Roman" w:eastAsia="Times New Roman" w:hAnsi="Times New Roman" w:cs="Times New Roman"/>
                <w:sz w:val="20"/>
                <w:szCs w:val="20"/>
                <w:lang w:eastAsia="pl-PL"/>
              </w:rPr>
              <w:t>części</w:t>
            </w:r>
            <w:r w:rsidR="0052643B" w:rsidRPr="004F7B25">
              <w:rPr>
                <w:rFonts w:ascii="Times New Roman" w:eastAsia="Times New Roman" w:hAnsi="Times New Roman" w:cs="Times New Roman"/>
                <w:sz w:val="20"/>
                <w:szCs w:val="20"/>
                <w:lang w:eastAsia="pl-PL"/>
              </w:rPr>
              <w:t xml:space="preserve"> </w:t>
            </w:r>
            <w:r w:rsidRPr="004F7B25">
              <w:rPr>
                <w:rFonts w:ascii="Times New Roman" w:eastAsia="Times New Roman" w:hAnsi="Times New Roman" w:cs="Times New Roman"/>
                <w:sz w:val="20"/>
                <w:szCs w:val="20"/>
                <w:lang w:eastAsia="pl-PL"/>
              </w:rPr>
              <w:t>kryteriów</w:t>
            </w:r>
            <w:r w:rsidR="0052643B" w:rsidRPr="004F7B25">
              <w:rPr>
                <w:rFonts w:ascii="Times New Roman" w:eastAsia="Times New Roman" w:hAnsi="Times New Roman" w:cs="Times New Roman"/>
                <w:sz w:val="20"/>
                <w:szCs w:val="20"/>
                <w:lang w:eastAsia="pl-PL"/>
              </w:rPr>
              <w:t xml:space="preserve"> </w:t>
            </w:r>
            <w:r w:rsidRPr="004F7B25">
              <w:rPr>
                <w:rFonts w:ascii="Times New Roman" w:eastAsia="Times New Roman" w:hAnsi="Times New Roman" w:cs="Times New Roman"/>
                <w:sz w:val="20"/>
                <w:szCs w:val="20"/>
                <w:lang w:eastAsia="pl-PL"/>
              </w:rPr>
              <w:t>opisanych</w:t>
            </w:r>
            <w:r w:rsidR="0052643B" w:rsidRPr="004F7B25">
              <w:rPr>
                <w:rFonts w:ascii="Times New Roman" w:eastAsia="Times New Roman" w:hAnsi="Times New Roman" w:cs="Times New Roman"/>
                <w:sz w:val="20"/>
                <w:szCs w:val="20"/>
                <w:lang w:eastAsia="pl-PL"/>
              </w:rPr>
              <w:t xml:space="preserve"> </w:t>
            </w:r>
            <w:r w:rsidRPr="004F7B25">
              <w:rPr>
                <w:rFonts w:ascii="Times New Roman" w:eastAsia="Times New Roman" w:hAnsi="Times New Roman" w:cs="Times New Roman"/>
                <w:sz w:val="20"/>
                <w:szCs w:val="20"/>
                <w:lang w:eastAsia="pl-PL"/>
              </w:rPr>
              <w:t>w</w:t>
            </w:r>
            <w:r w:rsidR="0052643B" w:rsidRPr="004F7B25">
              <w:rPr>
                <w:rFonts w:ascii="Times New Roman" w:eastAsia="Times New Roman" w:hAnsi="Times New Roman" w:cs="Times New Roman"/>
                <w:sz w:val="20"/>
                <w:szCs w:val="20"/>
                <w:lang w:eastAsia="pl-PL"/>
              </w:rPr>
              <w:t xml:space="preserve"> </w:t>
            </w:r>
            <w:r w:rsidRPr="004F7B25">
              <w:rPr>
                <w:rFonts w:ascii="Times New Roman" w:eastAsia="Times New Roman" w:hAnsi="Times New Roman" w:cs="Times New Roman"/>
                <w:sz w:val="20"/>
                <w:szCs w:val="20"/>
                <w:lang w:eastAsia="pl-PL"/>
              </w:rPr>
              <w:t>programie,</w:t>
            </w:r>
            <w:r w:rsidR="0052643B" w:rsidRPr="004F7B25">
              <w:rPr>
                <w:rFonts w:ascii="Times New Roman" w:eastAsia="Times New Roman" w:hAnsi="Times New Roman" w:cs="Times New Roman"/>
                <w:sz w:val="20"/>
                <w:szCs w:val="20"/>
                <w:lang w:eastAsia="pl-PL"/>
              </w:rPr>
              <w:t xml:space="preserve"> </w:t>
            </w:r>
            <w:r w:rsidRPr="004F7B25">
              <w:rPr>
                <w:rFonts w:ascii="Times New Roman" w:eastAsia="Times New Roman" w:hAnsi="Times New Roman" w:cs="Times New Roman"/>
                <w:sz w:val="20"/>
                <w:szCs w:val="20"/>
                <w:lang w:eastAsia="pl-PL"/>
              </w:rPr>
              <w:t>jeśli</w:t>
            </w:r>
            <w:r w:rsidR="0052643B" w:rsidRPr="004F7B25">
              <w:rPr>
                <w:rFonts w:ascii="Times New Roman" w:eastAsia="Times New Roman" w:hAnsi="Times New Roman" w:cs="Times New Roman"/>
                <w:sz w:val="20"/>
                <w:szCs w:val="20"/>
                <w:lang w:eastAsia="pl-PL"/>
              </w:rPr>
              <w:t xml:space="preserve"> </w:t>
            </w:r>
            <w:r w:rsidRPr="004F7B25">
              <w:rPr>
                <w:rFonts w:ascii="Times New Roman" w:eastAsia="Times New Roman" w:hAnsi="Times New Roman" w:cs="Times New Roman"/>
                <w:sz w:val="20"/>
                <w:szCs w:val="20"/>
                <w:lang w:eastAsia="pl-PL"/>
              </w:rPr>
              <w:t>leczenie</w:t>
            </w:r>
            <w:r w:rsidR="0052643B" w:rsidRPr="004F7B25">
              <w:rPr>
                <w:rFonts w:ascii="Times New Roman" w:eastAsia="Times New Roman" w:hAnsi="Times New Roman" w:cs="Times New Roman"/>
                <w:sz w:val="20"/>
                <w:szCs w:val="20"/>
                <w:lang w:eastAsia="pl-PL"/>
              </w:rPr>
              <w:t xml:space="preserve"> </w:t>
            </w:r>
            <w:r w:rsidRPr="004F7B25">
              <w:rPr>
                <w:rFonts w:ascii="Times New Roman" w:eastAsia="Times New Roman" w:hAnsi="Times New Roman" w:cs="Times New Roman"/>
                <w:sz w:val="20"/>
                <w:szCs w:val="20"/>
                <w:lang w:eastAsia="pl-PL"/>
              </w:rPr>
              <w:t>jest</w:t>
            </w:r>
            <w:r w:rsidR="0052643B" w:rsidRPr="004F7B25">
              <w:rPr>
                <w:rFonts w:ascii="Times New Roman" w:eastAsia="Times New Roman" w:hAnsi="Times New Roman" w:cs="Times New Roman"/>
                <w:sz w:val="20"/>
                <w:szCs w:val="20"/>
                <w:lang w:eastAsia="pl-PL"/>
              </w:rPr>
              <w:t xml:space="preserve"> </w:t>
            </w:r>
            <w:r w:rsidRPr="004F7B25">
              <w:rPr>
                <w:rFonts w:ascii="Times New Roman" w:eastAsia="Times New Roman" w:hAnsi="Times New Roman" w:cs="Times New Roman"/>
                <w:sz w:val="20"/>
                <w:szCs w:val="20"/>
                <w:lang w:eastAsia="pl-PL"/>
              </w:rPr>
              <w:t>zgodne</w:t>
            </w:r>
            <w:r w:rsidR="0052643B" w:rsidRPr="004F7B25">
              <w:rPr>
                <w:rFonts w:ascii="Times New Roman" w:eastAsia="Times New Roman" w:hAnsi="Times New Roman" w:cs="Times New Roman"/>
                <w:sz w:val="20"/>
                <w:szCs w:val="20"/>
                <w:lang w:eastAsia="pl-PL"/>
              </w:rPr>
              <w:t xml:space="preserve"> </w:t>
            </w:r>
            <w:r w:rsidRPr="004F7B25">
              <w:rPr>
                <w:rFonts w:ascii="Times New Roman" w:eastAsia="Times New Roman" w:hAnsi="Times New Roman" w:cs="Times New Roman"/>
                <w:sz w:val="20"/>
                <w:szCs w:val="20"/>
                <w:lang w:eastAsia="pl-PL"/>
              </w:rPr>
              <w:t>z</w:t>
            </w:r>
            <w:r w:rsidR="0052643B" w:rsidRPr="004F7B25">
              <w:rPr>
                <w:rFonts w:ascii="Times New Roman" w:eastAsia="Times New Roman" w:hAnsi="Times New Roman" w:cs="Times New Roman"/>
                <w:sz w:val="20"/>
                <w:szCs w:val="20"/>
                <w:lang w:eastAsia="pl-PL"/>
              </w:rPr>
              <w:t xml:space="preserve"> </w:t>
            </w:r>
            <w:r w:rsidRPr="004F7B25">
              <w:rPr>
                <w:rFonts w:ascii="Times New Roman" w:eastAsia="Times New Roman" w:hAnsi="Times New Roman" w:cs="Times New Roman"/>
                <w:sz w:val="20"/>
                <w:szCs w:val="20"/>
                <w:lang w:eastAsia="pl-PL"/>
              </w:rPr>
              <w:t>aktualnie</w:t>
            </w:r>
            <w:r w:rsidR="0052643B" w:rsidRPr="004F7B25">
              <w:rPr>
                <w:rFonts w:ascii="Times New Roman" w:eastAsia="Times New Roman" w:hAnsi="Times New Roman" w:cs="Times New Roman"/>
                <w:sz w:val="20"/>
                <w:szCs w:val="20"/>
                <w:lang w:eastAsia="pl-PL"/>
              </w:rPr>
              <w:t xml:space="preserve"> </w:t>
            </w:r>
            <w:r w:rsidRPr="004F7B25">
              <w:rPr>
                <w:rFonts w:ascii="Times New Roman" w:eastAsia="Times New Roman" w:hAnsi="Times New Roman" w:cs="Times New Roman"/>
                <w:sz w:val="20"/>
                <w:szCs w:val="20"/>
                <w:lang w:eastAsia="pl-PL"/>
              </w:rPr>
              <w:t>obowiązującymi</w:t>
            </w:r>
            <w:r w:rsidR="0052643B" w:rsidRPr="004F7B25">
              <w:rPr>
                <w:rFonts w:ascii="Times New Roman" w:eastAsia="Times New Roman" w:hAnsi="Times New Roman" w:cs="Times New Roman"/>
                <w:sz w:val="20"/>
                <w:szCs w:val="20"/>
                <w:lang w:eastAsia="pl-PL"/>
              </w:rPr>
              <w:t xml:space="preserve"> </w:t>
            </w:r>
            <w:r w:rsidRPr="004F7B25">
              <w:rPr>
                <w:rFonts w:ascii="Times New Roman" w:eastAsia="Times New Roman" w:hAnsi="Times New Roman" w:cs="Times New Roman"/>
                <w:sz w:val="20"/>
                <w:szCs w:val="20"/>
                <w:lang w:eastAsia="pl-PL"/>
              </w:rPr>
              <w:t>rekomendacjami</w:t>
            </w:r>
            <w:r w:rsidR="0052643B" w:rsidRPr="004F7B25">
              <w:rPr>
                <w:rFonts w:ascii="Times New Roman" w:eastAsia="Times New Roman" w:hAnsi="Times New Roman" w:cs="Times New Roman"/>
                <w:sz w:val="20"/>
                <w:szCs w:val="20"/>
                <w:lang w:eastAsia="pl-PL"/>
              </w:rPr>
              <w:t xml:space="preserve"> </w:t>
            </w:r>
            <w:r w:rsidRPr="004F7B25">
              <w:rPr>
                <w:rFonts w:ascii="Times New Roman" w:eastAsia="Times New Roman" w:hAnsi="Times New Roman" w:cs="Times New Roman"/>
                <w:sz w:val="20"/>
                <w:szCs w:val="20"/>
                <w:lang w:eastAsia="pl-PL"/>
              </w:rPr>
              <w:t>oraz</w:t>
            </w:r>
            <w:r w:rsidR="0052643B" w:rsidRPr="004F7B25">
              <w:rPr>
                <w:rFonts w:ascii="Times New Roman" w:eastAsia="Times New Roman" w:hAnsi="Times New Roman" w:cs="Times New Roman"/>
                <w:sz w:val="20"/>
                <w:szCs w:val="20"/>
                <w:lang w:eastAsia="pl-PL"/>
              </w:rPr>
              <w:t xml:space="preserve"> </w:t>
            </w:r>
            <w:r w:rsidRPr="004F7B25">
              <w:rPr>
                <w:rFonts w:ascii="Times New Roman" w:eastAsia="Times New Roman" w:hAnsi="Times New Roman" w:cs="Times New Roman"/>
                <w:sz w:val="20"/>
                <w:szCs w:val="20"/>
                <w:lang w:eastAsia="pl-PL"/>
              </w:rPr>
              <w:t>wiedzą</w:t>
            </w:r>
            <w:r w:rsidR="0052643B" w:rsidRPr="004F7B25">
              <w:rPr>
                <w:rFonts w:ascii="Times New Roman" w:eastAsia="Times New Roman" w:hAnsi="Times New Roman" w:cs="Times New Roman"/>
                <w:sz w:val="20"/>
                <w:szCs w:val="20"/>
                <w:lang w:eastAsia="pl-PL"/>
              </w:rPr>
              <w:t xml:space="preserve"> </w:t>
            </w:r>
            <w:r w:rsidRPr="004F7B25">
              <w:rPr>
                <w:rFonts w:ascii="Times New Roman" w:eastAsia="Times New Roman" w:hAnsi="Times New Roman" w:cs="Times New Roman"/>
                <w:sz w:val="20"/>
                <w:szCs w:val="20"/>
                <w:lang w:eastAsia="pl-PL"/>
              </w:rPr>
              <w:t>medyczną.</w:t>
            </w:r>
          </w:p>
          <w:p w14:paraId="64BECE5C" w14:textId="6454BE55" w:rsidR="009F08ED" w:rsidRPr="00154BF9" w:rsidRDefault="009D7AE1" w:rsidP="006C3A73">
            <w:pPr>
              <w:numPr>
                <w:ilvl w:val="3"/>
                <w:numId w:val="20"/>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przypadku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miesiączkujących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dziewcząt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wymagana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jest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zgoda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świadomą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kontrolę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urodzeń,</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zgodnie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Charakterystyką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Produktu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Leczniczego,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którym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odbywa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się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leczenie</w:t>
            </w:r>
            <w:r w:rsidR="009F08ED" w:rsidRPr="00154BF9">
              <w:rPr>
                <w:rFonts w:ascii="Times New Roman" w:eastAsia="Times New Roman" w:hAnsi="Times New Roman" w:cs="Times New Roman"/>
                <w:sz w:val="20"/>
                <w:szCs w:val="20"/>
                <w:lang w:eastAsia="pl-PL"/>
              </w:rPr>
              <w:t>.</w:t>
            </w:r>
          </w:p>
          <w:p w14:paraId="2E3688C4" w14:textId="0737F2FF" w:rsidR="006675ED" w:rsidRPr="00154BF9" w:rsidRDefault="006675ED" w:rsidP="006C3A73">
            <w:pPr>
              <w:numPr>
                <w:ilvl w:val="3"/>
                <w:numId w:val="20"/>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W przypadku ciąży lub karmienia piersią dopuszcza się możliwość leczenia uzasadnioną aktualną wiedzą medyczną - do decyzji lekarza prowadzącego.</w:t>
            </w:r>
          </w:p>
          <w:p w14:paraId="7D298251" w14:textId="3528CD08" w:rsidR="006675ED" w:rsidRPr="00154BF9" w:rsidRDefault="006675ED" w:rsidP="006C3A73">
            <w:pPr>
              <w:numPr>
                <w:ilvl w:val="3"/>
                <w:numId w:val="20"/>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Adekwatna wydolność narządowa określona na podstawie wyników badań laboratoryjnych krwi zgodnie z zapisami aktualnej Charakterystyki Produktu Leczniczego (zwanej dalej ChPL).</w:t>
            </w:r>
          </w:p>
          <w:p w14:paraId="3C7969B1" w14:textId="509F4DE6" w:rsidR="006675ED" w:rsidRPr="00154BF9" w:rsidRDefault="006675ED" w:rsidP="006C3A73">
            <w:pPr>
              <w:numPr>
                <w:ilvl w:val="3"/>
                <w:numId w:val="20"/>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lastRenderedPageBreak/>
              <w:t>Nieobecność istotnych schorzeń współistniejących stanowiących przeciwskazanie do terapii stwierdzonych przez lekarza prowadzącego w oparciu o aktualną ChPL.</w:t>
            </w:r>
          </w:p>
          <w:p w14:paraId="6A46BEE5" w14:textId="0CEB8C44" w:rsidR="006675ED" w:rsidRPr="00154BF9" w:rsidRDefault="006675ED" w:rsidP="006C3A73">
            <w:pPr>
              <w:numPr>
                <w:ilvl w:val="3"/>
                <w:numId w:val="20"/>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Brak przeciwwskazań do stosowania określonej w aktualnej ChPL substancji czynnej ujętej w programie lekowym, z uwzględnieniem rekomendacji EULAR/ ACR.</w:t>
            </w:r>
          </w:p>
          <w:p w14:paraId="1BE05476" w14:textId="77777777" w:rsidR="009D7AE1" w:rsidRPr="00154BF9" w:rsidRDefault="009D7AE1" w:rsidP="006C3A73">
            <w:pPr>
              <w:spacing w:after="60" w:line="276" w:lineRule="auto"/>
              <w:jc w:val="both"/>
              <w:rPr>
                <w:rFonts w:ascii="Times New Roman" w:eastAsia="Times New Roman" w:hAnsi="Times New Roman" w:cs="Times New Roman"/>
                <w:sz w:val="20"/>
                <w:szCs w:val="20"/>
                <w:lang w:eastAsia="pl-PL"/>
              </w:rPr>
            </w:pPr>
          </w:p>
          <w:p w14:paraId="18AC399E" w14:textId="5E61E0B1" w:rsidR="006675ED" w:rsidRPr="00154BF9" w:rsidRDefault="006675ED" w:rsidP="006C3A73">
            <w:pPr>
              <w:spacing w:after="60" w:line="276" w:lineRule="auto"/>
              <w:jc w:val="both"/>
              <w:rPr>
                <w:rFonts w:ascii="Times New Roman" w:hAnsi="Times New Roman" w:cs="Times New Roman"/>
                <w:sz w:val="20"/>
                <w:szCs w:val="20"/>
              </w:rPr>
            </w:pPr>
            <w:r w:rsidRPr="00154BF9">
              <w:rPr>
                <w:rFonts w:ascii="Times New Roman" w:hAnsi="Times New Roman" w:cs="Times New Roman"/>
                <w:sz w:val="20"/>
                <w:szCs w:val="20"/>
              </w:rPr>
              <w:t>Ponadto do programu lekowego kwalifikowani są pacjenci wymagający kontynuacji leczenia, którzy byli leczeni substancjami czynnymi finansowanymi w programie lekowym w ramach innego sposobu finansowania terapii (za wyjątkiem trwających badań klinicznych tych leków), pod warunkiem, że w chwili rozpoczęcia leczenia spełniali kryteria kwalifikacji do programu lekowego.</w:t>
            </w:r>
          </w:p>
          <w:p w14:paraId="58DDFE2A" w14:textId="77777777" w:rsidR="009D7AE1" w:rsidRPr="00154BF9" w:rsidRDefault="009D7AE1" w:rsidP="006C3A73">
            <w:pPr>
              <w:spacing w:after="60" w:line="276" w:lineRule="auto"/>
              <w:jc w:val="both"/>
              <w:rPr>
                <w:rFonts w:ascii="Times New Roman" w:hAnsi="Times New Roman" w:cs="Times New Roman"/>
                <w:sz w:val="20"/>
                <w:szCs w:val="20"/>
              </w:rPr>
            </w:pPr>
          </w:p>
          <w:p w14:paraId="576C6B2C" w14:textId="3D1DA363" w:rsidR="009D7AE1" w:rsidRPr="004D380C" w:rsidRDefault="009D7AE1" w:rsidP="006C3A73">
            <w:pPr>
              <w:pStyle w:val="Akapitzlist"/>
              <w:numPr>
                <w:ilvl w:val="0"/>
                <w:numId w:val="20"/>
              </w:numPr>
              <w:autoSpaceDE w:val="0"/>
              <w:autoSpaceDN w:val="0"/>
              <w:adjustRightInd w:val="0"/>
              <w:spacing w:after="60" w:line="276" w:lineRule="auto"/>
              <w:contextualSpacing w:val="0"/>
              <w:jc w:val="both"/>
              <w:rPr>
                <w:rFonts w:ascii="Times New Roman" w:eastAsia="Times New Roman" w:hAnsi="Times New Roman" w:cs="Times New Roman"/>
                <w:b/>
                <w:bCs/>
                <w:sz w:val="20"/>
                <w:szCs w:val="20"/>
                <w:lang w:eastAsia="pl-PL"/>
              </w:rPr>
            </w:pPr>
            <w:r w:rsidRPr="004D380C">
              <w:rPr>
                <w:rFonts w:ascii="Times New Roman" w:eastAsia="Times New Roman" w:hAnsi="Times New Roman" w:cs="Times New Roman"/>
                <w:b/>
                <w:bCs/>
                <w:sz w:val="20"/>
                <w:szCs w:val="20"/>
                <w:lang w:eastAsia="pl-PL"/>
              </w:rPr>
              <w:t>Czas</w:t>
            </w:r>
            <w:r w:rsidR="0052643B" w:rsidRPr="004D380C">
              <w:rPr>
                <w:rFonts w:ascii="Times New Roman" w:eastAsia="Times New Roman" w:hAnsi="Times New Roman" w:cs="Times New Roman"/>
                <w:b/>
                <w:bCs/>
                <w:sz w:val="20"/>
                <w:szCs w:val="20"/>
                <w:lang w:eastAsia="pl-PL"/>
              </w:rPr>
              <w:t xml:space="preserve"> </w:t>
            </w:r>
            <w:r w:rsidRPr="004D380C">
              <w:rPr>
                <w:rFonts w:ascii="Times New Roman" w:eastAsia="Times New Roman" w:hAnsi="Times New Roman" w:cs="Times New Roman"/>
                <w:b/>
                <w:bCs/>
                <w:sz w:val="20"/>
                <w:szCs w:val="20"/>
                <w:lang w:eastAsia="pl-PL"/>
              </w:rPr>
              <w:t>leczenia</w:t>
            </w:r>
            <w:r w:rsidR="0052643B" w:rsidRPr="004D380C">
              <w:rPr>
                <w:rFonts w:ascii="Times New Roman" w:eastAsia="Times New Roman" w:hAnsi="Times New Roman" w:cs="Times New Roman"/>
                <w:b/>
                <w:bCs/>
                <w:sz w:val="20"/>
                <w:szCs w:val="20"/>
                <w:lang w:eastAsia="pl-PL"/>
              </w:rPr>
              <w:t xml:space="preserve"> </w:t>
            </w:r>
            <w:r w:rsidRPr="004D380C">
              <w:rPr>
                <w:rFonts w:ascii="Times New Roman" w:eastAsia="Times New Roman" w:hAnsi="Times New Roman" w:cs="Times New Roman"/>
                <w:b/>
                <w:bCs/>
                <w:sz w:val="20"/>
                <w:szCs w:val="20"/>
                <w:lang w:eastAsia="pl-PL"/>
              </w:rPr>
              <w:t>w</w:t>
            </w:r>
            <w:r w:rsidR="0052643B" w:rsidRPr="004D380C">
              <w:rPr>
                <w:rFonts w:ascii="Times New Roman" w:eastAsia="Times New Roman" w:hAnsi="Times New Roman" w:cs="Times New Roman"/>
                <w:b/>
                <w:bCs/>
                <w:sz w:val="20"/>
                <w:szCs w:val="20"/>
                <w:lang w:eastAsia="pl-PL"/>
              </w:rPr>
              <w:t xml:space="preserve"> </w:t>
            </w:r>
            <w:r w:rsidRPr="004D380C">
              <w:rPr>
                <w:rFonts w:ascii="Times New Roman" w:eastAsia="Times New Roman" w:hAnsi="Times New Roman" w:cs="Times New Roman"/>
                <w:b/>
                <w:bCs/>
                <w:sz w:val="20"/>
                <w:szCs w:val="20"/>
                <w:lang w:eastAsia="pl-PL"/>
              </w:rPr>
              <w:t>programie</w:t>
            </w:r>
          </w:p>
          <w:p w14:paraId="67E8906E" w14:textId="75EB7D12" w:rsidR="006675ED" w:rsidRPr="00154BF9" w:rsidRDefault="006675ED" w:rsidP="006C3A73">
            <w:pPr>
              <w:numPr>
                <w:ilvl w:val="3"/>
                <w:numId w:val="20"/>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Leczenie trwa do czasu podjęcia przez Zespół Koordynacyjny lub lekarza prowadzącego decyzji o wyłączeniu świadczeniobiorcy z programu, zgodnie z kryteriami wyłączenia;</w:t>
            </w:r>
          </w:p>
          <w:p w14:paraId="6D356437" w14:textId="2216B61F" w:rsidR="009D7AE1" w:rsidRPr="00154BF9" w:rsidRDefault="006675ED" w:rsidP="006C3A73">
            <w:pPr>
              <w:numPr>
                <w:ilvl w:val="3"/>
                <w:numId w:val="20"/>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P</w:t>
            </w:r>
            <w:r w:rsidR="009D7AE1" w:rsidRPr="00154BF9">
              <w:rPr>
                <w:rFonts w:ascii="Times New Roman" w:eastAsia="Times New Roman" w:hAnsi="Times New Roman" w:cs="Times New Roman"/>
                <w:sz w:val="20"/>
                <w:szCs w:val="20"/>
                <w:lang w:eastAsia="pl-PL"/>
              </w:rPr>
              <w:t>acjent</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będący</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trakcie</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terapii,</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który</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ukończył</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18</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rok</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życia,</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może</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kontynuować</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terapię</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pediatrycznym</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ośrodku</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realizującym</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program</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lekowy</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dotyczący</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leczenia</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MIZS</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czasu</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jej</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ukończenia,</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jednak</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nie</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dłużej</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niż</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ukończenia</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20</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roku</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życia,</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po</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uzyskaniu</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indywidualnej</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zgody</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Dyrektora</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Oddziału</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Wojewódzkiego</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NFZ.</w:t>
            </w:r>
          </w:p>
          <w:p w14:paraId="34528DD7" w14:textId="77777777" w:rsidR="009D7AE1" w:rsidRPr="00154BF9" w:rsidRDefault="009D7AE1" w:rsidP="006C3A73">
            <w:pPr>
              <w:tabs>
                <w:tab w:val="left" w:pos="0"/>
              </w:tabs>
              <w:spacing w:after="60" w:line="276" w:lineRule="auto"/>
              <w:jc w:val="both"/>
              <w:rPr>
                <w:rFonts w:ascii="Times New Roman" w:eastAsia="Times New Roman" w:hAnsi="Times New Roman" w:cs="Times New Roman"/>
                <w:sz w:val="20"/>
                <w:szCs w:val="20"/>
                <w:lang w:eastAsia="pl-PL"/>
              </w:rPr>
            </w:pPr>
          </w:p>
          <w:p w14:paraId="5E182E52" w14:textId="777B9305" w:rsidR="009D7AE1" w:rsidRPr="004D380C" w:rsidRDefault="00437CEE" w:rsidP="006C3A73">
            <w:pPr>
              <w:pStyle w:val="Akapitzlist"/>
              <w:numPr>
                <w:ilvl w:val="0"/>
                <w:numId w:val="20"/>
              </w:numPr>
              <w:autoSpaceDE w:val="0"/>
              <w:autoSpaceDN w:val="0"/>
              <w:adjustRightInd w:val="0"/>
              <w:spacing w:after="60" w:line="276" w:lineRule="auto"/>
              <w:contextualSpacing w:val="0"/>
              <w:jc w:val="both"/>
              <w:rPr>
                <w:rFonts w:ascii="Times New Roman" w:eastAsia="Times New Roman" w:hAnsi="Times New Roman" w:cs="Times New Roman"/>
                <w:b/>
                <w:bCs/>
                <w:sz w:val="20"/>
                <w:szCs w:val="20"/>
                <w:lang w:eastAsia="pl-PL"/>
              </w:rPr>
            </w:pPr>
            <w:r w:rsidRPr="004D380C">
              <w:rPr>
                <w:rFonts w:ascii="Times New Roman" w:eastAsia="Times New Roman" w:hAnsi="Times New Roman" w:cs="Times New Roman"/>
                <w:b/>
                <w:bCs/>
                <w:noProof/>
                <w:sz w:val="20"/>
                <w:szCs w:val="20"/>
                <w:lang w:eastAsia="pl-PL"/>
              </w:rPr>
              <mc:AlternateContent>
                <mc:Choice Requires="wps">
                  <w:drawing>
                    <wp:anchor distT="0" distB="0" distL="89535" distR="0" simplePos="0" relativeHeight="251659264" behindDoc="0" locked="0" layoutInCell="1" allowOverlap="1" wp14:anchorId="6F9A1FFA" wp14:editId="06C9AFD6">
                      <wp:simplePos x="0" y="0"/>
                      <wp:positionH relativeFrom="page">
                        <wp:posOffset>6644640</wp:posOffset>
                      </wp:positionH>
                      <wp:positionV relativeFrom="paragraph">
                        <wp:posOffset>-41275</wp:posOffset>
                      </wp:positionV>
                      <wp:extent cx="5080" cy="64135"/>
                      <wp:effectExtent l="0" t="0" r="0" b="0"/>
                      <wp:wrapSquare wrapText="largest"/>
                      <wp:docPr id="1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 cy="641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76A935" w14:textId="77777777" w:rsidR="00251138" w:rsidRDefault="00251138" w:rsidP="009D7AE1">
                                  <w:pPr>
                                    <w:jc w:val="both"/>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9A1FFA" id="_x0000_t202" coordsize="21600,21600" o:spt="202" path="m,l,21600r21600,l21600,xe">
                      <v:stroke joinstyle="miter"/>
                      <v:path gradientshapeok="t" o:connecttype="rect"/>
                    </v:shapetype>
                    <v:shape id="Pole tekstowe 2" o:spid="_x0000_s1026" type="#_x0000_t202" style="position:absolute;left:0;text-align:left;margin-left:523.2pt;margin-top:-3.25pt;width:.4pt;height:5.05pt;z-index:251659264;visibility:visible;mso-wrap-style:square;mso-width-percent:0;mso-height-percent:0;mso-wrap-distance-left:7.05pt;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" stroked="f">
                      <v:fill opacity="0"/>
                      <v:textbox inset="0,0,0,0">
                        <w:txbxContent>
                          <w:p w14:paraId="6F76A935" w14:textId="77777777" w:rsidR="00251138" w:rsidRDefault="00251138" w:rsidP="009D7AE1">
                            <w:pPr>
                              <w:jc w:val="both"/>
                            </w:pPr>
                          </w:p>
                        </w:txbxContent>
                      </v:textbox>
                      <w10:wrap type="square" side="largest" anchorx="page"/>
                    </v:shape>
                  </w:pict>
                </mc:Fallback>
              </mc:AlternateContent>
            </w:r>
            <w:r w:rsidRPr="004D380C">
              <w:rPr>
                <w:rFonts w:ascii="Times New Roman" w:eastAsia="Times New Roman" w:hAnsi="Times New Roman" w:cs="Times New Roman"/>
                <w:b/>
                <w:bCs/>
                <w:noProof/>
                <w:sz w:val="20"/>
                <w:szCs w:val="20"/>
                <w:lang w:eastAsia="pl-PL"/>
              </w:rPr>
              <mc:AlternateContent>
                <mc:Choice Requires="wps">
                  <w:drawing>
                    <wp:anchor distT="0" distB="0" distL="89535" distR="0" simplePos="0" relativeHeight="251660288" behindDoc="0" locked="0" layoutInCell="1" allowOverlap="1" wp14:anchorId="026B5B85" wp14:editId="6BA2A853">
                      <wp:simplePos x="0" y="0"/>
                      <wp:positionH relativeFrom="page">
                        <wp:posOffset>6644640</wp:posOffset>
                      </wp:positionH>
                      <wp:positionV relativeFrom="paragraph">
                        <wp:posOffset>-41275</wp:posOffset>
                      </wp:positionV>
                      <wp:extent cx="5080" cy="64135"/>
                      <wp:effectExtent l="0" t="0" r="0" b="0"/>
                      <wp:wrapSquare wrapText="largest"/>
                      <wp:docPr id="11" name="Pole tekstow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 cy="641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92C4BD" w14:textId="77777777" w:rsidR="00251138" w:rsidRDefault="00251138" w:rsidP="009D7AE1">
                                  <w:pPr>
                                    <w:jc w:val="both"/>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6B5B85" id="Pole tekstowe 1" o:spid="_x0000_s1027" type="#_x0000_t202" style="position:absolute;left:0;text-align:left;margin-left:523.2pt;margin-top:-3.25pt;width:.4pt;height:5.05pt;z-index:251660288;visibility:visible;mso-wrap-style:square;mso-width-percent:0;mso-height-percent:0;mso-wrap-distance-left:7.05pt;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" stroked="f">
                      <v:fill opacity="0"/>
                      <v:textbox inset="0,0,0,0">
                        <w:txbxContent>
                          <w:p w14:paraId="3F92C4BD" w14:textId="77777777" w:rsidR="00251138" w:rsidRDefault="00251138" w:rsidP="009D7AE1">
                            <w:pPr>
                              <w:jc w:val="both"/>
                            </w:pPr>
                          </w:p>
                        </w:txbxContent>
                      </v:textbox>
                      <w10:wrap type="square" side="largest" anchorx="page"/>
                    </v:shape>
                  </w:pict>
                </mc:Fallback>
              </mc:AlternateContent>
            </w:r>
            <w:r w:rsidR="009D7AE1" w:rsidRPr="004D380C">
              <w:rPr>
                <w:rFonts w:ascii="Times New Roman" w:eastAsia="Times New Roman" w:hAnsi="Times New Roman" w:cs="Times New Roman"/>
                <w:b/>
                <w:bCs/>
                <w:sz w:val="20"/>
                <w:szCs w:val="20"/>
                <w:lang w:eastAsia="pl-PL"/>
              </w:rPr>
              <w:t>Kryteria</w:t>
            </w:r>
            <w:r w:rsidR="0052643B" w:rsidRPr="004D380C">
              <w:rPr>
                <w:rFonts w:ascii="Times New Roman" w:eastAsia="Times New Roman" w:hAnsi="Times New Roman" w:cs="Times New Roman"/>
                <w:b/>
                <w:bCs/>
                <w:sz w:val="20"/>
                <w:szCs w:val="20"/>
                <w:lang w:eastAsia="pl-PL"/>
              </w:rPr>
              <w:t xml:space="preserve"> </w:t>
            </w:r>
            <w:r w:rsidR="009D7AE1" w:rsidRPr="004D380C">
              <w:rPr>
                <w:rFonts w:ascii="Times New Roman" w:eastAsia="Times New Roman" w:hAnsi="Times New Roman" w:cs="Times New Roman"/>
                <w:b/>
                <w:bCs/>
                <w:sz w:val="20"/>
                <w:szCs w:val="20"/>
                <w:lang w:eastAsia="pl-PL"/>
              </w:rPr>
              <w:t>wyłączenia</w:t>
            </w:r>
            <w:r w:rsidR="0052643B" w:rsidRPr="004D380C">
              <w:rPr>
                <w:rFonts w:ascii="Times New Roman" w:eastAsia="Times New Roman" w:hAnsi="Times New Roman" w:cs="Times New Roman"/>
                <w:b/>
                <w:bCs/>
                <w:sz w:val="20"/>
                <w:szCs w:val="20"/>
                <w:lang w:eastAsia="pl-PL"/>
              </w:rPr>
              <w:t xml:space="preserve"> </w:t>
            </w:r>
            <w:r w:rsidR="009D7AE1" w:rsidRPr="004D380C">
              <w:rPr>
                <w:rFonts w:ascii="Times New Roman" w:eastAsia="Times New Roman" w:hAnsi="Times New Roman" w:cs="Times New Roman"/>
                <w:b/>
                <w:bCs/>
                <w:sz w:val="20"/>
                <w:szCs w:val="20"/>
                <w:lang w:eastAsia="pl-PL"/>
              </w:rPr>
              <w:t>z</w:t>
            </w:r>
            <w:r w:rsidR="0052643B" w:rsidRPr="004D380C">
              <w:rPr>
                <w:rFonts w:ascii="Times New Roman" w:eastAsia="Times New Roman" w:hAnsi="Times New Roman" w:cs="Times New Roman"/>
                <w:b/>
                <w:bCs/>
                <w:sz w:val="20"/>
                <w:szCs w:val="20"/>
                <w:lang w:eastAsia="pl-PL"/>
              </w:rPr>
              <w:t xml:space="preserve"> </w:t>
            </w:r>
            <w:r w:rsidR="009D7AE1" w:rsidRPr="004D380C">
              <w:rPr>
                <w:rFonts w:ascii="Times New Roman" w:eastAsia="Times New Roman" w:hAnsi="Times New Roman" w:cs="Times New Roman"/>
                <w:b/>
                <w:bCs/>
                <w:sz w:val="20"/>
                <w:szCs w:val="20"/>
                <w:lang w:eastAsia="pl-PL"/>
              </w:rPr>
              <w:t>programu</w:t>
            </w:r>
          </w:p>
          <w:p w14:paraId="60B5E8FD" w14:textId="1A0E037B" w:rsidR="009D7AE1" w:rsidRPr="00154BF9" w:rsidRDefault="00CB2BED" w:rsidP="006C3A73">
            <w:pPr>
              <w:numPr>
                <w:ilvl w:val="3"/>
                <w:numId w:val="20"/>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B</w:t>
            </w:r>
            <w:r w:rsidR="009D7AE1" w:rsidRPr="00154BF9">
              <w:rPr>
                <w:rFonts w:ascii="Times New Roman" w:eastAsia="Times New Roman" w:hAnsi="Times New Roman" w:cs="Times New Roman"/>
                <w:sz w:val="20"/>
                <w:szCs w:val="20"/>
                <w:lang w:eastAsia="pl-PL"/>
              </w:rPr>
              <w:t>rak</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adekwatnej</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odpowiedzi</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na</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leczenie,</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stwierdzony</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po</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3</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pierwszych</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miesiącach</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w:t>
            </w:r>
            <w:r w:rsidR="00251138" w:rsidRPr="00154BF9">
              <w:rPr>
                <w:rFonts w:ascii="Times New Roman" w:eastAsia="Times New Roman" w:hAnsi="Times New Roman" w:cs="Times New Roman"/>
                <w:sz w:val="20"/>
                <w:szCs w:val="20"/>
                <w:lang w:eastAsia="pl-PL"/>
              </w:rPr>
              <w:t>1</w:t>
            </w:r>
            <w:r w:rsidR="0052643B" w:rsidRPr="00154BF9">
              <w:rPr>
                <w:rFonts w:ascii="Times New Roman" w:eastAsia="Times New Roman" w:hAnsi="Times New Roman" w:cs="Times New Roman"/>
                <w:sz w:val="20"/>
                <w:szCs w:val="20"/>
                <w:lang w:eastAsia="pl-PL"/>
              </w:rPr>
              <w:t xml:space="preserve"> </w:t>
            </w:r>
            <w:r w:rsidR="00251138" w:rsidRPr="00154BF9">
              <w:rPr>
                <w:rFonts w:ascii="Times New Roman" w:eastAsia="Times New Roman" w:hAnsi="Times New Roman" w:cs="Times New Roman"/>
                <w:sz w:val="20"/>
                <w:szCs w:val="20"/>
                <w:lang w:eastAsia="pl-PL"/>
              </w:rPr>
              <w:t>miesiąc</w:t>
            </w:r>
            <w:r w:rsidR="009D7AE1"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terapii</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daną</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substancją</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czynną.</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Adekwatną</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odpowiedź</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na</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leczenie</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definiujemy</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jako:</w:t>
            </w:r>
          </w:p>
          <w:p w14:paraId="3DB80CA6" w14:textId="01119ADA" w:rsidR="009D7AE1" w:rsidRPr="00154BF9" w:rsidRDefault="009D7AE1" w:rsidP="006C3A73">
            <w:pPr>
              <w:numPr>
                <w:ilvl w:val="4"/>
                <w:numId w:val="31"/>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poprawę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najmniej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30%</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od</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wartości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wyjściowych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3</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pierwszych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miesiącach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terapii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według</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oceny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Gianniniego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pacjentów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rozpoznaniem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MIZS</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dominującymi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objawami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strony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stawów,</w:t>
            </w:r>
          </w:p>
          <w:p w14:paraId="58CA14DE" w14:textId="101F3250" w:rsidR="009D7AE1" w:rsidRPr="00154BF9" w:rsidRDefault="009D7AE1" w:rsidP="006C3A73">
            <w:pPr>
              <w:numPr>
                <w:ilvl w:val="4"/>
                <w:numId w:val="31"/>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lastRenderedPageBreak/>
              <w:t>ustąpienie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objawów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układowych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3</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pierwszych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miesiącach</w:t>
            </w:r>
            <w:r w:rsidR="0052643B" w:rsidRPr="00154BF9">
              <w:rPr>
                <w:rFonts w:ascii="Times New Roman" w:eastAsia="Times New Roman" w:hAnsi="Times New Roman" w:cs="Times New Roman"/>
                <w:sz w:val="20"/>
                <w:szCs w:val="20"/>
                <w:lang w:eastAsia="pl-PL"/>
              </w:rPr>
              <w:t xml:space="preserve"> </w:t>
            </w:r>
            <w:r w:rsidR="00251138" w:rsidRPr="00154BF9">
              <w:rPr>
                <w:rFonts w:ascii="Times New Roman" w:eastAsia="Times New Roman" w:hAnsi="Times New Roman" w:cs="Times New Roman"/>
                <w:sz w:val="20"/>
                <w:szCs w:val="20"/>
                <w:lang w:eastAsia="pl-PL"/>
              </w:rPr>
              <w:t>(±1</w:t>
            </w:r>
            <w:r w:rsidR="0052643B" w:rsidRPr="00154BF9">
              <w:rPr>
                <w:rFonts w:ascii="Times New Roman" w:eastAsia="Times New Roman" w:hAnsi="Times New Roman" w:cs="Times New Roman"/>
                <w:sz w:val="20"/>
                <w:szCs w:val="20"/>
                <w:lang w:eastAsia="pl-PL"/>
              </w:rPr>
              <w:t xml:space="preserve"> </w:t>
            </w:r>
            <w:r w:rsidR="00251138" w:rsidRPr="00154BF9">
              <w:rPr>
                <w:rFonts w:ascii="Times New Roman" w:eastAsia="Times New Roman" w:hAnsi="Times New Roman" w:cs="Times New Roman"/>
                <w:sz w:val="20"/>
                <w:szCs w:val="20"/>
                <w:lang w:eastAsia="pl-PL"/>
              </w:rPr>
              <w:t>miesiąc)</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terapii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pacjentów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rozpoznaniem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MIZS</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dominującymi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objawami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układowymi</w:t>
            </w:r>
            <w:r w:rsidR="00CB2BED" w:rsidRPr="00154BF9">
              <w:rPr>
                <w:rFonts w:ascii="Times New Roman" w:eastAsia="Times New Roman" w:hAnsi="Times New Roman" w:cs="Times New Roman"/>
                <w:sz w:val="20"/>
                <w:szCs w:val="20"/>
                <w:lang w:eastAsia="pl-PL"/>
              </w:rPr>
              <w:t>.</w:t>
            </w:r>
          </w:p>
          <w:p w14:paraId="5B8F7D4F" w14:textId="190C94B1" w:rsidR="009D7AE1" w:rsidRPr="00154BF9" w:rsidRDefault="00CB2BED" w:rsidP="006C3A73">
            <w:pPr>
              <w:numPr>
                <w:ilvl w:val="3"/>
                <w:numId w:val="20"/>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U</w:t>
            </w:r>
            <w:r w:rsidR="009D7AE1" w:rsidRPr="00154BF9">
              <w:rPr>
                <w:rFonts w:ascii="Times New Roman" w:eastAsia="Times New Roman" w:hAnsi="Times New Roman" w:cs="Times New Roman"/>
                <w:sz w:val="20"/>
                <w:szCs w:val="20"/>
                <w:lang w:eastAsia="pl-PL"/>
              </w:rPr>
              <w:t>trata</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adekwatnej</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odpowiedzi</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na</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leczenie</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stwierdzona</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po</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kolejnych</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3</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miesiącach</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w:t>
            </w:r>
            <w:r w:rsidR="00251138" w:rsidRPr="00154BF9">
              <w:rPr>
                <w:rFonts w:ascii="Times New Roman" w:eastAsia="Times New Roman" w:hAnsi="Times New Roman" w:cs="Times New Roman"/>
                <w:sz w:val="20"/>
                <w:szCs w:val="20"/>
                <w:lang w:eastAsia="pl-PL"/>
              </w:rPr>
              <w:t>1</w:t>
            </w:r>
            <w:r w:rsidR="0052643B" w:rsidRPr="00154BF9">
              <w:rPr>
                <w:rFonts w:ascii="Times New Roman" w:eastAsia="Times New Roman" w:hAnsi="Times New Roman" w:cs="Times New Roman"/>
                <w:sz w:val="20"/>
                <w:szCs w:val="20"/>
                <w:lang w:eastAsia="pl-PL"/>
              </w:rPr>
              <w:t xml:space="preserve"> </w:t>
            </w:r>
            <w:r w:rsidR="00251138" w:rsidRPr="00154BF9">
              <w:rPr>
                <w:rFonts w:ascii="Times New Roman" w:eastAsia="Times New Roman" w:hAnsi="Times New Roman" w:cs="Times New Roman"/>
                <w:sz w:val="20"/>
                <w:szCs w:val="20"/>
                <w:lang w:eastAsia="pl-PL"/>
              </w:rPr>
              <w:t>miesiąc</w:t>
            </w:r>
            <w:r w:rsidR="009D7AE1" w:rsidRPr="00154BF9">
              <w:rPr>
                <w:rFonts w:ascii="Times New Roman" w:eastAsia="Times New Roman" w:hAnsi="Times New Roman" w:cs="Times New Roman"/>
                <w:sz w:val="20"/>
                <w:szCs w:val="20"/>
                <w:lang w:eastAsia="pl-PL"/>
              </w:rPr>
              <w:t>)</w:t>
            </w:r>
            <w:r w:rsidRPr="00154BF9">
              <w:rPr>
                <w:rFonts w:ascii="Times New Roman" w:eastAsia="Times New Roman" w:hAnsi="Times New Roman" w:cs="Times New Roman"/>
                <w:sz w:val="20"/>
                <w:szCs w:val="20"/>
                <w:lang w:eastAsia="pl-PL"/>
              </w:rPr>
              <w:t>.</w:t>
            </w:r>
          </w:p>
          <w:p w14:paraId="2AC738C9" w14:textId="3D4499B6" w:rsidR="009D7AE1" w:rsidRPr="00154BF9" w:rsidRDefault="00CB2BED" w:rsidP="006C3A73">
            <w:pPr>
              <w:numPr>
                <w:ilvl w:val="3"/>
                <w:numId w:val="20"/>
              </w:numPr>
              <w:spacing w:after="60" w:line="276" w:lineRule="auto"/>
              <w:jc w:val="both"/>
              <w:rPr>
                <w:rFonts w:ascii="Times New Roman" w:eastAsia="Times New Roman" w:hAnsi="Times New Roman" w:cs="Times New Roman"/>
                <w:sz w:val="20"/>
                <w:szCs w:val="20"/>
                <w:lang w:eastAsia="pl-PL"/>
              </w:rPr>
            </w:pPr>
            <w:r w:rsidRPr="004D380C">
              <w:rPr>
                <w:rFonts w:ascii="Times New Roman" w:eastAsia="Times New Roman" w:hAnsi="Times New Roman" w:cs="Times New Roman"/>
                <w:sz w:val="20"/>
                <w:szCs w:val="20"/>
                <w:lang w:eastAsia="pl-PL"/>
              </w:rPr>
              <w:t>N</w:t>
            </w:r>
            <w:r w:rsidR="009D7AE1" w:rsidRPr="004D380C">
              <w:rPr>
                <w:rFonts w:ascii="Times New Roman" w:eastAsia="Times New Roman" w:hAnsi="Times New Roman" w:cs="Times New Roman"/>
                <w:sz w:val="20"/>
                <w:szCs w:val="20"/>
                <w:lang w:eastAsia="pl-PL"/>
              </w:rPr>
              <w:t>iespełnienie</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kryteriów</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poprawy</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ACR</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Pediatric</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50</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po</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pierwszych</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12</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miesiącach</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w:t>
            </w:r>
            <w:r w:rsidR="00251138" w:rsidRPr="004D380C">
              <w:rPr>
                <w:rFonts w:ascii="Times New Roman" w:eastAsia="Times New Roman" w:hAnsi="Times New Roman" w:cs="Times New Roman"/>
                <w:sz w:val="20"/>
                <w:szCs w:val="20"/>
                <w:lang w:eastAsia="pl-PL"/>
              </w:rPr>
              <w:t>1</w:t>
            </w:r>
            <w:r w:rsidR="0052643B" w:rsidRPr="004D380C">
              <w:rPr>
                <w:rFonts w:ascii="Times New Roman" w:eastAsia="Times New Roman" w:hAnsi="Times New Roman" w:cs="Times New Roman"/>
                <w:sz w:val="20"/>
                <w:szCs w:val="20"/>
                <w:lang w:eastAsia="pl-PL"/>
              </w:rPr>
              <w:t xml:space="preserve"> </w:t>
            </w:r>
            <w:r w:rsidR="00251138" w:rsidRPr="004D380C">
              <w:rPr>
                <w:rFonts w:ascii="Times New Roman" w:eastAsia="Times New Roman" w:hAnsi="Times New Roman" w:cs="Times New Roman"/>
                <w:sz w:val="20"/>
                <w:szCs w:val="20"/>
                <w:lang w:eastAsia="pl-PL"/>
              </w:rPr>
              <w:t>miesiąc</w:t>
            </w:r>
            <w:r w:rsidR="009D7AE1" w:rsidRPr="004D380C">
              <w:rPr>
                <w:rFonts w:ascii="Times New Roman" w:eastAsia="Times New Roman" w:hAnsi="Times New Roman" w:cs="Times New Roman"/>
                <w:sz w:val="20"/>
                <w:szCs w:val="20"/>
                <w:lang w:eastAsia="pl-PL"/>
              </w:rPr>
              <w:t>)</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leczenia,</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a</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więc</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nieuzyskanie</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przynajmniej</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50-procentowej</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poprawy</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w</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3</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z</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6</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następujących</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parametrów,</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przy</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jednoczesnym</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braku</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pogorszenia</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o</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50%</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w</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więcej</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niż</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jednym</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z</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poniższych</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parametrów:</w:t>
            </w:r>
          </w:p>
          <w:p w14:paraId="37DA3EE0" w14:textId="50A2A28E" w:rsidR="009D7AE1" w:rsidRPr="00154BF9" w:rsidRDefault="009D7AE1" w:rsidP="006C3A73">
            <w:pPr>
              <w:numPr>
                <w:ilvl w:val="4"/>
                <w:numId w:val="32"/>
              </w:numPr>
              <w:spacing w:after="60" w:line="276" w:lineRule="auto"/>
              <w:jc w:val="both"/>
              <w:rPr>
                <w:rFonts w:ascii="Times New Roman" w:eastAsia="Times New Roman" w:hAnsi="Times New Roman" w:cs="Times New Roman"/>
                <w:sz w:val="20"/>
                <w:szCs w:val="20"/>
                <w:lang w:eastAsia="pl-PL"/>
              </w:rPr>
            </w:pPr>
            <w:r w:rsidRPr="004D380C">
              <w:rPr>
                <w:rFonts w:ascii="Times New Roman" w:eastAsia="Times New Roman" w:hAnsi="Times New Roman" w:cs="Times New Roman"/>
                <w:sz w:val="20"/>
                <w:szCs w:val="20"/>
                <w:lang w:eastAsia="pl-PL"/>
              </w:rPr>
              <w:t>liczba</w:t>
            </w:r>
            <w:r w:rsidR="0052643B" w:rsidRPr="004D380C">
              <w:rPr>
                <w:rFonts w:ascii="Times New Roman" w:eastAsia="Times New Roman" w:hAnsi="Times New Roman" w:cs="Times New Roman"/>
                <w:sz w:val="20"/>
                <w:szCs w:val="20"/>
                <w:lang w:eastAsia="pl-PL"/>
              </w:rPr>
              <w:t xml:space="preserve"> </w:t>
            </w:r>
            <w:r w:rsidRPr="004D380C">
              <w:rPr>
                <w:rFonts w:ascii="Times New Roman" w:eastAsia="Times New Roman" w:hAnsi="Times New Roman" w:cs="Times New Roman"/>
                <w:sz w:val="20"/>
                <w:szCs w:val="20"/>
                <w:lang w:eastAsia="pl-PL"/>
              </w:rPr>
              <w:t>stawów</w:t>
            </w:r>
            <w:r w:rsidR="0052643B" w:rsidRPr="004D380C">
              <w:rPr>
                <w:rFonts w:ascii="Times New Roman" w:eastAsia="Times New Roman" w:hAnsi="Times New Roman" w:cs="Times New Roman"/>
                <w:sz w:val="20"/>
                <w:szCs w:val="20"/>
                <w:lang w:eastAsia="pl-PL"/>
              </w:rPr>
              <w:t xml:space="preserve"> </w:t>
            </w:r>
            <w:r w:rsidRPr="004D380C">
              <w:rPr>
                <w:rFonts w:ascii="Times New Roman" w:eastAsia="Times New Roman" w:hAnsi="Times New Roman" w:cs="Times New Roman"/>
                <w:sz w:val="20"/>
                <w:szCs w:val="20"/>
                <w:lang w:eastAsia="pl-PL"/>
              </w:rPr>
              <w:t>z</w:t>
            </w:r>
            <w:r w:rsidR="0052643B" w:rsidRPr="004D380C">
              <w:rPr>
                <w:rFonts w:ascii="Times New Roman" w:eastAsia="Times New Roman" w:hAnsi="Times New Roman" w:cs="Times New Roman"/>
                <w:sz w:val="20"/>
                <w:szCs w:val="20"/>
                <w:lang w:eastAsia="pl-PL"/>
              </w:rPr>
              <w:t xml:space="preserve"> </w:t>
            </w:r>
            <w:r w:rsidRPr="004D380C">
              <w:rPr>
                <w:rFonts w:ascii="Times New Roman" w:eastAsia="Times New Roman" w:hAnsi="Times New Roman" w:cs="Times New Roman"/>
                <w:sz w:val="20"/>
                <w:szCs w:val="20"/>
                <w:lang w:eastAsia="pl-PL"/>
              </w:rPr>
              <w:t>czynnym</w:t>
            </w:r>
            <w:r w:rsidR="0052643B" w:rsidRPr="004D380C">
              <w:rPr>
                <w:rFonts w:ascii="Times New Roman" w:eastAsia="Times New Roman" w:hAnsi="Times New Roman" w:cs="Times New Roman"/>
                <w:sz w:val="20"/>
                <w:szCs w:val="20"/>
                <w:lang w:eastAsia="pl-PL"/>
              </w:rPr>
              <w:t xml:space="preserve"> </w:t>
            </w:r>
            <w:r w:rsidRPr="004D380C">
              <w:rPr>
                <w:rFonts w:ascii="Times New Roman" w:eastAsia="Times New Roman" w:hAnsi="Times New Roman" w:cs="Times New Roman"/>
                <w:sz w:val="20"/>
                <w:szCs w:val="20"/>
                <w:lang w:eastAsia="pl-PL"/>
              </w:rPr>
              <w:t>zapaleniem;</w:t>
            </w:r>
          </w:p>
          <w:p w14:paraId="4AAAF8A2" w14:textId="3B7156FA" w:rsidR="009D7AE1" w:rsidRPr="00154BF9" w:rsidRDefault="009D7AE1" w:rsidP="006C3A73">
            <w:pPr>
              <w:numPr>
                <w:ilvl w:val="4"/>
                <w:numId w:val="32"/>
              </w:numPr>
              <w:spacing w:after="60" w:line="276" w:lineRule="auto"/>
              <w:jc w:val="both"/>
              <w:rPr>
                <w:rFonts w:ascii="Times New Roman" w:eastAsia="Times New Roman" w:hAnsi="Times New Roman" w:cs="Times New Roman"/>
                <w:sz w:val="20"/>
                <w:szCs w:val="20"/>
                <w:lang w:eastAsia="pl-PL"/>
              </w:rPr>
            </w:pPr>
            <w:r w:rsidRPr="004D380C">
              <w:rPr>
                <w:rFonts w:ascii="Times New Roman" w:eastAsia="Times New Roman" w:hAnsi="Times New Roman" w:cs="Times New Roman"/>
                <w:sz w:val="20"/>
                <w:szCs w:val="20"/>
                <w:lang w:eastAsia="pl-PL"/>
              </w:rPr>
              <w:t>liczba</w:t>
            </w:r>
            <w:r w:rsidR="0052643B" w:rsidRPr="004D380C">
              <w:rPr>
                <w:rFonts w:ascii="Times New Roman" w:eastAsia="Times New Roman" w:hAnsi="Times New Roman" w:cs="Times New Roman"/>
                <w:sz w:val="20"/>
                <w:szCs w:val="20"/>
                <w:lang w:eastAsia="pl-PL"/>
              </w:rPr>
              <w:t xml:space="preserve"> </w:t>
            </w:r>
            <w:r w:rsidRPr="004D380C">
              <w:rPr>
                <w:rFonts w:ascii="Times New Roman" w:eastAsia="Times New Roman" w:hAnsi="Times New Roman" w:cs="Times New Roman"/>
                <w:sz w:val="20"/>
                <w:szCs w:val="20"/>
                <w:lang w:eastAsia="pl-PL"/>
              </w:rPr>
              <w:t>stawów</w:t>
            </w:r>
            <w:r w:rsidR="0052643B" w:rsidRPr="004D380C">
              <w:rPr>
                <w:rFonts w:ascii="Times New Roman" w:eastAsia="Times New Roman" w:hAnsi="Times New Roman" w:cs="Times New Roman"/>
                <w:sz w:val="20"/>
                <w:szCs w:val="20"/>
                <w:lang w:eastAsia="pl-PL"/>
              </w:rPr>
              <w:t xml:space="preserve"> </w:t>
            </w:r>
            <w:r w:rsidRPr="004D380C">
              <w:rPr>
                <w:rFonts w:ascii="Times New Roman" w:eastAsia="Times New Roman" w:hAnsi="Times New Roman" w:cs="Times New Roman"/>
                <w:sz w:val="20"/>
                <w:szCs w:val="20"/>
                <w:lang w:eastAsia="pl-PL"/>
              </w:rPr>
              <w:t>z</w:t>
            </w:r>
            <w:r w:rsidR="0052643B" w:rsidRPr="004D380C">
              <w:rPr>
                <w:rFonts w:ascii="Times New Roman" w:eastAsia="Times New Roman" w:hAnsi="Times New Roman" w:cs="Times New Roman"/>
                <w:sz w:val="20"/>
                <w:szCs w:val="20"/>
                <w:lang w:eastAsia="pl-PL"/>
              </w:rPr>
              <w:t xml:space="preserve"> </w:t>
            </w:r>
            <w:r w:rsidRPr="004D380C">
              <w:rPr>
                <w:rFonts w:ascii="Times New Roman" w:eastAsia="Times New Roman" w:hAnsi="Times New Roman" w:cs="Times New Roman"/>
                <w:sz w:val="20"/>
                <w:szCs w:val="20"/>
                <w:lang w:eastAsia="pl-PL"/>
              </w:rPr>
              <w:t>ograniczeniem</w:t>
            </w:r>
            <w:r w:rsidR="0052643B" w:rsidRPr="004D380C">
              <w:rPr>
                <w:rFonts w:ascii="Times New Roman" w:eastAsia="Times New Roman" w:hAnsi="Times New Roman" w:cs="Times New Roman"/>
                <w:sz w:val="20"/>
                <w:szCs w:val="20"/>
                <w:lang w:eastAsia="pl-PL"/>
              </w:rPr>
              <w:t xml:space="preserve"> </w:t>
            </w:r>
            <w:r w:rsidRPr="004D380C">
              <w:rPr>
                <w:rFonts w:ascii="Times New Roman" w:eastAsia="Times New Roman" w:hAnsi="Times New Roman" w:cs="Times New Roman"/>
                <w:sz w:val="20"/>
                <w:szCs w:val="20"/>
                <w:lang w:eastAsia="pl-PL"/>
              </w:rPr>
              <w:t>ruchomości;</w:t>
            </w:r>
          </w:p>
          <w:p w14:paraId="1C112FDA" w14:textId="5B333D62" w:rsidR="009D7AE1" w:rsidRPr="00154BF9" w:rsidRDefault="009D7AE1" w:rsidP="006C3A73">
            <w:pPr>
              <w:numPr>
                <w:ilvl w:val="4"/>
                <w:numId w:val="32"/>
              </w:numPr>
              <w:spacing w:after="60" w:line="276" w:lineRule="auto"/>
              <w:jc w:val="both"/>
              <w:rPr>
                <w:rFonts w:ascii="Times New Roman" w:eastAsia="Times New Roman" w:hAnsi="Times New Roman" w:cs="Times New Roman"/>
                <w:sz w:val="20"/>
                <w:szCs w:val="20"/>
                <w:lang w:eastAsia="pl-PL"/>
              </w:rPr>
            </w:pPr>
            <w:r w:rsidRPr="004D380C">
              <w:rPr>
                <w:rFonts w:ascii="Times New Roman" w:eastAsia="Times New Roman" w:hAnsi="Times New Roman" w:cs="Times New Roman"/>
                <w:sz w:val="20"/>
                <w:szCs w:val="20"/>
                <w:lang w:eastAsia="pl-PL"/>
              </w:rPr>
              <w:t>ocena</w:t>
            </w:r>
            <w:r w:rsidR="0052643B" w:rsidRPr="004D380C">
              <w:rPr>
                <w:rFonts w:ascii="Times New Roman" w:eastAsia="Times New Roman" w:hAnsi="Times New Roman" w:cs="Times New Roman"/>
                <w:sz w:val="20"/>
                <w:szCs w:val="20"/>
                <w:lang w:eastAsia="pl-PL"/>
              </w:rPr>
              <w:t xml:space="preserve"> </w:t>
            </w:r>
            <w:r w:rsidRPr="004D380C">
              <w:rPr>
                <w:rFonts w:ascii="Times New Roman" w:eastAsia="Times New Roman" w:hAnsi="Times New Roman" w:cs="Times New Roman"/>
                <w:sz w:val="20"/>
                <w:szCs w:val="20"/>
                <w:lang w:eastAsia="pl-PL"/>
              </w:rPr>
              <w:t>aktywności</w:t>
            </w:r>
            <w:r w:rsidR="0052643B" w:rsidRPr="004D380C">
              <w:rPr>
                <w:rFonts w:ascii="Times New Roman" w:eastAsia="Times New Roman" w:hAnsi="Times New Roman" w:cs="Times New Roman"/>
                <w:sz w:val="20"/>
                <w:szCs w:val="20"/>
                <w:lang w:eastAsia="pl-PL"/>
              </w:rPr>
              <w:t xml:space="preserve"> </w:t>
            </w:r>
            <w:r w:rsidRPr="004D380C">
              <w:rPr>
                <w:rFonts w:ascii="Times New Roman" w:eastAsia="Times New Roman" w:hAnsi="Times New Roman" w:cs="Times New Roman"/>
                <w:sz w:val="20"/>
                <w:szCs w:val="20"/>
                <w:lang w:eastAsia="pl-PL"/>
              </w:rPr>
              <w:t>choroby</w:t>
            </w:r>
            <w:r w:rsidR="0052643B" w:rsidRPr="004D380C">
              <w:rPr>
                <w:rFonts w:ascii="Times New Roman" w:eastAsia="Times New Roman" w:hAnsi="Times New Roman" w:cs="Times New Roman"/>
                <w:sz w:val="20"/>
                <w:szCs w:val="20"/>
                <w:lang w:eastAsia="pl-PL"/>
              </w:rPr>
              <w:t xml:space="preserve"> </w:t>
            </w:r>
            <w:r w:rsidRPr="004D380C">
              <w:rPr>
                <w:rFonts w:ascii="Times New Roman" w:eastAsia="Times New Roman" w:hAnsi="Times New Roman" w:cs="Times New Roman"/>
                <w:sz w:val="20"/>
                <w:szCs w:val="20"/>
                <w:lang w:eastAsia="pl-PL"/>
              </w:rPr>
              <w:t>dokonana</w:t>
            </w:r>
            <w:r w:rsidR="0052643B" w:rsidRPr="004D380C">
              <w:rPr>
                <w:rFonts w:ascii="Times New Roman" w:eastAsia="Times New Roman" w:hAnsi="Times New Roman" w:cs="Times New Roman"/>
                <w:sz w:val="20"/>
                <w:szCs w:val="20"/>
                <w:lang w:eastAsia="pl-PL"/>
              </w:rPr>
              <w:t xml:space="preserve"> </w:t>
            </w:r>
            <w:r w:rsidRPr="004D380C">
              <w:rPr>
                <w:rFonts w:ascii="Times New Roman" w:eastAsia="Times New Roman" w:hAnsi="Times New Roman" w:cs="Times New Roman"/>
                <w:sz w:val="20"/>
                <w:szCs w:val="20"/>
                <w:lang w:eastAsia="pl-PL"/>
              </w:rPr>
              <w:t>przez</w:t>
            </w:r>
            <w:r w:rsidR="0052643B" w:rsidRPr="004D380C">
              <w:rPr>
                <w:rFonts w:ascii="Times New Roman" w:eastAsia="Times New Roman" w:hAnsi="Times New Roman" w:cs="Times New Roman"/>
                <w:sz w:val="20"/>
                <w:szCs w:val="20"/>
                <w:lang w:eastAsia="pl-PL"/>
              </w:rPr>
              <w:t xml:space="preserve"> </w:t>
            </w:r>
            <w:r w:rsidRPr="004D380C">
              <w:rPr>
                <w:rFonts w:ascii="Times New Roman" w:eastAsia="Times New Roman" w:hAnsi="Times New Roman" w:cs="Times New Roman"/>
                <w:sz w:val="20"/>
                <w:szCs w:val="20"/>
                <w:lang w:eastAsia="pl-PL"/>
              </w:rPr>
              <w:t>lekarza</w:t>
            </w:r>
            <w:r w:rsidR="0052643B" w:rsidRPr="004D380C">
              <w:rPr>
                <w:rFonts w:ascii="Times New Roman" w:eastAsia="Times New Roman" w:hAnsi="Times New Roman" w:cs="Times New Roman"/>
                <w:sz w:val="20"/>
                <w:szCs w:val="20"/>
                <w:lang w:eastAsia="pl-PL"/>
              </w:rPr>
              <w:t xml:space="preserve"> </w:t>
            </w:r>
            <w:r w:rsidRPr="004D380C">
              <w:rPr>
                <w:rFonts w:ascii="Times New Roman" w:eastAsia="Times New Roman" w:hAnsi="Times New Roman" w:cs="Times New Roman"/>
                <w:sz w:val="20"/>
                <w:szCs w:val="20"/>
                <w:lang w:eastAsia="pl-PL"/>
              </w:rPr>
              <w:t>na</w:t>
            </w:r>
            <w:r w:rsidR="0052643B" w:rsidRPr="004D380C">
              <w:rPr>
                <w:rFonts w:ascii="Times New Roman" w:eastAsia="Times New Roman" w:hAnsi="Times New Roman" w:cs="Times New Roman"/>
                <w:sz w:val="20"/>
                <w:szCs w:val="20"/>
                <w:lang w:eastAsia="pl-PL"/>
              </w:rPr>
              <w:t xml:space="preserve"> </w:t>
            </w:r>
            <w:r w:rsidRPr="004D380C">
              <w:rPr>
                <w:rFonts w:ascii="Times New Roman" w:eastAsia="Times New Roman" w:hAnsi="Times New Roman" w:cs="Times New Roman"/>
                <w:sz w:val="20"/>
                <w:szCs w:val="20"/>
                <w:lang w:eastAsia="pl-PL"/>
              </w:rPr>
              <w:t>10-centymetrowej</w:t>
            </w:r>
            <w:r w:rsidR="0052643B" w:rsidRPr="004D380C">
              <w:rPr>
                <w:rFonts w:ascii="Times New Roman" w:eastAsia="Times New Roman" w:hAnsi="Times New Roman" w:cs="Times New Roman"/>
                <w:sz w:val="20"/>
                <w:szCs w:val="20"/>
                <w:lang w:eastAsia="pl-PL"/>
              </w:rPr>
              <w:t xml:space="preserve"> </w:t>
            </w:r>
            <w:r w:rsidRPr="004D380C">
              <w:rPr>
                <w:rFonts w:ascii="Times New Roman" w:eastAsia="Times New Roman" w:hAnsi="Times New Roman" w:cs="Times New Roman"/>
                <w:sz w:val="20"/>
                <w:szCs w:val="20"/>
                <w:lang w:eastAsia="pl-PL"/>
              </w:rPr>
              <w:t>skali</w:t>
            </w:r>
            <w:r w:rsidR="0052643B" w:rsidRPr="004D380C">
              <w:rPr>
                <w:rFonts w:ascii="Times New Roman" w:eastAsia="Times New Roman" w:hAnsi="Times New Roman" w:cs="Times New Roman"/>
                <w:sz w:val="20"/>
                <w:szCs w:val="20"/>
                <w:lang w:eastAsia="pl-PL"/>
              </w:rPr>
              <w:t xml:space="preserve"> </w:t>
            </w:r>
            <w:r w:rsidRPr="004D380C">
              <w:rPr>
                <w:rFonts w:ascii="Times New Roman" w:eastAsia="Times New Roman" w:hAnsi="Times New Roman" w:cs="Times New Roman"/>
                <w:sz w:val="20"/>
                <w:szCs w:val="20"/>
                <w:lang w:eastAsia="pl-PL"/>
              </w:rPr>
              <w:t>VAS;</w:t>
            </w:r>
          </w:p>
          <w:p w14:paraId="5A657F3B" w14:textId="6A5A97ED" w:rsidR="009D7AE1" w:rsidRPr="00154BF9" w:rsidRDefault="009D7AE1" w:rsidP="006C3A73">
            <w:pPr>
              <w:numPr>
                <w:ilvl w:val="4"/>
                <w:numId w:val="32"/>
              </w:numPr>
              <w:spacing w:after="60" w:line="276" w:lineRule="auto"/>
              <w:jc w:val="both"/>
              <w:rPr>
                <w:rFonts w:ascii="Times New Roman" w:eastAsia="Times New Roman" w:hAnsi="Times New Roman" w:cs="Times New Roman"/>
                <w:sz w:val="20"/>
                <w:szCs w:val="20"/>
                <w:lang w:eastAsia="pl-PL"/>
              </w:rPr>
            </w:pPr>
            <w:r w:rsidRPr="004D380C">
              <w:rPr>
                <w:rFonts w:ascii="Times New Roman" w:eastAsia="Times New Roman" w:hAnsi="Times New Roman" w:cs="Times New Roman"/>
                <w:sz w:val="20"/>
                <w:szCs w:val="20"/>
                <w:lang w:eastAsia="pl-PL"/>
              </w:rPr>
              <w:t>ocena</w:t>
            </w:r>
            <w:r w:rsidR="0052643B" w:rsidRPr="004D380C">
              <w:rPr>
                <w:rFonts w:ascii="Times New Roman" w:eastAsia="Times New Roman" w:hAnsi="Times New Roman" w:cs="Times New Roman"/>
                <w:sz w:val="20"/>
                <w:szCs w:val="20"/>
                <w:lang w:eastAsia="pl-PL"/>
              </w:rPr>
              <w:t xml:space="preserve"> </w:t>
            </w:r>
            <w:r w:rsidRPr="004D380C">
              <w:rPr>
                <w:rFonts w:ascii="Times New Roman" w:eastAsia="Times New Roman" w:hAnsi="Times New Roman" w:cs="Times New Roman"/>
                <w:sz w:val="20"/>
                <w:szCs w:val="20"/>
                <w:lang w:eastAsia="pl-PL"/>
              </w:rPr>
              <w:t>ogólnego</w:t>
            </w:r>
            <w:r w:rsidR="0052643B" w:rsidRPr="004D380C">
              <w:rPr>
                <w:rFonts w:ascii="Times New Roman" w:eastAsia="Times New Roman" w:hAnsi="Times New Roman" w:cs="Times New Roman"/>
                <w:sz w:val="20"/>
                <w:szCs w:val="20"/>
                <w:lang w:eastAsia="pl-PL"/>
              </w:rPr>
              <w:t xml:space="preserve"> </w:t>
            </w:r>
            <w:r w:rsidRPr="004D380C">
              <w:rPr>
                <w:rFonts w:ascii="Times New Roman" w:eastAsia="Times New Roman" w:hAnsi="Times New Roman" w:cs="Times New Roman"/>
                <w:sz w:val="20"/>
                <w:szCs w:val="20"/>
                <w:lang w:eastAsia="pl-PL"/>
              </w:rPr>
              <w:t>samopoczucia</w:t>
            </w:r>
            <w:r w:rsidR="0052643B" w:rsidRPr="004D380C">
              <w:rPr>
                <w:rFonts w:ascii="Times New Roman" w:eastAsia="Times New Roman" w:hAnsi="Times New Roman" w:cs="Times New Roman"/>
                <w:sz w:val="20"/>
                <w:szCs w:val="20"/>
                <w:lang w:eastAsia="pl-PL"/>
              </w:rPr>
              <w:t xml:space="preserve"> </w:t>
            </w:r>
            <w:r w:rsidRPr="004D380C">
              <w:rPr>
                <w:rFonts w:ascii="Times New Roman" w:eastAsia="Times New Roman" w:hAnsi="Times New Roman" w:cs="Times New Roman"/>
                <w:sz w:val="20"/>
                <w:szCs w:val="20"/>
                <w:lang w:eastAsia="pl-PL"/>
              </w:rPr>
              <w:t>dokonana</w:t>
            </w:r>
            <w:r w:rsidR="0052643B" w:rsidRPr="004D380C">
              <w:rPr>
                <w:rFonts w:ascii="Times New Roman" w:eastAsia="Times New Roman" w:hAnsi="Times New Roman" w:cs="Times New Roman"/>
                <w:sz w:val="20"/>
                <w:szCs w:val="20"/>
                <w:lang w:eastAsia="pl-PL"/>
              </w:rPr>
              <w:t xml:space="preserve"> </w:t>
            </w:r>
            <w:r w:rsidRPr="004D380C">
              <w:rPr>
                <w:rFonts w:ascii="Times New Roman" w:eastAsia="Times New Roman" w:hAnsi="Times New Roman" w:cs="Times New Roman"/>
                <w:sz w:val="20"/>
                <w:szCs w:val="20"/>
                <w:lang w:eastAsia="pl-PL"/>
              </w:rPr>
              <w:t>przez</w:t>
            </w:r>
            <w:r w:rsidR="0052643B" w:rsidRPr="004D380C">
              <w:rPr>
                <w:rFonts w:ascii="Times New Roman" w:eastAsia="Times New Roman" w:hAnsi="Times New Roman" w:cs="Times New Roman"/>
                <w:sz w:val="20"/>
                <w:szCs w:val="20"/>
                <w:lang w:eastAsia="pl-PL"/>
              </w:rPr>
              <w:t xml:space="preserve"> </w:t>
            </w:r>
            <w:r w:rsidRPr="004D380C">
              <w:rPr>
                <w:rFonts w:ascii="Times New Roman" w:eastAsia="Times New Roman" w:hAnsi="Times New Roman" w:cs="Times New Roman"/>
                <w:sz w:val="20"/>
                <w:szCs w:val="20"/>
                <w:lang w:eastAsia="pl-PL"/>
              </w:rPr>
              <w:t>rodzica</w:t>
            </w:r>
            <w:r w:rsidR="0052643B" w:rsidRPr="004D380C">
              <w:rPr>
                <w:rFonts w:ascii="Times New Roman" w:eastAsia="Times New Roman" w:hAnsi="Times New Roman" w:cs="Times New Roman"/>
                <w:sz w:val="20"/>
                <w:szCs w:val="20"/>
                <w:lang w:eastAsia="pl-PL"/>
              </w:rPr>
              <w:t xml:space="preserve"> </w:t>
            </w:r>
            <w:r w:rsidRPr="004D380C">
              <w:rPr>
                <w:rFonts w:ascii="Times New Roman" w:eastAsia="Times New Roman" w:hAnsi="Times New Roman" w:cs="Times New Roman"/>
                <w:sz w:val="20"/>
                <w:szCs w:val="20"/>
                <w:lang w:eastAsia="pl-PL"/>
              </w:rPr>
              <w:t>lub</w:t>
            </w:r>
            <w:r w:rsidR="0052643B" w:rsidRPr="004D380C">
              <w:rPr>
                <w:rFonts w:ascii="Times New Roman" w:eastAsia="Times New Roman" w:hAnsi="Times New Roman" w:cs="Times New Roman"/>
                <w:sz w:val="20"/>
                <w:szCs w:val="20"/>
                <w:lang w:eastAsia="pl-PL"/>
              </w:rPr>
              <w:t xml:space="preserve"> </w:t>
            </w:r>
            <w:r w:rsidRPr="004D380C">
              <w:rPr>
                <w:rFonts w:ascii="Times New Roman" w:eastAsia="Times New Roman" w:hAnsi="Times New Roman" w:cs="Times New Roman"/>
                <w:sz w:val="20"/>
                <w:szCs w:val="20"/>
                <w:lang w:eastAsia="pl-PL"/>
              </w:rPr>
              <w:t>chore</w:t>
            </w:r>
            <w:r w:rsidR="0052643B" w:rsidRPr="004D380C">
              <w:rPr>
                <w:rFonts w:ascii="Times New Roman" w:eastAsia="Times New Roman" w:hAnsi="Times New Roman" w:cs="Times New Roman"/>
                <w:sz w:val="20"/>
                <w:szCs w:val="20"/>
                <w:lang w:eastAsia="pl-PL"/>
              </w:rPr>
              <w:t xml:space="preserve"> </w:t>
            </w:r>
            <w:r w:rsidRPr="004D380C">
              <w:rPr>
                <w:rFonts w:ascii="Times New Roman" w:eastAsia="Times New Roman" w:hAnsi="Times New Roman" w:cs="Times New Roman"/>
                <w:sz w:val="20"/>
                <w:szCs w:val="20"/>
                <w:lang w:eastAsia="pl-PL"/>
              </w:rPr>
              <w:t>dziecko</w:t>
            </w:r>
            <w:r w:rsidR="0052643B" w:rsidRPr="004D380C">
              <w:rPr>
                <w:rFonts w:ascii="Times New Roman" w:eastAsia="Times New Roman" w:hAnsi="Times New Roman" w:cs="Times New Roman"/>
                <w:sz w:val="20"/>
                <w:szCs w:val="20"/>
                <w:lang w:eastAsia="pl-PL"/>
              </w:rPr>
              <w:t xml:space="preserve"> </w:t>
            </w:r>
            <w:r w:rsidRPr="004D380C">
              <w:rPr>
                <w:rFonts w:ascii="Times New Roman" w:eastAsia="Times New Roman" w:hAnsi="Times New Roman" w:cs="Times New Roman"/>
                <w:sz w:val="20"/>
                <w:szCs w:val="20"/>
                <w:lang w:eastAsia="pl-PL"/>
              </w:rPr>
              <w:t>na</w:t>
            </w:r>
            <w:r w:rsidR="0052643B" w:rsidRPr="004D380C">
              <w:rPr>
                <w:rFonts w:ascii="Times New Roman" w:eastAsia="Times New Roman" w:hAnsi="Times New Roman" w:cs="Times New Roman"/>
                <w:sz w:val="20"/>
                <w:szCs w:val="20"/>
                <w:lang w:eastAsia="pl-PL"/>
              </w:rPr>
              <w:t xml:space="preserve"> </w:t>
            </w:r>
            <w:r w:rsidRPr="004D380C">
              <w:rPr>
                <w:rFonts w:ascii="Times New Roman" w:eastAsia="Times New Roman" w:hAnsi="Times New Roman" w:cs="Times New Roman"/>
                <w:sz w:val="20"/>
                <w:szCs w:val="20"/>
                <w:lang w:eastAsia="pl-PL"/>
              </w:rPr>
              <w:t>10-centymetrowej</w:t>
            </w:r>
            <w:r w:rsidR="0052643B" w:rsidRPr="004D380C">
              <w:rPr>
                <w:rFonts w:ascii="Times New Roman" w:eastAsia="Times New Roman" w:hAnsi="Times New Roman" w:cs="Times New Roman"/>
                <w:sz w:val="20"/>
                <w:szCs w:val="20"/>
                <w:lang w:eastAsia="pl-PL"/>
              </w:rPr>
              <w:t xml:space="preserve"> </w:t>
            </w:r>
            <w:r w:rsidRPr="004D380C">
              <w:rPr>
                <w:rFonts w:ascii="Times New Roman" w:eastAsia="Times New Roman" w:hAnsi="Times New Roman" w:cs="Times New Roman"/>
                <w:sz w:val="20"/>
                <w:szCs w:val="20"/>
                <w:lang w:eastAsia="pl-PL"/>
              </w:rPr>
              <w:t>skali</w:t>
            </w:r>
            <w:r w:rsidR="0052643B" w:rsidRPr="004D380C">
              <w:rPr>
                <w:rFonts w:ascii="Times New Roman" w:eastAsia="Times New Roman" w:hAnsi="Times New Roman" w:cs="Times New Roman"/>
                <w:sz w:val="20"/>
                <w:szCs w:val="20"/>
                <w:lang w:eastAsia="pl-PL"/>
              </w:rPr>
              <w:t xml:space="preserve"> </w:t>
            </w:r>
            <w:r w:rsidRPr="004D380C">
              <w:rPr>
                <w:rFonts w:ascii="Times New Roman" w:eastAsia="Times New Roman" w:hAnsi="Times New Roman" w:cs="Times New Roman"/>
                <w:sz w:val="20"/>
                <w:szCs w:val="20"/>
                <w:lang w:eastAsia="pl-PL"/>
              </w:rPr>
              <w:t>VAS;</w:t>
            </w:r>
          </w:p>
          <w:p w14:paraId="02CEEDC1" w14:textId="4D298E4D" w:rsidR="009D7AE1" w:rsidRPr="00154BF9" w:rsidRDefault="009D7AE1" w:rsidP="006C3A73">
            <w:pPr>
              <w:numPr>
                <w:ilvl w:val="4"/>
                <w:numId w:val="32"/>
              </w:numPr>
              <w:spacing w:after="60" w:line="276" w:lineRule="auto"/>
              <w:jc w:val="both"/>
              <w:rPr>
                <w:rFonts w:ascii="Times New Roman" w:eastAsia="Times New Roman" w:hAnsi="Times New Roman" w:cs="Times New Roman"/>
                <w:sz w:val="20"/>
                <w:szCs w:val="20"/>
                <w:lang w:eastAsia="pl-PL"/>
              </w:rPr>
            </w:pPr>
            <w:r w:rsidRPr="004D380C">
              <w:rPr>
                <w:rFonts w:ascii="Times New Roman" w:eastAsia="Times New Roman" w:hAnsi="Times New Roman" w:cs="Times New Roman"/>
                <w:sz w:val="20"/>
                <w:szCs w:val="20"/>
                <w:lang w:eastAsia="pl-PL"/>
              </w:rPr>
              <w:t>wskaźnik</w:t>
            </w:r>
            <w:r w:rsidR="0052643B" w:rsidRPr="004D380C">
              <w:rPr>
                <w:rFonts w:ascii="Times New Roman" w:eastAsia="Times New Roman" w:hAnsi="Times New Roman" w:cs="Times New Roman"/>
                <w:sz w:val="20"/>
                <w:szCs w:val="20"/>
                <w:lang w:eastAsia="pl-PL"/>
              </w:rPr>
              <w:t xml:space="preserve"> </w:t>
            </w:r>
            <w:r w:rsidRPr="004D380C">
              <w:rPr>
                <w:rFonts w:ascii="Times New Roman" w:eastAsia="Times New Roman" w:hAnsi="Times New Roman" w:cs="Times New Roman"/>
                <w:sz w:val="20"/>
                <w:szCs w:val="20"/>
                <w:lang w:eastAsia="pl-PL"/>
              </w:rPr>
              <w:t>stanu</w:t>
            </w:r>
            <w:r w:rsidR="0052643B" w:rsidRPr="004D380C">
              <w:rPr>
                <w:rFonts w:ascii="Times New Roman" w:eastAsia="Times New Roman" w:hAnsi="Times New Roman" w:cs="Times New Roman"/>
                <w:sz w:val="20"/>
                <w:szCs w:val="20"/>
                <w:lang w:eastAsia="pl-PL"/>
              </w:rPr>
              <w:t xml:space="preserve"> </w:t>
            </w:r>
            <w:r w:rsidRPr="004D380C">
              <w:rPr>
                <w:rFonts w:ascii="Times New Roman" w:eastAsia="Times New Roman" w:hAnsi="Times New Roman" w:cs="Times New Roman"/>
                <w:sz w:val="20"/>
                <w:szCs w:val="20"/>
                <w:lang w:eastAsia="pl-PL"/>
              </w:rPr>
              <w:t>funkcjonalnego</w:t>
            </w:r>
            <w:r w:rsidR="0052643B" w:rsidRPr="004D380C">
              <w:rPr>
                <w:rFonts w:ascii="Times New Roman" w:eastAsia="Times New Roman" w:hAnsi="Times New Roman" w:cs="Times New Roman"/>
                <w:sz w:val="20"/>
                <w:szCs w:val="20"/>
                <w:lang w:eastAsia="pl-PL"/>
              </w:rPr>
              <w:t xml:space="preserve"> </w:t>
            </w:r>
            <w:r w:rsidRPr="004D380C">
              <w:rPr>
                <w:rFonts w:ascii="Times New Roman" w:eastAsia="Times New Roman" w:hAnsi="Times New Roman" w:cs="Times New Roman"/>
                <w:sz w:val="20"/>
                <w:szCs w:val="20"/>
                <w:lang w:eastAsia="pl-PL"/>
              </w:rPr>
              <w:t>dziecka</w:t>
            </w:r>
            <w:r w:rsidR="0052643B" w:rsidRPr="004D380C">
              <w:rPr>
                <w:rFonts w:ascii="Times New Roman" w:eastAsia="Times New Roman" w:hAnsi="Times New Roman" w:cs="Times New Roman"/>
                <w:sz w:val="20"/>
                <w:szCs w:val="20"/>
                <w:lang w:eastAsia="pl-PL"/>
              </w:rPr>
              <w:t xml:space="preserve"> </w:t>
            </w:r>
            <w:r w:rsidRPr="004D380C">
              <w:rPr>
                <w:rFonts w:ascii="Times New Roman" w:eastAsia="Times New Roman" w:hAnsi="Times New Roman" w:cs="Times New Roman"/>
                <w:sz w:val="20"/>
                <w:szCs w:val="20"/>
                <w:lang w:eastAsia="pl-PL"/>
              </w:rPr>
              <w:t>(np.</w:t>
            </w:r>
            <w:r w:rsidR="0052643B" w:rsidRPr="004D380C">
              <w:rPr>
                <w:rFonts w:ascii="Times New Roman" w:eastAsia="Times New Roman" w:hAnsi="Times New Roman" w:cs="Times New Roman"/>
                <w:sz w:val="20"/>
                <w:szCs w:val="20"/>
                <w:lang w:eastAsia="pl-PL"/>
              </w:rPr>
              <w:t xml:space="preserve"> </w:t>
            </w:r>
            <w:r w:rsidRPr="004D380C">
              <w:rPr>
                <w:rFonts w:ascii="Times New Roman" w:eastAsia="Times New Roman" w:hAnsi="Times New Roman" w:cs="Times New Roman"/>
                <w:sz w:val="20"/>
                <w:szCs w:val="20"/>
                <w:lang w:eastAsia="pl-PL"/>
              </w:rPr>
              <w:t>CHAQ);</w:t>
            </w:r>
          </w:p>
          <w:p w14:paraId="5783A721" w14:textId="342EDFE7" w:rsidR="009D7AE1" w:rsidRPr="00154BF9" w:rsidRDefault="009D7AE1" w:rsidP="006C3A73">
            <w:pPr>
              <w:numPr>
                <w:ilvl w:val="4"/>
                <w:numId w:val="32"/>
              </w:numPr>
              <w:spacing w:after="60" w:line="276" w:lineRule="auto"/>
              <w:jc w:val="both"/>
              <w:rPr>
                <w:rFonts w:ascii="Times New Roman" w:eastAsia="Times New Roman" w:hAnsi="Times New Roman" w:cs="Times New Roman"/>
                <w:sz w:val="20"/>
                <w:szCs w:val="20"/>
                <w:lang w:eastAsia="pl-PL"/>
              </w:rPr>
            </w:pPr>
            <w:r w:rsidRPr="004D380C">
              <w:rPr>
                <w:rFonts w:ascii="Times New Roman" w:eastAsia="Times New Roman" w:hAnsi="Times New Roman" w:cs="Times New Roman"/>
                <w:sz w:val="20"/>
                <w:szCs w:val="20"/>
                <w:lang w:eastAsia="pl-PL"/>
              </w:rPr>
              <w:t>laboratoryjny</w:t>
            </w:r>
            <w:r w:rsidR="0052643B" w:rsidRPr="004D380C">
              <w:rPr>
                <w:rFonts w:ascii="Times New Roman" w:eastAsia="Times New Roman" w:hAnsi="Times New Roman" w:cs="Times New Roman"/>
                <w:sz w:val="20"/>
                <w:szCs w:val="20"/>
                <w:lang w:eastAsia="pl-PL"/>
              </w:rPr>
              <w:t xml:space="preserve"> </w:t>
            </w:r>
            <w:r w:rsidRPr="004D380C">
              <w:rPr>
                <w:rFonts w:ascii="Times New Roman" w:eastAsia="Times New Roman" w:hAnsi="Times New Roman" w:cs="Times New Roman"/>
                <w:sz w:val="20"/>
                <w:szCs w:val="20"/>
                <w:lang w:eastAsia="pl-PL"/>
              </w:rPr>
              <w:t>wskaźnik</w:t>
            </w:r>
            <w:r w:rsidR="0052643B" w:rsidRPr="004D380C">
              <w:rPr>
                <w:rFonts w:ascii="Times New Roman" w:eastAsia="Times New Roman" w:hAnsi="Times New Roman" w:cs="Times New Roman"/>
                <w:sz w:val="20"/>
                <w:szCs w:val="20"/>
                <w:lang w:eastAsia="pl-PL"/>
              </w:rPr>
              <w:t xml:space="preserve"> </w:t>
            </w:r>
            <w:r w:rsidRPr="004D380C">
              <w:rPr>
                <w:rFonts w:ascii="Times New Roman" w:eastAsia="Times New Roman" w:hAnsi="Times New Roman" w:cs="Times New Roman"/>
                <w:sz w:val="20"/>
                <w:szCs w:val="20"/>
                <w:lang w:eastAsia="pl-PL"/>
              </w:rPr>
              <w:t>ostrej</w:t>
            </w:r>
            <w:r w:rsidR="0052643B" w:rsidRPr="004D380C">
              <w:rPr>
                <w:rFonts w:ascii="Times New Roman" w:eastAsia="Times New Roman" w:hAnsi="Times New Roman" w:cs="Times New Roman"/>
                <w:sz w:val="20"/>
                <w:szCs w:val="20"/>
                <w:lang w:eastAsia="pl-PL"/>
              </w:rPr>
              <w:t xml:space="preserve"> </w:t>
            </w:r>
            <w:r w:rsidRPr="004D380C">
              <w:rPr>
                <w:rFonts w:ascii="Times New Roman" w:eastAsia="Times New Roman" w:hAnsi="Times New Roman" w:cs="Times New Roman"/>
                <w:sz w:val="20"/>
                <w:szCs w:val="20"/>
                <w:lang w:eastAsia="pl-PL"/>
              </w:rPr>
              <w:t>fazy</w:t>
            </w:r>
            <w:r w:rsidR="0052643B" w:rsidRPr="004D380C">
              <w:rPr>
                <w:rFonts w:ascii="Times New Roman" w:eastAsia="Times New Roman" w:hAnsi="Times New Roman" w:cs="Times New Roman"/>
                <w:sz w:val="20"/>
                <w:szCs w:val="20"/>
                <w:lang w:eastAsia="pl-PL"/>
              </w:rPr>
              <w:t xml:space="preserve"> </w:t>
            </w:r>
            <w:r w:rsidRPr="004D380C">
              <w:rPr>
                <w:rFonts w:ascii="Times New Roman" w:eastAsia="Times New Roman" w:hAnsi="Times New Roman" w:cs="Times New Roman"/>
                <w:sz w:val="20"/>
                <w:szCs w:val="20"/>
                <w:lang w:eastAsia="pl-PL"/>
              </w:rPr>
              <w:t>(OB.</w:t>
            </w:r>
            <w:r w:rsidR="0052643B" w:rsidRPr="004D380C">
              <w:rPr>
                <w:rFonts w:ascii="Times New Roman" w:eastAsia="Times New Roman" w:hAnsi="Times New Roman" w:cs="Times New Roman"/>
                <w:sz w:val="20"/>
                <w:szCs w:val="20"/>
                <w:lang w:eastAsia="pl-PL"/>
              </w:rPr>
              <w:t xml:space="preserve"> </w:t>
            </w:r>
            <w:r w:rsidRPr="004D380C">
              <w:rPr>
                <w:rFonts w:ascii="Times New Roman" w:eastAsia="Times New Roman" w:hAnsi="Times New Roman" w:cs="Times New Roman"/>
                <w:sz w:val="20"/>
                <w:szCs w:val="20"/>
                <w:lang w:eastAsia="pl-PL"/>
              </w:rPr>
              <w:t>lub</w:t>
            </w:r>
            <w:r w:rsidR="0052643B" w:rsidRPr="004D380C">
              <w:rPr>
                <w:rFonts w:ascii="Times New Roman" w:eastAsia="Times New Roman" w:hAnsi="Times New Roman" w:cs="Times New Roman"/>
                <w:sz w:val="20"/>
                <w:szCs w:val="20"/>
                <w:lang w:eastAsia="pl-PL"/>
              </w:rPr>
              <w:t xml:space="preserve"> </w:t>
            </w:r>
            <w:r w:rsidRPr="004D380C">
              <w:rPr>
                <w:rFonts w:ascii="Times New Roman" w:eastAsia="Times New Roman" w:hAnsi="Times New Roman" w:cs="Times New Roman"/>
                <w:sz w:val="20"/>
                <w:szCs w:val="20"/>
                <w:lang w:eastAsia="pl-PL"/>
              </w:rPr>
              <w:t>CRP).</w:t>
            </w:r>
          </w:p>
          <w:p w14:paraId="70AF88A9" w14:textId="3DA6D1DC" w:rsidR="009D7AE1" w:rsidRPr="00154BF9" w:rsidRDefault="00CB2BED" w:rsidP="006C3A73">
            <w:pPr>
              <w:numPr>
                <w:ilvl w:val="3"/>
                <w:numId w:val="20"/>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U</w:t>
            </w:r>
            <w:r w:rsidR="009D7AE1" w:rsidRPr="00154BF9">
              <w:rPr>
                <w:rFonts w:ascii="Times New Roman" w:eastAsia="Times New Roman" w:hAnsi="Times New Roman" w:cs="Times New Roman"/>
                <w:sz w:val="20"/>
                <w:szCs w:val="20"/>
                <w:lang w:eastAsia="pl-PL"/>
              </w:rPr>
              <w:t>trata</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kryteriów</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poprawy</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ACR</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Pediatric</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50</w:t>
            </w:r>
            <w:r w:rsidR="0052643B" w:rsidRPr="00154BF9">
              <w:rPr>
                <w:rFonts w:ascii="Times New Roman" w:eastAsia="Times New Roman" w:hAnsi="Times New Roman" w:cs="Times New Roman"/>
                <w:sz w:val="20"/>
                <w:szCs w:val="20"/>
                <w:lang w:eastAsia="pl-PL"/>
              </w:rPr>
              <w:t xml:space="preserve"> </w:t>
            </w:r>
            <w:r w:rsidR="006C2ABD"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006C2ABD" w:rsidRPr="00154BF9">
              <w:rPr>
                <w:rFonts w:ascii="Times New Roman" w:eastAsia="Times New Roman" w:hAnsi="Times New Roman" w:cs="Times New Roman"/>
                <w:sz w:val="20"/>
                <w:szCs w:val="20"/>
                <w:lang w:eastAsia="pl-PL"/>
              </w:rPr>
              <w:t>nawrót</w:t>
            </w:r>
            <w:r w:rsidR="0052643B" w:rsidRPr="00154BF9">
              <w:rPr>
                <w:rFonts w:ascii="Times New Roman" w:eastAsia="Times New Roman" w:hAnsi="Times New Roman" w:cs="Times New Roman"/>
                <w:sz w:val="20"/>
                <w:szCs w:val="20"/>
                <w:lang w:eastAsia="pl-PL"/>
              </w:rPr>
              <w:t xml:space="preserve"> </w:t>
            </w:r>
            <w:r w:rsidR="006C2ABD" w:rsidRPr="00154BF9">
              <w:rPr>
                <w:rFonts w:ascii="Times New Roman" w:eastAsia="Times New Roman" w:hAnsi="Times New Roman" w:cs="Times New Roman"/>
                <w:sz w:val="20"/>
                <w:szCs w:val="20"/>
                <w:lang w:eastAsia="pl-PL"/>
              </w:rPr>
              <w:t>czynnych</w:t>
            </w:r>
            <w:r w:rsidR="0052643B" w:rsidRPr="00154BF9">
              <w:rPr>
                <w:rFonts w:ascii="Times New Roman" w:eastAsia="Times New Roman" w:hAnsi="Times New Roman" w:cs="Times New Roman"/>
                <w:sz w:val="20"/>
                <w:szCs w:val="20"/>
                <w:lang w:eastAsia="pl-PL"/>
              </w:rPr>
              <w:t xml:space="preserve"> </w:t>
            </w:r>
            <w:r w:rsidR="006C2ABD" w:rsidRPr="00154BF9">
              <w:rPr>
                <w:rFonts w:ascii="Times New Roman" w:eastAsia="Times New Roman" w:hAnsi="Times New Roman" w:cs="Times New Roman"/>
                <w:sz w:val="20"/>
                <w:szCs w:val="20"/>
                <w:lang w:eastAsia="pl-PL"/>
              </w:rPr>
              <w:t>objawów</w:t>
            </w:r>
            <w:r w:rsidR="0052643B" w:rsidRPr="00154BF9">
              <w:rPr>
                <w:rFonts w:ascii="Times New Roman" w:eastAsia="Times New Roman" w:hAnsi="Times New Roman" w:cs="Times New Roman"/>
                <w:sz w:val="20"/>
                <w:szCs w:val="20"/>
                <w:lang w:eastAsia="pl-PL"/>
              </w:rPr>
              <w:t xml:space="preserve"> </w:t>
            </w:r>
            <w:r w:rsidR="006C2ABD" w:rsidRPr="00154BF9">
              <w:rPr>
                <w:rFonts w:ascii="Times New Roman" w:eastAsia="Times New Roman" w:hAnsi="Times New Roman" w:cs="Times New Roman"/>
                <w:sz w:val="20"/>
                <w:szCs w:val="20"/>
                <w:lang w:eastAsia="pl-PL"/>
              </w:rPr>
              <w:t>układowych,</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trakcie</w:t>
            </w:r>
            <w:r w:rsidR="0052643B" w:rsidRPr="00154BF9">
              <w:rPr>
                <w:rFonts w:ascii="Times New Roman" w:eastAsia="Times New Roman" w:hAnsi="Times New Roman" w:cs="Times New Roman"/>
                <w:sz w:val="20"/>
                <w:szCs w:val="20"/>
                <w:lang w:eastAsia="pl-PL"/>
              </w:rPr>
              <w:t xml:space="preserve"> </w:t>
            </w:r>
            <w:r w:rsidR="00251138" w:rsidRPr="00154BF9">
              <w:rPr>
                <w:rFonts w:ascii="Times New Roman" w:eastAsia="Times New Roman" w:hAnsi="Times New Roman" w:cs="Times New Roman"/>
                <w:sz w:val="20"/>
                <w:szCs w:val="20"/>
                <w:lang w:eastAsia="pl-PL"/>
              </w:rPr>
              <w:t>dwóch</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kolejnych</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wizyt</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monitorujących</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po</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każdych</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kolejnych</w:t>
            </w:r>
            <w:r w:rsidR="0052643B" w:rsidRPr="00154BF9">
              <w:rPr>
                <w:rFonts w:ascii="Times New Roman" w:eastAsia="Times New Roman" w:hAnsi="Times New Roman" w:cs="Times New Roman"/>
                <w:sz w:val="20"/>
                <w:szCs w:val="20"/>
                <w:lang w:eastAsia="pl-PL"/>
              </w:rPr>
              <w:t xml:space="preserve"> </w:t>
            </w:r>
            <w:r w:rsidR="00251138" w:rsidRPr="00154BF9">
              <w:rPr>
                <w:rFonts w:ascii="Times New Roman" w:eastAsia="Times New Roman" w:hAnsi="Times New Roman" w:cs="Times New Roman"/>
                <w:sz w:val="20"/>
                <w:szCs w:val="20"/>
                <w:lang w:eastAsia="pl-PL"/>
              </w:rPr>
              <w:t>6</w:t>
            </w:r>
            <w:r w:rsidR="0052643B" w:rsidRPr="00154BF9">
              <w:rPr>
                <w:rFonts w:ascii="Times New Roman" w:eastAsia="Times New Roman" w:hAnsi="Times New Roman" w:cs="Times New Roman"/>
                <w:sz w:val="20"/>
                <w:szCs w:val="20"/>
                <w:lang w:eastAsia="pl-PL"/>
              </w:rPr>
              <w:t xml:space="preserve"> </w:t>
            </w:r>
            <w:r w:rsidR="00251138" w:rsidRPr="00154BF9">
              <w:rPr>
                <w:rFonts w:ascii="Times New Roman" w:eastAsia="Times New Roman" w:hAnsi="Times New Roman" w:cs="Times New Roman"/>
                <w:sz w:val="20"/>
                <w:szCs w:val="20"/>
                <w:lang w:eastAsia="pl-PL"/>
              </w:rPr>
              <w:t>miesiącach</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w:t>
            </w:r>
            <w:r w:rsidR="00251138" w:rsidRPr="00154BF9">
              <w:rPr>
                <w:rFonts w:ascii="Times New Roman" w:eastAsia="Times New Roman" w:hAnsi="Times New Roman" w:cs="Times New Roman"/>
                <w:sz w:val="20"/>
                <w:szCs w:val="20"/>
                <w:lang w:eastAsia="pl-PL"/>
              </w:rPr>
              <w:t>1</w:t>
            </w:r>
            <w:r w:rsidR="0052643B" w:rsidRPr="00154BF9">
              <w:rPr>
                <w:rFonts w:ascii="Times New Roman" w:eastAsia="Times New Roman" w:hAnsi="Times New Roman" w:cs="Times New Roman"/>
                <w:sz w:val="20"/>
                <w:szCs w:val="20"/>
                <w:lang w:eastAsia="pl-PL"/>
              </w:rPr>
              <w:t xml:space="preserve"> </w:t>
            </w:r>
            <w:r w:rsidR="00251138" w:rsidRPr="00154BF9">
              <w:rPr>
                <w:rFonts w:ascii="Times New Roman" w:eastAsia="Times New Roman" w:hAnsi="Times New Roman" w:cs="Times New Roman"/>
                <w:sz w:val="20"/>
                <w:szCs w:val="20"/>
                <w:lang w:eastAsia="pl-PL"/>
              </w:rPr>
              <w:t>miesiąc</w:t>
            </w:r>
            <w:r w:rsidR="009D7AE1" w:rsidRPr="00154BF9">
              <w:rPr>
                <w:rFonts w:ascii="Times New Roman" w:eastAsia="Times New Roman" w:hAnsi="Times New Roman" w:cs="Times New Roman"/>
                <w:sz w:val="20"/>
                <w:szCs w:val="20"/>
                <w:lang w:eastAsia="pl-PL"/>
              </w:rPr>
              <w:t>)</w:t>
            </w:r>
            <w:r w:rsidRPr="00154BF9">
              <w:rPr>
                <w:rFonts w:ascii="Times New Roman" w:eastAsia="Times New Roman" w:hAnsi="Times New Roman" w:cs="Times New Roman"/>
                <w:sz w:val="20"/>
                <w:szCs w:val="20"/>
                <w:lang w:eastAsia="pl-PL"/>
              </w:rPr>
              <w:t>.</w:t>
            </w:r>
          </w:p>
          <w:p w14:paraId="2F6847AE" w14:textId="26B992BF" w:rsidR="009D7AE1" w:rsidRPr="00154BF9" w:rsidRDefault="00CB2BED" w:rsidP="006C3A73">
            <w:pPr>
              <w:numPr>
                <w:ilvl w:val="3"/>
                <w:numId w:val="20"/>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U</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pacjentów</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zakwalifikowanych</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leczenia</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na</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podstawie</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pkt</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1</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ppkt</w:t>
            </w:r>
            <w:r w:rsidR="0052643B" w:rsidRPr="00154BF9">
              <w:rPr>
                <w:rFonts w:ascii="Times New Roman" w:eastAsia="Times New Roman" w:hAnsi="Times New Roman" w:cs="Times New Roman"/>
                <w:sz w:val="20"/>
                <w:szCs w:val="20"/>
                <w:lang w:eastAsia="pl-PL"/>
              </w:rPr>
              <w:t xml:space="preserve"> </w:t>
            </w:r>
            <w:r w:rsidR="008D5639" w:rsidRPr="00154BF9">
              <w:rPr>
                <w:rFonts w:ascii="Times New Roman" w:eastAsia="Times New Roman" w:hAnsi="Times New Roman" w:cs="Times New Roman"/>
                <w:sz w:val="20"/>
                <w:szCs w:val="20"/>
                <w:lang w:eastAsia="pl-PL"/>
              </w:rPr>
              <w:t>1</w:t>
            </w:r>
            <w:r w:rsidR="009D7AE1" w:rsidRPr="00154BF9">
              <w:rPr>
                <w:rFonts w:ascii="Times New Roman" w:eastAsia="Times New Roman" w:hAnsi="Times New Roman" w:cs="Times New Roman"/>
                <w:sz w:val="20"/>
                <w:szCs w:val="20"/>
                <w:lang w:eastAsia="pl-PL"/>
              </w:rPr>
              <w:t>c)</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(MIZS</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dominującym</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zapaleniem</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błony</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naczyniowej</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oka)</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niespełniających</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jednocześnie</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kryteriów</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kwalifikacji</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określonych</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pkt</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1</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ppkt</w:t>
            </w:r>
            <w:r w:rsidR="0052643B" w:rsidRPr="00154BF9">
              <w:rPr>
                <w:rFonts w:ascii="Times New Roman" w:eastAsia="Times New Roman" w:hAnsi="Times New Roman" w:cs="Times New Roman"/>
                <w:sz w:val="20"/>
                <w:szCs w:val="20"/>
                <w:lang w:eastAsia="pl-PL"/>
              </w:rPr>
              <w:t xml:space="preserve"> </w:t>
            </w:r>
            <w:r w:rsidR="008D5639" w:rsidRPr="00154BF9">
              <w:rPr>
                <w:rFonts w:ascii="Times New Roman" w:eastAsia="Times New Roman" w:hAnsi="Times New Roman" w:cs="Times New Roman"/>
                <w:sz w:val="20"/>
                <w:szCs w:val="20"/>
                <w:lang w:eastAsia="pl-PL"/>
              </w:rPr>
              <w:t>1</w:t>
            </w:r>
            <w:r w:rsidR="009D7AE1" w:rsidRPr="00154BF9">
              <w:rPr>
                <w:rFonts w:ascii="Times New Roman" w:eastAsia="Times New Roman" w:hAnsi="Times New Roman" w:cs="Times New Roman"/>
                <w:sz w:val="20"/>
                <w:szCs w:val="20"/>
                <w:lang w:eastAsia="pl-PL"/>
              </w:rPr>
              <w:t>a)</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i</w:t>
            </w:r>
            <w:r w:rsidR="0052643B" w:rsidRPr="00154BF9">
              <w:rPr>
                <w:rFonts w:ascii="Times New Roman" w:eastAsia="Times New Roman" w:hAnsi="Times New Roman" w:cs="Times New Roman"/>
                <w:sz w:val="20"/>
                <w:szCs w:val="20"/>
                <w:lang w:eastAsia="pl-PL"/>
              </w:rPr>
              <w:t xml:space="preserve"> </w:t>
            </w:r>
            <w:r w:rsidR="008D5639" w:rsidRPr="00154BF9">
              <w:rPr>
                <w:rFonts w:ascii="Times New Roman" w:eastAsia="Times New Roman" w:hAnsi="Times New Roman" w:cs="Times New Roman"/>
                <w:sz w:val="20"/>
                <w:szCs w:val="20"/>
                <w:lang w:eastAsia="pl-PL"/>
              </w:rPr>
              <w:t>1</w:t>
            </w:r>
            <w:r w:rsidR="009D7AE1" w:rsidRPr="00154BF9">
              <w:rPr>
                <w:rFonts w:ascii="Times New Roman" w:eastAsia="Times New Roman" w:hAnsi="Times New Roman" w:cs="Times New Roman"/>
                <w:sz w:val="20"/>
                <w:szCs w:val="20"/>
                <w:lang w:eastAsia="pl-PL"/>
              </w:rPr>
              <w:t>b)</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oraz</w:t>
            </w:r>
            <w:r w:rsidR="0052643B" w:rsidRPr="00154BF9">
              <w:rPr>
                <w:rFonts w:ascii="Times New Roman" w:eastAsia="Times New Roman" w:hAnsi="Times New Roman" w:cs="Times New Roman"/>
                <w:sz w:val="20"/>
                <w:szCs w:val="20"/>
                <w:lang w:eastAsia="pl-PL"/>
              </w:rPr>
              <w:t xml:space="preserve"> </w:t>
            </w:r>
            <w:r w:rsidR="00943508">
              <w:rPr>
                <w:rFonts w:ascii="Times New Roman" w:eastAsia="Times New Roman" w:hAnsi="Times New Roman" w:cs="Times New Roman"/>
                <w:sz w:val="20"/>
                <w:szCs w:val="20"/>
                <w:lang w:eastAsia="pl-PL"/>
              </w:rPr>
              <w:t>4</w:t>
            </w:r>
            <w:r w:rsidR="009D7AE1" w:rsidRPr="00154BF9">
              <w:rPr>
                <w:rFonts w:ascii="Times New Roman" w:eastAsia="Times New Roman" w:hAnsi="Times New Roman" w:cs="Times New Roman"/>
                <w:sz w:val="20"/>
                <w:szCs w:val="20"/>
                <w:lang w:eastAsia="pl-PL"/>
              </w:rPr>
              <w:t>a)</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i</w:t>
            </w:r>
            <w:r w:rsidR="0052643B" w:rsidRPr="00154BF9">
              <w:rPr>
                <w:rFonts w:ascii="Times New Roman" w:eastAsia="Times New Roman" w:hAnsi="Times New Roman" w:cs="Times New Roman"/>
                <w:sz w:val="20"/>
                <w:szCs w:val="20"/>
                <w:lang w:eastAsia="pl-PL"/>
              </w:rPr>
              <w:t xml:space="preserve"> </w:t>
            </w:r>
            <w:r w:rsidR="00943508">
              <w:rPr>
                <w:rFonts w:ascii="Times New Roman" w:eastAsia="Times New Roman" w:hAnsi="Times New Roman" w:cs="Times New Roman"/>
                <w:sz w:val="20"/>
                <w:szCs w:val="20"/>
                <w:lang w:eastAsia="pl-PL"/>
              </w:rPr>
              <w:t>4</w:t>
            </w:r>
            <w:r w:rsidR="009D7AE1" w:rsidRPr="00154BF9">
              <w:rPr>
                <w:rFonts w:ascii="Times New Roman" w:eastAsia="Times New Roman" w:hAnsi="Times New Roman" w:cs="Times New Roman"/>
                <w:sz w:val="20"/>
                <w:szCs w:val="20"/>
                <w:lang w:eastAsia="pl-PL"/>
              </w:rPr>
              <w:t>b)</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brak</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uzyskania</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istotnej</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klinicznie</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poprawy</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zakresie</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zapalenia</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błony</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naczyniowej</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oka</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po</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pierwszych</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12</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miesiącach</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w:t>
            </w:r>
            <w:r w:rsidR="00251138" w:rsidRPr="00154BF9">
              <w:rPr>
                <w:rFonts w:ascii="Times New Roman" w:eastAsia="Times New Roman" w:hAnsi="Times New Roman" w:cs="Times New Roman"/>
                <w:sz w:val="20"/>
                <w:szCs w:val="20"/>
                <w:lang w:eastAsia="pl-PL"/>
              </w:rPr>
              <w:t>1</w:t>
            </w:r>
            <w:r w:rsidR="0052643B" w:rsidRPr="00154BF9">
              <w:rPr>
                <w:rFonts w:ascii="Times New Roman" w:eastAsia="Times New Roman" w:hAnsi="Times New Roman" w:cs="Times New Roman"/>
                <w:sz w:val="20"/>
                <w:szCs w:val="20"/>
                <w:lang w:eastAsia="pl-PL"/>
              </w:rPr>
              <w:t xml:space="preserve"> </w:t>
            </w:r>
            <w:r w:rsidR="00251138" w:rsidRPr="00154BF9">
              <w:rPr>
                <w:rFonts w:ascii="Times New Roman" w:eastAsia="Times New Roman" w:hAnsi="Times New Roman" w:cs="Times New Roman"/>
                <w:sz w:val="20"/>
                <w:szCs w:val="20"/>
                <w:lang w:eastAsia="pl-PL"/>
              </w:rPr>
              <w:t>miesiąc</w:t>
            </w:r>
            <w:r w:rsidR="009D7AE1"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potwierdzonej</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badaniem</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okulistycznym</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oraz</w:t>
            </w:r>
            <w:r w:rsidR="0052643B" w:rsidRPr="00154BF9">
              <w:rPr>
                <w:rFonts w:ascii="Times New Roman" w:eastAsia="Times New Roman" w:hAnsi="Times New Roman" w:cs="Times New Roman"/>
                <w:sz w:val="20"/>
                <w:szCs w:val="20"/>
                <w:lang w:eastAsia="pl-PL"/>
              </w:rPr>
              <w:t xml:space="preserve"> </w:t>
            </w:r>
            <w:r w:rsidR="00251138" w:rsidRPr="00154BF9">
              <w:rPr>
                <w:rFonts w:ascii="Times New Roman" w:eastAsia="Times New Roman" w:hAnsi="Times New Roman" w:cs="Times New Roman"/>
                <w:sz w:val="20"/>
                <w:szCs w:val="20"/>
                <w:lang w:eastAsia="pl-PL"/>
              </w:rPr>
              <w:t>brak</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utrzymywani</w:t>
            </w:r>
            <w:r w:rsidR="00251138" w:rsidRPr="00154BF9">
              <w:rPr>
                <w:rFonts w:ascii="Times New Roman" w:eastAsia="Times New Roman" w:hAnsi="Times New Roman" w:cs="Times New Roman"/>
                <w:sz w:val="20"/>
                <w:szCs w:val="20"/>
                <w:lang w:eastAsia="pl-PL"/>
              </w:rPr>
              <w:t>a</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się</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istotnej</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klinicznie</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poprawy</w:t>
            </w:r>
            <w:r w:rsidR="0052643B" w:rsidRPr="00154BF9">
              <w:rPr>
                <w:rFonts w:ascii="Times New Roman" w:eastAsia="Times New Roman" w:hAnsi="Times New Roman" w:cs="Times New Roman"/>
                <w:sz w:val="20"/>
                <w:szCs w:val="20"/>
                <w:lang w:eastAsia="pl-PL"/>
              </w:rPr>
              <w:t xml:space="preserve"> </w:t>
            </w:r>
            <w:r w:rsidR="00251138" w:rsidRPr="00154BF9">
              <w:rPr>
                <w:rFonts w:ascii="Times New Roman" w:eastAsia="Times New Roman" w:hAnsi="Times New Roman" w:cs="Times New Roman"/>
                <w:sz w:val="20"/>
                <w:szCs w:val="20"/>
                <w:lang w:eastAsia="pl-PL"/>
              </w:rPr>
              <w:t>po</w:t>
            </w:r>
            <w:r w:rsidR="0052643B" w:rsidRPr="00154BF9">
              <w:rPr>
                <w:rFonts w:ascii="Times New Roman" w:eastAsia="Times New Roman" w:hAnsi="Times New Roman" w:cs="Times New Roman"/>
                <w:sz w:val="20"/>
                <w:szCs w:val="20"/>
                <w:lang w:eastAsia="pl-PL"/>
              </w:rPr>
              <w:t xml:space="preserve"> </w:t>
            </w:r>
            <w:r w:rsidR="00251138" w:rsidRPr="00154BF9">
              <w:rPr>
                <w:rFonts w:ascii="Times New Roman" w:eastAsia="Times New Roman" w:hAnsi="Times New Roman" w:cs="Times New Roman"/>
                <w:sz w:val="20"/>
                <w:szCs w:val="20"/>
                <w:lang w:eastAsia="pl-PL"/>
              </w:rPr>
              <w:t>każdych</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kolejnych</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12</w:t>
            </w:r>
            <w:r w:rsidR="0052643B" w:rsidRPr="00154BF9">
              <w:rPr>
                <w:rFonts w:ascii="Times New Roman" w:eastAsia="Times New Roman" w:hAnsi="Times New Roman" w:cs="Times New Roman"/>
                <w:sz w:val="20"/>
                <w:szCs w:val="20"/>
                <w:lang w:eastAsia="pl-PL"/>
              </w:rPr>
              <w:t xml:space="preserve"> </w:t>
            </w:r>
            <w:r w:rsidR="003E5655" w:rsidRPr="00154BF9">
              <w:rPr>
                <w:rFonts w:ascii="Times New Roman" w:eastAsia="Times New Roman" w:hAnsi="Times New Roman" w:cs="Times New Roman"/>
                <w:sz w:val="20"/>
                <w:szCs w:val="20"/>
                <w:lang w:eastAsia="pl-PL"/>
              </w:rPr>
              <w:t>miesiącach</w:t>
            </w:r>
            <w:r w:rsidR="0052643B" w:rsidRPr="00154BF9">
              <w:rPr>
                <w:rFonts w:ascii="Times New Roman" w:eastAsia="Times New Roman" w:hAnsi="Times New Roman" w:cs="Times New Roman"/>
                <w:sz w:val="20"/>
                <w:szCs w:val="20"/>
                <w:lang w:eastAsia="pl-PL"/>
              </w:rPr>
              <w:t xml:space="preserve"> </w:t>
            </w:r>
            <w:r w:rsidR="00251138" w:rsidRPr="00154BF9">
              <w:rPr>
                <w:rFonts w:ascii="Times New Roman" w:eastAsia="Times New Roman" w:hAnsi="Times New Roman" w:cs="Times New Roman"/>
                <w:sz w:val="20"/>
                <w:szCs w:val="20"/>
                <w:lang w:eastAsia="pl-PL"/>
              </w:rPr>
              <w:t>(</w:t>
            </w:r>
            <w:r w:rsidR="000E4233" w:rsidRPr="00154BF9">
              <w:rPr>
                <w:rFonts w:ascii="Times New Roman" w:eastAsia="Times New Roman" w:hAnsi="Times New Roman" w:cs="Times New Roman"/>
                <w:sz w:val="20"/>
                <w:szCs w:val="20"/>
                <w:lang w:eastAsia="pl-PL"/>
              </w:rPr>
              <w:t>±1</w:t>
            </w:r>
            <w:r w:rsidR="0052643B" w:rsidRPr="00154BF9">
              <w:rPr>
                <w:rFonts w:ascii="Times New Roman" w:eastAsia="Times New Roman" w:hAnsi="Times New Roman" w:cs="Times New Roman"/>
                <w:sz w:val="20"/>
                <w:szCs w:val="20"/>
                <w:lang w:eastAsia="pl-PL"/>
              </w:rPr>
              <w:t xml:space="preserve"> </w:t>
            </w:r>
            <w:r w:rsidR="000E4233" w:rsidRPr="00154BF9">
              <w:rPr>
                <w:rFonts w:ascii="Times New Roman" w:eastAsia="Times New Roman" w:hAnsi="Times New Roman" w:cs="Times New Roman"/>
                <w:sz w:val="20"/>
                <w:szCs w:val="20"/>
                <w:lang w:eastAsia="pl-PL"/>
              </w:rPr>
              <w:t>miesiąc)</w:t>
            </w:r>
            <w:r w:rsidRPr="00154BF9">
              <w:rPr>
                <w:rFonts w:ascii="Times New Roman" w:eastAsia="Times New Roman" w:hAnsi="Times New Roman" w:cs="Times New Roman"/>
                <w:sz w:val="20"/>
                <w:szCs w:val="20"/>
                <w:lang w:eastAsia="pl-PL"/>
              </w:rPr>
              <w:t>.</w:t>
            </w:r>
          </w:p>
          <w:p w14:paraId="64E52D2E" w14:textId="239D0E5D" w:rsidR="009A019D" w:rsidRPr="00154BF9" w:rsidRDefault="009A019D" w:rsidP="006C3A73">
            <w:pPr>
              <w:numPr>
                <w:ilvl w:val="3"/>
                <w:numId w:val="20"/>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Wystąpienie chorób lub stanów, które w opinii Zespołu Koordynacyjnego lub lekarza prowadzącego uniemożliwiają dalsze prowadzenie leczenia.</w:t>
            </w:r>
          </w:p>
          <w:p w14:paraId="470320EA" w14:textId="326DD664" w:rsidR="009A019D" w:rsidRPr="00154BF9" w:rsidRDefault="009A019D" w:rsidP="006C3A73">
            <w:pPr>
              <w:numPr>
                <w:ilvl w:val="3"/>
                <w:numId w:val="20"/>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lastRenderedPageBreak/>
              <w:t>Wystąpienie objawów nadwrażliwości na którąkolwiek substancję czynną lub substancję pomocniczą.</w:t>
            </w:r>
          </w:p>
          <w:p w14:paraId="5E129DBA" w14:textId="0CC6464A" w:rsidR="009A019D" w:rsidRPr="00154BF9" w:rsidRDefault="009A019D" w:rsidP="006C3A73">
            <w:pPr>
              <w:numPr>
                <w:ilvl w:val="3"/>
                <w:numId w:val="20"/>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Wystąpienie toksyczności wymagającej zakończenia leczenia w opinii Zespołu Koordynacyjnego lub lekarza prowadzącego zgodnie z aktualną ChPL.</w:t>
            </w:r>
          </w:p>
          <w:p w14:paraId="0B39D7EB" w14:textId="18AF66D2" w:rsidR="009A019D" w:rsidRPr="00154BF9" w:rsidRDefault="009A019D" w:rsidP="006C3A73">
            <w:pPr>
              <w:numPr>
                <w:ilvl w:val="3"/>
                <w:numId w:val="20"/>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Pogorszenie jakości życia o istotnym znaczeniu według oceny lekarza.</w:t>
            </w:r>
          </w:p>
          <w:p w14:paraId="451D02B3" w14:textId="028E8687" w:rsidR="009A019D" w:rsidRPr="00154BF9" w:rsidRDefault="009A019D" w:rsidP="006C3A73">
            <w:pPr>
              <w:numPr>
                <w:ilvl w:val="3"/>
                <w:numId w:val="20"/>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Brak współpracy lub nieprzestrzeganie zaleceń lekarskich, w tym zwłaszcza dotyczących okresowych badań kontrolnych oceniających skuteczność i bezpieczeństwo leczenia ze strony świadczeniobiorcy lub jego opiekuna prawnego.</w:t>
            </w:r>
          </w:p>
          <w:p w14:paraId="6EFDF186" w14:textId="234E3AD8" w:rsidR="00350537" w:rsidRPr="00154BF9" w:rsidRDefault="00CB2BED" w:rsidP="006C3A73">
            <w:pPr>
              <w:numPr>
                <w:ilvl w:val="3"/>
                <w:numId w:val="20"/>
              </w:numPr>
              <w:spacing w:after="60" w:line="276" w:lineRule="auto"/>
              <w:jc w:val="both"/>
              <w:rPr>
                <w:rFonts w:ascii="Times New Roman" w:eastAsia="Times New Roman" w:hAnsi="Times New Roman" w:cs="Times New Roman"/>
                <w:sz w:val="20"/>
                <w:szCs w:val="20"/>
                <w:lang w:eastAsia="pl-PL"/>
              </w:rPr>
            </w:pPr>
            <w:r w:rsidRPr="004D380C">
              <w:rPr>
                <w:rFonts w:ascii="Times New Roman" w:eastAsia="Times New Roman" w:hAnsi="Times New Roman" w:cs="Times New Roman"/>
                <w:sz w:val="20"/>
                <w:szCs w:val="20"/>
                <w:lang w:eastAsia="pl-PL"/>
              </w:rPr>
              <w:t>L</w:t>
            </w:r>
            <w:r w:rsidR="009D7AE1" w:rsidRPr="004D380C">
              <w:rPr>
                <w:rFonts w:ascii="Times New Roman" w:eastAsia="Times New Roman" w:hAnsi="Times New Roman" w:cs="Times New Roman"/>
                <w:sz w:val="20"/>
                <w:szCs w:val="20"/>
                <w:lang w:eastAsia="pl-PL"/>
              </w:rPr>
              <w:t>ekarz</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prowadzący</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może</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zwrócić</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się</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do</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Zespołu</w:t>
            </w:r>
            <w:r w:rsidR="0052643B" w:rsidRPr="004D380C">
              <w:rPr>
                <w:rFonts w:ascii="Times New Roman" w:eastAsia="Times New Roman" w:hAnsi="Times New Roman" w:cs="Times New Roman"/>
                <w:sz w:val="20"/>
                <w:szCs w:val="20"/>
                <w:lang w:eastAsia="pl-PL"/>
              </w:rPr>
              <w:t xml:space="preserve"> </w:t>
            </w:r>
            <w:r w:rsidR="00696524" w:rsidRPr="004D380C">
              <w:rPr>
                <w:rFonts w:ascii="Times New Roman" w:eastAsia="Times New Roman" w:hAnsi="Times New Roman" w:cs="Times New Roman"/>
                <w:sz w:val="20"/>
                <w:szCs w:val="20"/>
                <w:lang w:eastAsia="pl-PL"/>
              </w:rPr>
              <w:t xml:space="preserve">Koordynacyjnego </w:t>
            </w:r>
            <w:r w:rsidR="00696524" w:rsidRPr="00154BF9">
              <w:rPr>
                <w:rFonts w:ascii="Times New Roman" w:eastAsia="Times New Roman" w:hAnsi="Times New Roman" w:cs="Times New Roman"/>
                <w:sz w:val="20"/>
                <w:szCs w:val="20"/>
                <w:lang w:eastAsia="pl-PL"/>
              </w:rPr>
              <w:t>ds.</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Leczenia</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Biologicznego</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w</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Chorobach</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Reumatycznych</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o</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wyrażenie</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zgody</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na</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kontynuację</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leczenia</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daną</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substancją</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czynną</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w</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uzasadnionych</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sytuacjach</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klinicznych</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w</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przypadku</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niespełnienia</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przez</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chorego</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kryteriów</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poprawy</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ACR</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Pediatric</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50</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zgodnie</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z</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pkt</w:t>
            </w:r>
            <w:r w:rsidR="0052643B" w:rsidRPr="004D380C">
              <w:rPr>
                <w:rFonts w:ascii="Times New Roman" w:eastAsia="Times New Roman" w:hAnsi="Times New Roman" w:cs="Times New Roman"/>
                <w:sz w:val="20"/>
                <w:szCs w:val="20"/>
                <w:lang w:eastAsia="pl-PL"/>
              </w:rPr>
              <w:t xml:space="preserve"> </w:t>
            </w:r>
            <w:r w:rsidR="004A6206" w:rsidRPr="004D380C">
              <w:rPr>
                <w:rFonts w:ascii="Times New Roman" w:eastAsia="Times New Roman" w:hAnsi="Times New Roman" w:cs="Times New Roman"/>
                <w:sz w:val="20"/>
                <w:szCs w:val="20"/>
                <w:lang w:eastAsia="pl-PL"/>
              </w:rPr>
              <w:t>3</w:t>
            </w:r>
            <w:r w:rsidR="009A019D" w:rsidRPr="004D380C">
              <w:rPr>
                <w:rFonts w:ascii="Times New Roman" w:eastAsia="Times New Roman" w:hAnsi="Times New Roman" w:cs="Times New Roman"/>
                <w:sz w:val="20"/>
                <w:szCs w:val="20"/>
                <w:lang w:eastAsia="pl-PL"/>
              </w:rPr>
              <w:t>.</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ppkt</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3</w:t>
            </w:r>
            <w:r w:rsidR="009A019D" w:rsidRPr="004D380C">
              <w:rPr>
                <w:rFonts w:ascii="Times New Roman" w:eastAsia="Times New Roman" w:hAnsi="Times New Roman" w:cs="Times New Roman"/>
                <w:sz w:val="20"/>
                <w:szCs w:val="20"/>
                <w:lang w:eastAsia="pl-PL"/>
              </w:rPr>
              <w:t>)</w:t>
            </w:r>
            <w:r w:rsidR="009D7AE1" w:rsidRPr="004D380C">
              <w:rPr>
                <w:rFonts w:ascii="Times New Roman" w:eastAsia="Times New Roman" w:hAnsi="Times New Roman" w:cs="Times New Roman"/>
                <w:sz w:val="20"/>
                <w:szCs w:val="20"/>
                <w:lang w:eastAsia="pl-PL"/>
              </w:rPr>
              <w:t>,</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szczególnie</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u</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pacjentów</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z</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wyjściową</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bardzo</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dużą</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aktywnością</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choroby</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lub</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występowaniem</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czynników</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złej</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prognozy.</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Bez</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zgody</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Zespołu</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Koordynacyjnego</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dalsze</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leczenie</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daną</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substancją</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czynną</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w</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przypadku</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niespełnienia</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kryteriów</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ACR</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Pediatric</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50</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po</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12</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miesiącach</w:t>
            </w:r>
            <w:r w:rsidR="0052643B" w:rsidRPr="004D380C">
              <w:rPr>
                <w:rFonts w:ascii="Times New Roman" w:eastAsia="Times New Roman" w:hAnsi="Times New Roman" w:cs="Times New Roman"/>
                <w:sz w:val="20"/>
                <w:szCs w:val="20"/>
                <w:lang w:eastAsia="pl-PL"/>
              </w:rPr>
              <w:t xml:space="preserve"> </w:t>
            </w:r>
            <w:r w:rsidR="000E4233" w:rsidRPr="004D380C">
              <w:rPr>
                <w:rFonts w:ascii="Times New Roman" w:eastAsia="Times New Roman" w:hAnsi="Times New Roman" w:cs="Times New Roman"/>
                <w:sz w:val="20"/>
                <w:szCs w:val="20"/>
                <w:lang w:eastAsia="pl-PL"/>
              </w:rPr>
              <w:t>(</w:t>
            </w:r>
            <w:r w:rsidR="000E4233" w:rsidRPr="00154BF9">
              <w:rPr>
                <w:rFonts w:ascii="Times New Roman" w:eastAsia="Times New Roman" w:hAnsi="Times New Roman" w:cs="Times New Roman"/>
                <w:sz w:val="20"/>
                <w:szCs w:val="20"/>
                <w:lang w:eastAsia="pl-PL"/>
              </w:rPr>
              <w:t>±1</w:t>
            </w:r>
            <w:r w:rsidR="0052643B" w:rsidRPr="00154BF9">
              <w:rPr>
                <w:rFonts w:ascii="Times New Roman" w:eastAsia="Times New Roman" w:hAnsi="Times New Roman" w:cs="Times New Roman"/>
                <w:sz w:val="20"/>
                <w:szCs w:val="20"/>
                <w:lang w:eastAsia="pl-PL"/>
              </w:rPr>
              <w:t xml:space="preserve"> </w:t>
            </w:r>
            <w:r w:rsidR="000E4233" w:rsidRPr="00154BF9">
              <w:rPr>
                <w:rFonts w:ascii="Times New Roman" w:eastAsia="Times New Roman" w:hAnsi="Times New Roman" w:cs="Times New Roman"/>
                <w:sz w:val="20"/>
                <w:szCs w:val="20"/>
                <w:lang w:eastAsia="pl-PL"/>
              </w:rPr>
              <w:t>miesiąc)</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terapii</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nie</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jest</w:t>
            </w:r>
            <w:r w:rsidR="0052643B" w:rsidRPr="004D380C">
              <w:rPr>
                <w:rFonts w:ascii="Times New Roman" w:eastAsia="Times New Roman" w:hAnsi="Times New Roman" w:cs="Times New Roman"/>
                <w:sz w:val="20"/>
                <w:szCs w:val="20"/>
                <w:lang w:eastAsia="pl-PL"/>
              </w:rPr>
              <w:t xml:space="preserve"> </w:t>
            </w:r>
            <w:r w:rsidR="009D7AE1" w:rsidRPr="004D380C">
              <w:rPr>
                <w:rFonts w:ascii="Times New Roman" w:eastAsia="Times New Roman" w:hAnsi="Times New Roman" w:cs="Times New Roman"/>
                <w:sz w:val="20"/>
                <w:szCs w:val="20"/>
                <w:lang w:eastAsia="pl-PL"/>
              </w:rPr>
              <w:t>możliwe.</w:t>
            </w:r>
          </w:p>
          <w:p w14:paraId="5F5B488C" w14:textId="77777777" w:rsidR="00034E48" w:rsidRPr="00154BF9" w:rsidRDefault="00034E48" w:rsidP="006C3A73">
            <w:pPr>
              <w:suppressAutoHyphens/>
              <w:spacing w:after="60" w:line="276" w:lineRule="auto"/>
              <w:ind w:left="454"/>
              <w:jc w:val="both"/>
              <w:rPr>
                <w:rFonts w:ascii="Times New Roman" w:eastAsia="Times New Roman" w:hAnsi="Times New Roman" w:cs="Times New Roman"/>
                <w:sz w:val="20"/>
                <w:szCs w:val="20"/>
                <w:lang w:eastAsia="ar-SA"/>
              </w:rPr>
            </w:pPr>
          </w:p>
          <w:p w14:paraId="46DBCED2" w14:textId="327CCE5B" w:rsidR="009D7AE1" w:rsidRPr="00154BF9" w:rsidRDefault="009D7AE1" w:rsidP="006C3A73">
            <w:pPr>
              <w:pStyle w:val="Akapitzlist"/>
              <w:numPr>
                <w:ilvl w:val="0"/>
                <w:numId w:val="20"/>
              </w:numPr>
              <w:autoSpaceDE w:val="0"/>
              <w:autoSpaceDN w:val="0"/>
              <w:adjustRightInd w:val="0"/>
              <w:spacing w:after="60" w:line="276" w:lineRule="auto"/>
              <w:contextualSpacing w:val="0"/>
              <w:jc w:val="both"/>
              <w:rPr>
                <w:rFonts w:ascii="Times New Roman" w:eastAsia="Times New Roman" w:hAnsi="Times New Roman" w:cs="Times New Roman"/>
                <w:b/>
                <w:bCs/>
                <w:sz w:val="20"/>
                <w:szCs w:val="20"/>
                <w:lang w:eastAsia="pl-PL"/>
              </w:rPr>
            </w:pPr>
            <w:r w:rsidRPr="00154BF9">
              <w:rPr>
                <w:rFonts w:ascii="Times New Roman" w:eastAsia="Times New Roman" w:hAnsi="Times New Roman" w:cs="Times New Roman"/>
                <w:b/>
                <w:bCs/>
                <w:sz w:val="20"/>
                <w:szCs w:val="20"/>
                <w:lang w:eastAsia="pl-PL"/>
              </w:rPr>
              <w:t>Kryteria</w:t>
            </w:r>
            <w:r w:rsidR="0052643B" w:rsidRPr="00154BF9">
              <w:rPr>
                <w:rFonts w:ascii="Times New Roman" w:eastAsia="Times New Roman" w:hAnsi="Times New Roman" w:cs="Times New Roman"/>
                <w:b/>
                <w:bCs/>
                <w:sz w:val="20"/>
                <w:szCs w:val="20"/>
                <w:lang w:eastAsia="pl-PL"/>
              </w:rPr>
              <w:t xml:space="preserve"> </w:t>
            </w:r>
            <w:r w:rsidRPr="00154BF9">
              <w:rPr>
                <w:rFonts w:ascii="Times New Roman" w:eastAsia="Times New Roman" w:hAnsi="Times New Roman" w:cs="Times New Roman"/>
                <w:b/>
                <w:bCs/>
                <w:sz w:val="20"/>
                <w:szCs w:val="20"/>
                <w:lang w:eastAsia="pl-PL"/>
              </w:rPr>
              <w:t>ponownego</w:t>
            </w:r>
            <w:r w:rsidR="0052643B" w:rsidRPr="00154BF9">
              <w:rPr>
                <w:rFonts w:ascii="Times New Roman" w:eastAsia="Times New Roman" w:hAnsi="Times New Roman" w:cs="Times New Roman"/>
                <w:b/>
                <w:bCs/>
                <w:sz w:val="20"/>
                <w:szCs w:val="20"/>
                <w:lang w:eastAsia="pl-PL"/>
              </w:rPr>
              <w:t xml:space="preserve"> </w:t>
            </w:r>
            <w:r w:rsidRPr="00154BF9">
              <w:rPr>
                <w:rFonts w:ascii="Times New Roman" w:eastAsia="Times New Roman" w:hAnsi="Times New Roman" w:cs="Times New Roman"/>
                <w:b/>
                <w:bCs/>
                <w:sz w:val="20"/>
                <w:szCs w:val="20"/>
                <w:lang w:eastAsia="pl-PL"/>
              </w:rPr>
              <w:t>włączenia</w:t>
            </w:r>
            <w:r w:rsidR="0052643B" w:rsidRPr="00154BF9">
              <w:rPr>
                <w:rFonts w:ascii="Times New Roman" w:eastAsia="Times New Roman" w:hAnsi="Times New Roman" w:cs="Times New Roman"/>
                <w:b/>
                <w:bCs/>
                <w:sz w:val="20"/>
                <w:szCs w:val="20"/>
                <w:lang w:eastAsia="pl-PL"/>
              </w:rPr>
              <w:t xml:space="preserve"> </w:t>
            </w:r>
            <w:r w:rsidRPr="00154BF9">
              <w:rPr>
                <w:rFonts w:ascii="Times New Roman" w:eastAsia="Times New Roman" w:hAnsi="Times New Roman" w:cs="Times New Roman"/>
                <w:b/>
                <w:bCs/>
                <w:sz w:val="20"/>
                <w:szCs w:val="20"/>
                <w:lang w:eastAsia="pl-PL"/>
              </w:rPr>
              <w:t>do</w:t>
            </w:r>
            <w:r w:rsidR="0052643B" w:rsidRPr="00154BF9">
              <w:rPr>
                <w:rFonts w:ascii="Times New Roman" w:eastAsia="Times New Roman" w:hAnsi="Times New Roman" w:cs="Times New Roman"/>
                <w:b/>
                <w:bCs/>
                <w:sz w:val="20"/>
                <w:szCs w:val="20"/>
                <w:lang w:eastAsia="pl-PL"/>
              </w:rPr>
              <w:t xml:space="preserve"> </w:t>
            </w:r>
            <w:r w:rsidRPr="00154BF9">
              <w:rPr>
                <w:rFonts w:ascii="Times New Roman" w:eastAsia="Times New Roman" w:hAnsi="Times New Roman" w:cs="Times New Roman"/>
                <w:b/>
                <w:bCs/>
                <w:sz w:val="20"/>
                <w:szCs w:val="20"/>
                <w:lang w:eastAsia="pl-PL"/>
              </w:rPr>
              <w:t>programu</w:t>
            </w:r>
          </w:p>
          <w:p w14:paraId="799A232E" w14:textId="5814CE61" w:rsidR="009D7AE1" w:rsidRPr="00154BF9" w:rsidRDefault="009D7AE1" w:rsidP="006C3A73">
            <w:pPr>
              <w:numPr>
                <w:ilvl w:val="3"/>
                <w:numId w:val="20"/>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Pacjent,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którego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zaprzestano,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zgodnie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pkt</w:t>
            </w:r>
            <w:r w:rsidR="0052643B" w:rsidRPr="00154BF9">
              <w:rPr>
                <w:rFonts w:ascii="Times New Roman" w:eastAsia="Times New Roman" w:hAnsi="Times New Roman" w:cs="Times New Roman"/>
                <w:sz w:val="20"/>
                <w:szCs w:val="20"/>
                <w:lang w:eastAsia="pl-PL"/>
              </w:rPr>
              <w:t xml:space="preserve"> </w:t>
            </w:r>
            <w:r w:rsidR="000A1224" w:rsidRPr="00154BF9">
              <w:rPr>
                <w:rFonts w:ascii="Times New Roman" w:eastAsia="Times New Roman" w:hAnsi="Times New Roman" w:cs="Times New Roman"/>
                <w:sz w:val="20"/>
                <w:szCs w:val="20"/>
                <w:lang w:eastAsia="pl-PL"/>
              </w:rPr>
              <w:t>3.</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ppkt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5</w:t>
            </w:r>
            <w:r w:rsidR="000A1224" w:rsidRPr="00154BF9">
              <w:rPr>
                <w:rFonts w:ascii="Times New Roman" w:eastAsia="Times New Roman" w:hAnsi="Times New Roman" w:cs="Times New Roman"/>
                <w:sz w:val="20"/>
                <w:szCs w:val="20"/>
                <w:lang w:eastAsia="pl-PL"/>
              </w:rPr>
              <w:t>)</w:t>
            </w:r>
            <w:r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podawania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substancji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czynnej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zastosowanej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zgodnie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zapisami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którego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trakcie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badania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kontrolnego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stwierdzono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nawrót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aktywnej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choroby,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definiowanej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jako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brak</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utrzymywania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się</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kryteriów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poprawy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ACR</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Pediatric</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50,</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jest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włączany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ramach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bez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kwalifikacji.</w:t>
            </w:r>
          </w:p>
          <w:p w14:paraId="76301FD9" w14:textId="41EBBA2A" w:rsidR="006C2ABD" w:rsidRPr="00154BF9" w:rsidRDefault="006C2ABD" w:rsidP="006C3A73">
            <w:pPr>
              <w:numPr>
                <w:ilvl w:val="3"/>
                <w:numId w:val="20"/>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Pacjent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MIZS</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początku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uogólnionym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włączany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jest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ponownie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przypadku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nawrotu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czynnych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objawów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układowych.</w:t>
            </w:r>
          </w:p>
          <w:p w14:paraId="29449433" w14:textId="0C8D3D48" w:rsidR="009D7AE1" w:rsidRPr="00154BF9" w:rsidRDefault="009D7AE1" w:rsidP="006C3A73">
            <w:pPr>
              <w:numPr>
                <w:ilvl w:val="3"/>
                <w:numId w:val="20"/>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Pacjent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jest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włączany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ponownego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substancją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czynną,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której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zastosowanie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spowodowało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spełnienie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kryteriów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poprawy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ACR</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Pediatric</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50</w:t>
            </w:r>
            <w:r w:rsidR="0052643B" w:rsidRPr="00154BF9">
              <w:rPr>
                <w:rFonts w:ascii="Times New Roman" w:eastAsia="Times New Roman" w:hAnsi="Times New Roman" w:cs="Times New Roman"/>
                <w:sz w:val="20"/>
                <w:szCs w:val="20"/>
                <w:lang w:eastAsia="pl-PL"/>
              </w:rPr>
              <w:t xml:space="preserve"> </w:t>
            </w:r>
            <w:r w:rsidR="006C2ABD"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006C2ABD" w:rsidRPr="00154BF9">
              <w:rPr>
                <w:rFonts w:ascii="Times New Roman" w:eastAsia="Times New Roman" w:hAnsi="Times New Roman" w:cs="Times New Roman"/>
                <w:sz w:val="20"/>
                <w:szCs w:val="20"/>
                <w:lang w:eastAsia="pl-PL"/>
              </w:rPr>
              <w:t>ustąpienie</w:t>
            </w:r>
            <w:r w:rsidR="0052643B" w:rsidRPr="00154BF9">
              <w:rPr>
                <w:rFonts w:ascii="Times New Roman" w:eastAsia="Times New Roman" w:hAnsi="Times New Roman" w:cs="Times New Roman"/>
                <w:sz w:val="20"/>
                <w:szCs w:val="20"/>
                <w:lang w:eastAsia="pl-PL"/>
              </w:rPr>
              <w:t xml:space="preserve"> </w:t>
            </w:r>
            <w:r w:rsidR="006C2ABD" w:rsidRPr="00154BF9">
              <w:rPr>
                <w:rFonts w:ascii="Times New Roman" w:eastAsia="Times New Roman" w:hAnsi="Times New Roman" w:cs="Times New Roman"/>
                <w:sz w:val="20"/>
                <w:szCs w:val="20"/>
                <w:lang w:eastAsia="pl-PL"/>
              </w:rPr>
              <w:t>objawów</w:t>
            </w:r>
            <w:r w:rsidR="0052643B" w:rsidRPr="00154BF9">
              <w:rPr>
                <w:rFonts w:ascii="Times New Roman" w:eastAsia="Times New Roman" w:hAnsi="Times New Roman" w:cs="Times New Roman"/>
                <w:sz w:val="20"/>
                <w:szCs w:val="20"/>
                <w:lang w:eastAsia="pl-PL"/>
              </w:rPr>
              <w:t xml:space="preserve"> </w:t>
            </w:r>
            <w:r w:rsidR="006C2ABD" w:rsidRPr="00154BF9">
              <w:rPr>
                <w:rFonts w:ascii="Times New Roman" w:eastAsia="Times New Roman" w:hAnsi="Times New Roman" w:cs="Times New Roman"/>
                <w:sz w:val="20"/>
                <w:szCs w:val="20"/>
                <w:lang w:eastAsia="pl-PL"/>
              </w:rPr>
              <w:t>układowych.</w:t>
            </w:r>
          </w:p>
          <w:p w14:paraId="46F61F00" w14:textId="5C5584AC" w:rsidR="009D7AE1" w:rsidRPr="00154BF9" w:rsidRDefault="009D7AE1" w:rsidP="006C3A73">
            <w:pPr>
              <w:numPr>
                <w:ilvl w:val="3"/>
                <w:numId w:val="20"/>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lastRenderedPageBreak/>
              <w:t>Do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może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być</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ponownie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włączony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pacjent,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którego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zaprzestano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podawania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substancji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czynnej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wymienionej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zastosowanej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zgodnie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jego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treścią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powodu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wystąpienia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działań</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niepożądanych,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które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ustąpiły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odstawieniu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bądź</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zastosowanym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leczeniu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opinii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lekarza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prowadzącego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powrót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terapii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samą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substancją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czynną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stanowi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ryzyka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dla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pacjenta.</w:t>
            </w:r>
          </w:p>
          <w:p w14:paraId="6B101EDC" w14:textId="77777777" w:rsidR="00CB2AC0" w:rsidRPr="00154BF9" w:rsidRDefault="00CB2AC0" w:rsidP="0052643B">
            <w:pPr>
              <w:suppressAutoHyphens/>
              <w:spacing w:after="60" w:line="276" w:lineRule="auto"/>
              <w:ind w:left="357"/>
              <w:jc w:val="both"/>
              <w:rPr>
                <w:rFonts w:ascii="Times New Roman" w:eastAsia="Times New Roman" w:hAnsi="Times New Roman" w:cs="Times New Roman"/>
                <w:sz w:val="20"/>
                <w:szCs w:val="20"/>
                <w:lang w:eastAsia="ar-SA"/>
              </w:rPr>
            </w:pPr>
          </w:p>
        </w:tc>
        <w:tc>
          <w:tcPr>
            <w:tcW w:w="4294" w:type="dxa"/>
            <w:tcBorders>
              <w:top w:val="single" w:sz="4" w:space="0" w:color="auto"/>
              <w:bottom w:val="single" w:sz="4" w:space="0" w:color="auto"/>
            </w:tcBorders>
          </w:tcPr>
          <w:p w14:paraId="647CD249" w14:textId="53254F13" w:rsidR="009D7AE1" w:rsidRPr="004D380C" w:rsidRDefault="009D7AE1" w:rsidP="004D380C">
            <w:pPr>
              <w:pStyle w:val="Akapitzlist"/>
              <w:numPr>
                <w:ilvl w:val="0"/>
                <w:numId w:val="23"/>
              </w:numPr>
              <w:autoSpaceDE w:val="0"/>
              <w:autoSpaceDN w:val="0"/>
              <w:adjustRightInd w:val="0"/>
              <w:spacing w:before="120" w:after="60" w:line="276" w:lineRule="auto"/>
              <w:contextualSpacing w:val="0"/>
              <w:jc w:val="both"/>
              <w:rPr>
                <w:rFonts w:ascii="Times New Roman" w:eastAsia="Times New Roman" w:hAnsi="Times New Roman" w:cs="Times New Roman"/>
                <w:b/>
                <w:bCs/>
                <w:sz w:val="20"/>
                <w:szCs w:val="20"/>
                <w:lang w:eastAsia="pl-PL"/>
              </w:rPr>
            </w:pPr>
            <w:r w:rsidRPr="004D380C">
              <w:rPr>
                <w:rFonts w:ascii="Times New Roman" w:eastAsia="Times New Roman" w:hAnsi="Times New Roman" w:cs="Times New Roman"/>
                <w:b/>
                <w:bCs/>
                <w:sz w:val="20"/>
                <w:szCs w:val="20"/>
                <w:lang w:eastAsia="pl-PL"/>
              </w:rPr>
              <w:lastRenderedPageBreak/>
              <w:t>Dawkowanie</w:t>
            </w:r>
          </w:p>
          <w:p w14:paraId="239C17CF" w14:textId="5DD2DB94" w:rsidR="009D7AE1" w:rsidRPr="00154BF9" w:rsidRDefault="009D7AE1" w:rsidP="00127ABF">
            <w:pPr>
              <w:widowControl w:val="0"/>
              <w:numPr>
                <w:ilvl w:val="3"/>
                <w:numId w:val="23"/>
              </w:numPr>
              <w:autoSpaceDE w:val="0"/>
              <w:autoSpaceDN w:val="0"/>
              <w:adjustRightInd w:val="0"/>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Adalimumab,</w:t>
            </w:r>
            <w:r w:rsidR="0052643B" w:rsidRPr="00154BF9">
              <w:rPr>
                <w:rFonts w:ascii="Times New Roman" w:eastAsia="Times New Roman" w:hAnsi="Times New Roman" w:cs="Times New Roman"/>
                <w:sz w:val="20"/>
                <w:szCs w:val="20"/>
                <w:lang w:eastAsia="pl-PL"/>
              </w:rPr>
              <w:t xml:space="preserve"> </w:t>
            </w:r>
            <w:r w:rsidR="00696524" w:rsidRPr="00154BF9">
              <w:rPr>
                <w:rFonts w:ascii="Times New Roman" w:eastAsia="Times New Roman" w:hAnsi="Times New Roman" w:cs="Times New Roman"/>
                <w:sz w:val="20"/>
                <w:szCs w:val="20"/>
                <w:lang w:eastAsia="pl-PL"/>
              </w:rPr>
              <w:t>etanercept, sekukinumab</w:t>
            </w:r>
            <w:r w:rsidR="00551DED"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tocilizumab</w:t>
            </w:r>
            <w:r w:rsidR="0052643B" w:rsidRPr="00154BF9">
              <w:rPr>
                <w:rFonts w:ascii="Times New Roman" w:eastAsia="Times New Roman" w:hAnsi="Times New Roman" w:cs="Times New Roman"/>
                <w:sz w:val="20"/>
                <w:szCs w:val="20"/>
                <w:lang w:eastAsia="pl-PL"/>
              </w:rPr>
              <w:t xml:space="preserve"> </w:t>
            </w:r>
            <w:r w:rsidR="00F16A59"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00F16A59" w:rsidRPr="00154BF9">
              <w:rPr>
                <w:rFonts w:ascii="Times New Roman" w:eastAsia="Times New Roman" w:hAnsi="Times New Roman" w:cs="Times New Roman"/>
                <w:sz w:val="20"/>
                <w:szCs w:val="20"/>
                <w:lang w:eastAsia="pl-PL"/>
              </w:rPr>
              <w:t>postaci</w:t>
            </w:r>
            <w:r w:rsidR="0052643B" w:rsidRPr="00154BF9">
              <w:rPr>
                <w:rFonts w:ascii="Times New Roman" w:eastAsia="Times New Roman" w:hAnsi="Times New Roman" w:cs="Times New Roman"/>
                <w:sz w:val="20"/>
                <w:szCs w:val="20"/>
                <w:lang w:eastAsia="pl-PL"/>
              </w:rPr>
              <w:t xml:space="preserve"> </w:t>
            </w:r>
            <w:r w:rsidR="00F16A59" w:rsidRPr="00154BF9">
              <w:rPr>
                <w:rFonts w:ascii="Times New Roman" w:eastAsia="Times New Roman" w:hAnsi="Times New Roman" w:cs="Times New Roman"/>
                <w:sz w:val="20"/>
                <w:szCs w:val="20"/>
                <w:lang w:eastAsia="pl-PL"/>
              </w:rPr>
              <w:t>dożylnej</w:t>
            </w:r>
            <w:r w:rsidR="000717B4">
              <w:rPr>
                <w:rFonts w:ascii="Times New Roman" w:eastAsia="Times New Roman" w:hAnsi="Times New Roman" w:cs="Times New Roman"/>
                <w:sz w:val="20"/>
                <w:szCs w:val="20"/>
                <w:lang w:eastAsia="pl-PL"/>
              </w:rPr>
              <w:t>,</w:t>
            </w:r>
            <w:r w:rsidR="00494A5E">
              <w:rPr>
                <w:rFonts w:ascii="Times New Roman" w:eastAsia="Times New Roman" w:hAnsi="Times New Roman" w:cs="Times New Roman"/>
                <w:sz w:val="20"/>
                <w:szCs w:val="20"/>
                <w:lang w:eastAsia="pl-PL"/>
              </w:rPr>
              <w:t xml:space="preserve"> </w:t>
            </w:r>
            <w:r w:rsidR="00CC1E78" w:rsidRPr="00154BF9">
              <w:rPr>
                <w:rFonts w:ascii="Times New Roman" w:eastAsia="Times New Roman" w:hAnsi="Times New Roman" w:cs="Times New Roman"/>
                <w:sz w:val="20"/>
                <w:szCs w:val="20"/>
                <w:lang w:eastAsia="pl-PL"/>
              </w:rPr>
              <w:t>anakinrę</w:t>
            </w:r>
            <w:r w:rsidR="00D92C20">
              <w:rPr>
                <w:rFonts w:ascii="Times New Roman" w:eastAsia="Times New Roman" w:hAnsi="Times New Roman" w:cs="Times New Roman"/>
                <w:sz w:val="20"/>
                <w:szCs w:val="20"/>
                <w:lang w:eastAsia="pl-PL"/>
              </w:rPr>
              <w:t xml:space="preserve">, </w:t>
            </w:r>
            <w:r w:rsidR="000717B4">
              <w:rPr>
                <w:rFonts w:ascii="Times New Roman" w:eastAsia="Times New Roman" w:hAnsi="Times New Roman" w:cs="Times New Roman"/>
                <w:sz w:val="20"/>
                <w:szCs w:val="20"/>
                <w:lang w:eastAsia="pl-PL"/>
              </w:rPr>
              <w:t>tofacytynib</w:t>
            </w:r>
            <w:r w:rsidR="0052643B" w:rsidRPr="00154BF9">
              <w:rPr>
                <w:rFonts w:ascii="Times New Roman" w:eastAsia="Times New Roman" w:hAnsi="Times New Roman" w:cs="Times New Roman"/>
                <w:sz w:val="20"/>
                <w:szCs w:val="20"/>
                <w:lang w:eastAsia="pl-PL"/>
              </w:rPr>
              <w:t xml:space="preserve"> </w:t>
            </w:r>
            <w:r w:rsidR="00D92C20" w:rsidRPr="00D92C20">
              <w:rPr>
                <w:rFonts w:ascii="Times New Roman" w:eastAsia="Times New Roman" w:hAnsi="Times New Roman" w:cs="Times New Roman"/>
                <w:sz w:val="20"/>
                <w:szCs w:val="20"/>
                <w:lang w:eastAsia="pl-PL"/>
              </w:rPr>
              <w:t xml:space="preserve">i kanakinumab </w:t>
            </w:r>
            <w:r w:rsidRPr="00154BF9">
              <w:rPr>
                <w:rFonts w:ascii="Times New Roman" w:eastAsia="Times New Roman" w:hAnsi="Times New Roman" w:cs="Times New Roman"/>
                <w:sz w:val="20"/>
                <w:szCs w:val="20"/>
                <w:lang w:eastAsia="pl-PL"/>
              </w:rPr>
              <w:t>należy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podawać</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zgodnie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dawkowaniem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określonym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aktualnej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Charakterystyce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Produktu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Leczniczego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uwzględnieniem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rekomendacji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EULAR/ACR</w:t>
            </w:r>
            <w:r w:rsidR="00026AEE" w:rsidRPr="00154BF9">
              <w:rPr>
                <w:rFonts w:ascii="Times New Roman" w:eastAsia="Times New Roman" w:hAnsi="Times New Roman" w:cs="Times New Roman"/>
                <w:sz w:val="20"/>
                <w:szCs w:val="20"/>
                <w:lang w:eastAsia="pl-PL"/>
              </w:rPr>
              <w:t>,</w:t>
            </w:r>
            <w:r w:rsidR="0052643B" w:rsidRPr="00154BF9">
              <w:rPr>
                <w:rFonts w:ascii="Times New Roman" w:hAnsi="Times New Roman" w:cs="Times New Roman"/>
                <w:sz w:val="20"/>
                <w:szCs w:val="20"/>
              </w:rPr>
              <w:t xml:space="preserve"> </w:t>
            </w:r>
            <w:r w:rsidR="00026AEE"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00026AEE" w:rsidRPr="00154BF9">
              <w:rPr>
                <w:rFonts w:ascii="Times New Roman" w:eastAsia="Times New Roman" w:hAnsi="Times New Roman" w:cs="Times New Roman"/>
                <w:sz w:val="20"/>
                <w:szCs w:val="20"/>
                <w:lang w:eastAsia="pl-PL"/>
              </w:rPr>
              <w:t>tym</w:t>
            </w:r>
            <w:r w:rsidR="0052643B" w:rsidRPr="00154BF9">
              <w:rPr>
                <w:rFonts w:ascii="Times New Roman" w:eastAsia="Times New Roman" w:hAnsi="Times New Roman" w:cs="Times New Roman"/>
                <w:sz w:val="20"/>
                <w:szCs w:val="20"/>
                <w:lang w:eastAsia="pl-PL"/>
              </w:rPr>
              <w:t xml:space="preserve"> </w:t>
            </w:r>
            <w:r w:rsidR="00026AEE" w:rsidRPr="00154BF9">
              <w:rPr>
                <w:rFonts w:ascii="Times New Roman" w:eastAsia="Times New Roman" w:hAnsi="Times New Roman" w:cs="Times New Roman"/>
                <w:sz w:val="20"/>
                <w:szCs w:val="20"/>
                <w:lang w:eastAsia="pl-PL"/>
              </w:rPr>
              <w:t>możliwości</w:t>
            </w:r>
            <w:r w:rsidR="0052643B" w:rsidRPr="00154BF9">
              <w:rPr>
                <w:rFonts w:ascii="Times New Roman" w:eastAsia="Times New Roman" w:hAnsi="Times New Roman" w:cs="Times New Roman"/>
                <w:sz w:val="20"/>
                <w:szCs w:val="20"/>
                <w:lang w:eastAsia="pl-PL"/>
              </w:rPr>
              <w:t xml:space="preserve"> </w:t>
            </w:r>
            <w:r w:rsidR="00026AEE" w:rsidRPr="00154BF9">
              <w:rPr>
                <w:rFonts w:ascii="Times New Roman" w:eastAsia="Times New Roman" w:hAnsi="Times New Roman" w:cs="Times New Roman"/>
                <w:sz w:val="20"/>
                <w:szCs w:val="20"/>
                <w:lang w:eastAsia="pl-PL"/>
              </w:rPr>
              <w:t>zmniejszenia</w:t>
            </w:r>
            <w:r w:rsidR="0052643B" w:rsidRPr="00154BF9">
              <w:rPr>
                <w:rFonts w:ascii="Times New Roman" w:eastAsia="Times New Roman" w:hAnsi="Times New Roman" w:cs="Times New Roman"/>
                <w:sz w:val="20"/>
                <w:szCs w:val="20"/>
                <w:lang w:eastAsia="pl-PL"/>
              </w:rPr>
              <w:t xml:space="preserve"> </w:t>
            </w:r>
            <w:r w:rsidR="00026AEE" w:rsidRPr="00154BF9">
              <w:rPr>
                <w:rFonts w:ascii="Times New Roman" w:eastAsia="Times New Roman" w:hAnsi="Times New Roman" w:cs="Times New Roman"/>
                <w:sz w:val="20"/>
                <w:szCs w:val="20"/>
                <w:lang w:eastAsia="pl-PL"/>
              </w:rPr>
              <w:t>dawki</w:t>
            </w:r>
            <w:r w:rsidR="0052643B" w:rsidRPr="00154BF9">
              <w:rPr>
                <w:rFonts w:ascii="Times New Roman" w:eastAsia="Times New Roman" w:hAnsi="Times New Roman" w:cs="Times New Roman"/>
                <w:sz w:val="20"/>
                <w:szCs w:val="20"/>
                <w:lang w:eastAsia="pl-PL"/>
              </w:rPr>
              <w:t xml:space="preserve"> </w:t>
            </w:r>
            <w:r w:rsidR="00026AEE" w:rsidRPr="00154BF9">
              <w:rPr>
                <w:rFonts w:ascii="Times New Roman" w:eastAsia="Times New Roman" w:hAnsi="Times New Roman" w:cs="Times New Roman"/>
                <w:sz w:val="20"/>
                <w:szCs w:val="20"/>
                <w:lang w:eastAsia="pl-PL"/>
              </w:rPr>
              <w:t>leku</w:t>
            </w:r>
            <w:r w:rsidR="0052643B" w:rsidRPr="00154BF9">
              <w:rPr>
                <w:rFonts w:ascii="Times New Roman" w:eastAsia="Times New Roman" w:hAnsi="Times New Roman" w:cs="Times New Roman"/>
                <w:sz w:val="20"/>
                <w:szCs w:val="20"/>
                <w:lang w:eastAsia="pl-PL"/>
              </w:rPr>
              <w:t xml:space="preserve"> </w:t>
            </w:r>
            <w:r w:rsidR="00026AEE"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00026AEE" w:rsidRPr="00154BF9">
              <w:rPr>
                <w:rFonts w:ascii="Times New Roman" w:eastAsia="Times New Roman" w:hAnsi="Times New Roman" w:cs="Times New Roman"/>
                <w:sz w:val="20"/>
                <w:szCs w:val="20"/>
                <w:lang w:eastAsia="pl-PL"/>
              </w:rPr>
              <w:t>wydłużenia</w:t>
            </w:r>
            <w:r w:rsidR="0052643B" w:rsidRPr="00154BF9">
              <w:rPr>
                <w:rFonts w:ascii="Times New Roman" w:eastAsia="Times New Roman" w:hAnsi="Times New Roman" w:cs="Times New Roman"/>
                <w:sz w:val="20"/>
                <w:szCs w:val="20"/>
                <w:lang w:eastAsia="pl-PL"/>
              </w:rPr>
              <w:t xml:space="preserve"> </w:t>
            </w:r>
            <w:r w:rsidR="00026AEE" w:rsidRPr="00154BF9">
              <w:rPr>
                <w:rFonts w:ascii="Times New Roman" w:eastAsia="Times New Roman" w:hAnsi="Times New Roman" w:cs="Times New Roman"/>
                <w:sz w:val="20"/>
                <w:szCs w:val="20"/>
                <w:lang w:eastAsia="pl-PL"/>
              </w:rPr>
              <w:t>odstępu</w:t>
            </w:r>
            <w:r w:rsidR="0052643B" w:rsidRPr="00154BF9">
              <w:rPr>
                <w:rFonts w:ascii="Times New Roman" w:eastAsia="Times New Roman" w:hAnsi="Times New Roman" w:cs="Times New Roman"/>
                <w:sz w:val="20"/>
                <w:szCs w:val="20"/>
                <w:lang w:eastAsia="pl-PL"/>
              </w:rPr>
              <w:t xml:space="preserve"> </w:t>
            </w:r>
            <w:r w:rsidR="00026AEE" w:rsidRPr="00154BF9">
              <w:rPr>
                <w:rFonts w:ascii="Times New Roman" w:eastAsia="Times New Roman" w:hAnsi="Times New Roman" w:cs="Times New Roman"/>
                <w:sz w:val="20"/>
                <w:szCs w:val="20"/>
                <w:lang w:eastAsia="pl-PL"/>
              </w:rPr>
              <w:t>pomiędzy</w:t>
            </w:r>
            <w:r w:rsidR="0052643B" w:rsidRPr="00154BF9">
              <w:rPr>
                <w:rFonts w:ascii="Times New Roman" w:eastAsia="Times New Roman" w:hAnsi="Times New Roman" w:cs="Times New Roman"/>
                <w:sz w:val="20"/>
                <w:szCs w:val="20"/>
                <w:lang w:eastAsia="pl-PL"/>
              </w:rPr>
              <w:t xml:space="preserve"> </w:t>
            </w:r>
            <w:r w:rsidR="00026AEE" w:rsidRPr="00154BF9">
              <w:rPr>
                <w:rFonts w:ascii="Times New Roman" w:eastAsia="Times New Roman" w:hAnsi="Times New Roman" w:cs="Times New Roman"/>
                <w:sz w:val="20"/>
                <w:szCs w:val="20"/>
                <w:lang w:eastAsia="pl-PL"/>
              </w:rPr>
              <w:t>kolejnymi</w:t>
            </w:r>
            <w:r w:rsidR="0052643B" w:rsidRPr="00154BF9">
              <w:rPr>
                <w:rFonts w:ascii="Times New Roman" w:eastAsia="Times New Roman" w:hAnsi="Times New Roman" w:cs="Times New Roman"/>
                <w:sz w:val="20"/>
                <w:szCs w:val="20"/>
                <w:lang w:eastAsia="pl-PL"/>
              </w:rPr>
              <w:t xml:space="preserve"> </w:t>
            </w:r>
            <w:r w:rsidR="00026AEE" w:rsidRPr="00154BF9">
              <w:rPr>
                <w:rFonts w:ascii="Times New Roman" w:eastAsia="Times New Roman" w:hAnsi="Times New Roman" w:cs="Times New Roman"/>
                <w:sz w:val="20"/>
                <w:szCs w:val="20"/>
                <w:lang w:eastAsia="pl-PL"/>
              </w:rPr>
              <w:t>dawkami</w:t>
            </w:r>
            <w:r w:rsidR="0052643B" w:rsidRPr="00154BF9">
              <w:rPr>
                <w:rFonts w:ascii="Times New Roman" w:eastAsia="Times New Roman" w:hAnsi="Times New Roman" w:cs="Times New Roman"/>
                <w:sz w:val="20"/>
                <w:szCs w:val="20"/>
                <w:lang w:eastAsia="pl-PL"/>
              </w:rPr>
              <w:t xml:space="preserve"> </w:t>
            </w:r>
            <w:r w:rsidR="00026AEE" w:rsidRPr="00154BF9">
              <w:rPr>
                <w:rFonts w:ascii="Times New Roman" w:eastAsia="Times New Roman" w:hAnsi="Times New Roman" w:cs="Times New Roman"/>
                <w:sz w:val="20"/>
                <w:szCs w:val="20"/>
                <w:lang w:eastAsia="pl-PL"/>
              </w:rPr>
              <w:t>u</w:t>
            </w:r>
            <w:r w:rsidR="0052643B" w:rsidRPr="00154BF9">
              <w:rPr>
                <w:rFonts w:ascii="Times New Roman" w:eastAsia="Times New Roman" w:hAnsi="Times New Roman" w:cs="Times New Roman"/>
                <w:sz w:val="20"/>
                <w:szCs w:val="20"/>
                <w:lang w:eastAsia="pl-PL"/>
              </w:rPr>
              <w:t xml:space="preserve"> </w:t>
            </w:r>
            <w:r w:rsidR="00026AEE" w:rsidRPr="00154BF9">
              <w:rPr>
                <w:rFonts w:ascii="Times New Roman" w:eastAsia="Times New Roman" w:hAnsi="Times New Roman" w:cs="Times New Roman"/>
                <w:sz w:val="20"/>
                <w:szCs w:val="20"/>
                <w:lang w:eastAsia="pl-PL"/>
              </w:rPr>
              <w:t>pacjentów,</w:t>
            </w:r>
            <w:r w:rsidR="0052643B" w:rsidRPr="00154BF9">
              <w:rPr>
                <w:rFonts w:ascii="Times New Roman" w:eastAsia="Times New Roman" w:hAnsi="Times New Roman" w:cs="Times New Roman"/>
                <w:sz w:val="20"/>
                <w:szCs w:val="20"/>
                <w:lang w:eastAsia="pl-PL"/>
              </w:rPr>
              <w:t xml:space="preserve"> </w:t>
            </w:r>
            <w:r w:rsidR="00026AEE" w:rsidRPr="00154BF9">
              <w:rPr>
                <w:rFonts w:ascii="Times New Roman" w:eastAsia="Times New Roman" w:hAnsi="Times New Roman" w:cs="Times New Roman"/>
                <w:sz w:val="20"/>
                <w:szCs w:val="20"/>
                <w:lang w:eastAsia="pl-PL"/>
              </w:rPr>
              <w:t>u</w:t>
            </w:r>
            <w:r w:rsidR="0052643B" w:rsidRPr="00154BF9">
              <w:rPr>
                <w:rFonts w:ascii="Times New Roman" w:eastAsia="Times New Roman" w:hAnsi="Times New Roman" w:cs="Times New Roman"/>
                <w:sz w:val="20"/>
                <w:szCs w:val="20"/>
                <w:lang w:eastAsia="pl-PL"/>
              </w:rPr>
              <w:t xml:space="preserve"> </w:t>
            </w:r>
            <w:r w:rsidR="00026AEE" w:rsidRPr="00154BF9">
              <w:rPr>
                <w:rFonts w:ascii="Times New Roman" w:eastAsia="Times New Roman" w:hAnsi="Times New Roman" w:cs="Times New Roman"/>
                <w:sz w:val="20"/>
                <w:szCs w:val="20"/>
                <w:lang w:eastAsia="pl-PL"/>
              </w:rPr>
              <w:t>których</w:t>
            </w:r>
            <w:r w:rsidR="0052643B" w:rsidRPr="00154BF9">
              <w:rPr>
                <w:rFonts w:ascii="Times New Roman" w:eastAsia="Times New Roman" w:hAnsi="Times New Roman" w:cs="Times New Roman"/>
                <w:sz w:val="20"/>
                <w:szCs w:val="20"/>
                <w:lang w:eastAsia="pl-PL"/>
              </w:rPr>
              <w:t xml:space="preserve"> </w:t>
            </w:r>
            <w:r w:rsidR="00026AEE" w:rsidRPr="00154BF9">
              <w:rPr>
                <w:rFonts w:ascii="Times New Roman" w:eastAsia="Times New Roman" w:hAnsi="Times New Roman" w:cs="Times New Roman"/>
                <w:sz w:val="20"/>
                <w:szCs w:val="20"/>
                <w:lang w:eastAsia="pl-PL"/>
              </w:rPr>
              <w:t>uzyskano</w:t>
            </w:r>
            <w:r w:rsidR="0052643B" w:rsidRPr="00154BF9">
              <w:rPr>
                <w:rFonts w:ascii="Times New Roman" w:eastAsia="Times New Roman" w:hAnsi="Times New Roman" w:cs="Times New Roman"/>
                <w:sz w:val="20"/>
                <w:szCs w:val="20"/>
                <w:lang w:eastAsia="pl-PL"/>
              </w:rPr>
              <w:t xml:space="preserve"> </w:t>
            </w:r>
            <w:r w:rsidR="00026AEE" w:rsidRPr="00154BF9">
              <w:rPr>
                <w:rFonts w:ascii="Times New Roman" w:eastAsia="Times New Roman" w:hAnsi="Times New Roman" w:cs="Times New Roman"/>
                <w:sz w:val="20"/>
                <w:szCs w:val="20"/>
                <w:lang w:eastAsia="pl-PL"/>
              </w:rPr>
              <w:t>cel</w:t>
            </w:r>
            <w:r w:rsidR="0052643B" w:rsidRPr="00154BF9">
              <w:rPr>
                <w:rFonts w:ascii="Times New Roman" w:eastAsia="Times New Roman" w:hAnsi="Times New Roman" w:cs="Times New Roman"/>
                <w:sz w:val="20"/>
                <w:szCs w:val="20"/>
                <w:lang w:eastAsia="pl-PL"/>
              </w:rPr>
              <w:t xml:space="preserve"> </w:t>
            </w:r>
            <w:r w:rsidR="00026AEE" w:rsidRPr="00154BF9">
              <w:rPr>
                <w:rFonts w:ascii="Times New Roman" w:eastAsia="Times New Roman" w:hAnsi="Times New Roman" w:cs="Times New Roman"/>
                <w:sz w:val="20"/>
                <w:szCs w:val="20"/>
                <w:lang w:eastAsia="pl-PL"/>
              </w:rPr>
              <w:t>terapii.</w:t>
            </w:r>
          </w:p>
          <w:p w14:paraId="475CF274" w14:textId="7EE5E1CC" w:rsidR="00CB2BED" w:rsidRPr="00154BF9" w:rsidRDefault="009D7AE1" w:rsidP="00127ABF">
            <w:pPr>
              <w:widowControl w:val="0"/>
              <w:numPr>
                <w:ilvl w:val="3"/>
                <w:numId w:val="23"/>
              </w:numPr>
              <w:autoSpaceDE w:val="0"/>
              <w:autoSpaceDN w:val="0"/>
              <w:adjustRightInd w:val="0"/>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Powyższe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leki</w:t>
            </w:r>
            <w:r w:rsidR="00551DED" w:rsidRPr="00154BF9">
              <w:rPr>
                <w:rFonts w:ascii="Times New Roman" w:eastAsia="Times New Roman" w:hAnsi="Times New Roman" w:cs="Times New Roman"/>
                <w:sz w:val="20"/>
                <w:szCs w:val="20"/>
                <w:lang w:eastAsia="pl-PL"/>
              </w:rPr>
              <w:t xml:space="preserve"> (z wyjątkiem sekukinumabu, który może być podawany z lub bez metotreksatu)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należy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podawać</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metotreksatem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skutecznej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klinicznie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tolerowanej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przez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chorego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dawce,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chyba,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że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występują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przeciwwskazania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stosowania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metotreksatu.</w:t>
            </w:r>
          </w:p>
          <w:p w14:paraId="364A1925" w14:textId="6F5D7AEA" w:rsidR="009D7AE1" w:rsidRPr="00154BF9" w:rsidRDefault="009D7AE1" w:rsidP="00127ABF">
            <w:pPr>
              <w:pStyle w:val="Akapitzlist"/>
              <w:widowControl w:val="0"/>
              <w:autoSpaceDE w:val="0"/>
              <w:autoSpaceDN w:val="0"/>
              <w:adjustRightInd w:val="0"/>
              <w:spacing w:after="60" w:line="276" w:lineRule="auto"/>
              <w:ind w:left="454"/>
              <w:contextualSpacing w:val="0"/>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przypadku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wystąpienia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przeciwwskazań</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stosowania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metotreksatu,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należy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rozważyć</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podawanie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adalimumabu,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etanerceptu</w:t>
            </w:r>
            <w:r w:rsidR="00CC1E78"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tocilizumabu</w:t>
            </w:r>
            <w:r w:rsidR="0052643B" w:rsidRPr="00154BF9">
              <w:rPr>
                <w:rFonts w:ascii="Times New Roman" w:eastAsia="Times New Roman" w:hAnsi="Times New Roman" w:cs="Times New Roman"/>
                <w:sz w:val="20"/>
                <w:szCs w:val="20"/>
                <w:lang w:eastAsia="pl-PL"/>
              </w:rPr>
              <w:t xml:space="preserve"> </w:t>
            </w:r>
            <w:r w:rsidR="00057286"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00057286" w:rsidRPr="00154BF9">
              <w:rPr>
                <w:rFonts w:ascii="Times New Roman" w:eastAsia="Times New Roman" w:hAnsi="Times New Roman" w:cs="Times New Roman"/>
                <w:sz w:val="20"/>
                <w:szCs w:val="20"/>
                <w:lang w:eastAsia="pl-PL"/>
              </w:rPr>
              <w:t>postaci</w:t>
            </w:r>
            <w:r w:rsidR="0052643B" w:rsidRPr="00154BF9">
              <w:rPr>
                <w:rFonts w:ascii="Times New Roman" w:eastAsia="Times New Roman" w:hAnsi="Times New Roman" w:cs="Times New Roman"/>
                <w:sz w:val="20"/>
                <w:szCs w:val="20"/>
                <w:lang w:eastAsia="pl-PL"/>
              </w:rPr>
              <w:t xml:space="preserve"> </w:t>
            </w:r>
            <w:r w:rsidR="00057286" w:rsidRPr="00154BF9">
              <w:rPr>
                <w:rFonts w:ascii="Times New Roman" w:eastAsia="Times New Roman" w:hAnsi="Times New Roman" w:cs="Times New Roman"/>
                <w:sz w:val="20"/>
                <w:szCs w:val="20"/>
                <w:lang w:eastAsia="pl-PL"/>
              </w:rPr>
              <w:t>dożylnej</w:t>
            </w:r>
            <w:r w:rsidR="00AB1012">
              <w:rPr>
                <w:rFonts w:ascii="Times New Roman" w:eastAsia="Times New Roman" w:hAnsi="Times New Roman" w:cs="Times New Roman"/>
                <w:sz w:val="20"/>
                <w:szCs w:val="20"/>
                <w:lang w:eastAsia="pl-PL"/>
              </w:rPr>
              <w:t>,</w:t>
            </w:r>
            <w:r w:rsidR="00494A5E">
              <w:rPr>
                <w:rFonts w:ascii="Times New Roman" w:eastAsia="Times New Roman" w:hAnsi="Times New Roman" w:cs="Times New Roman"/>
                <w:sz w:val="20"/>
                <w:szCs w:val="20"/>
                <w:lang w:eastAsia="pl-PL"/>
              </w:rPr>
              <w:t xml:space="preserve"> </w:t>
            </w:r>
            <w:r w:rsidR="00CC1E78" w:rsidRPr="00154BF9">
              <w:rPr>
                <w:rFonts w:ascii="Times New Roman" w:eastAsia="Times New Roman" w:hAnsi="Times New Roman" w:cs="Times New Roman"/>
                <w:sz w:val="20"/>
                <w:szCs w:val="20"/>
                <w:lang w:eastAsia="pl-PL"/>
              </w:rPr>
              <w:t>anakinry</w:t>
            </w:r>
            <w:r w:rsidR="00D92C20">
              <w:rPr>
                <w:rFonts w:ascii="Times New Roman" w:eastAsia="Times New Roman" w:hAnsi="Times New Roman" w:cs="Times New Roman"/>
                <w:sz w:val="20"/>
                <w:szCs w:val="20"/>
                <w:lang w:eastAsia="pl-PL"/>
              </w:rPr>
              <w:t xml:space="preserve">, </w:t>
            </w:r>
            <w:r w:rsidR="00AB1012">
              <w:rPr>
                <w:rFonts w:ascii="Times New Roman" w:eastAsia="Times New Roman" w:hAnsi="Times New Roman" w:cs="Times New Roman"/>
                <w:sz w:val="20"/>
                <w:szCs w:val="20"/>
                <w:lang w:eastAsia="pl-PL"/>
              </w:rPr>
              <w:t xml:space="preserve">tofacytynibu </w:t>
            </w:r>
            <w:r w:rsidR="00D92C20" w:rsidRPr="00D92C20">
              <w:rPr>
                <w:rFonts w:ascii="Times New Roman" w:eastAsia="Times New Roman" w:hAnsi="Times New Roman" w:cs="Times New Roman"/>
                <w:sz w:val="20"/>
                <w:szCs w:val="20"/>
                <w:lang w:eastAsia="pl-PL"/>
              </w:rPr>
              <w:t>i kanakinumab</w:t>
            </w:r>
            <w:r w:rsidR="00D92C20">
              <w:rPr>
                <w:rFonts w:ascii="Times New Roman" w:eastAsia="Times New Roman" w:hAnsi="Times New Roman" w:cs="Times New Roman"/>
                <w:sz w:val="20"/>
                <w:szCs w:val="20"/>
                <w:lang w:eastAsia="pl-PL"/>
              </w:rPr>
              <w:t>u</w:t>
            </w:r>
            <w:r w:rsidR="00D92C20" w:rsidRPr="00D92C20">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innym,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wymienionym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programie</w:t>
            </w:r>
            <w:r w:rsidR="0052643B" w:rsidRPr="00154BF9">
              <w:rPr>
                <w:rFonts w:ascii="Times New Roman" w:eastAsia="Times New Roman" w:hAnsi="Times New Roman" w:cs="Times New Roman"/>
                <w:sz w:val="20"/>
                <w:szCs w:val="20"/>
                <w:lang w:eastAsia="pl-PL"/>
              </w:rPr>
              <w:t xml:space="preserve"> </w:t>
            </w:r>
            <w:r w:rsidR="00D92C20">
              <w:rPr>
                <w:rFonts w:ascii="Times New Roman" w:eastAsia="Times New Roman" w:hAnsi="Times New Roman" w:cs="Times New Roman"/>
                <w:sz w:val="20"/>
                <w:szCs w:val="20"/>
                <w:lang w:eastAsia="pl-PL"/>
              </w:rPr>
              <w:t xml:space="preserve">klasycznym </w:t>
            </w:r>
            <w:r w:rsidRPr="00154BF9">
              <w:rPr>
                <w:rFonts w:ascii="Times New Roman" w:eastAsia="Times New Roman" w:hAnsi="Times New Roman" w:cs="Times New Roman"/>
                <w:sz w:val="20"/>
                <w:szCs w:val="20"/>
                <w:lang w:eastAsia="pl-PL"/>
              </w:rPr>
              <w:t>lekiem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modyfikującym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przebieg</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choroby/immunosupresyjnym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494A5E">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obowiązującej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dawce.</w:t>
            </w:r>
          </w:p>
          <w:p w14:paraId="227D8D99" w14:textId="73339465" w:rsidR="0029198D" w:rsidRPr="00154BF9" w:rsidRDefault="0029198D" w:rsidP="00127ABF">
            <w:pPr>
              <w:autoSpaceDE w:val="0"/>
              <w:autoSpaceDN w:val="0"/>
              <w:adjustRightInd w:val="0"/>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 xml:space="preserve">Pacjent odbywa w ośrodku minimum trzy wizyty monitorujące (z wynikami badań i oceną efektywności leczenia) od początku leczenia. Po </w:t>
            </w:r>
            <w:r w:rsidRPr="00154BF9">
              <w:rPr>
                <w:rFonts w:ascii="Times New Roman" w:eastAsia="Times New Roman" w:hAnsi="Times New Roman" w:cs="Times New Roman"/>
                <w:sz w:val="20"/>
                <w:szCs w:val="20"/>
                <w:lang w:eastAsia="pl-PL"/>
              </w:rPr>
              <w:lastRenderedPageBreak/>
              <w:t>uzyskaniu celu leczenia (niskiej aktywności lub remisji) i utrzymywania się tego stanu minimum 6 miesięcy możliwe jest wydawanie leku do kolejnej wizyty monitorującej. Leczenie może być kontynuowane w warunkach domowych, jeśli lekarz i pacjent uznają to za właściwe.</w:t>
            </w:r>
          </w:p>
          <w:p w14:paraId="3AC9B528" w14:textId="1BC812CA" w:rsidR="0029198D" w:rsidRPr="00154BF9" w:rsidRDefault="0029198D" w:rsidP="00127ABF">
            <w:pPr>
              <w:autoSpaceDE w:val="0"/>
              <w:autoSpaceDN w:val="0"/>
              <w:adjustRightInd w:val="0"/>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Na pierwszej wizycie z podaniem leku w ośrodku pacjent lub opiekunowie prawni pacjenta otrzymują wyczerpującą informację na temat techniki podawania leków stosowanych pozajelitowo oraz potencjalnych objawach niepożądanych związanych ze stosowanym leczeniem.</w:t>
            </w:r>
          </w:p>
          <w:p w14:paraId="53B37C14" w14:textId="345255CE" w:rsidR="009D7AE1" w:rsidRPr="00154BF9" w:rsidRDefault="0029198D" w:rsidP="00127ABF">
            <w:pPr>
              <w:autoSpaceDE w:val="0"/>
              <w:autoSpaceDN w:val="0"/>
              <w:adjustRightInd w:val="0"/>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Pacjent otrzymuje leki dla celów terapii domowej w ośrodku prowadzącym terapię w programie lekowym danego pacjenta na okres pomiędzy wizytami w ośrodku.</w:t>
            </w:r>
          </w:p>
        </w:tc>
        <w:tc>
          <w:tcPr>
            <w:tcW w:w="4295" w:type="dxa"/>
            <w:tcBorders>
              <w:top w:val="single" w:sz="4" w:space="0" w:color="auto"/>
              <w:bottom w:val="single" w:sz="4" w:space="0" w:color="auto"/>
              <w:right w:val="single" w:sz="4" w:space="0" w:color="auto"/>
            </w:tcBorders>
          </w:tcPr>
          <w:p w14:paraId="27ABEABA" w14:textId="3A0E549F" w:rsidR="009D7AE1" w:rsidRPr="00154BF9" w:rsidRDefault="00417414" w:rsidP="0052643B">
            <w:pPr>
              <w:widowControl w:val="0"/>
              <w:numPr>
                <w:ilvl w:val="0"/>
                <w:numId w:val="24"/>
              </w:numPr>
              <w:autoSpaceDE w:val="0"/>
              <w:autoSpaceDN w:val="0"/>
              <w:adjustRightInd w:val="0"/>
              <w:spacing w:before="120"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b/>
                <w:sz w:val="20"/>
                <w:szCs w:val="20"/>
                <w:lang w:eastAsia="pl-PL"/>
              </w:rPr>
              <w:lastRenderedPageBreak/>
              <w:t>Badania</w:t>
            </w:r>
            <w:r w:rsidR="0052643B" w:rsidRPr="00154BF9">
              <w:rPr>
                <w:rFonts w:ascii="Times New Roman" w:eastAsia="Times New Roman" w:hAnsi="Times New Roman" w:cs="Times New Roman"/>
                <w:b/>
                <w:sz w:val="20"/>
                <w:szCs w:val="20"/>
                <w:lang w:eastAsia="pl-PL"/>
              </w:rPr>
              <w:t xml:space="preserve"> </w:t>
            </w:r>
            <w:r w:rsidRPr="00154BF9">
              <w:rPr>
                <w:rFonts w:ascii="Times New Roman" w:eastAsia="Times New Roman" w:hAnsi="Times New Roman" w:cs="Times New Roman"/>
                <w:b/>
                <w:sz w:val="20"/>
                <w:szCs w:val="20"/>
                <w:lang w:eastAsia="pl-PL"/>
              </w:rPr>
              <w:t>przy</w:t>
            </w:r>
            <w:r w:rsidR="0052643B" w:rsidRPr="00154BF9">
              <w:rPr>
                <w:rFonts w:ascii="Times New Roman" w:eastAsia="Times New Roman" w:hAnsi="Times New Roman" w:cs="Times New Roman"/>
                <w:b/>
                <w:sz w:val="20"/>
                <w:szCs w:val="20"/>
                <w:lang w:eastAsia="pl-PL"/>
              </w:rPr>
              <w:t xml:space="preserve"> </w:t>
            </w:r>
            <w:r w:rsidR="009D7AE1" w:rsidRPr="00154BF9">
              <w:rPr>
                <w:rFonts w:ascii="Times New Roman" w:eastAsia="Times New Roman" w:hAnsi="Times New Roman" w:cs="Times New Roman"/>
                <w:b/>
                <w:sz w:val="20"/>
                <w:szCs w:val="20"/>
                <w:lang w:eastAsia="pl-PL"/>
              </w:rPr>
              <w:t>kwalifikacji</w:t>
            </w:r>
            <w:r w:rsidR="0052643B" w:rsidRPr="00154BF9">
              <w:rPr>
                <w:rFonts w:ascii="Times New Roman" w:eastAsia="Times New Roman" w:hAnsi="Times New Roman" w:cs="Times New Roman"/>
                <w:b/>
                <w:sz w:val="20"/>
                <w:szCs w:val="20"/>
                <w:lang w:eastAsia="pl-PL"/>
              </w:rPr>
              <w:t xml:space="preserve"> </w:t>
            </w:r>
            <w:r w:rsidR="009D7AE1" w:rsidRPr="00154BF9">
              <w:rPr>
                <w:rFonts w:ascii="Times New Roman" w:eastAsia="Times New Roman" w:hAnsi="Times New Roman" w:cs="Times New Roman"/>
                <w:b/>
                <w:sz w:val="20"/>
                <w:szCs w:val="20"/>
                <w:lang w:eastAsia="pl-PL"/>
              </w:rPr>
              <w:t>do</w:t>
            </w:r>
            <w:r w:rsidR="0052643B" w:rsidRPr="00154BF9">
              <w:rPr>
                <w:rFonts w:ascii="Times New Roman" w:eastAsia="Times New Roman" w:hAnsi="Times New Roman" w:cs="Times New Roman"/>
                <w:b/>
                <w:sz w:val="20"/>
                <w:szCs w:val="20"/>
                <w:lang w:eastAsia="pl-PL"/>
              </w:rPr>
              <w:t xml:space="preserve"> </w:t>
            </w:r>
            <w:r w:rsidR="009D7AE1" w:rsidRPr="00154BF9">
              <w:rPr>
                <w:rFonts w:ascii="Times New Roman" w:eastAsia="Times New Roman" w:hAnsi="Times New Roman" w:cs="Times New Roman"/>
                <w:b/>
                <w:sz w:val="20"/>
                <w:szCs w:val="20"/>
                <w:lang w:eastAsia="pl-PL"/>
              </w:rPr>
              <w:t>programu</w:t>
            </w:r>
          </w:p>
          <w:p w14:paraId="0958A4C9" w14:textId="0F8C501E" w:rsidR="009D7AE1" w:rsidRPr="00154BF9" w:rsidRDefault="009D7AE1" w:rsidP="00127ABF">
            <w:pPr>
              <w:numPr>
                <w:ilvl w:val="3"/>
                <w:numId w:val="24"/>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próba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tuberkulinowa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test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Quantiferon;</w:t>
            </w:r>
          </w:p>
          <w:p w14:paraId="28B663E0" w14:textId="36DA7AA6" w:rsidR="009D7AE1" w:rsidRPr="00154BF9" w:rsidRDefault="009D7AE1" w:rsidP="00127ABF">
            <w:pPr>
              <w:numPr>
                <w:ilvl w:val="3"/>
                <w:numId w:val="24"/>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obecność</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antygenu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HBs;</w:t>
            </w:r>
          </w:p>
          <w:p w14:paraId="7B45B5C3" w14:textId="314DCB26" w:rsidR="00813190" w:rsidRPr="00154BF9" w:rsidRDefault="00813190" w:rsidP="00127ABF">
            <w:pPr>
              <w:pStyle w:val="Akapitzlist"/>
              <w:numPr>
                <w:ilvl w:val="3"/>
                <w:numId w:val="24"/>
              </w:numPr>
              <w:spacing w:after="60" w:line="276" w:lineRule="auto"/>
              <w:contextualSpacing w:val="0"/>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przeciwciała anty-HBc;</w:t>
            </w:r>
          </w:p>
          <w:p w14:paraId="78224C55" w14:textId="732A2E31" w:rsidR="009D7AE1" w:rsidRPr="00154BF9" w:rsidRDefault="009D7AE1" w:rsidP="00127ABF">
            <w:pPr>
              <w:numPr>
                <w:ilvl w:val="3"/>
                <w:numId w:val="24"/>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przeciwciała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anty-HCV;</w:t>
            </w:r>
          </w:p>
          <w:p w14:paraId="56D74F6A" w14:textId="2C2D0331" w:rsidR="009D7AE1" w:rsidRPr="00154BF9" w:rsidRDefault="009D7AE1" w:rsidP="00127ABF">
            <w:pPr>
              <w:numPr>
                <w:ilvl w:val="3"/>
                <w:numId w:val="24"/>
              </w:numPr>
              <w:spacing w:after="60" w:line="276" w:lineRule="auto"/>
              <w:jc w:val="both"/>
              <w:rPr>
                <w:rFonts w:ascii="Times New Roman" w:eastAsia="Times New Roman" w:hAnsi="Times New Roman" w:cs="Times New Roman"/>
                <w:sz w:val="20"/>
                <w:szCs w:val="20"/>
                <w:lang w:val="de-DE" w:eastAsia="pl-PL"/>
              </w:rPr>
            </w:pPr>
            <w:r w:rsidRPr="00154BF9">
              <w:rPr>
                <w:rFonts w:ascii="Times New Roman" w:eastAsia="Times New Roman" w:hAnsi="Times New Roman" w:cs="Times New Roman"/>
                <w:sz w:val="20"/>
                <w:szCs w:val="20"/>
                <w:lang w:val="en-US" w:eastAsia="pl-PL"/>
              </w:rPr>
              <w:t>antygen</w:t>
            </w:r>
            <w:r w:rsidR="0052643B" w:rsidRPr="00154BF9">
              <w:rPr>
                <w:rFonts w:ascii="Times New Roman" w:eastAsia="Times New Roman" w:hAnsi="Times New Roman" w:cs="Times New Roman"/>
                <w:sz w:val="20"/>
                <w:szCs w:val="20"/>
                <w:lang w:val="de-DE" w:eastAsia="pl-PL"/>
              </w:rPr>
              <w:t xml:space="preserve"> </w:t>
            </w:r>
            <w:r w:rsidRPr="00154BF9">
              <w:rPr>
                <w:rFonts w:ascii="Times New Roman" w:eastAsia="Times New Roman" w:hAnsi="Times New Roman" w:cs="Times New Roman"/>
                <w:sz w:val="20"/>
                <w:szCs w:val="20"/>
                <w:lang w:val="en-US" w:eastAsia="pl-PL"/>
              </w:rPr>
              <w:t>wirusa</w:t>
            </w:r>
            <w:r w:rsidR="0052643B" w:rsidRPr="00154BF9">
              <w:rPr>
                <w:rFonts w:ascii="Times New Roman" w:eastAsia="Times New Roman" w:hAnsi="Times New Roman" w:cs="Times New Roman"/>
                <w:sz w:val="20"/>
                <w:szCs w:val="20"/>
                <w:lang w:val="de-DE" w:eastAsia="pl-PL"/>
              </w:rPr>
              <w:t xml:space="preserve"> </w:t>
            </w:r>
            <w:r w:rsidRPr="00154BF9">
              <w:rPr>
                <w:rFonts w:ascii="Times New Roman" w:eastAsia="Times New Roman" w:hAnsi="Times New Roman" w:cs="Times New Roman"/>
                <w:sz w:val="20"/>
                <w:szCs w:val="20"/>
                <w:lang w:val="de-DE" w:eastAsia="pl-PL"/>
              </w:rPr>
              <w:t>HIV</w:t>
            </w:r>
            <w:r w:rsidR="0052643B" w:rsidRPr="00154BF9">
              <w:rPr>
                <w:rFonts w:ascii="Times New Roman" w:eastAsia="Times New Roman" w:hAnsi="Times New Roman" w:cs="Times New Roman"/>
                <w:sz w:val="20"/>
                <w:szCs w:val="20"/>
                <w:lang w:val="de-DE" w:eastAsia="pl-PL"/>
              </w:rPr>
              <w:t xml:space="preserve"> </w:t>
            </w:r>
            <w:r w:rsidRPr="00154BF9">
              <w:rPr>
                <w:rFonts w:ascii="Times New Roman" w:eastAsia="Times New Roman" w:hAnsi="Times New Roman" w:cs="Times New Roman"/>
                <w:sz w:val="20"/>
                <w:szCs w:val="20"/>
                <w:lang w:val="de-DE" w:eastAsia="pl-PL"/>
              </w:rPr>
              <w:t>(HIV</w:t>
            </w:r>
            <w:r w:rsidR="0052643B" w:rsidRPr="00154BF9">
              <w:rPr>
                <w:rFonts w:ascii="Times New Roman" w:eastAsia="Times New Roman" w:hAnsi="Times New Roman" w:cs="Times New Roman"/>
                <w:sz w:val="20"/>
                <w:szCs w:val="20"/>
                <w:lang w:val="de-DE" w:eastAsia="pl-PL"/>
              </w:rPr>
              <w:t xml:space="preserve"> </w:t>
            </w:r>
            <w:r w:rsidRPr="00154BF9">
              <w:rPr>
                <w:rFonts w:ascii="Times New Roman" w:eastAsia="Times New Roman" w:hAnsi="Times New Roman" w:cs="Times New Roman"/>
                <w:sz w:val="20"/>
                <w:szCs w:val="20"/>
                <w:lang w:val="de-DE" w:eastAsia="pl-PL"/>
              </w:rPr>
              <w:t>Ag/Ab</w:t>
            </w:r>
            <w:r w:rsidR="0052643B" w:rsidRPr="00154BF9">
              <w:rPr>
                <w:rFonts w:ascii="Times New Roman" w:eastAsia="Times New Roman" w:hAnsi="Times New Roman" w:cs="Times New Roman"/>
                <w:sz w:val="20"/>
                <w:szCs w:val="20"/>
                <w:lang w:val="de-DE" w:eastAsia="pl-PL"/>
              </w:rPr>
              <w:t xml:space="preserve"> </w:t>
            </w:r>
            <w:r w:rsidRPr="00154BF9">
              <w:rPr>
                <w:rFonts w:ascii="Times New Roman" w:eastAsia="Times New Roman" w:hAnsi="Times New Roman" w:cs="Times New Roman"/>
                <w:sz w:val="20"/>
                <w:szCs w:val="20"/>
                <w:lang w:val="de-DE" w:eastAsia="pl-PL"/>
              </w:rPr>
              <w:t>Combo);</w:t>
            </w:r>
          </w:p>
          <w:p w14:paraId="1D0E7D23" w14:textId="5B2CCE5E" w:rsidR="009D7AE1" w:rsidRPr="00154BF9" w:rsidRDefault="009D7AE1" w:rsidP="00127ABF">
            <w:pPr>
              <w:numPr>
                <w:ilvl w:val="3"/>
                <w:numId w:val="24"/>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RTG</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klatki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piersiowej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opisem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(maksymalnie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6</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miesięcy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przed</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kwalifikacją);</w:t>
            </w:r>
          </w:p>
          <w:p w14:paraId="4FE36335" w14:textId="12E68B95" w:rsidR="004144A9" w:rsidRPr="00154BF9" w:rsidRDefault="009D7AE1" w:rsidP="00127ABF">
            <w:pPr>
              <w:numPr>
                <w:ilvl w:val="3"/>
                <w:numId w:val="24"/>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EKG</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opisem</w:t>
            </w:r>
            <w:r w:rsidR="006C3A73">
              <w:rPr>
                <w:rFonts w:ascii="Times New Roman" w:eastAsia="Times New Roman" w:hAnsi="Times New Roman" w:cs="Times New Roman"/>
                <w:sz w:val="20"/>
                <w:szCs w:val="20"/>
                <w:lang w:eastAsia="pl-PL"/>
              </w:rPr>
              <w:t>;</w:t>
            </w:r>
          </w:p>
          <w:p w14:paraId="6161CAA2" w14:textId="1859AA85" w:rsidR="004144A9" w:rsidRPr="00154BF9" w:rsidRDefault="009D7AE1" w:rsidP="00127ABF">
            <w:pPr>
              <w:numPr>
                <w:ilvl w:val="3"/>
                <w:numId w:val="24"/>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morfologia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krwi,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przypadku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kwalifikowania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terapii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tocilizumabem</w:t>
            </w:r>
            <w:r w:rsidR="0052643B" w:rsidRPr="00154BF9">
              <w:rPr>
                <w:rFonts w:ascii="Times New Roman" w:eastAsia="Times New Roman" w:hAnsi="Times New Roman" w:cs="Times New Roman"/>
                <w:sz w:val="20"/>
                <w:szCs w:val="20"/>
                <w:lang w:eastAsia="pl-PL"/>
              </w:rPr>
              <w:t xml:space="preserve"> </w:t>
            </w:r>
            <w:r w:rsidR="00057286"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00057286" w:rsidRPr="00154BF9">
              <w:rPr>
                <w:rFonts w:ascii="Times New Roman" w:eastAsia="Times New Roman" w:hAnsi="Times New Roman" w:cs="Times New Roman"/>
                <w:sz w:val="20"/>
                <w:szCs w:val="20"/>
                <w:lang w:eastAsia="pl-PL"/>
              </w:rPr>
              <w:t>postaci</w:t>
            </w:r>
            <w:r w:rsidR="0052643B" w:rsidRPr="00154BF9">
              <w:rPr>
                <w:rFonts w:ascii="Times New Roman" w:eastAsia="Times New Roman" w:hAnsi="Times New Roman" w:cs="Times New Roman"/>
                <w:sz w:val="20"/>
                <w:szCs w:val="20"/>
                <w:lang w:eastAsia="pl-PL"/>
              </w:rPr>
              <w:t xml:space="preserve"> </w:t>
            </w:r>
            <w:r w:rsidR="00057286" w:rsidRPr="00154BF9">
              <w:rPr>
                <w:rFonts w:ascii="Times New Roman" w:eastAsia="Times New Roman" w:hAnsi="Times New Roman" w:cs="Times New Roman"/>
                <w:sz w:val="20"/>
                <w:szCs w:val="20"/>
                <w:lang w:eastAsia="pl-PL"/>
              </w:rPr>
              <w:t>dożylnej</w:t>
            </w:r>
            <w:r w:rsidR="00D04863">
              <w:rPr>
                <w:rFonts w:ascii="Times New Roman" w:eastAsia="Times New Roman" w:hAnsi="Times New Roman" w:cs="Times New Roman"/>
                <w:sz w:val="20"/>
                <w:szCs w:val="20"/>
                <w:lang w:eastAsia="pl-PL"/>
              </w:rPr>
              <w:t>,</w:t>
            </w:r>
            <w:r w:rsidR="00DE7A19">
              <w:rPr>
                <w:rFonts w:ascii="Times New Roman" w:eastAsia="Times New Roman" w:hAnsi="Times New Roman" w:cs="Times New Roman"/>
                <w:sz w:val="20"/>
                <w:szCs w:val="20"/>
                <w:lang w:eastAsia="pl-PL"/>
              </w:rPr>
              <w:t xml:space="preserve"> </w:t>
            </w:r>
            <w:r w:rsidR="00966003" w:rsidRPr="00154BF9">
              <w:rPr>
                <w:rFonts w:ascii="Times New Roman" w:eastAsia="Times New Roman" w:hAnsi="Times New Roman" w:cs="Times New Roman"/>
                <w:sz w:val="20"/>
                <w:szCs w:val="20"/>
                <w:lang w:eastAsia="pl-PL"/>
              </w:rPr>
              <w:t>anakinrą</w:t>
            </w:r>
            <w:r w:rsidR="00D92C20">
              <w:rPr>
                <w:rFonts w:ascii="Times New Roman" w:eastAsia="Times New Roman" w:hAnsi="Times New Roman" w:cs="Times New Roman"/>
                <w:sz w:val="20"/>
                <w:szCs w:val="20"/>
                <w:lang w:eastAsia="pl-PL"/>
              </w:rPr>
              <w:t xml:space="preserve">, </w:t>
            </w:r>
            <w:r w:rsidR="00D04863">
              <w:rPr>
                <w:rFonts w:ascii="Times New Roman" w:eastAsia="Times New Roman" w:hAnsi="Times New Roman" w:cs="Times New Roman"/>
                <w:sz w:val="20"/>
                <w:szCs w:val="20"/>
                <w:lang w:eastAsia="pl-PL"/>
              </w:rPr>
              <w:t>tofacytynibem</w:t>
            </w:r>
            <w:r w:rsidR="0052643B" w:rsidRPr="00154BF9">
              <w:rPr>
                <w:rFonts w:ascii="Times New Roman" w:eastAsia="Times New Roman" w:hAnsi="Times New Roman" w:cs="Times New Roman"/>
                <w:sz w:val="20"/>
                <w:szCs w:val="20"/>
                <w:lang w:eastAsia="pl-PL"/>
              </w:rPr>
              <w:t xml:space="preserve"> </w:t>
            </w:r>
            <w:r w:rsidR="00D92C20">
              <w:t xml:space="preserve"> </w:t>
            </w:r>
            <w:r w:rsidR="00D92C20" w:rsidRPr="00D92C20">
              <w:rPr>
                <w:rFonts w:ascii="Times New Roman" w:eastAsia="Times New Roman" w:hAnsi="Times New Roman" w:cs="Times New Roman"/>
                <w:sz w:val="20"/>
                <w:szCs w:val="20"/>
                <w:lang w:eastAsia="pl-PL"/>
              </w:rPr>
              <w:t xml:space="preserve">lub kanakinumabem </w:t>
            </w:r>
            <w:r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morfologia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krwi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rozmazem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oraz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oznaczeniem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bezwzględnej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liczby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granulocytów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obojętnochłonnych;</w:t>
            </w:r>
          </w:p>
          <w:p w14:paraId="32D05BAB" w14:textId="77777777" w:rsidR="00A60E43" w:rsidRPr="00154BF9" w:rsidRDefault="00A60E43" w:rsidP="00127ABF">
            <w:pPr>
              <w:pStyle w:val="Akapitzlist"/>
              <w:numPr>
                <w:ilvl w:val="3"/>
                <w:numId w:val="24"/>
              </w:numPr>
              <w:spacing w:after="60" w:line="276" w:lineRule="auto"/>
              <w:contextualSpacing w:val="0"/>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oznaczenie płytek krwi (PLT);</w:t>
            </w:r>
          </w:p>
          <w:p w14:paraId="4B869875" w14:textId="77777777" w:rsidR="007C7543" w:rsidRPr="00154BF9" w:rsidRDefault="007C7543" w:rsidP="00127ABF">
            <w:pPr>
              <w:pStyle w:val="Akapitzlist"/>
              <w:numPr>
                <w:ilvl w:val="3"/>
                <w:numId w:val="24"/>
              </w:numPr>
              <w:spacing w:after="60" w:line="276" w:lineRule="auto"/>
              <w:contextualSpacing w:val="0"/>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oznaczenie wartości odczynu Biernackiego (OB);</w:t>
            </w:r>
          </w:p>
          <w:p w14:paraId="4154BDD9" w14:textId="77777777" w:rsidR="007C7543" w:rsidRPr="00154BF9" w:rsidRDefault="007C7543" w:rsidP="00127ABF">
            <w:pPr>
              <w:pStyle w:val="Akapitzlist"/>
              <w:numPr>
                <w:ilvl w:val="3"/>
                <w:numId w:val="24"/>
              </w:numPr>
              <w:spacing w:after="60" w:line="276" w:lineRule="auto"/>
              <w:contextualSpacing w:val="0"/>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oznaczenie stężenia białka C-reaktywnego (CRP);</w:t>
            </w:r>
          </w:p>
          <w:p w14:paraId="68E664AF" w14:textId="77777777" w:rsidR="00A60E43" w:rsidRPr="00154BF9" w:rsidRDefault="00A60E43" w:rsidP="00127ABF">
            <w:pPr>
              <w:pStyle w:val="Akapitzlist"/>
              <w:numPr>
                <w:ilvl w:val="3"/>
                <w:numId w:val="24"/>
              </w:numPr>
              <w:spacing w:after="60" w:line="276" w:lineRule="auto"/>
              <w:contextualSpacing w:val="0"/>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oznaczenie stężenia kreatyniny w surowicy krwi;</w:t>
            </w:r>
          </w:p>
          <w:p w14:paraId="7787C73A" w14:textId="77777777" w:rsidR="00A60E43" w:rsidRPr="00154BF9" w:rsidRDefault="00A60E43" w:rsidP="00127ABF">
            <w:pPr>
              <w:pStyle w:val="Akapitzlist"/>
              <w:numPr>
                <w:ilvl w:val="3"/>
                <w:numId w:val="24"/>
              </w:numPr>
              <w:spacing w:after="60" w:line="276" w:lineRule="auto"/>
              <w:contextualSpacing w:val="0"/>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oznaczenie aktywności aminotransferazy asparaginianowej (AST);</w:t>
            </w:r>
          </w:p>
          <w:p w14:paraId="47C6EE15" w14:textId="77777777" w:rsidR="00A60E43" w:rsidRPr="00154BF9" w:rsidRDefault="00A60E43" w:rsidP="00127ABF">
            <w:pPr>
              <w:pStyle w:val="Akapitzlist"/>
              <w:numPr>
                <w:ilvl w:val="3"/>
                <w:numId w:val="24"/>
              </w:numPr>
              <w:spacing w:after="60" w:line="276" w:lineRule="auto"/>
              <w:contextualSpacing w:val="0"/>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oznaczenie aktywności aminotransferazy alaninowej (ALT);</w:t>
            </w:r>
          </w:p>
          <w:p w14:paraId="597939EC" w14:textId="180ACD33" w:rsidR="004144A9" w:rsidRPr="00154BF9" w:rsidRDefault="009D7AE1" w:rsidP="00127ABF">
            <w:pPr>
              <w:numPr>
                <w:ilvl w:val="3"/>
                <w:numId w:val="24"/>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lastRenderedPageBreak/>
              <w:t>badanie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ogólne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moczu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decyzji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lekarza);</w:t>
            </w:r>
          </w:p>
          <w:p w14:paraId="1AAFF724" w14:textId="3A1D3483" w:rsidR="009D7AE1" w:rsidRPr="00154BF9" w:rsidRDefault="00A60E43" w:rsidP="00127ABF">
            <w:pPr>
              <w:numPr>
                <w:ilvl w:val="3"/>
                <w:numId w:val="24"/>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 xml:space="preserve">oznaczenie </w:t>
            </w:r>
            <w:r w:rsidR="009D7AE1" w:rsidRPr="00154BF9">
              <w:rPr>
                <w:rFonts w:ascii="Times New Roman" w:eastAsia="Times New Roman" w:hAnsi="Times New Roman" w:cs="Times New Roman"/>
                <w:sz w:val="20"/>
                <w:szCs w:val="20"/>
                <w:lang w:eastAsia="pl-PL"/>
              </w:rPr>
              <w:t>stężeni</w:t>
            </w:r>
            <w:r w:rsidRPr="00154BF9">
              <w:rPr>
                <w:rFonts w:ascii="Times New Roman" w:eastAsia="Times New Roman" w:hAnsi="Times New Roman" w:cs="Times New Roman"/>
                <w:sz w:val="20"/>
                <w:szCs w:val="20"/>
                <w:lang w:eastAsia="pl-PL"/>
              </w:rPr>
              <w:t>a</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cholesterolu</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całkowitego,</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LDL,</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HDL,</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trójglicerydów</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u</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pacjentów</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kwalifikowanych</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leczenia</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tocilizumabem</w:t>
            </w:r>
            <w:r w:rsidR="0052643B" w:rsidRPr="00154BF9">
              <w:rPr>
                <w:rFonts w:ascii="Times New Roman" w:eastAsia="Times New Roman" w:hAnsi="Times New Roman" w:cs="Times New Roman"/>
                <w:sz w:val="20"/>
                <w:szCs w:val="20"/>
                <w:lang w:eastAsia="pl-PL"/>
              </w:rPr>
              <w:t xml:space="preserve"> </w:t>
            </w:r>
            <w:r w:rsidR="00057286"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00057286" w:rsidRPr="00154BF9">
              <w:rPr>
                <w:rFonts w:ascii="Times New Roman" w:eastAsia="Times New Roman" w:hAnsi="Times New Roman" w:cs="Times New Roman"/>
                <w:sz w:val="20"/>
                <w:szCs w:val="20"/>
                <w:lang w:eastAsia="pl-PL"/>
              </w:rPr>
              <w:t>postaci</w:t>
            </w:r>
            <w:r w:rsidR="0052643B" w:rsidRPr="00154BF9">
              <w:rPr>
                <w:rFonts w:ascii="Times New Roman" w:eastAsia="Times New Roman" w:hAnsi="Times New Roman" w:cs="Times New Roman"/>
                <w:sz w:val="20"/>
                <w:szCs w:val="20"/>
                <w:lang w:eastAsia="pl-PL"/>
              </w:rPr>
              <w:t xml:space="preserve"> </w:t>
            </w:r>
            <w:r w:rsidR="00057286" w:rsidRPr="00154BF9">
              <w:rPr>
                <w:rFonts w:ascii="Times New Roman" w:eastAsia="Times New Roman" w:hAnsi="Times New Roman" w:cs="Times New Roman"/>
                <w:sz w:val="20"/>
                <w:szCs w:val="20"/>
                <w:lang w:eastAsia="pl-PL"/>
              </w:rPr>
              <w:t>dożylnej</w:t>
            </w:r>
            <w:r w:rsidR="00D04863">
              <w:rPr>
                <w:rFonts w:ascii="Times New Roman" w:eastAsia="Times New Roman" w:hAnsi="Times New Roman" w:cs="Times New Roman"/>
                <w:sz w:val="20"/>
                <w:szCs w:val="20"/>
                <w:lang w:eastAsia="pl-PL"/>
              </w:rPr>
              <w:t xml:space="preserve"> lub tofacytynibem</w:t>
            </w:r>
            <w:r w:rsidR="009D7AE1" w:rsidRPr="00154BF9">
              <w:rPr>
                <w:rFonts w:ascii="Times New Roman" w:eastAsia="Times New Roman" w:hAnsi="Times New Roman" w:cs="Times New Roman"/>
                <w:sz w:val="20"/>
                <w:szCs w:val="20"/>
                <w:lang w:eastAsia="pl-PL"/>
              </w:rPr>
              <w:t>.</w:t>
            </w:r>
          </w:p>
          <w:p w14:paraId="6BA8E2D6" w14:textId="77777777" w:rsidR="009D7AE1" w:rsidRPr="00154BF9" w:rsidRDefault="009D7AE1" w:rsidP="00127ABF">
            <w:pPr>
              <w:spacing w:after="60" w:line="276" w:lineRule="auto"/>
              <w:ind w:left="357"/>
              <w:jc w:val="both"/>
              <w:rPr>
                <w:rFonts w:ascii="Times New Roman" w:eastAsia="Times New Roman" w:hAnsi="Times New Roman" w:cs="Times New Roman"/>
                <w:b/>
                <w:sz w:val="20"/>
                <w:szCs w:val="20"/>
                <w:lang w:eastAsia="pl-PL"/>
              </w:rPr>
            </w:pPr>
          </w:p>
          <w:p w14:paraId="491325E0" w14:textId="5F9DE02C" w:rsidR="009D7AE1" w:rsidRPr="00154BF9" w:rsidRDefault="009D7AE1" w:rsidP="00127ABF">
            <w:pPr>
              <w:widowControl w:val="0"/>
              <w:numPr>
                <w:ilvl w:val="0"/>
                <w:numId w:val="24"/>
              </w:numPr>
              <w:autoSpaceDE w:val="0"/>
              <w:autoSpaceDN w:val="0"/>
              <w:adjustRightInd w:val="0"/>
              <w:spacing w:after="60" w:line="276" w:lineRule="auto"/>
              <w:jc w:val="both"/>
              <w:rPr>
                <w:rFonts w:ascii="Times New Roman" w:eastAsia="Times New Roman" w:hAnsi="Times New Roman" w:cs="Times New Roman"/>
                <w:b/>
                <w:sz w:val="20"/>
                <w:szCs w:val="20"/>
                <w:lang w:eastAsia="pl-PL"/>
              </w:rPr>
            </w:pPr>
            <w:r w:rsidRPr="00154BF9">
              <w:rPr>
                <w:rFonts w:ascii="Times New Roman" w:eastAsia="Times New Roman" w:hAnsi="Times New Roman" w:cs="Times New Roman"/>
                <w:b/>
                <w:sz w:val="20"/>
                <w:szCs w:val="20"/>
                <w:lang w:eastAsia="pl-PL"/>
              </w:rPr>
              <w:t>Monitorowanie</w:t>
            </w:r>
            <w:r w:rsidR="0052643B" w:rsidRPr="00154BF9">
              <w:rPr>
                <w:rFonts w:ascii="Times New Roman" w:eastAsia="Times New Roman" w:hAnsi="Times New Roman" w:cs="Times New Roman"/>
                <w:b/>
                <w:sz w:val="20"/>
                <w:szCs w:val="20"/>
                <w:lang w:eastAsia="pl-PL"/>
              </w:rPr>
              <w:t xml:space="preserve"> </w:t>
            </w:r>
            <w:r w:rsidRPr="00154BF9">
              <w:rPr>
                <w:rFonts w:ascii="Times New Roman" w:eastAsia="Times New Roman" w:hAnsi="Times New Roman" w:cs="Times New Roman"/>
                <w:b/>
                <w:sz w:val="20"/>
                <w:szCs w:val="20"/>
                <w:lang w:eastAsia="pl-PL"/>
              </w:rPr>
              <w:t>leczenia</w:t>
            </w:r>
          </w:p>
          <w:p w14:paraId="7EA0DF35" w14:textId="205F3F31" w:rsidR="009D7AE1" w:rsidRPr="00154BF9" w:rsidRDefault="009D7AE1" w:rsidP="00127ABF">
            <w:pPr>
              <w:widowControl w:val="0"/>
              <w:numPr>
                <w:ilvl w:val="1"/>
                <w:numId w:val="24"/>
              </w:numPr>
              <w:autoSpaceDE w:val="0"/>
              <w:autoSpaceDN w:val="0"/>
              <w:adjustRightInd w:val="0"/>
              <w:spacing w:after="60" w:line="276" w:lineRule="auto"/>
              <w:jc w:val="both"/>
              <w:rPr>
                <w:rFonts w:ascii="Times New Roman" w:eastAsia="Batang" w:hAnsi="Times New Roman" w:cs="Times New Roman"/>
                <w:sz w:val="20"/>
                <w:szCs w:val="20"/>
                <w:lang w:eastAsia="ar-SA"/>
              </w:rPr>
            </w:pP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ciągu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pierwszych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sześciu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miesięcy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terapii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daną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substancją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czynną,</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wymienione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niżej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badania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należy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wykonać</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rzadziej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niż</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co</w:t>
            </w:r>
            <w:r w:rsidR="0052643B" w:rsidRPr="00154BF9">
              <w:rPr>
                <w:rFonts w:ascii="Times New Roman" w:eastAsia="Times New Roman" w:hAnsi="Times New Roman" w:cs="Times New Roman"/>
                <w:sz w:val="20"/>
                <w:szCs w:val="20"/>
                <w:lang w:eastAsia="pl-PL"/>
              </w:rPr>
              <w:t xml:space="preserve"> </w:t>
            </w:r>
            <w:r w:rsidR="00251138" w:rsidRPr="00154BF9">
              <w:rPr>
                <w:rFonts w:ascii="Times New Roman" w:eastAsia="Times New Roman" w:hAnsi="Times New Roman" w:cs="Times New Roman"/>
                <w:sz w:val="20"/>
                <w:szCs w:val="20"/>
                <w:lang w:eastAsia="pl-PL"/>
              </w:rPr>
              <w:t>3</w:t>
            </w:r>
            <w:r w:rsidR="0052643B" w:rsidRPr="00154BF9">
              <w:rPr>
                <w:rFonts w:ascii="Times New Roman" w:eastAsia="Times New Roman" w:hAnsi="Times New Roman" w:cs="Times New Roman"/>
                <w:sz w:val="20"/>
                <w:szCs w:val="20"/>
                <w:lang w:eastAsia="pl-PL"/>
              </w:rPr>
              <w:t xml:space="preserve"> </w:t>
            </w:r>
            <w:r w:rsidR="00251138" w:rsidRPr="00154BF9">
              <w:rPr>
                <w:rFonts w:ascii="Times New Roman" w:eastAsia="Times New Roman" w:hAnsi="Times New Roman" w:cs="Times New Roman"/>
                <w:sz w:val="20"/>
                <w:szCs w:val="20"/>
                <w:lang w:eastAsia="pl-PL"/>
              </w:rPr>
              <w:t>miesiące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t>
            </w:r>
            <w:r w:rsidR="00251138" w:rsidRPr="00154BF9">
              <w:rPr>
                <w:rFonts w:ascii="Times New Roman" w:eastAsia="Times New Roman" w:hAnsi="Times New Roman" w:cs="Times New Roman"/>
                <w:sz w:val="20"/>
                <w:szCs w:val="20"/>
                <w:lang w:eastAsia="pl-PL"/>
              </w:rPr>
              <w:t>1</w:t>
            </w:r>
            <w:r w:rsidR="0052643B" w:rsidRPr="00154BF9">
              <w:rPr>
                <w:rFonts w:ascii="Times New Roman" w:eastAsia="Times New Roman" w:hAnsi="Times New Roman" w:cs="Times New Roman"/>
                <w:sz w:val="20"/>
                <w:szCs w:val="20"/>
                <w:lang w:eastAsia="pl-PL"/>
              </w:rPr>
              <w:t xml:space="preserve"> </w:t>
            </w:r>
            <w:r w:rsidR="00251138" w:rsidRPr="00154BF9">
              <w:rPr>
                <w:rFonts w:ascii="Times New Roman" w:eastAsia="Times New Roman" w:hAnsi="Times New Roman" w:cs="Times New Roman"/>
                <w:sz w:val="20"/>
                <w:szCs w:val="20"/>
                <w:lang w:eastAsia="pl-PL"/>
              </w:rPr>
              <w:t>miesiąc</w:t>
            </w:r>
            <w:r w:rsidRPr="00154BF9">
              <w:rPr>
                <w:rFonts w:ascii="Times New Roman" w:eastAsia="Times New Roman" w:hAnsi="Times New Roman" w:cs="Times New Roman"/>
                <w:sz w:val="20"/>
                <w:szCs w:val="20"/>
                <w:lang w:eastAsia="pl-PL"/>
              </w:rPr>
              <w:t>):</w:t>
            </w:r>
          </w:p>
          <w:p w14:paraId="7C9FF67A" w14:textId="31859212" w:rsidR="009D7AE1" w:rsidRPr="00154BF9" w:rsidRDefault="009D7AE1" w:rsidP="00127ABF">
            <w:pPr>
              <w:numPr>
                <w:ilvl w:val="3"/>
                <w:numId w:val="24"/>
              </w:numPr>
              <w:suppressAutoHyphens/>
              <w:spacing w:after="60" w:line="276" w:lineRule="auto"/>
              <w:jc w:val="both"/>
              <w:rPr>
                <w:rFonts w:ascii="Times New Roman" w:eastAsia="Batang" w:hAnsi="Times New Roman" w:cs="Times New Roman"/>
                <w:sz w:val="20"/>
                <w:szCs w:val="20"/>
                <w:lang w:eastAsia="pl-PL"/>
              </w:rPr>
            </w:pPr>
            <w:r w:rsidRPr="00154BF9">
              <w:rPr>
                <w:rFonts w:ascii="Times New Roman" w:eastAsia="Batang" w:hAnsi="Times New Roman" w:cs="Times New Roman"/>
                <w:sz w:val="20"/>
                <w:szCs w:val="20"/>
                <w:lang w:eastAsia="pl-PL"/>
              </w:rPr>
              <w:t>morfologia</w:t>
            </w:r>
            <w:r w:rsidR="0052643B" w:rsidRPr="00154BF9">
              <w:rPr>
                <w:rFonts w:ascii="Times New Roman" w:eastAsia="Batang" w:hAnsi="Times New Roman" w:cs="Times New Roman"/>
                <w:sz w:val="20"/>
                <w:szCs w:val="20"/>
                <w:lang w:eastAsia="pl-PL"/>
              </w:rPr>
              <w:t xml:space="preserve"> </w:t>
            </w:r>
            <w:r w:rsidRPr="00154BF9">
              <w:rPr>
                <w:rFonts w:ascii="Times New Roman" w:eastAsia="Batang" w:hAnsi="Times New Roman" w:cs="Times New Roman"/>
                <w:sz w:val="20"/>
                <w:szCs w:val="20"/>
                <w:lang w:eastAsia="pl-PL"/>
              </w:rPr>
              <w:t>krwi,</w:t>
            </w:r>
            <w:r w:rsidR="0052643B" w:rsidRPr="00154BF9">
              <w:rPr>
                <w:rFonts w:ascii="Times New Roman" w:eastAsia="Batang"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przypadku</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pacjentów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leczonych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tocilizumabem</w:t>
            </w:r>
            <w:r w:rsidR="0052643B" w:rsidRPr="00154BF9">
              <w:rPr>
                <w:rFonts w:ascii="Times New Roman" w:eastAsia="Times New Roman" w:hAnsi="Times New Roman" w:cs="Times New Roman"/>
                <w:sz w:val="20"/>
                <w:szCs w:val="20"/>
                <w:lang w:eastAsia="pl-PL"/>
              </w:rPr>
              <w:t xml:space="preserve"> </w:t>
            </w:r>
            <w:r w:rsidR="00057286"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00057286" w:rsidRPr="00154BF9">
              <w:rPr>
                <w:rFonts w:ascii="Times New Roman" w:eastAsia="Times New Roman" w:hAnsi="Times New Roman" w:cs="Times New Roman"/>
                <w:sz w:val="20"/>
                <w:szCs w:val="20"/>
                <w:lang w:eastAsia="pl-PL"/>
              </w:rPr>
              <w:t>postaci</w:t>
            </w:r>
            <w:r w:rsidR="0052643B" w:rsidRPr="00154BF9">
              <w:rPr>
                <w:rFonts w:ascii="Times New Roman" w:eastAsia="Times New Roman" w:hAnsi="Times New Roman" w:cs="Times New Roman"/>
                <w:sz w:val="20"/>
                <w:szCs w:val="20"/>
                <w:lang w:eastAsia="pl-PL"/>
              </w:rPr>
              <w:t xml:space="preserve"> </w:t>
            </w:r>
            <w:r w:rsidR="00057286" w:rsidRPr="00154BF9">
              <w:rPr>
                <w:rFonts w:ascii="Times New Roman" w:eastAsia="Times New Roman" w:hAnsi="Times New Roman" w:cs="Times New Roman"/>
                <w:sz w:val="20"/>
                <w:szCs w:val="20"/>
                <w:lang w:eastAsia="pl-PL"/>
              </w:rPr>
              <w:t>dożylnej</w:t>
            </w:r>
            <w:r w:rsidR="009C5785">
              <w:rPr>
                <w:rFonts w:ascii="Times New Roman" w:eastAsia="Times New Roman" w:hAnsi="Times New Roman" w:cs="Times New Roman"/>
                <w:sz w:val="20"/>
                <w:szCs w:val="20"/>
                <w:lang w:eastAsia="pl-PL"/>
              </w:rPr>
              <w:t>,</w:t>
            </w:r>
            <w:r w:rsidR="00DE7A19">
              <w:rPr>
                <w:rFonts w:ascii="Times New Roman" w:eastAsia="Times New Roman" w:hAnsi="Times New Roman" w:cs="Times New Roman"/>
                <w:sz w:val="20"/>
                <w:szCs w:val="20"/>
                <w:lang w:eastAsia="pl-PL"/>
              </w:rPr>
              <w:t xml:space="preserve"> </w:t>
            </w:r>
            <w:r w:rsidR="00966003" w:rsidRPr="00154BF9">
              <w:rPr>
                <w:rFonts w:ascii="Times New Roman" w:eastAsia="Times New Roman" w:hAnsi="Times New Roman" w:cs="Times New Roman"/>
                <w:sz w:val="20"/>
                <w:szCs w:val="20"/>
                <w:lang w:eastAsia="pl-PL"/>
              </w:rPr>
              <w:t>anakinrą</w:t>
            </w:r>
            <w:r w:rsidR="00D92C20">
              <w:rPr>
                <w:rFonts w:ascii="Times New Roman" w:eastAsia="Times New Roman" w:hAnsi="Times New Roman" w:cs="Times New Roman"/>
                <w:sz w:val="20"/>
                <w:szCs w:val="20"/>
                <w:lang w:eastAsia="pl-PL"/>
              </w:rPr>
              <w:t xml:space="preserve">, </w:t>
            </w:r>
            <w:r w:rsidR="009C5785">
              <w:rPr>
                <w:rFonts w:ascii="Times New Roman" w:eastAsia="Times New Roman" w:hAnsi="Times New Roman" w:cs="Times New Roman"/>
                <w:sz w:val="20"/>
                <w:szCs w:val="20"/>
                <w:lang w:eastAsia="pl-PL"/>
              </w:rPr>
              <w:t>tofacytynibem</w:t>
            </w:r>
            <w:r w:rsidR="00D92C20">
              <w:rPr>
                <w:rFonts w:ascii="Times New Roman" w:eastAsia="Times New Roman" w:hAnsi="Times New Roman" w:cs="Times New Roman"/>
                <w:sz w:val="20"/>
                <w:szCs w:val="20"/>
                <w:lang w:eastAsia="pl-PL"/>
              </w:rPr>
              <w:t xml:space="preserve"> </w:t>
            </w:r>
            <w:r w:rsidR="00D92C20">
              <w:t xml:space="preserve"> </w:t>
            </w:r>
            <w:r w:rsidR="00D92C20" w:rsidRPr="00D92C20">
              <w:rPr>
                <w:rFonts w:ascii="Times New Roman" w:eastAsia="Times New Roman" w:hAnsi="Times New Roman" w:cs="Times New Roman"/>
                <w:sz w:val="20"/>
                <w:szCs w:val="20"/>
                <w:lang w:eastAsia="pl-PL"/>
              </w:rPr>
              <w:t xml:space="preserve">lub kanakinumabem </w:t>
            </w:r>
            <w:r w:rsidRPr="00154BF9">
              <w:rPr>
                <w:rFonts w:ascii="Times New Roman" w:eastAsia="Times New Roman" w:hAnsi="Times New Roman" w:cs="Times New Roman"/>
                <w:sz w:val="20"/>
                <w:szCs w:val="20"/>
                <w:lang w:eastAsia="pl-PL"/>
              </w:rPr>
              <w: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morfologia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krwi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rozmazem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oraz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oznaczeniem</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bezwzględnej</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liczby</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granulocytów</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obojętnochłonnych;</w:t>
            </w:r>
          </w:p>
          <w:p w14:paraId="1041A732" w14:textId="77777777" w:rsidR="007C7543" w:rsidRPr="00154BF9" w:rsidRDefault="007C7543" w:rsidP="00127ABF">
            <w:pPr>
              <w:pStyle w:val="Akapitzlist"/>
              <w:numPr>
                <w:ilvl w:val="3"/>
                <w:numId w:val="24"/>
              </w:numPr>
              <w:spacing w:after="60" w:line="276" w:lineRule="auto"/>
              <w:contextualSpacing w:val="0"/>
              <w:rPr>
                <w:rFonts w:ascii="Times New Roman" w:eastAsia="Batang" w:hAnsi="Times New Roman" w:cs="Times New Roman"/>
                <w:sz w:val="20"/>
                <w:szCs w:val="20"/>
                <w:lang w:eastAsia="pl-PL"/>
              </w:rPr>
            </w:pPr>
            <w:r w:rsidRPr="00154BF9">
              <w:rPr>
                <w:rFonts w:ascii="Times New Roman" w:eastAsia="Batang" w:hAnsi="Times New Roman" w:cs="Times New Roman"/>
                <w:sz w:val="20"/>
                <w:szCs w:val="20"/>
                <w:lang w:eastAsia="pl-PL"/>
              </w:rPr>
              <w:t>oznaczenie wartości odczynu Biernackiego (OB);</w:t>
            </w:r>
          </w:p>
          <w:p w14:paraId="4D655549" w14:textId="77777777" w:rsidR="007C7543" w:rsidRPr="00154BF9" w:rsidRDefault="007C7543" w:rsidP="00127ABF">
            <w:pPr>
              <w:pStyle w:val="Akapitzlist"/>
              <w:numPr>
                <w:ilvl w:val="3"/>
                <w:numId w:val="24"/>
              </w:numPr>
              <w:spacing w:after="60" w:line="276" w:lineRule="auto"/>
              <w:contextualSpacing w:val="0"/>
              <w:rPr>
                <w:rFonts w:ascii="Times New Roman" w:eastAsia="Batang" w:hAnsi="Times New Roman" w:cs="Times New Roman"/>
                <w:sz w:val="20"/>
                <w:szCs w:val="20"/>
                <w:lang w:eastAsia="pl-PL"/>
              </w:rPr>
            </w:pPr>
            <w:r w:rsidRPr="00154BF9">
              <w:rPr>
                <w:rFonts w:ascii="Times New Roman" w:eastAsia="Batang" w:hAnsi="Times New Roman" w:cs="Times New Roman"/>
                <w:sz w:val="20"/>
                <w:szCs w:val="20"/>
                <w:lang w:eastAsia="pl-PL"/>
              </w:rPr>
              <w:t>oznaczenie stężenia białka C-reaktywnego (CRP);</w:t>
            </w:r>
          </w:p>
          <w:p w14:paraId="48F7810E" w14:textId="77777777" w:rsidR="00A60E43" w:rsidRPr="00154BF9" w:rsidRDefault="00A60E43" w:rsidP="00127ABF">
            <w:pPr>
              <w:pStyle w:val="Akapitzlist"/>
              <w:numPr>
                <w:ilvl w:val="3"/>
                <w:numId w:val="24"/>
              </w:numPr>
              <w:spacing w:after="60" w:line="276" w:lineRule="auto"/>
              <w:contextualSpacing w:val="0"/>
              <w:rPr>
                <w:rFonts w:ascii="Times New Roman" w:eastAsia="Batang" w:hAnsi="Times New Roman" w:cs="Times New Roman"/>
                <w:sz w:val="20"/>
                <w:szCs w:val="20"/>
                <w:lang w:eastAsia="pl-PL"/>
              </w:rPr>
            </w:pPr>
            <w:r w:rsidRPr="00154BF9">
              <w:rPr>
                <w:rFonts w:ascii="Times New Roman" w:eastAsia="Batang" w:hAnsi="Times New Roman" w:cs="Times New Roman"/>
                <w:sz w:val="20"/>
                <w:szCs w:val="20"/>
                <w:lang w:eastAsia="pl-PL"/>
              </w:rPr>
              <w:t>oznaczenie stężenia kreatyniny w surowicy krwi;</w:t>
            </w:r>
          </w:p>
          <w:p w14:paraId="20F6FDAB" w14:textId="77777777" w:rsidR="00A60E43" w:rsidRPr="00154BF9" w:rsidRDefault="00A60E43" w:rsidP="00127ABF">
            <w:pPr>
              <w:pStyle w:val="Akapitzlist"/>
              <w:numPr>
                <w:ilvl w:val="3"/>
                <w:numId w:val="24"/>
              </w:numPr>
              <w:spacing w:after="60" w:line="276" w:lineRule="auto"/>
              <w:contextualSpacing w:val="0"/>
              <w:rPr>
                <w:rFonts w:ascii="Times New Roman" w:eastAsia="Batang" w:hAnsi="Times New Roman" w:cs="Times New Roman"/>
                <w:sz w:val="20"/>
                <w:szCs w:val="20"/>
                <w:lang w:eastAsia="pl-PL"/>
              </w:rPr>
            </w:pPr>
            <w:r w:rsidRPr="00154BF9">
              <w:rPr>
                <w:rFonts w:ascii="Times New Roman" w:eastAsia="Batang" w:hAnsi="Times New Roman" w:cs="Times New Roman"/>
                <w:sz w:val="20"/>
                <w:szCs w:val="20"/>
                <w:lang w:eastAsia="pl-PL"/>
              </w:rPr>
              <w:t>oznaczenie aktywności aminotransferazy asparaginianowej (AST);</w:t>
            </w:r>
          </w:p>
          <w:p w14:paraId="233BB67A" w14:textId="50FAA04D" w:rsidR="009D7AE1" w:rsidRPr="00154BF9" w:rsidRDefault="00A60E43" w:rsidP="00127ABF">
            <w:pPr>
              <w:pStyle w:val="Akapitzlist"/>
              <w:numPr>
                <w:ilvl w:val="3"/>
                <w:numId w:val="24"/>
              </w:numPr>
              <w:spacing w:after="60" w:line="276" w:lineRule="auto"/>
              <w:contextualSpacing w:val="0"/>
              <w:rPr>
                <w:rFonts w:ascii="Times New Roman" w:eastAsia="Batang" w:hAnsi="Times New Roman" w:cs="Times New Roman"/>
                <w:sz w:val="20"/>
                <w:szCs w:val="20"/>
                <w:lang w:eastAsia="pl-PL"/>
              </w:rPr>
            </w:pPr>
            <w:r w:rsidRPr="00154BF9">
              <w:rPr>
                <w:rFonts w:ascii="Times New Roman" w:eastAsia="Batang" w:hAnsi="Times New Roman" w:cs="Times New Roman"/>
                <w:sz w:val="20"/>
                <w:szCs w:val="20"/>
                <w:lang w:eastAsia="pl-PL"/>
              </w:rPr>
              <w:t>oznaczenie aktywności aminotransferazy alaninowej (ALT);</w:t>
            </w:r>
          </w:p>
          <w:p w14:paraId="44D43EBC" w14:textId="15CF1869" w:rsidR="009D7AE1" w:rsidRPr="00154BF9" w:rsidRDefault="00A60E43" w:rsidP="00127ABF">
            <w:pPr>
              <w:numPr>
                <w:ilvl w:val="3"/>
                <w:numId w:val="24"/>
              </w:numPr>
              <w:suppressAutoHyphens/>
              <w:spacing w:after="60" w:line="276" w:lineRule="auto"/>
              <w:jc w:val="both"/>
              <w:rPr>
                <w:rFonts w:ascii="Times New Roman" w:eastAsia="Times New Roman" w:hAnsi="Times New Roman" w:cs="Times New Roman"/>
                <w:sz w:val="20"/>
                <w:szCs w:val="20"/>
                <w:lang w:eastAsia="pl-PL"/>
              </w:rPr>
            </w:pPr>
            <w:r w:rsidRPr="00154BF9">
              <w:rPr>
                <w:rFonts w:ascii="Times New Roman" w:eastAsia="Batang" w:hAnsi="Times New Roman" w:cs="Times New Roman"/>
                <w:sz w:val="20"/>
                <w:szCs w:val="20"/>
                <w:lang w:eastAsia="pl-PL"/>
              </w:rPr>
              <w:t xml:space="preserve">oznaczenie </w:t>
            </w:r>
            <w:r w:rsidR="009D7AE1" w:rsidRPr="00154BF9">
              <w:rPr>
                <w:rFonts w:ascii="Times New Roman" w:eastAsia="Batang" w:hAnsi="Times New Roman" w:cs="Times New Roman"/>
                <w:sz w:val="20"/>
                <w:szCs w:val="20"/>
                <w:lang w:eastAsia="pl-PL"/>
              </w:rPr>
              <w:t>stężeni</w:t>
            </w:r>
            <w:r w:rsidRPr="00154BF9">
              <w:rPr>
                <w:rFonts w:ascii="Times New Roman" w:eastAsia="Batang" w:hAnsi="Times New Roman" w:cs="Times New Roman"/>
                <w:sz w:val="20"/>
                <w:szCs w:val="20"/>
                <w:lang w:eastAsia="pl-PL"/>
              </w:rPr>
              <w:t>a</w:t>
            </w:r>
            <w:r w:rsidR="0052643B" w:rsidRPr="00154BF9">
              <w:rPr>
                <w:rFonts w:ascii="Times New Roman" w:eastAsia="Batang" w:hAnsi="Times New Roman" w:cs="Times New Roman"/>
                <w:sz w:val="20"/>
                <w:szCs w:val="20"/>
                <w:lang w:eastAsia="pl-PL"/>
              </w:rPr>
              <w:t xml:space="preserve"> </w:t>
            </w:r>
            <w:r w:rsidR="009D7AE1" w:rsidRPr="00154BF9">
              <w:rPr>
                <w:rFonts w:ascii="Times New Roman" w:eastAsia="Batang" w:hAnsi="Times New Roman" w:cs="Times New Roman"/>
                <w:sz w:val="20"/>
                <w:szCs w:val="20"/>
                <w:lang w:eastAsia="pl-PL"/>
              </w:rPr>
              <w:t>cholesterolu</w:t>
            </w:r>
            <w:r w:rsidR="0052643B" w:rsidRPr="00154BF9">
              <w:rPr>
                <w:rFonts w:ascii="Times New Roman" w:eastAsia="Batang" w:hAnsi="Times New Roman" w:cs="Times New Roman"/>
                <w:sz w:val="20"/>
                <w:szCs w:val="20"/>
                <w:lang w:eastAsia="pl-PL"/>
              </w:rPr>
              <w:t xml:space="preserve"> </w:t>
            </w:r>
            <w:r w:rsidR="009D7AE1" w:rsidRPr="00154BF9">
              <w:rPr>
                <w:rFonts w:ascii="Times New Roman" w:eastAsia="Batang" w:hAnsi="Times New Roman" w:cs="Times New Roman"/>
                <w:sz w:val="20"/>
                <w:szCs w:val="20"/>
                <w:lang w:eastAsia="pl-PL"/>
              </w:rPr>
              <w:t>całkowitego,</w:t>
            </w:r>
            <w:r w:rsidR="0052643B" w:rsidRPr="00154BF9">
              <w:rPr>
                <w:rFonts w:ascii="Times New Roman" w:eastAsia="Batang" w:hAnsi="Times New Roman" w:cs="Times New Roman"/>
                <w:sz w:val="20"/>
                <w:szCs w:val="20"/>
                <w:lang w:eastAsia="pl-PL"/>
              </w:rPr>
              <w:t xml:space="preserve"> </w:t>
            </w:r>
            <w:r w:rsidR="009D7AE1" w:rsidRPr="00154BF9">
              <w:rPr>
                <w:rFonts w:ascii="Times New Roman" w:eastAsia="Batang" w:hAnsi="Times New Roman" w:cs="Times New Roman"/>
                <w:sz w:val="20"/>
                <w:szCs w:val="20"/>
                <w:lang w:eastAsia="pl-PL"/>
              </w:rPr>
              <w:t>LDL,</w:t>
            </w:r>
            <w:r w:rsidR="0052643B" w:rsidRPr="00154BF9">
              <w:rPr>
                <w:rFonts w:ascii="Times New Roman" w:eastAsia="Batang" w:hAnsi="Times New Roman" w:cs="Times New Roman"/>
                <w:sz w:val="20"/>
                <w:szCs w:val="20"/>
                <w:lang w:eastAsia="pl-PL"/>
              </w:rPr>
              <w:t xml:space="preserve"> </w:t>
            </w:r>
            <w:r w:rsidR="009D7AE1" w:rsidRPr="00154BF9">
              <w:rPr>
                <w:rFonts w:ascii="Times New Roman" w:eastAsia="Batang" w:hAnsi="Times New Roman" w:cs="Times New Roman"/>
                <w:sz w:val="20"/>
                <w:szCs w:val="20"/>
                <w:lang w:eastAsia="pl-PL"/>
              </w:rPr>
              <w:t>HDL,</w:t>
            </w:r>
            <w:r w:rsidR="0052643B" w:rsidRPr="00154BF9">
              <w:rPr>
                <w:rFonts w:ascii="Times New Roman" w:eastAsia="Batang" w:hAnsi="Times New Roman" w:cs="Times New Roman"/>
                <w:sz w:val="20"/>
                <w:szCs w:val="20"/>
                <w:lang w:eastAsia="pl-PL"/>
              </w:rPr>
              <w:t xml:space="preserve"> </w:t>
            </w:r>
            <w:r w:rsidR="009D7AE1" w:rsidRPr="00154BF9">
              <w:rPr>
                <w:rFonts w:ascii="Times New Roman" w:eastAsia="Batang" w:hAnsi="Times New Roman" w:cs="Times New Roman"/>
                <w:sz w:val="20"/>
                <w:szCs w:val="20"/>
                <w:lang w:eastAsia="pl-PL"/>
              </w:rPr>
              <w:t>trójglicerydów</w:t>
            </w:r>
            <w:r w:rsidR="0052643B" w:rsidRPr="00154BF9">
              <w:rPr>
                <w:rFonts w:ascii="Times New Roman" w:eastAsia="Batang" w:hAnsi="Times New Roman" w:cs="Times New Roman"/>
                <w:sz w:val="20"/>
                <w:szCs w:val="20"/>
                <w:lang w:eastAsia="pl-PL"/>
              </w:rPr>
              <w:t xml:space="preserve"> </w:t>
            </w:r>
            <w:r w:rsidR="009D7AE1" w:rsidRPr="00154BF9">
              <w:rPr>
                <w:rFonts w:ascii="Times New Roman" w:eastAsia="Batang" w:hAnsi="Times New Roman" w:cs="Times New Roman"/>
                <w:sz w:val="20"/>
                <w:szCs w:val="20"/>
                <w:lang w:eastAsia="pl-PL"/>
              </w:rPr>
              <w:t>-</w:t>
            </w:r>
            <w:r w:rsidR="0052643B" w:rsidRPr="00154BF9">
              <w:rPr>
                <w:rFonts w:ascii="Times New Roman" w:eastAsia="Batang" w:hAnsi="Times New Roman" w:cs="Times New Roman"/>
                <w:sz w:val="20"/>
                <w:szCs w:val="20"/>
                <w:lang w:eastAsia="pl-PL"/>
              </w:rPr>
              <w:t xml:space="preserve"> </w:t>
            </w:r>
            <w:r w:rsidR="009D7AE1" w:rsidRPr="00154BF9">
              <w:rPr>
                <w:rFonts w:ascii="Times New Roman" w:eastAsia="Batang" w:hAnsi="Times New Roman" w:cs="Times New Roman"/>
                <w:sz w:val="20"/>
                <w:szCs w:val="20"/>
                <w:lang w:eastAsia="pl-PL"/>
              </w:rPr>
              <w:t>u</w:t>
            </w:r>
            <w:r w:rsidR="0052643B" w:rsidRPr="00154BF9">
              <w:rPr>
                <w:rFonts w:ascii="Times New Roman" w:eastAsia="Batang" w:hAnsi="Times New Roman" w:cs="Times New Roman"/>
                <w:sz w:val="20"/>
                <w:szCs w:val="20"/>
                <w:lang w:eastAsia="pl-PL"/>
              </w:rPr>
              <w:t xml:space="preserve"> </w:t>
            </w:r>
            <w:r w:rsidR="009D7AE1" w:rsidRPr="00154BF9">
              <w:rPr>
                <w:rFonts w:ascii="Times New Roman" w:eastAsia="Batang" w:hAnsi="Times New Roman" w:cs="Times New Roman"/>
                <w:sz w:val="20"/>
                <w:szCs w:val="20"/>
                <w:lang w:eastAsia="pl-PL"/>
              </w:rPr>
              <w:lastRenderedPageBreak/>
              <w:t>pacjentów</w:t>
            </w:r>
            <w:r w:rsidR="0052643B" w:rsidRPr="00154BF9">
              <w:rPr>
                <w:rFonts w:ascii="Times New Roman" w:eastAsia="Batang" w:hAnsi="Times New Roman" w:cs="Times New Roman"/>
                <w:sz w:val="20"/>
                <w:szCs w:val="20"/>
                <w:lang w:eastAsia="pl-PL"/>
              </w:rPr>
              <w:t xml:space="preserve"> </w:t>
            </w:r>
            <w:r w:rsidR="009D7AE1" w:rsidRPr="00154BF9">
              <w:rPr>
                <w:rFonts w:ascii="Times New Roman" w:eastAsia="Batang" w:hAnsi="Times New Roman" w:cs="Times New Roman"/>
                <w:sz w:val="20"/>
                <w:szCs w:val="20"/>
                <w:lang w:eastAsia="pl-PL"/>
              </w:rPr>
              <w:t>leczonych</w:t>
            </w:r>
            <w:r w:rsidR="0052643B" w:rsidRPr="00154BF9">
              <w:rPr>
                <w:rFonts w:ascii="Times New Roman" w:eastAsia="Batang" w:hAnsi="Times New Roman" w:cs="Times New Roman"/>
                <w:sz w:val="20"/>
                <w:szCs w:val="20"/>
                <w:lang w:eastAsia="pl-PL"/>
              </w:rPr>
              <w:t xml:space="preserve"> </w:t>
            </w:r>
            <w:r w:rsidR="009D7AE1" w:rsidRPr="00154BF9">
              <w:rPr>
                <w:rFonts w:ascii="Times New Roman" w:eastAsia="Batang" w:hAnsi="Times New Roman" w:cs="Times New Roman"/>
                <w:sz w:val="20"/>
                <w:szCs w:val="20"/>
                <w:lang w:eastAsia="pl-PL"/>
              </w:rPr>
              <w:t>tocilizumabem</w:t>
            </w:r>
            <w:r w:rsidR="0052643B" w:rsidRPr="00154BF9">
              <w:rPr>
                <w:rFonts w:ascii="Times New Roman" w:eastAsia="Batang" w:hAnsi="Times New Roman" w:cs="Times New Roman"/>
                <w:sz w:val="20"/>
                <w:szCs w:val="20"/>
                <w:lang w:eastAsia="pl-PL"/>
              </w:rPr>
              <w:t xml:space="preserve"> </w:t>
            </w:r>
            <w:r w:rsidR="00057286" w:rsidRPr="00154BF9">
              <w:rPr>
                <w:rFonts w:ascii="Times New Roman" w:eastAsia="Batang" w:hAnsi="Times New Roman" w:cs="Times New Roman"/>
                <w:sz w:val="20"/>
                <w:szCs w:val="20"/>
                <w:lang w:eastAsia="pl-PL"/>
              </w:rPr>
              <w:t>w</w:t>
            </w:r>
            <w:r w:rsidR="0052643B" w:rsidRPr="00154BF9">
              <w:rPr>
                <w:rFonts w:ascii="Times New Roman" w:eastAsia="Batang" w:hAnsi="Times New Roman" w:cs="Times New Roman"/>
                <w:sz w:val="20"/>
                <w:szCs w:val="20"/>
                <w:lang w:eastAsia="pl-PL"/>
              </w:rPr>
              <w:t xml:space="preserve"> </w:t>
            </w:r>
            <w:r w:rsidR="00057286" w:rsidRPr="00154BF9">
              <w:rPr>
                <w:rFonts w:ascii="Times New Roman" w:eastAsia="Batang" w:hAnsi="Times New Roman" w:cs="Times New Roman"/>
                <w:sz w:val="20"/>
                <w:szCs w:val="20"/>
                <w:lang w:eastAsia="pl-PL"/>
              </w:rPr>
              <w:t>postaci</w:t>
            </w:r>
            <w:r w:rsidR="0052643B" w:rsidRPr="00154BF9">
              <w:rPr>
                <w:rFonts w:ascii="Times New Roman" w:eastAsia="Batang" w:hAnsi="Times New Roman" w:cs="Times New Roman"/>
                <w:sz w:val="20"/>
                <w:szCs w:val="20"/>
                <w:lang w:eastAsia="pl-PL"/>
              </w:rPr>
              <w:t xml:space="preserve"> </w:t>
            </w:r>
            <w:r w:rsidR="00057286" w:rsidRPr="00154BF9">
              <w:rPr>
                <w:rFonts w:ascii="Times New Roman" w:eastAsia="Batang" w:hAnsi="Times New Roman" w:cs="Times New Roman"/>
                <w:sz w:val="20"/>
                <w:szCs w:val="20"/>
                <w:lang w:eastAsia="pl-PL"/>
              </w:rPr>
              <w:t>dożylnej</w:t>
            </w:r>
            <w:r w:rsidR="009C5785">
              <w:rPr>
                <w:rFonts w:ascii="Times New Roman" w:eastAsia="Batang" w:hAnsi="Times New Roman" w:cs="Times New Roman"/>
                <w:sz w:val="20"/>
                <w:szCs w:val="20"/>
                <w:lang w:eastAsia="pl-PL"/>
              </w:rPr>
              <w:t xml:space="preserve"> lub tofacytynibem</w:t>
            </w:r>
          </w:p>
          <w:p w14:paraId="1D779907" w14:textId="680BE333" w:rsidR="009D7AE1" w:rsidRPr="00154BF9" w:rsidRDefault="009D7AE1" w:rsidP="00127ABF">
            <w:pPr>
              <w:pStyle w:val="Akapitzlist"/>
              <w:suppressAutoHyphens/>
              <w:spacing w:after="60" w:line="276" w:lineRule="auto"/>
              <w:ind w:left="227"/>
              <w:contextualSpacing w:val="0"/>
              <w:jc w:val="both"/>
              <w:rPr>
                <w:rFonts w:ascii="Times New Roman" w:eastAsia="Times New Roman" w:hAnsi="Times New Roman" w:cs="Times New Roman"/>
                <w:sz w:val="20"/>
                <w:szCs w:val="20"/>
                <w:lang w:eastAsia="pl-PL"/>
              </w:rPr>
            </w:pPr>
            <w:r w:rsidRPr="00154BF9">
              <w:rPr>
                <w:rFonts w:ascii="Times New Roman" w:eastAsia="Batang" w:hAnsi="Times New Roman" w:cs="Times New Roman"/>
                <w:sz w:val="20"/>
                <w:szCs w:val="20"/>
                <w:lang w:eastAsia="pl-PL"/>
              </w:rPr>
              <w:t>oraz</w:t>
            </w:r>
            <w:r w:rsidR="0052643B" w:rsidRPr="00154BF9">
              <w:rPr>
                <w:rFonts w:ascii="Times New Roman" w:eastAsia="Batang" w:hAnsi="Times New Roman" w:cs="Times New Roman"/>
                <w:sz w:val="20"/>
                <w:szCs w:val="20"/>
                <w:lang w:eastAsia="pl-PL"/>
              </w:rPr>
              <w:t xml:space="preserve"> </w:t>
            </w:r>
            <w:r w:rsidRPr="00154BF9">
              <w:rPr>
                <w:rFonts w:ascii="Times New Roman" w:eastAsia="Batang" w:hAnsi="Times New Roman" w:cs="Times New Roman"/>
                <w:sz w:val="20"/>
                <w:szCs w:val="20"/>
                <w:lang w:eastAsia="pl-PL"/>
              </w:rPr>
              <w:t>dokonać</w:t>
            </w:r>
            <w:r w:rsidR="0052643B" w:rsidRPr="00154BF9">
              <w:rPr>
                <w:rFonts w:ascii="Times New Roman" w:eastAsia="Batang" w:hAnsi="Times New Roman" w:cs="Times New Roman"/>
                <w:sz w:val="20"/>
                <w:szCs w:val="20"/>
                <w:lang w:eastAsia="pl-PL"/>
              </w:rPr>
              <w:t xml:space="preserve"> </w:t>
            </w:r>
            <w:r w:rsidRPr="00154BF9">
              <w:rPr>
                <w:rFonts w:ascii="Times New Roman" w:eastAsia="Batang" w:hAnsi="Times New Roman" w:cs="Times New Roman"/>
                <w:sz w:val="20"/>
                <w:szCs w:val="20"/>
                <w:lang w:eastAsia="pl-PL"/>
              </w:rPr>
              <w:t>oceny</w:t>
            </w:r>
            <w:r w:rsidR="0052643B" w:rsidRPr="00154BF9">
              <w:rPr>
                <w:rFonts w:ascii="Times New Roman" w:eastAsia="Batang" w:hAnsi="Times New Roman" w:cs="Times New Roman"/>
                <w:sz w:val="20"/>
                <w:szCs w:val="20"/>
                <w:lang w:eastAsia="pl-PL"/>
              </w:rPr>
              <w:t xml:space="preserve"> </w:t>
            </w:r>
            <w:r w:rsidRPr="00154BF9">
              <w:rPr>
                <w:rFonts w:ascii="Times New Roman" w:eastAsia="Batang" w:hAnsi="Times New Roman" w:cs="Times New Roman"/>
                <w:sz w:val="20"/>
                <w:szCs w:val="20"/>
                <w:lang w:eastAsia="pl-PL"/>
              </w:rPr>
              <w:t>skuteczności</w:t>
            </w:r>
            <w:r w:rsidR="0052643B" w:rsidRPr="00154BF9">
              <w:rPr>
                <w:rFonts w:ascii="Times New Roman" w:eastAsia="Batang" w:hAnsi="Times New Roman" w:cs="Times New Roman"/>
                <w:sz w:val="20"/>
                <w:szCs w:val="20"/>
                <w:lang w:eastAsia="pl-PL"/>
              </w:rPr>
              <w:t xml:space="preserve"> </w:t>
            </w:r>
            <w:r w:rsidRPr="00154BF9">
              <w:rPr>
                <w:rFonts w:ascii="Times New Roman" w:eastAsia="Batang" w:hAnsi="Times New Roman" w:cs="Times New Roman"/>
                <w:sz w:val="20"/>
                <w:szCs w:val="20"/>
                <w:lang w:eastAsia="pl-PL"/>
              </w:rPr>
              <w:t>zastosowanej</w:t>
            </w:r>
            <w:r w:rsidR="0052643B" w:rsidRPr="00154BF9">
              <w:rPr>
                <w:rFonts w:ascii="Times New Roman" w:eastAsia="Batang" w:hAnsi="Times New Roman" w:cs="Times New Roman"/>
                <w:sz w:val="20"/>
                <w:szCs w:val="20"/>
                <w:lang w:eastAsia="pl-PL"/>
              </w:rPr>
              <w:t xml:space="preserve"> </w:t>
            </w:r>
            <w:r w:rsidR="00696524" w:rsidRPr="00154BF9">
              <w:rPr>
                <w:rFonts w:ascii="Times New Roman" w:eastAsia="Batang" w:hAnsi="Times New Roman" w:cs="Times New Roman"/>
                <w:sz w:val="20"/>
                <w:szCs w:val="20"/>
                <w:lang w:eastAsia="pl-PL"/>
              </w:rPr>
              <w:t xml:space="preserve">terapii </w:t>
            </w:r>
            <w:r w:rsidR="00696524" w:rsidRPr="00154BF9">
              <w:t>wg</w:t>
            </w:r>
            <w:r w:rsidR="0029198D" w:rsidRPr="00154BF9">
              <w:rPr>
                <w:rFonts w:ascii="Times New Roman" w:eastAsia="Batang" w:hAnsi="Times New Roman" w:cs="Times New Roman"/>
                <w:sz w:val="20"/>
                <w:szCs w:val="20"/>
                <w:lang w:eastAsia="pl-PL"/>
              </w:rPr>
              <w:t xml:space="preserve"> wskaźników zalecanych </w:t>
            </w:r>
            <w:r w:rsidR="00EA4A2E" w:rsidRPr="00154BF9">
              <w:rPr>
                <w:rFonts w:ascii="Times New Roman" w:eastAsia="Batang" w:hAnsi="Times New Roman" w:cs="Times New Roman"/>
                <w:sz w:val="20"/>
                <w:szCs w:val="20"/>
                <w:lang w:eastAsia="pl-PL"/>
              </w:rPr>
              <w:t xml:space="preserve">przez </w:t>
            </w:r>
            <w:r w:rsidR="00EA4A2E" w:rsidRPr="00D92C20">
              <w:rPr>
                <w:rFonts w:ascii="Times New Roman" w:hAnsi="Times New Roman" w:cs="Times New Roman"/>
                <w:sz w:val="20"/>
                <w:szCs w:val="20"/>
              </w:rPr>
              <w:t>EULAR</w:t>
            </w:r>
            <w:r w:rsidR="0029198D" w:rsidRPr="00D92C20">
              <w:rPr>
                <w:rFonts w:ascii="Times New Roman" w:eastAsia="Batang" w:hAnsi="Times New Roman" w:cs="Times New Roman"/>
                <w:sz w:val="20"/>
                <w:szCs w:val="20"/>
                <w:lang w:eastAsia="pl-PL"/>
              </w:rPr>
              <w:t>/ACR i stosowanych</w:t>
            </w:r>
            <w:r w:rsidR="0029198D" w:rsidRPr="00154BF9">
              <w:rPr>
                <w:rFonts w:ascii="Times New Roman" w:eastAsia="Batang" w:hAnsi="Times New Roman" w:cs="Times New Roman"/>
                <w:sz w:val="20"/>
                <w:szCs w:val="20"/>
                <w:lang w:eastAsia="pl-PL"/>
              </w:rPr>
              <w:t xml:space="preserve"> rutynowo w MIZS.</w:t>
            </w:r>
          </w:p>
          <w:p w14:paraId="10365625" w14:textId="31A3DDFA" w:rsidR="009D7AE1" w:rsidRPr="00154BF9" w:rsidRDefault="009D7AE1" w:rsidP="00127ABF">
            <w:pPr>
              <w:autoSpaceDE w:val="0"/>
              <w:autoSpaceDN w:val="0"/>
              <w:adjustRightInd w:val="0"/>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Jeżeli</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terapia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jest</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kontynuowana</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powyższe</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powtarzać</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po</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każdych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kolejnych</w:t>
            </w:r>
            <w:r w:rsidR="0052643B" w:rsidRPr="00154BF9">
              <w:rPr>
                <w:rFonts w:ascii="Times New Roman" w:eastAsia="Times New Roman" w:hAnsi="Times New Roman" w:cs="Times New Roman"/>
                <w:sz w:val="20"/>
                <w:szCs w:val="20"/>
                <w:lang w:eastAsia="pl-PL"/>
              </w:rPr>
              <w:t xml:space="preserve"> </w:t>
            </w:r>
            <w:r w:rsidR="0058794E" w:rsidRPr="00154BF9">
              <w:rPr>
                <w:rFonts w:ascii="Times New Roman" w:eastAsia="Times New Roman" w:hAnsi="Times New Roman" w:cs="Times New Roman"/>
                <w:sz w:val="20"/>
                <w:szCs w:val="20"/>
                <w:lang w:eastAsia="pl-PL"/>
              </w:rPr>
              <w:t>6</w:t>
            </w:r>
            <w:r w:rsidR="0052643B" w:rsidRPr="00154BF9">
              <w:rPr>
                <w:rFonts w:ascii="Times New Roman" w:eastAsia="Times New Roman" w:hAnsi="Times New Roman" w:cs="Times New Roman"/>
                <w:sz w:val="20"/>
                <w:szCs w:val="20"/>
                <w:lang w:eastAsia="pl-PL"/>
              </w:rPr>
              <w:t xml:space="preserve"> </w:t>
            </w:r>
            <w:r w:rsidR="0058794E" w:rsidRPr="00154BF9">
              <w:rPr>
                <w:rFonts w:ascii="Times New Roman" w:eastAsia="Times New Roman" w:hAnsi="Times New Roman" w:cs="Times New Roman"/>
                <w:sz w:val="20"/>
                <w:szCs w:val="20"/>
                <w:lang w:eastAsia="pl-PL"/>
              </w:rPr>
              <w:t>miesiącach</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w:t>
            </w:r>
            <w:r w:rsidR="00251138" w:rsidRPr="00154BF9">
              <w:rPr>
                <w:rFonts w:ascii="Times New Roman" w:eastAsia="Times New Roman" w:hAnsi="Times New Roman" w:cs="Times New Roman"/>
                <w:sz w:val="20"/>
                <w:szCs w:val="20"/>
                <w:lang w:eastAsia="pl-PL"/>
              </w:rPr>
              <w:t>1</w:t>
            </w:r>
            <w:r w:rsidR="0052643B" w:rsidRPr="00154BF9">
              <w:rPr>
                <w:rFonts w:ascii="Times New Roman" w:eastAsia="Times New Roman" w:hAnsi="Times New Roman" w:cs="Times New Roman"/>
                <w:sz w:val="20"/>
                <w:szCs w:val="20"/>
                <w:lang w:eastAsia="pl-PL"/>
              </w:rPr>
              <w:t xml:space="preserve"> </w:t>
            </w:r>
            <w:r w:rsidR="00251138" w:rsidRPr="00154BF9">
              <w:rPr>
                <w:rFonts w:ascii="Times New Roman" w:eastAsia="Times New Roman" w:hAnsi="Times New Roman" w:cs="Times New Roman"/>
                <w:sz w:val="20"/>
                <w:szCs w:val="20"/>
                <w:lang w:eastAsia="pl-PL"/>
              </w:rPr>
              <w:t>miesiąc</w:t>
            </w:r>
            <w:r w:rsidRPr="00154BF9">
              <w:rPr>
                <w:rFonts w:ascii="Times New Roman" w:eastAsia="Times New Roman" w:hAnsi="Times New Roman" w:cs="Times New Roman"/>
                <w:sz w:val="20"/>
                <w:szCs w:val="20"/>
                <w:lang w:eastAsia="pl-PL"/>
              </w:rPr>
              <w:t>).</w:t>
            </w:r>
          </w:p>
          <w:p w14:paraId="00EF7948" w14:textId="77777777" w:rsidR="00267504" w:rsidRPr="00154BF9" w:rsidRDefault="00267504" w:rsidP="00127ABF">
            <w:pPr>
              <w:autoSpaceDE w:val="0"/>
              <w:autoSpaceDN w:val="0"/>
              <w:adjustRightInd w:val="0"/>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 xml:space="preserve">Zespół Koordynacyjny w celu monitorowania adekwatnej odpowiedzi na leczenie, na podstawie danych gromadzonych w elektronicznym systemie monitorowania programów lekowych podsumowuje wyniki leczenia w programie lekowym na koniec każdego roku. </w:t>
            </w:r>
          </w:p>
          <w:p w14:paraId="31C10D2D" w14:textId="7E0C7DF1" w:rsidR="00267504" w:rsidRPr="00154BF9" w:rsidRDefault="00267504" w:rsidP="00127ABF">
            <w:pPr>
              <w:autoSpaceDE w:val="0"/>
              <w:autoSpaceDN w:val="0"/>
              <w:adjustRightInd w:val="0"/>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 xml:space="preserve">Możliwe jest, po wyrażeniu zgody przez lekarza prowadzącego terapię, przeprowadzenie wizyty w programie w formie zdalnej konsultacji i przesunięcie wykonania badań w programie na późniejszy okres o ile nie stanowi to zagrożenia dla zdrowia pacjenta i pozostaje bez wpływu na skuteczność i bezpieczeństwo prowadzonej terapii. W takiej sytuacji możliwe jest wydanie leków osobie przez niego upoważnionej w ilości każdorazowo nie większej niż niezbędna do zabezpieczenia 4-6 miesięcy terapii (w zależności od indywidualnego dawkowania oraz wielkości opakowań poszczególnych leków). Opisane powyżej postępowanie, w tym wynik zdalnej konsultacji i ocena stanu zdrowia dokonana przez lekarza prowadzącego, powinno zostać odnotowane w dokumentacji medycznej pacjenta oraz elektronicznym systemie monitorowania </w:t>
            </w:r>
            <w:r w:rsidRPr="00154BF9">
              <w:rPr>
                <w:rFonts w:ascii="Times New Roman" w:eastAsia="Times New Roman" w:hAnsi="Times New Roman" w:cs="Times New Roman"/>
                <w:sz w:val="20"/>
                <w:szCs w:val="20"/>
                <w:lang w:eastAsia="pl-PL"/>
              </w:rPr>
              <w:lastRenderedPageBreak/>
              <w:t>programów lekowych. Osobiste stawiennictwo pacjenta w ośrodku prowadzącym terapię nie może być jednak rzadsze niż 2 razy w ciągu każdych kolejnych 12 miesięcy z wyjątkiem sytuacji nadzwyczajnych, w tym zjawisk epidemicznych, kiedy dopuszcza się osobiste stawiennictwo w ośrodku prowadzącym terapię nie rzadziej niż 1 raz w ciągu każdych kolejnych 12 miesięcy.</w:t>
            </w:r>
          </w:p>
          <w:p w14:paraId="0F93908D" w14:textId="77777777" w:rsidR="009D7AE1" w:rsidRPr="00154BF9" w:rsidRDefault="009D7AE1" w:rsidP="00127ABF">
            <w:pPr>
              <w:spacing w:after="60" w:line="276" w:lineRule="auto"/>
              <w:jc w:val="both"/>
              <w:rPr>
                <w:rFonts w:ascii="Times New Roman" w:eastAsia="Times New Roman" w:hAnsi="Times New Roman" w:cs="Times New Roman"/>
                <w:bCs/>
                <w:iCs/>
                <w:sz w:val="20"/>
                <w:szCs w:val="20"/>
                <w:lang w:eastAsia="pl-PL"/>
              </w:rPr>
            </w:pPr>
          </w:p>
          <w:p w14:paraId="2B1D3329" w14:textId="47C340BC" w:rsidR="009D7AE1" w:rsidRPr="00154BF9" w:rsidRDefault="009D7AE1" w:rsidP="00127ABF">
            <w:pPr>
              <w:widowControl w:val="0"/>
              <w:numPr>
                <w:ilvl w:val="0"/>
                <w:numId w:val="24"/>
              </w:numPr>
              <w:autoSpaceDE w:val="0"/>
              <w:autoSpaceDN w:val="0"/>
              <w:adjustRightInd w:val="0"/>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b/>
                <w:sz w:val="20"/>
                <w:szCs w:val="20"/>
                <w:lang w:eastAsia="pl-PL"/>
              </w:rPr>
              <w:t>Monitorowanie</w:t>
            </w:r>
            <w:r w:rsidR="0052643B" w:rsidRPr="00154BF9">
              <w:rPr>
                <w:rFonts w:ascii="Times New Roman" w:eastAsia="Times New Roman" w:hAnsi="Times New Roman" w:cs="Times New Roman"/>
                <w:b/>
                <w:sz w:val="20"/>
                <w:szCs w:val="20"/>
                <w:lang w:eastAsia="pl-PL"/>
              </w:rPr>
              <w:t xml:space="preserve"> </w:t>
            </w:r>
            <w:r w:rsidRPr="00154BF9">
              <w:rPr>
                <w:rFonts w:ascii="Times New Roman" w:eastAsia="Times New Roman" w:hAnsi="Times New Roman" w:cs="Times New Roman"/>
                <w:b/>
                <w:sz w:val="20"/>
                <w:szCs w:val="20"/>
                <w:lang w:eastAsia="pl-PL"/>
              </w:rPr>
              <w:t>programu</w:t>
            </w:r>
          </w:p>
          <w:p w14:paraId="1A407FBE" w14:textId="0EFE01E3" w:rsidR="009D7AE1" w:rsidRPr="00154BF9" w:rsidRDefault="00F650EC" w:rsidP="00127ABF">
            <w:pPr>
              <w:numPr>
                <w:ilvl w:val="3"/>
                <w:numId w:val="24"/>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g</w:t>
            </w:r>
            <w:r w:rsidR="009D7AE1" w:rsidRPr="00154BF9">
              <w:rPr>
                <w:rFonts w:ascii="Times New Roman" w:eastAsia="Times New Roman" w:hAnsi="Times New Roman" w:cs="Times New Roman"/>
                <w:sz w:val="20"/>
                <w:szCs w:val="20"/>
                <w:lang w:eastAsia="pl-PL"/>
              </w:rPr>
              <w:t>romadzenie</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dokumentacji</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medycznej</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pacjenta</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danych</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dotyczących</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monitorowania</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leczenia</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i</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każdorazowe</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ich</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przedstawianie</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na</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żądanie</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kontrolerów</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Narodowego</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Funduszu</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Zdrowia</w:t>
            </w:r>
            <w:r w:rsidRPr="00154BF9">
              <w:rPr>
                <w:rFonts w:ascii="Times New Roman" w:eastAsia="Times New Roman" w:hAnsi="Times New Roman" w:cs="Times New Roman"/>
                <w:sz w:val="20"/>
                <w:szCs w:val="20"/>
                <w:lang w:eastAsia="pl-PL"/>
              </w:rPr>
              <w:t>;</w:t>
            </w:r>
          </w:p>
          <w:p w14:paraId="37715951" w14:textId="6FD403A1" w:rsidR="009D7AE1" w:rsidRPr="00154BF9" w:rsidRDefault="00F650EC" w:rsidP="00127ABF">
            <w:pPr>
              <w:numPr>
                <w:ilvl w:val="3"/>
                <w:numId w:val="24"/>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u</w:t>
            </w:r>
            <w:r w:rsidR="009D7AE1" w:rsidRPr="00154BF9">
              <w:rPr>
                <w:rFonts w:ascii="Times New Roman" w:eastAsia="Times New Roman" w:hAnsi="Times New Roman" w:cs="Times New Roman"/>
                <w:sz w:val="20"/>
                <w:szCs w:val="20"/>
                <w:lang w:eastAsia="pl-PL"/>
              </w:rPr>
              <w:t>zupełnianie</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danych</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zawartych</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00C14552" w:rsidRPr="00154BF9">
              <w:rPr>
                <w:rFonts w:ascii="Times New Roman" w:eastAsia="Times New Roman" w:hAnsi="Times New Roman" w:cs="Times New Roman"/>
                <w:sz w:val="20"/>
                <w:szCs w:val="20"/>
                <w:lang w:eastAsia="pl-PL"/>
              </w:rPr>
              <w:t>elektronicznym</w:t>
            </w:r>
            <w:r w:rsidR="0052643B" w:rsidRPr="00154BF9">
              <w:rPr>
                <w:rFonts w:ascii="Times New Roman" w:eastAsia="Times New Roman" w:hAnsi="Times New Roman" w:cs="Times New Roman"/>
                <w:sz w:val="20"/>
                <w:szCs w:val="20"/>
                <w:lang w:eastAsia="pl-PL"/>
              </w:rPr>
              <w:t xml:space="preserve"> </w:t>
            </w:r>
            <w:r w:rsidR="00C14552" w:rsidRPr="00154BF9">
              <w:rPr>
                <w:rFonts w:ascii="Times New Roman" w:eastAsia="Times New Roman" w:hAnsi="Times New Roman" w:cs="Times New Roman"/>
                <w:sz w:val="20"/>
                <w:szCs w:val="20"/>
                <w:lang w:eastAsia="pl-PL"/>
              </w:rPr>
              <w:t>systemie</w:t>
            </w:r>
            <w:r w:rsidR="0052643B" w:rsidRPr="00154BF9">
              <w:rPr>
                <w:rFonts w:ascii="Times New Roman" w:eastAsia="Times New Roman" w:hAnsi="Times New Roman" w:cs="Times New Roman"/>
                <w:sz w:val="20"/>
                <w:szCs w:val="20"/>
                <w:lang w:eastAsia="pl-PL"/>
              </w:rPr>
              <w:t xml:space="preserve"> </w:t>
            </w:r>
            <w:r w:rsidR="00C14552" w:rsidRPr="00154BF9">
              <w:rPr>
                <w:rFonts w:ascii="Times New Roman" w:eastAsia="Times New Roman" w:hAnsi="Times New Roman" w:cs="Times New Roman"/>
                <w:sz w:val="20"/>
                <w:szCs w:val="20"/>
                <w:lang w:eastAsia="pl-PL"/>
              </w:rPr>
              <w:t>monitorowania</w:t>
            </w:r>
            <w:r w:rsidR="0052643B" w:rsidRPr="00154BF9">
              <w:rPr>
                <w:rFonts w:ascii="Times New Roman" w:eastAsia="Times New Roman" w:hAnsi="Times New Roman" w:cs="Times New Roman"/>
                <w:sz w:val="20"/>
                <w:szCs w:val="20"/>
                <w:lang w:eastAsia="pl-PL"/>
              </w:rPr>
              <w:t xml:space="preserve"> </w:t>
            </w:r>
            <w:r w:rsidR="00C14552" w:rsidRPr="00154BF9">
              <w:rPr>
                <w:rFonts w:ascii="Times New Roman" w:eastAsia="Times New Roman" w:hAnsi="Times New Roman" w:cs="Times New Roman"/>
                <w:sz w:val="20"/>
                <w:szCs w:val="20"/>
                <w:lang w:eastAsia="pl-PL"/>
              </w:rPr>
              <w:t>programów</w:t>
            </w:r>
            <w:r w:rsidR="0052643B" w:rsidRPr="00154BF9">
              <w:rPr>
                <w:rFonts w:ascii="Times New Roman" w:eastAsia="Times New Roman" w:hAnsi="Times New Roman" w:cs="Times New Roman"/>
                <w:sz w:val="20"/>
                <w:szCs w:val="20"/>
                <w:lang w:eastAsia="pl-PL"/>
              </w:rPr>
              <w:t xml:space="preserve"> </w:t>
            </w:r>
            <w:r w:rsidR="00C14552" w:rsidRPr="00154BF9">
              <w:rPr>
                <w:rFonts w:ascii="Times New Roman" w:eastAsia="Times New Roman" w:hAnsi="Times New Roman" w:cs="Times New Roman"/>
                <w:sz w:val="20"/>
                <w:szCs w:val="20"/>
                <w:lang w:eastAsia="pl-PL"/>
              </w:rPr>
              <w:t>lekowych,</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dostępnym</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za</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pomocą</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aplikacji</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internetowej</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udostępnionej</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przez</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OW</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NFZ,</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częstotliwością</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zgodną</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opisem</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programu</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oraz</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na</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zakończenie</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leczenia</w:t>
            </w:r>
            <w:r w:rsidRPr="00154BF9">
              <w:rPr>
                <w:rFonts w:ascii="Times New Roman" w:eastAsia="Times New Roman" w:hAnsi="Times New Roman" w:cs="Times New Roman"/>
                <w:sz w:val="20"/>
                <w:szCs w:val="20"/>
                <w:lang w:eastAsia="pl-PL"/>
              </w:rPr>
              <w:t>;</w:t>
            </w:r>
          </w:p>
          <w:p w14:paraId="127C423C" w14:textId="7CF7DA56" w:rsidR="009D7AE1" w:rsidRPr="00154BF9" w:rsidRDefault="00F650EC" w:rsidP="00127ABF">
            <w:pPr>
              <w:numPr>
                <w:ilvl w:val="3"/>
                <w:numId w:val="24"/>
              </w:numPr>
              <w:spacing w:after="60" w:line="276" w:lineRule="auto"/>
              <w:jc w:val="both"/>
              <w:rPr>
                <w:rFonts w:ascii="Times New Roman" w:eastAsia="Times New Roman" w:hAnsi="Times New Roman" w:cs="Times New Roman"/>
                <w:sz w:val="20"/>
                <w:szCs w:val="20"/>
                <w:lang w:eastAsia="pl-PL"/>
              </w:rPr>
            </w:pPr>
            <w:r w:rsidRPr="00154BF9">
              <w:rPr>
                <w:rFonts w:ascii="Times New Roman" w:eastAsia="Times New Roman" w:hAnsi="Times New Roman" w:cs="Times New Roman"/>
                <w:sz w:val="20"/>
                <w:szCs w:val="20"/>
                <w:lang w:eastAsia="pl-PL"/>
              </w:rPr>
              <w:t>p</w:t>
            </w:r>
            <w:r w:rsidR="009D7AE1" w:rsidRPr="00154BF9">
              <w:rPr>
                <w:rFonts w:ascii="Times New Roman" w:eastAsia="Times New Roman" w:hAnsi="Times New Roman" w:cs="Times New Roman"/>
                <w:sz w:val="20"/>
                <w:szCs w:val="20"/>
                <w:lang w:eastAsia="pl-PL"/>
              </w:rPr>
              <w:t>rzekazywanie</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informacji</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sprawozdawczo-rozliczeniowych</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NFZ:</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informacje</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przekazuje</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się</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do</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NFZ</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formie</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papierowej</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lub</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w</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formie</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elektronicznej,</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zgodnie</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z</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wymaganiami</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opublikowanymi</w:t>
            </w:r>
            <w:r w:rsidR="0052643B" w:rsidRPr="00154BF9">
              <w:rPr>
                <w:rFonts w:ascii="Times New Roman" w:eastAsia="Times New Roman" w:hAnsi="Times New Roman" w:cs="Times New Roman"/>
                <w:sz w:val="20"/>
                <w:szCs w:val="20"/>
                <w:lang w:eastAsia="pl-PL"/>
              </w:rPr>
              <w:t xml:space="preserve"> </w:t>
            </w:r>
            <w:r w:rsidR="009D7AE1" w:rsidRPr="00154BF9">
              <w:rPr>
                <w:rFonts w:ascii="Times New Roman" w:eastAsia="Times New Roman" w:hAnsi="Times New Roman" w:cs="Times New Roman"/>
                <w:sz w:val="20"/>
                <w:szCs w:val="20"/>
                <w:lang w:eastAsia="pl-PL"/>
              </w:rPr>
              <w:t>przez</w:t>
            </w:r>
            <w:r w:rsidR="0052643B" w:rsidRPr="00154BF9">
              <w:rPr>
                <w:rFonts w:ascii="Times New Roman" w:eastAsia="Times New Roman" w:hAnsi="Times New Roman" w:cs="Times New Roman"/>
                <w:sz w:val="20"/>
                <w:szCs w:val="20"/>
                <w:lang w:eastAsia="pl-PL"/>
              </w:rPr>
              <w:t xml:space="preserve"> </w:t>
            </w:r>
            <w:r w:rsidRPr="00154BF9">
              <w:rPr>
                <w:rFonts w:ascii="Times New Roman" w:eastAsia="Times New Roman" w:hAnsi="Times New Roman" w:cs="Times New Roman"/>
                <w:sz w:val="20"/>
                <w:szCs w:val="20"/>
                <w:lang w:eastAsia="pl-PL"/>
              </w:rPr>
              <w:t>NFZ.</w:t>
            </w:r>
          </w:p>
          <w:p w14:paraId="4405A80D" w14:textId="77777777" w:rsidR="009D7AE1" w:rsidRPr="00154BF9" w:rsidRDefault="009D7AE1" w:rsidP="0052643B">
            <w:pPr>
              <w:spacing w:after="60" w:line="276" w:lineRule="auto"/>
              <w:jc w:val="both"/>
              <w:rPr>
                <w:rFonts w:ascii="Times New Roman" w:eastAsia="Times New Roman" w:hAnsi="Times New Roman" w:cs="Times New Roman"/>
                <w:b/>
                <w:sz w:val="20"/>
                <w:szCs w:val="20"/>
                <w:lang w:eastAsia="pl-PL"/>
              </w:rPr>
            </w:pPr>
          </w:p>
        </w:tc>
      </w:tr>
    </w:tbl>
    <w:p w14:paraId="7CF8CB3F" w14:textId="77777777" w:rsidR="00D41D26" w:rsidRPr="00154BF9" w:rsidRDefault="00D41D26"/>
    <w:sectPr w:rsidR="00D41D26" w:rsidRPr="00154BF9" w:rsidSect="00801171">
      <w:pgSz w:w="16838" w:h="11906" w:orient="landscape" w:code="9"/>
      <w:pgMar w:top="1588" w:right="720" w:bottom="1418"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A73FF3" w14:textId="77777777" w:rsidR="00801171" w:rsidRDefault="00801171" w:rsidP="009D7AE1">
      <w:pPr>
        <w:spacing w:after="0" w:line="240" w:lineRule="auto"/>
      </w:pPr>
      <w:r>
        <w:separator/>
      </w:r>
    </w:p>
  </w:endnote>
  <w:endnote w:type="continuationSeparator" w:id="0">
    <w:p w14:paraId="519ACA50" w14:textId="77777777" w:rsidR="00801171" w:rsidRDefault="00801171" w:rsidP="009D7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996302" w14:textId="77777777" w:rsidR="00801171" w:rsidRDefault="00801171" w:rsidP="009D7AE1">
      <w:pPr>
        <w:spacing w:after="0" w:line="240" w:lineRule="auto"/>
      </w:pPr>
      <w:r>
        <w:separator/>
      </w:r>
    </w:p>
  </w:footnote>
  <w:footnote w:type="continuationSeparator" w:id="0">
    <w:p w14:paraId="108BCFEB" w14:textId="77777777" w:rsidR="00801171" w:rsidRDefault="00801171" w:rsidP="009D7A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D7DC4"/>
    <w:multiLevelType w:val="hybridMultilevel"/>
    <w:tmpl w:val="AC84C55C"/>
    <w:lvl w:ilvl="0" w:tplc="FFFFFFFF">
      <w:start w:val="1"/>
      <w:numFmt w:val="decimal"/>
      <w:suff w:val="space"/>
      <w:lvlText w:val="%1)"/>
      <w:lvlJc w:val="left"/>
      <w:pPr>
        <w:ind w:left="454" w:hanging="227"/>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5041C6"/>
    <w:multiLevelType w:val="multilevel"/>
    <w:tmpl w:val="4560DF24"/>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3)"/>
      <w:lvlJc w:val="left"/>
      <w:pPr>
        <w:ind w:left="454" w:hanging="227"/>
      </w:pPr>
      <w:rPr>
        <w:rFonts w:hint="default"/>
        <w:b w:val="0"/>
        <w:bCs/>
      </w:rPr>
    </w:lvl>
    <w:lvl w:ilvl="3">
      <w:start w:val="1"/>
      <w:numFmt w:val="lowerLetter"/>
      <w:suff w:val="space"/>
      <w:lvlText w:val="%4)"/>
      <w:lvlJc w:val="left"/>
      <w:pPr>
        <w:ind w:left="680" w:hanging="226"/>
      </w:pPr>
      <w:rPr>
        <w:rFonts w:hint="default"/>
      </w:rPr>
    </w:lvl>
    <w:lvl w:ilvl="4">
      <w:start w:val="1"/>
      <w:numFmt w:val="bullet"/>
      <w:suff w:val="space"/>
      <w:lvlText w:val=""/>
      <w:lvlJc w:val="left"/>
      <w:pPr>
        <w:ind w:left="907" w:hanging="227"/>
      </w:pPr>
      <w:rPr>
        <w:rFonts w:ascii="Symbol" w:hAnsi="Symbol" w:hint="default"/>
      </w:rPr>
    </w:lvl>
    <w:lvl w:ilvl="5">
      <w:start w:val="1"/>
      <w:numFmt w:val="lowerRoman"/>
      <w:lvlText w:val="%6."/>
      <w:lvlJc w:val="left"/>
      <w:pPr>
        <w:ind w:left="1134" w:hanging="227"/>
      </w:pPr>
      <w:rPr>
        <w:rFonts w:hint="default"/>
      </w:rPr>
    </w:lvl>
    <w:lvl w:ilvl="6">
      <w:start w:val="1"/>
      <w:numFmt w:val="decimal"/>
      <w:lvlText w:val="%1.%2.%3.%4.%5.%6.%7."/>
      <w:lvlJc w:val="left"/>
      <w:pPr>
        <w:ind w:left="3446" w:hanging="1080"/>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2" w15:restartNumberingAfterBreak="0">
    <w:nsid w:val="08391536"/>
    <w:multiLevelType w:val="hybridMultilevel"/>
    <w:tmpl w:val="AC84C55C"/>
    <w:lvl w:ilvl="0" w:tplc="E64C7CE2">
      <w:start w:val="1"/>
      <w:numFmt w:val="decimal"/>
      <w:suff w:val="space"/>
      <w:lvlText w:val="%1)"/>
      <w:lvlJc w:val="left"/>
      <w:pPr>
        <w:ind w:left="454" w:hanging="227"/>
      </w:pPr>
      <w:rPr>
        <w:rFonts w:hint="default"/>
        <w:i w:val="0"/>
        <w:iCs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A812393"/>
    <w:multiLevelType w:val="multilevel"/>
    <w:tmpl w:val="4560DF24"/>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3)"/>
      <w:lvlJc w:val="left"/>
      <w:pPr>
        <w:ind w:left="454" w:hanging="227"/>
      </w:pPr>
      <w:rPr>
        <w:rFonts w:hint="default"/>
        <w:b w:val="0"/>
        <w:bCs/>
      </w:rPr>
    </w:lvl>
    <w:lvl w:ilvl="3">
      <w:start w:val="1"/>
      <w:numFmt w:val="lowerLetter"/>
      <w:suff w:val="space"/>
      <w:lvlText w:val="%4)"/>
      <w:lvlJc w:val="left"/>
      <w:pPr>
        <w:ind w:left="680" w:hanging="226"/>
      </w:pPr>
      <w:rPr>
        <w:rFonts w:hint="default"/>
      </w:rPr>
    </w:lvl>
    <w:lvl w:ilvl="4">
      <w:start w:val="1"/>
      <w:numFmt w:val="bullet"/>
      <w:suff w:val="space"/>
      <w:lvlText w:val=""/>
      <w:lvlJc w:val="left"/>
      <w:pPr>
        <w:ind w:left="907" w:hanging="227"/>
      </w:pPr>
      <w:rPr>
        <w:rFonts w:ascii="Symbol" w:hAnsi="Symbol" w:hint="default"/>
      </w:rPr>
    </w:lvl>
    <w:lvl w:ilvl="5">
      <w:start w:val="1"/>
      <w:numFmt w:val="lowerRoman"/>
      <w:lvlText w:val="%6."/>
      <w:lvlJc w:val="left"/>
      <w:pPr>
        <w:ind w:left="1134" w:hanging="227"/>
      </w:pPr>
      <w:rPr>
        <w:rFonts w:hint="default"/>
      </w:rPr>
    </w:lvl>
    <w:lvl w:ilvl="6">
      <w:start w:val="1"/>
      <w:numFmt w:val="decimal"/>
      <w:lvlText w:val="%1.%2.%3.%4.%5.%6.%7."/>
      <w:lvlJc w:val="left"/>
      <w:pPr>
        <w:ind w:left="3446" w:hanging="1080"/>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4" w15:restartNumberingAfterBreak="0">
    <w:nsid w:val="0E8422D1"/>
    <w:multiLevelType w:val="multilevel"/>
    <w:tmpl w:val="4560DF24"/>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3)"/>
      <w:lvlJc w:val="left"/>
      <w:pPr>
        <w:ind w:left="454" w:hanging="227"/>
      </w:pPr>
      <w:rPr>
        <w:rFonts w:hint="default"/>
        <w:b w:val="0"/>
        <w:bCs/>
      </w:rPr>
    </w:lvl>
    <w:lvl w:ilvl="3">
      <w:start w:val="1"/>
      <w:numFmt w:val="lowerLetter"/>
      <w:suff w:val="space"/>
      <w:lvlText w:val="%4)"/>
      <w:lvlJc w:val="left"/>
      <w:pPr>
        <w:ind w:left="680" w:hanging="226"/>
      </w:pPr>
      <w:rPr>
        <w:rFonts w:hint="default"/>
      </w:rPr>
    </w:lvl>
    <w:lvl w:ilvl="4">
      <w:start w:val="1"/>
      <w:numFmt w:val="bullet"/>
      <w:suff w:val="space"/>
      <w:lvlText w:val=""/>
      <w:lvlJc w:val="left"/>
      <w:pPr>
        <w:ind w:left="907" w:hanging="227"/>
      </w:pPr>
      <w:rPr>
        <w:rFonts w:ascii="Symbol" w:hAnsi="Symbol" w:hint="default"/>
      </w:rPr>
    </w:lvl>
    <w:lvl w:ilvl="5">
      <w:start w:val="1"/>
      <w:numFmt w:val="lowerRoman"/>
      <w:lvlText w:val="%6."/>
      <w:lvlJc w:val="left"/>
      <w:pPr>
        <w:ind w:left="1134" w:hanging="227"/>
      </w:pPr>
      <w:rPr>
        <w:rFonts w:hint="default"/>
      </w:rPr>
    </w:lvl>
    <w:lvl w:ilvl="6">
      <w:start w:val="1"/>
      <w:numFmt w:val="decimal"/>
      <w:lvlText w:val="%1.%2.%3.%4.%5.%6.%7."/>
      <w:lvlJc w:val="left"/>
      <w:pPr>
        <w:ind w:left="3446" w:hanging="1080"/>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5" w15:restartNumberingAfterBreak="0">
    <w:nsid w:val="11A8124F"/>
    <w:multiLevelType w:val="multilevel"/>
    <w:tmpl w:val="9800E494"/>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val="0"/>
        <w:bCs w:val="0"/>
      </w:rPr>
    </w:lvl>
    <w:lvl w:ilvl="2">
      <w:start w:val="1"/>
      <w:numFmt w:val="decimal"/>
      <w:suff w:val="space"/>
      <w:lvlText w:val="%3)"/>
      <w:lvlJc w:val="left"/>
      <w:pPr>
        <w:ind w:left="397" w:hanging="227"/>
      </w:pPr>
      <w:rPr>
        <w:rFonts w:hint="default"/>
        <w:b w:val="0"/>
        <w:bCs/>
      </w:rPr>
    </w:lvl>
    <w:lvl w:ilvl="3">
      <w:start w:val="1"/>
      <w:numFmt w:val="lowerLetter"/>
      <w:suff w:val="space"/>
      <w:lvlText w:val="%4)"/>
      <w:lvlJc w:val="left"/>
      <w:pPr>
        <w:ind w:left="567" w:hanging="227"/>
      </w:pPr>
      <w:rPr>
        <w:rFonts w:hint="default"/>
      </w:rPr>
    </w:lvl>
    <w:lvl w:ilvl="4">
      <w:start w:val="1"/>
      <w:numFmt w:val="bullet"/>
      <w:suff w:val="space"/>
      <w:lvlText w:val=""/>
      <w:lvlJc w:val="left"/>
      <w:pPr>
        <w:ind w:left="680" w:hanging="170"/>
      </w:pPr>
      <w:rPr>
        <w:rFonts w:ascii="Symbol" w:hAnsi="Symbol" w:hint="default"/>
      </w:rPr>
    </w:lvl>
    <w:lvl w:ilvl="5">
      <w:start w:val="1"/>
      <w:numFmt w:val="decimal"/>
      <w:lvlText w:val="%1.%2.%3.%4.%5.%6."/>
      <w:lvlJc w:val="left"/>
      <w:pPr>
        <w:ind w:left="2942" w:hanging="936"/>
      </w:pPr>
      <w:rPr>
        <w:rFonts w:hint="default"/>
      </w:rPr>
    </w:lvl>
    <w:lvl w:ilvl="6">
      <w:start w:val="1"/>
      <w:numFmt w:val="decimal"/>
      <w:lvlText w:val="%1.%2.%3.%4.%5.%6.%7."/>
      <w:lvlJc w:val="left"/>
      <w:pPr>
        <w:ind w:left="3446" w:hanging="1080"/>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6" w15:restartNumberingAfterBreak="0">
    <w:nsid w:val="138872DC"/>
    <w:multiLevelType w:val="multilevel"/>
    <w:tmpl w:val="50C8944E"/>
    <w:lvl w:ilvl="0">
      <w:start w:val="1"/>
      <w:numFmt w:val="decimal"/>
      <w:suff w:val="space"/>
      <w:lvlText w:val="%1."/>
      <w:lvlJc w:val="left"/>
      <w:pPr>
        <w:ind w:left="227" w:hanging="227"/>
      </w:pPr>
      <w:rPr>
        <w:b/>
      </w:rPr>
    </w:lvl>
    <w:lvl w:ilvl="1">
      <w:start w:val="1"/>
      <w:numFmt w:val="decimal"/>
      <w:suff w:val="space"/>
      <w:lvlText w:val="%1.%2."/>
      <w:lvlJc w:val="left"/>
      <w:pPr>
        <w:ind w:left="227" w:hanging="227"/>
      </w:pPr>
      <w:rPr>
        <w:b w:val="0"/>
        <w:bCs w:val="0"/>
      </w:rPr>
    </w:lvl>
    <w:lvl w:ilvl="2">
      <w:start w:val="1"/>
      <w:numFmt w:val="decimal"/>
      <w:suff w:val="space"/>
      <w:lvlText w:val="%1.%2.%3."/>
      <w:lvlJc w:val="left"/>
      <w:pPr>
        <w:ind w:left="227" w:hanging="227"/>
      </w:pPr>
      <w:rPr>
        <w:b/>
        <w:bCs/>
        <w:i w:val="0"/>
      </w:rPr>
    </w:lvl>
    <w:lvl w:ilvl="3">
      <w:start w:val="1"/>
      <w:numFmt w:val="decimal"/>
      <w:suff w:val="space"/>
      <w:lvlText w:val="%4)"/>
      <w:lvlJc w:val="left"/>
      <w:pPr>
        <w:ind w:left="454" w:hanging="227"/>
      </w:pPr>
      <w:rPr>
        <w:b w:val="0"/>
        <w:bCs w:val="0"/>
      </w:rPr>
    </w:lvl>
    <w:lvl w:ilvl="4">
      <w:start w:val="1"/>
      <w:numFmt w:val="lowerLetter"/>
      <w:suff w:val="space"/>
      <w:lvlText w:val="%5)"/>
      <w:lvlJc w:val="left"/>
      <w:pPr>
        <w:ind w:left="680" w:hanging="226"/>
      </w:pPr>
      <w:rPr>
        <w:b w:val="0"/>
        <w:bCs w:val="0"/>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lvl>
    <w:lvl w:ilvl="7">
      <w:start w:val="1"/>
      <w:numFmt w:val="decimal"/>
      <w:lvlText w:val="%1.%2.%3.%4.%5.%6.%7.%8."/>
      <w:lvlJc w:val="left"/>
      <w:pPr>
        <w:ind w:left="3950" w:hanging="1224"/>
      </w:pPr>
    </w:lvl>
    <w:lvl w:ilvl="8">
      <w:start w:val="1"/>
      <w:numFmt w:val="decimal"/>
      <w:lvlText w:val="%1.%2.%3.%4.%5.%6.%7.%8.%9."/>
      <w:lvlJc w:val="left"/>
      <w:pPr>
        <w:ind w:left="4526" w:hanging="1440"/>
      </w:pPr>
    </w:lvl>
  </w:abstractNum>
  <w:abstractNum w:abstractNumId="7" w15:restartNumberingAfterBreak="0">
    <w:nsid w:val="1BAB2362"/>
    <w:multiLevelType w:val="hybridMultilevel"/>
    <w:tmpl w:val="AC84C55C"/>
    <w:lvl w:ilvl="0" w:tplc="FFFFFFFF">
      <w:start w:val="1"/>
      <w:numFmt w:val="decimal"/>
      <w:suff w:val="space"/>
      <w:lvlText w:val="%1)"/>
      <w:lvlJc w:val="left"/>
      <w:pPr>
        <w:ind w:left="454" w:hanging="227"/>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D82EEB"/>
    <w:multiLevelType w:val="multilevel"/>
    <w:tmpl w:val="50C8944E"/>
    <w:lvl w:ilvl="0">
      <w:start w:val="1"/>
      <w:numFmt w:val="decimal"/>
      <w:suff w:val="space"/>
      <w:lvlText w:val="%1."/>
      <w:lvlJc w:val="left"/>
      <w:pPr>
        <w:ind w:left="227" w:hanging="227"/>
      </w:pPr>
      <w:rPr>
        <w:b/>
      </w:rPr>
    </w:lvl>
    <w:lvl w:ilvl="1">
      <w:start w:val="1"/>
      <w:numFmt w:val="decimal"/>
      <w:suff w:val="space"/>
      <w:lvlText w:val="%1.%2."/>
      <w:lvlJc w:val="left"/>
      <w:pPr>
        <w:ind w:left="227" w:hanging="227"/>
      </w:pPr>
      <w:rPr>
        <w:b w:val="0"/>
        <w:bCs w:val="0"/>
      </w:rPr>
    </w:lvl>
    <w:lvl w:ilvl="2">
      <w:start w:val="1"/>
      <w:numFmt w:val="decimal"/>
      <w:suff w:val="space"/>
      <w:lvlText w:val="%1.%2.%3."/>
      <w:lvlJc w:val="left"/>
      <w:pPr>
        <w:ind w:left="227" w:hanging="227"/>
      </w:pPr>
      <w:rPr>
        <w:b/>
        <w:bCs/>
        <w:i w:val="0"/>
      </w:rPr>
    </w:lvl>
    <w:lvl w:ilvl="3">
      <w:start w:val="1"/>
      <w:numFmt w:val="decimal"/>
      <w:suff w:val="space"/>
      <w:lvlText w:val="%4)"/>
      <w:lvlJc w:val="left"/>
      <w:pPr>
        <w:ind w:left="454" w:hanging="227"/>
      </w:pPr>
      <w:rPr>
        <w:b w:val="0"/>
        <w:bCs w:val="0"/>
      </w:rPr>
    </w:lvl>
    <w:lvl w:ilvl="4">
      <w:start w:val="1"/>
      <w:numFmt w:val="lowerLetter"/>
      <w:suff w:val="space"/>
      <w:lvlText w:val="%5)"/>
      <w:lvlJc w:val="left"/>
      <w:pPr>
        <w:ind w:left="680" w:hanging="226"/>
      </w:pPr>
      <w:rPr>
        <w:b w:val="0"/>
        <w:bCs w:val="0"/>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lvl>
    <w:lvl w:ilvl="7">
      <w:start w:val="1"/>
      <w:numFmt w:val="decimal"/>
      <w:lvlText w:val="%1.%2.%3.%4.%5.%6.%7.%8."/>
      <w:lvlJc w:val="left"/>
      <w:pPr>
        <w:ind w:left="3950" w:hanging="1224"/>
      </w:pPr>
    </w:lvl>
    <w:lvl w:ilvl="8">
      <w:start w:val="1"/>
      <w:numFmt w:val="decimal"/>
      <w:lvlText w:val="%1.%2.%3.%4.%5.%6.%7.%8.%9."/>
      <w:lvlJc w:val="left"/>
      <w:pPr>
        <w:ind w:left="4526" w:hanging="1440"/>
      </w:pPr>
    </w:lvl>
  </w:abstractNum>
  <w:abstractNum w:abstractNumId="9" w15:restartNumberingAfterBreak="0">
    <w:nsid w:val="25F3174F"/>
    <w:multiLevelType w:val="hybridMultilevel"/>
    <w:tmpl w:val="D0C6FB6A"/>
    <w:lvl w:ilvl="0" w:tplc="14D8F948">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15:restartNumberingAfterBreak="0">
    <w:nsid w:val="26DA2DB1"/>
    <w:multiLevelType w:val="hybridMultilevel"/>
    <w:tmpl w:val="7FC8A350"/>
    <w:lvl w:ilvl="0" w:tplc="04150017">
      <w:start w:val="1"/>
      <w:numFmt w:val="lowerLetter"/>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97348B6"/>
    <w:multiLevelType w:val="multilevel"/>
    <w:tmpl w:val="50C8944E"/>
    <w:lvl w:ilvl="0">
      <w:start w:val="1"/>
      <w:numFmt w:val="decimal"/>
      <w:suff w:val="space"/>
      <w:lvlText w:val="%1."/>
      <w:lvlJc w:val="left"/>
      <w:pPr>
        <w:ind w:left="227" w:hanging="227"/>
      </w:pPr>
      <w:rPr>
        <w:b/>
      </w:rPr>
    </w:lvl>
    <w:lvl w:ilvl="1">
      <w:start w:val="1"/>
      <w:numFmt w:val="decimal"/>
      <w:suff w:val="space"/>
      <w:lvlText w:val="%1.%2."/>
      <w:lvlJc w:val="left"/>
      <w:pPr>
        <w:ind w:left="227" w:hanging="227"/>
      </w:pPr>
      <w:rPr>
        <w:b w:val="0"/>
        <w:bCs w:val="0"/>
      </w:rPr>
    </w:lvl>
    <w:lvl w:ilvl="2">
      <w:start w:val="1"/>
      <w:numFmt w:val="decimal"/>
      <w:suff w:val="space"/>
      <w:lvlText w:val="%1.%2.%3."/>
      <w:lvlJc w:val="left"/>
      <w:pPr>
        <w:ind w:left="227" w:hanging="227"/>
      </w:pPr>
      <w:rPr>
        <w:b/>
        <w:bCs/>
        <w:i w:val="0"/>
      </w:rPr>
    </w:lvl>
    <w:lvl w:ilvl="3">
      <w:start w:val="1"/>
      <w:numFmt w:val="decimal"/>
      <w:suff w:val="space"/>
      <w:lvlText w:val="%4)"/>
      <w:lvlJc w:val="left"/>
      <w:pPr>
        <w:ind w:left="454" w:hanging="227"/>
      </w:pPr>
      <w:rPr>
        <w:b w:val="0"/>
        <w:bCs w:val="0"/>
      </w:rPr>
    </w:lvl>
    <w:lvl w:ilvl="4">
      <w:start w:val="1"/>
      <w:numFmt w:val="lowerLetter"/>
      <w:suff w:val="space"/>
      <w:lvlText w:val="%5)"/>
      <w:lvlJc w:val="left"/>
      <w:pPr>
        <w:ind w:left="680" w:hanging="226"/>
      </w:pPr>
      <w:rPr>
        <w:b w:val="0"/>
        <w:bCs w:val="0"/>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lvl>
    <w:lvl w:ilvl="7">
      <w:start w:val="1"/>
      <w:numFmt w:val="decimal"/>
      <w:lvlText w:val="%1.%2.%3.%4.%5.%6.%7.%8."/>
      <w:lvlJc w:val="left"/>
      <w:pPr>
        <w:ind w:left="3950" w:hanging="1224"/>
      </w:pPr>
    </w:lvl>
    <w:lvl w:ilvl="8">
      <w:start w:val="1"/>
      <w:numFmt w:val="decimal"/>
      <w:lvlText w:val="%1.%2.%3.%4.%5.%6.%7.%8.%9."/>
      <w:lvlJc w:val="left"/>
      <w:pPr>
        <w:ind w:left="4526" w:hanging="1440"/>
      </w:pPr>
    </w:lvl>
  </w:abstractNum>
  <w:abstractNum w:abstractNumId="12" w15:restartNumberingAfterBreak="0">
    <w:nsid w:val="2B1D2033"/>
    <w:multiLevelType w:val="multilevel"/>
    <w:tmpl w:val="960E2AC0"/>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val="0"/>
        <w:bCs w:val="0"/>
      </w:rPr>
    </w:lvl>
    <w:lvl w:ilvl="2">
      <w:start w:val="1"/>
      <w:numFmt w:val="decimal"/>
      <w:suff w:val="space"/>
      <w:lvlText w:val="%3)"/>
      <w:lvlJc w:val="left"/>
      <w:pPr>
        <w:ind w:left="397" w:hanging="227"/>
      </w:pPr>
      <w:rPr>
        <w:rFonts w:hint="default"/>
        <w:b w:val="0"/>
        <w:bCs/>
      </w:rPr>
    </w:lvl>
    <w:lvl w:ilvl="3">
      <w:start w:val="1"/>
      <w:numFmt w:val="lowerLetter"/>
      <w:suff w:val="space"/>
      <w:lvlText w:val="%4)"/>
      <w:lvlJc w:val="left"/>
      <w:pPr>
        <w:ind w:left="567" w:hanging="227"/>
      </w:pPr>
      <w:rPr>
        <w:rFonts w:hint="default"/>
      </w:rPr>
    </w:lvl>
    <w:lvl w:ilvl="4">
      <w:start w:val="1"/>
      <w:numFmt w:val="bullet"/>
      <w:lvlText w:val=""/>
      <w:lvlJc w:val="left"/>
      <w:pPr>
        <w:ind w:left="870" w:hanging="360"/>
      </w:pPr>
      <w:rPr>
        <w:rFonts w:ascii="Symbol" w:hAnsi="Symbol" w:hint="default"/>
      </w:rPr>
    </w:lvl>
    <w:lvl w:ilvl="5">
      <w:start w:val="1"/>
      <w:numFmt w:val="decimal"/>
      <w:lvlText w:val="%1.%2.%3.%4.%5.%6."/>
      <w:lvlJc w:val="left"/>
      <w:pPr>
        <w:ind w:left="2942" w:hanging="936"/>
      </w:pPr>
      <w:rPr>
        <w:rFonts w:hint="default"/>
      </w:rPr>
    </w:lvl>
    <w:lvl w:ilvl="6">
      <w:start w:val="1"/>
      <w:numFmt w:val="decimal"/>
      <w:lvlText w:val="%1.%2.%3.%4.%5.%6.%7."/>
      <w:lvlJc w:val="left"/>
      <w:pPr>
        <w:ind w:left="3446" w:hanging="1080"/>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13" w15:restartNumberingAfterBreak="0">
    <w:nsid w:val="2E7A4ADD"/>
    <w:multiLevelType w:val="multilevel"/>
    <w:tmpl w:val="84A40444"/>
    <w:lvl w:ilvl="0">
      <w:start w:val="1"/>
      <w:numFmt w:val="decimal"/>
      <w:suff w:val="space"/>
      <w:lvlText w:val="%1."/>
      <w:lvlJc w:val="left"/>
      <w:pPr>
        <w:ind w:left="227" w:hanging="227"/>
      </w:pPr>
      <w:rPr>
        <w:b/>
      </w:rPr>
    </w:lvl>
    <w:lvl w:ilvl="1">
      <w:start w:val="1"/>
      <w:numFmt w:val="decimal"/>
      <w:suff w:val="space"/>
      <w:lvlText w:val="%1.%2."/>
      <w:lvlJc w:val="left"/>
      <w:pPr>
        <w:ind w:left="227" w:hanging="227"/>
      </w:pPr>
      <w:rPr>
        <w:b/>
        <w:bCs/>
      </w:rPr>
    </w:lvl>
    <w:lvl w:ilvl="2">
      <w:start w:val="1"/>
      <w:numFmt w:val="decimal"/>
      <w:suff w:val="space"/>
      <w:lvlText w:val="%1.%2.%3."/>
      <w:lvlJc w:val="left"/>
      <w:pPr>
        <w:ind w:left="227" w:hanging="227"/>
      </w:pPr>
      <w:rPr>
        <w:b/>
        <w:bCs/>
        <w:i w:val="0"/>
      </w:rPr>
    </w:lvl>
    <w:lvl w:ilvl="3">
      <w:start w:val="1"/>
      <w:numFmt w:val="decimal"/>
      <w:suff w:val="space"/>
      <w:lvlText w:val="%4)"/>
      <w:lvlJc w:val="left"/>
      <w:pPr>
        <w:ind w:left="454" w:hanging="227"/>
      </w:pPr>
      <w:rPr>
        <w:b w:val="0"/>
        <w:bCs w:val="0"/>
      </w:rPr>
    </w:lvl>
    <w:lvl w:ilvl="4">
      <w:start w:val="1"/>
      <w:numFmt w:val="lowerLetter"/>
      <w:suff w:val="space"/>
      <w:lvlText w:val="%5)"/>
      <w:lvlJc w:val="left"/>
      <w:pPr>
        <w:ind w:left="680" w:hanging="226"/>
      </w:pPr>
      <w:rPr>
        <w:b w:val="0"/>
        <w:bCs w:val="0"/>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lvl>
    <w:lvl w:ilvl="7">
      <w:start w:val="1"/>
      <w:numFmt w:val="decimal"/>
      <w:lvlText w:val="%1.%2.%3.%4.%5.%6.%7.%8."/>
      <w:lvlJc w:val="left"/>
      <w:pPr>
        <w:ind w:left="3950" w:hanging="1224"/>
      </w:pPr>
    </w:lvl>
    <w:lvl w:ilvl="8">
      <w:start w:val="1"/>
      <w:numFmt w:val="decimal"/>
      <w:lvlText w:val="%1.%2.%3.%4.%5.%6.%7.%8.%9."/>
      <w:lvlJc w:val="left"/>
      <w:pPr>
        <w:ind w:left="4526" w:hanging="1440"/>
      </w:pPr>
    </w:lvl>
  </w:abstractNum>
  <w:abstractNum w:abstractNumId="14" w15:restartNumberingAfterBreak="0">
    <w:nsid w:val="31D20C20"/>
    <w:multiLevelType w:val="hybridMultilevel"/>
    <w:tmpl w:val="C9BCABE6"/>
    <w:lvl w:ilvl="0" w:tplc="14D8F94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4C94405"/>
    <w:multiLevelType w:val="multilevel"/>
    <w:tmpl w:val="50C8944E"/>
    <w:lvl w:ilvl="0">
      <w:start w:val="1"/>
      <w:numFmt w:val="decimal"/>
      <w:suff w:val="space"/>
      <w:lvlText w:val="%1."/>
      <w:lvlJc w:val="left"/>
      <w:pPr>
        <w:ind w:left="227" w:hanging="227"/>
      </w:pPr>
      <w:rPr>
        <w:b/>
      </w:rPr>
    </w:lvl>
    <w:lvl w:ilvl="1">
      <w:start w:val="1"/>
      <w:numFmt w:val="decimal"/>
      <w:suff w:val="space"/>
      <w:lvlText w:val="%1.%2."/>
      <w:lvlJc w:val="left"/>
      <w:pPr>
        <w:ind w:left="227" w:hanging="227"/>
      </w:pPr>
      <w:rPr>
        <w:b w:val="0"/>
        <w:bCs w:val="0"/>
      </w:rPr>
    </w:lvl>
    <w:lvl w:ilvl="2">
      <w:start w:val="1"/>
      <w:numFmt w:val="decimal"/>
      <w:suff w:val="space"/>
      <w:lvlText w:val="%1.%2.%3."/>
      <w:lvlJc w:val="left"/>
      <w:pPr>
        <w:ind w:left="227" w:hanging="227"/>
      </w:pPr>
      <w:rPr>
        <w:b/>
        <w:bCs/>
        <w:i w:val="0"/>
      </w:rPr>
    </w:lvl>
    <w:lvl w:ilvl="3">
      <w:start w:val="1"/>
      <w:numFmt w:val="decimal"/>
      <w:suff w:val="space"/>
      <w:lvlText w:val="%4)"/>
      <w:lvlJc w:val="left"/>
      <w:pPr>
        <w:ind w:left="454" w:hanging="227"/>
      </w:pPr>
      <w:rPr>
        <w:b w:val="0"/>
        <w:bCs w:val="0"/>
      </w:rPr>
    </w:lvl>
    <w:lvl w:ilvl="4">
      <w:start w:val="1"/>
      <w:numFmt w:val="lowerLetter"/>
      <w:suff w:val="space"/>
      <w:lvlText w:val="%5)"/>
      <w:lvlJc w:val="left"/>
      <w:pPr>
        <w:ind w:left="680" w:hanging="226"/>
      </w:pPr>
      <w:rPr>
        <w:b w:val="0"/>
        <w:bCs w:val="0"/>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lvl>
    <w:lvl w:ilvl="7">
      <w:start w:val="1"/>
      <w:numFmt w:val="decimal"/>
      <w:lvlText w:val="%1.%2.%3.%4.%5.%6.%7.%8."/>
      <w:lvlJc w:val="left"/>
      <w:pPr>
        <w:ind w:left="3950" w:hanging="1224"/>
      </w:pPr>
    </w:lvl>
    <w:lvl w:ilvl="8">
      <w:start w:val="1"/>
      <w:numFmt w:val="decimal"/>
      <w:lvlText w:val="%1.%2.%3.%4.%5.%6.%7.%8.%9."/>
      <w:lvlJc w:val="left"/>
      <w:pPr>
        <w:ind w:left="4526" w:hanging="1440"/>
      </w:pPr>
    </w:lvl>
  </w:abstractNum>
  <w:abstractNum w:abstractNumId="16" w15:restartNumberingAfterBreak="0">
    <w:nsid w:val="451576CD"/>
    <w:multiLevelType w:val="multilevel"/>
    <w:tmpl w:val="4560DF24"/>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3)"/>
      <w:lvlJc w:val="left"/>
      <w:pPr>
        <w:ind w:left="454" w:hanging="227"/>
      </w:pPr>
      <w:rPr>
        <w:rFonts w:hint="default"/>
        <w:b w:val="0"/>
        <w:bCs/>
      </w:rPr>
    </w:lvl>
    <w:lvl w:ilvl="3">
      <w:start w:val="1"/>
      <w:numFmt w:val="lowerLetter"/>
      <w:suff w:val="space"/>
      <w:lvlText w:val="%4)"/>
      <w:lvlJc w:val="left"/>
      <w:pPr>
        <w:ind w:left="680" w:hanging="226"/>
      </w:pPr>
      <w:rPr>
        <w:rFonts w:hint="default"/>
      </w:rPr>
    </w:lvl>
    <w:lvl w:ilvl="4">
      <w:start w:val="1"/>
      <w:numFmt w:val="bullet"/>
      <w:suff w:val="space"/>
      <w:lvlText w:val=""/>
      <w:lvlJc w:val="left"/>
      <w:pPr>
        <w:ind w:left="907" w:hanging="227"/>
      </w:pPr>
      <w:rPr>
        <w:rFonts w:ascii="Symbol" w:hAnsi="Symbol" w:hint="default"/>
      </w:rPr>
    </w:lvl>
    <w:lvl w:ilvl="5">
      <w:start w:val="1"/>
      <w:numFmt w:val="lowerRoman"/>
      <w:lvlText w:val="%6."/>
      <w:lvlJc w:val="left"/>
      <w:pPr>
        <w:ind w:left="1134" w:hanging="227"/>
      </w:pPr>
      <w:rPr>
        <w:rFonts w:hint="default"/>
      </w:rPr>
    </w:lvl>
    <w:lvl w:ilvl="6">
      <w:start w:val="1"/>
      <w:numFmt w:val="decimal"/>
      <w:lvlText w:val="%1.%2.%3.%4.%5.%6.%7."/>
      <w:lvlJc w:val="left"/>
      <w:pPr>
        <w:ind w:left="3446" w:hanging="1080"/>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17" w15:restartNumberingAfterBreak="0">
    <w:nsid w:val="49B73682"/>
    <w:multiLevelType w:val="multilevel"/>
    <w:tmpl w:val="50C8944E"/>
    <w:lvl w:ilvl="0">
      <w:start w:val="1"/>
      <w:numFmt w:val="decimal"/>
      <w:suff w:val="space"/>
      <w:lvlText w:val="%1."/>
      <w:lvlJc w:val="left"/>
      <w:pPr>
        <w:ind w:left="227" w:hanging="227"/>
      </w:pPr>
      <w:rPr>
        <w:b/>
      </w:rPr>
    </w:lvl>
    <w:lvl w:ilvl="1">
      <w:start w:val="1"/>
      <w:numFmt w:val="decimal"/>
      <w:suff w:val="space"/>
      <w:lvlText w:val="%1.%2."/>
      <w:lvlJc w:val="left"/>
      <w:pPr>
        <w:ind w:left="227" w:hanging="227"/>
      </w:pPr>
      <w:rPr>
        <w:b w:val="0"/>
        <w:bCs w:val="0"/>
      </w:rPr>
    </w:lvl>
    <w:lvl w:ilvl="2">
      <w:start w:val="1"/>
      <w:numFmt w:val="decimal"/>
      <w:suff w:val="space"/>
      <w:lvlText w:val="%1.%2.%3."/>
      <w:lvlJc w:val="left"/>
      <w:pPr>
        <w:ind w:left="227" w:hanging="227"/>
      </w:pPr>
      <w:rPr>
        <w:b/>
        <w:bCs/>
        <w:i w:val="0"/>
      </w:rPr>
    </w:lvl>
    <w:lvl w:ilvl="3">
      <w:start w:val="1"/>
      <w:numFmt w:val="decimal"/>
      <w:suff w:val="space"/>
      <w:lvlText w:val="%4)"/>
      <w:lvlJc w:val="left"/>
      <w:pPr>
        <w:ind w:left="454" w:hanging="227"/>
      </w:pPr>
      <w:rPr>
        <w:b w:val="0"/>
        <w:bCs w:val="0"/>
      </w:rPr>
    </w:lvl>
    <w:lvl w:ilvl="4">
      <w:start w:val="1"/>
      <w:numFmt w:val="lowerLetter"/>
      <w:suff w:val="space"/>
      <w:lvlText w:val="%5)"/>
      <w:lvlJc w:val="left"/>
      <w:pPr>
        <w:ind w:left="680" w:hanging="226"/>
      </w:pPr>
      <w:rPr>
        <w:b w:val="0"/>
        <w:bCs w:val="0"/>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lvl>
    <w:lvl w:ilvl="7">
      <w:start w:val="1"/>
      <w:numFmt w:val="decimal"/>
      <w:lvlText w:val="%1.%2.%3.%4.%5.%6.%7.%8."/>
      <w:lvlJc w:val="left"/>
      <w:pPr>
        <w:ind w:left="3950" w:hanging="1224"/>
      </w:pPr>
    </w:lvl>
    <w:lvl w:ilvl="8">
      <w:start w:val="1"/>
      <w:numFmt w:val="decimal"/>
      <w:lvlText w:val="%1.%2.%3.%4.%5.%6.%7.%8.%9."/>
      <w:lvlJc w:val="left"/>
      <w:pPr>
        <w:ind w:left="4526" w:hanging="1440"/>
      </w:pPr>
    </w:lvl>
  </w:abstractNum>
  <w:abstractNum w:abstractNumId="18" w15:restartNumberingAfterBreak="0">
    <w:nsid w:val="50B45157"/>
    <w:multiLevelType w:val="multilevel"/>
    <w:tmpl w:val="C5A28CC4"/>
    <w:lvl w:ilvl="0">
      <w:start w:val="1"/>
      <w:numFmt w:val="decimal"/>
      <w:suff w:val="space"/>
      <w:lvlText w:val="%1."/>
      <w:lvlJc w:val="left"/>
      <w:pPr>
        <w:ind w:left="227" w:hanging="227"/>
      </w:pPr>
      <w:rPr>
        <w:b/>
      </w:rPr>
    </w:lvl>
    <w:lvl w:ilvl="1">
      <w:start w:val="1"/>
      <w:numFmt w:val="decimal"/>
      <w:suff w:val="space"/>
      <w:lvlText w:val="%1.%2."/>
      <w:lvlJc w:val="left"/>
      <w:pPr>
        <w:ind w:left="227" w:hanging="227"/>
      </w:pPr>
      <w:rPr>
        <w:b/>
        <w:bCs/>
      </w:rPr>
    </w:lvl>
    <w:lvl w:ilvl="2">
      <w:start w:val="1"/>
      <w:numFmt w:val="decimal"/>
      <w:suff w:val="space"/>
      <w:lvlText w:val="%1.%2.%3."/>
      <w:lvlJc w:val="left"/>
      <w:pPr>
        <w:ind w:left="227" w:hanging="227"/>
      </w:pPr>
      <w:rPr>
        <w:b/>
        <w:bCs/>
        <w:i w:val="0"/>
      </w:rPr>
    </w:lvl>
    <w:lvl w:ilvl="3">
      <w:start w:val="1"/>
      <w:numFmt w:val="decimal"/>
      <w:suff w:val="space"/>
      <w:lvlText w:val="%4)"/>
      <w:lvlJc w:val="left"/>
      <w:pPr>
        <w:ind w:left="454" w:hanging="227"/>
      </w:pPr>
      <w:rPr>
        <w:b w:val="0"/>
        <w:bCs w:val="0"/>
      </w:rPr>
    </w:lvl>
    <w:lvl w:ilvl="4">
      <w:start w:val="1"/>
      <w:numFmt w:val="lowerLetter"/>
      <w:suff w:val="space"/>
      <w:lvlText w:val="%5)"/>
      <w:lvlJc w:val="left"/>
      <w:pPr>
        <w:ind w:left="680" w:hanging="226"/>
      </w:pPr>
      <w:rPr>
        <w:b w:val="0"/>
        <w:bCs w:val="0"/>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lvl>
    <w:lvl w:ilvl="7">
      <w:start w:val="1"/>
      <w:numFmt w:val="decimal"/>
      <w:lvlText w:val="%1.%2.%3.%4.%5.%6.%7.%8."/>
      <w:lvlJc w:val="left"/>
      <w:pPr>
        <w:ind w:left="3950" w:hanging="1224"/>
      </w:pPr>
    </w:lvl>
    <w:lvl w:ilvl="8">
      <w:start w:val="1"/>
      <w:numFmt w:val="decimal"/>
      <w:lvlText w:val="%1.%2.%3.%4.%5.%6.%7.%8.%9."/>
      <w:lvlJc w:val="left"/>
      <w:pPr>
        <w:ind w:left="4526" w:hanging="1440"/>
      </w:pPr>
    </w:lvl>
  </w:abstractNum>
  <w:abstractNum w:abstractNumId="19" w15:restartNumberingAfterBreak="0">
    <w:nsid w:val="52DF7958"/>
    <w:multiLevelType w:val="multilevel"/>
    <w:tmpl w:val="50C8944E"/>
    <w:lvl w:ilvl="0">
      <w:start w:val="1"/>
      <w:numFmt w:val="decimal"/>
      <w:suff w:val="space"/>
      <w:lvlText w:val="%1."/>
      <w:lvlJc w:val="left"/>
      <w:pPr>
        <w:ind w:left="227" w:hanging="227"/>
      </w:pPr>
      <w:rPr>
        <w:b/>
      </w:rPr>
    </w:lvl>
    <w:lvl w:ilvl="1">
      <w:start w:val="1"/>
      <w:numFmt w:val="decimal"/>
      <w:suff w:val="space"/>
      <w:lvlText w:val="%1.%2."/>
      <w:lvlJc w:val="left"/>
      <w:pPr>
        <w:ind w:left="227" w:hanging="227"/>
      </w:pPr>
      <w:rPr>
        <w:b w:val="0"/>
        <w:bCs w:val="0"/>
      </w:rPr>
    </w:lvl>
    <w:lvl w:ilvl="2">
      <w:start w:val="1"/>
      <w:numFmt w:val="decimal"/>
      <w:suff w:val="space"/>
      <w:lvlText w:val="%1.%2.%3."/>
      <w:lvlJc w:val="left"/>
      <w:pPr>
        <w:ind w:left="227" w:hanging="227"/>
      </w:pPr>
      <w:rPr>
        <w:b/>
        <w:bCs/>
        <w:i w:val="0"/>
      </w:rPr>
    </w:lvl>
    <w:lvl w:ilvl="3">
      <w:start w:val="1"/>
      <w:numFmt w:val="decimal"/>
      <w:suff w:val="space"/>
      <w:lvlText w:val="%4)"/>
      <w:lvlJc w:val="left"/>
      <w:pPr>
        <w:ind w:left="454" w:hanging="227"/>
      </w:pPr>
      <w:rPr>
        <w:b w:val="0"/>
        <w:bCs w:val="0"/>
      </w:rPr>
    </w:lvl>
    <w:lvl w:ilvl="4">
      <w:start w:val="1"/>
      <w:numFmt w:val="lowerLetter"/>
      <w:suff w:val="space"/>
      <w:lvlText w:val="%5)"/>
      <w:lvlJc w:val="left"/>
      <w:pPr>
        <w:ind w:left="680" w:hanging="226"/>
      </w:pPr>
      <w:rPr>
        <w:b w:val="0"/>
        <w:bCs w:val="0"/>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lvl>
    <w:lvl w:ilvl="7">
      <w:start w:val="1"/>
      <w:numFmt w:val="decimal"/>
      <w:lvlText w:val="%1.%2.%3.%4.%5.%6.%7.%8."/>
      <w:lvlJc w:val="left"/>
      <w:pPr>
        <w:ind w:left="3950" w:hanging="1224"/>
      </w:pPr>
    </w:lvl>
    <w:lvl w:ilvl="8">
      <w:start w:val="1"/>
      <w:numFmt w:val="decimal"/>
      <w:lvlText w:val="%1.%2.%3.%4.%5.%6.%7.%8.%9."/>
      <w:lvlJc w:val="left"/>
      <w:pPr>
        <w:ind w:left="4526" w:hanging="1440"/>
      </w:pPr>
    </w:lvl>
  </w:abstractNum>
  <w:abstractNum w:abstractNumId="20" w15:restartNumberingAfterBreak="0">
    <w:nsid w:val="531E6E39"/>
    <w:multiLevelType w:val="multilevel"/>
    <w:tmpl w:val="4560DF24"/>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3)"/>
      <w:lvlJc w:val="left"/>
      <w:pPr>
        <w:ind w:left="454" w:hanging="227"/>
      </w:pPr>
      <w:rPr>
        <w:rFonts w:hint="default"/>
        <w:b w:val="0"/>
        <w:bCs/>
      </w:rPr>
    </w:lvl>
    <w:lvl w:ilvl="3">
      <w:start w:val="1"/>
      <w:numFmt w:val="lowerLetter"/>
      <w:suff w:val="space"/>
      <w:lvlText w:val="%4)"/>
      <w:lvlJc w:val="left"/>
      <w:pPr>
        <w:ind w:left="680" w:hanging="226"/>
      </w:pPr>
      <w:rPr>
        <w:rFonts w:hint="default"/>
      </w:rPr>
    </w:lvl>
    <w:lvl w:ilvl="4">
      <w:start w:val="1"/>
      <w:numFmt w:val="bullet"/>
      <w:suff w:val="space"/>
      <w:lvlText w:val=""/>
      <w:lvlJc w:val="left"/>
      <w:pPr>
        <w:ind w:left="907" w:hanging="227"/>
      </w:pPr>
      <w:rPr>
        <w:rFonts w:ascii="Symbol" w:hAnsi="Symbol" w:hint="default"/>
      </w:rPr>
    </w:lvl>
    <w:lvl w:ilvl="5">
      <w:start w:val="1"/>
      <w:numFmt w:val="lowerRoman"/>
      <w:lvlText w:val="%6."/>
      <w:lvlJc w:val="left"/>
      <w:pPr>
        <w:ind w:left="1134" w:hanging="227"/>
      </w:pPr>
      <w:rPr>
        <w:rFonts w:hint="default"/>
      </w:rPr>
    </w:lvl>
    <w:lvl w:ilvl="6">
      <w:start w:val="1"/>
      <w:numFmt w:val="decimal"/>
      <w:lvlText w:val="%1.%2.%3.%4.%5.%6.%7."/>
      <w:lvlJc w:val="left"/>
      <w:pPr>
        <w:ind w:left="3446" w:hanging="1080"/>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21" w15:restartNumberingAfterBreak="0">
    <w:nsid w:val="56B0735D"/>
    <w:multiLevelType w:val="hybridMultilevel"/>
    <w:tmpl w:val="E6EC93BE"/>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7">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5A1517D2"/>
    <w:multiLevelType w:val="multilevel"/>
    <w:tmpl w:val="9800E494"/>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val="0"/>
        <w:bCs w:val="0"/>
      </w:rPr>
    </w:lvl>
    <w:lvl w:ilvl="2">
      <w:start w:val="1"/>
      <w:numFmt w:val="decimal"/>
      <w:suff w:val="space"/>
      <w:lvlText w:val="%3)"/>
      <w:lvlJc w:val="left"/>
      <w:pPr>
        <w:ind w:left="397" w:hanging="227"/>
      </w:pPr>
      <w:rPr>
        <w:rFonts w:hint="default"/>
        <w:b w:val="0"/>
        <w:bCs/>
      </w:rPr>
    </w:lvl>
    <w:lvl w:ilvl="3">
      <w:start w:val="1"/>
      <w:numFmt w:val="lowerLetter"/>
      <w:suff w:val="space"/>
      <w:lvlText w:val="%4)"/>
      <w:lvlJc w:val="left"/>
      <w:pPr>
        <w:ind w:left="567" w:hanging="227"/>
      </w:pPr>
      <w:rPr>
        <w:rFonts w:hint="default"/>
      </w:rPr>
    </w:lvl>
    <w:lvl w:ilvl="4">
      <w:start w:val="1"/>
      <w:numFmt w:val="bullet"/>
      <w:suff w:val="space"/>
      <w:lvlText w:val=""/>
      <w:lvlJc w:val="left"/>
      <w:pPr>
        <w:ind w:left="680" w:hanging="170"/>
      </w:pPr>
      <w:rPr>
        <w:rFonts w:ascii="Symbol" w:hAnsi="Symbol" w:hint="default"/>
      </w:rPr>
    </w:lvl>
    <w:lvl w:ilvl="5">
      <w:start w:val="1"/>
      <w:numFmt w:val="decimal"/>
      <w:lvlText w:val="%1.%2.%3.%4.%5.%6."/>
      <w:lvlJc w:val="left"/>
      <w:pPr>
        <w:ind w:left="2942" w:hanging="936"/>
      </w:pPr>
      <w:rPr>
        <w:rFonts w:hint="default"/>
      </w:rPr>
    </w:lvl>
    <w:lvl w:ilvl="6">
      <w:start w:val="1"/>
      <w:numFmt w:val="decimal"/>
      <w:lvlText w:val="%1.%2.%3.%4.%5.%6.%7."/>
      <w:lvlJc w:val="left"/>
      <w:pPr>
        <w:ind w:left="3446" w:hanging="1080"/>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23" w15:restartNumberingAfterBreak="0">
    <w:nsid w:val="5B1447B7"/>
    <w:multiLevelType w:val="hybridMultilevel"/>
    <w:tmpl w:val="768677E2"/>
    <w:lvl w:ilvl="0" w:tplc="04150017">
      <w:start w:val="1"/>
      <w:numFmt w:val="lowerLetter"/>
      <w:lvlText w:val="%1)"/>
      <w:lvlJc w:val="left"/>
      <w:pPr>
        <w:ind w:left="1174" w:hanging="360"/>
      </w:pPr>
    </w:lvl>
    <w:lvl w:ilvl="1" w:tplc="04150019" w:tentative="1">
      <w:start w:val="1"/>
      <w:numFmt w:val="lowerLetter"/>
      <w:lvlText w:val="%2."/>
      <w:lvlJc w:val="left"/>
      <w:pPr>
        <w:ind w:left="1894" w:hanging="360"/>
      </w:pPr>
    </w:lvl>
    <w:lvl w:ilvl="2" w:tplc="0415001B" w:tentative="1">
      <w:start w:val="1"/>
      <w:numFmt w:val="lowerRoman"/>
      <w:lvlText w:val="%3."/>
      <w:lvlJc w:val="right"/>
      <w:pPr>
        <w:ind w:left="2614" w:hanging="180"/>
      </w:pPr>
    </w:lvl>
    <w:lvl w:ilvl="3" w:tplc="0415000F" w:tentative="1">
      <w:start w:val="1"/>
      <w:numFmt w:val="decimal"/>
      <w:lvlText w:val="%4."/>
      <w:lvlJc w:val="left"/>
      <w:pPr>
        <w:ind w:left="3334" w:hanging="360"/>
      </w:pPr>
    </w:lvl>
    <w:lvl w:ilvl="4" w:tplc="04150019" w:tentative="1">
      <w:start w:val="1"/>
      <w:numFmt w:val="lowerLetter"/>
      <w:lvlText w:val="%5."/>
      <w:lvlJc w:val="left"/>
      <w:pPr>
        <w:ind w:left="4054" w:hanging="360"/>
      </w:pPr>
    </w:lvl>
    <w:lvl w:ilvl="5" w:tplc="0415001B" w:tentative="1">
      <w:start w:val="1"/>
      <w:numFmt w:val="lowerRoman"/>
      <w:lvlText w:val="%6."/>
      <w:lvlJc w:val="right"/>
      <w:pPr>
        <w:ind w:left="4774" w:hanging="180"/>
      </w:pPr>
    </w:lvl>
    <w:lvl w:ilvl="6" w:tplc="0415000F" w:tentative="1">
      <w:start w:val="1"/>
      <w:numFmt w:val="decimal"/>
      <w:lvlText w:val="%7."/>
      <w:lvlJc w:val="left"/>
      <w:pPr>
        <w:ind w:left="5494" w:hanging="360"/>
      </w:pPr>
    </w:lvl>
    <w:lvl w:ilvl="7" w:tplc="04150019" w:tentative="1">
      <w:start w:val="1"/>
      <w:numFmt w:val="lowerLetter"/>
      <w:lvlText w:val="%8."/>
      <w:lvlJc w:val="left"/>
      <w:pPr>
        <w:ind w:left="6214" w:hanging="360"/>
      </w:pPr>
    </w:lvl>
    <w:lvl w:ilvl="8" w:tplc="0415001B" w:tentative="1">
      <w:start w:val="1"/>
      <w:numFmt w:val="lowerRoman"/>
      <w:lvlText w:val="%9."/>
      <w:lvlJc w:val="right"/>
      <w:pPr>
        <w:ind w:left="6934" w:hanging="180"/>
      </w:pPr>
    </w:lvl>
  </w:abstractNum>
  <w:abstractNum w:abstractNumId="24" w15:restartNumberingAfterBreak="0">
    <w:nsid w:val="5E005DDC"/>
    <w:multiLevelType w:val="multilevel"/>
    <w:tmpl w:val="50C8944E"/>
    <w:lvl w:ilvl="0">
      <w:start w:val="1"/>
      <w:numFmt w:val="decimal"/>
      <w:suff w:val="space"/>
      <w:lvlText w:val="%1."/>
      <w:lvlJc w:val="left"/>
      <w:pPr>
        <w:ind w:left="227" w:hanging="227"/>
      </w:pPr>
      <w:rPr>
        <w:b/>
      </w:rPr>
    </w:lvl>
    <w:lvl w:ilvl="1">
      <w:start w:val="1"/>
      <w:numFmt w:val="decimal"/>
      <w:suff w:val="space"/>
      <w:lvlText w:val="%1.%2."/>
      <w:lvlJc w:val="left"/>
      <w:pPr>
        <w:ind w:left="227" w:hanging="227"/>
      </w:pPr>
      <w:rPr>
        <w:b w:val="0"/>
        <w:bCs w:val="0"/>
      </w:rPr>
    </w:lvl>
    <w:lvl w:ilvl="2">
      <w:start w:val="1"/>
      <w:numFmt w:val="decimal"/>
      <w:suff w:val="space"/>
      <w:lvlText w:val="%1.%2.%3."/>
      <w:lvlJc w:val="left"/>
      <w:pPr>
        <w:ind w:left="227" w:hanging="227"/>
      </w:pPr>
      <w:rPr>
        <w:b/>
        <w:bCs/>
        <w:i w:val="0"/>
      </w:rPr>
    </w:lvl>
    <w:lvl w:ilvl="3">
      <w:start w:val="1"/>
      <w:numFmt w:val="decimal"/>
      <w:suff w:val="space"/>
      <w:lvlText w:val="%4)"/>
      <w:lvlJc w:val="left"/>
      <w:pPr>
        <w:ind w:left="454" w:hanging="227"/>
      </w:pPr>
      <w:rPr>
        <w:b w:val="0"/>
        <w:bCs w:val="0"/>
      </w:rPr>
    </w:lvl>
    <w:lvl w:ilvl="4">
      <w:start w:val="1"/>
      <w:numFmt w:val="lowerLetter"/>
      <w:suff w:val="space"/>
      <w:lvlText w:val="%5)"/>
      <w:lvlJc w:val="left"/>
      <w:pPr>
        <w:ind w:left="680" w:hanging="226"/>
      </w:pPr>
      <w:rPr>
        <w:b w:val="0"/>
        <w:bCs w:val="0"/>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lvl>
    <w:lvl w:ilvl="7">
      <w:start w:val="1"/>
      <w:numFmt w:val="decimal"/>
      <w:lvlText w:val="%1.%2.%3.%4.%5.%6.%7.%8."/>
      <w:lvlJc w:val="left"/>
      <w:pPr>
        <w:ind w:left="3950" w:hanging="1224"/>
      </w:pPr>
    </w:lvl>
    <w:lvl w:ilvl="8">
      <w:start w:val="1"/>
      <w:numFmt w:val="decimal"/>
      <w:lvlText w:val="%1.%2.%3.%4.%5.%6.%7.%8.%9."/>
      <w:lvlJc w:val="left"/>
      <w:pPr>
        <w:ind w:left="4526" w:hanging="1440"/>
      </w:pPr>
    </w:lvl>
  </w:abstractNum>
  <w:abstractNum w:abstractNumId="25" w15:restartNumberingAfterBreak="0">
    <w:nsid w:val="61362DB0"/>
    <w:multiLevelType w:val="hybridMultilevel"/>
    <w:tmpl w:val="F440E5E8"/>
    <w:lvl w:ilvl="0" w:tplc="14D8F94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30037B4"/>
    <w:multiLevelType w:val="multilevel"/>
    <w:tmpl w:val="4560DF24"/>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bCs/>
      </w:rPr>
    </w:lvl>
    <w:lvl w:ilvl="2">
      <w:start w:val="1"/>
      <w:numFmt w:val="decimal"/>
      <w:suff w:val="space"/>
      <w:lvlText w:val="%3)"/>
      <w:lvlJc w:val="left"/>
      <w:pPr>
        <w:ind w:left="454" w:hanging="227"/>
      </w:pPr>
      <w:rPr>
        <w:rFonts w:hint="default"/>
        <w:b w:val="0"/>
        <w:bCs/>
      </w:rPr>
    </w:lvl>
    <w:lvl w:ilvl="3">
      <w:start w:val="1"/>
      <w:numFmt w:val="lowerLetter"/>
      <w:suff w:val="space"/>
      <w:lvlText w:val="%4)"/>
      <w:lvlJc w:val="left"/>
      <w:pPr>
        <w:ind w:left="680" w:hanging="226"/>
      </w:pPr>
      <w:rPr>
        <w:rFonts w:hint="default"/>
      </w:rPr>
    </w:lvl>
    <w:lvl w:ilvl="4">
      <w:start w:val="1"/>
      <w:numFmt w:val="bullet"/>
      <w:suff w:val="space"/>
      <w:lvlText w:val=""/>
      <w:lvlJc w:val="left"/>
      <w:pPr>
        <w:ind w:left="907" w:hanging="227"/>
      </w:pPr>
      <w:rPr>
        <w:rFonts w:ascii="Symbol" w:hAnsi="Symbol" w:hint="default"/>
      </w:rPr>
    </w:lvl>
    <w:lvl w:ilvl="5">
      <w:start w:val="1"/>
      <w:numFmt w:val="lowerRoman"/>
      <w:lvlText w:val="%6."/>
      <w:lvlJc w:val="left"/>
      <w:pPr>
        <w:ind w:left="1134" w:hanging="227"/>
      </w:pPr>
      <w:rPr>
        <w:rFonts w:hint="default"/>
      </w:rPr>
    </w:lvl>
    <w:lvl w:ilvl="6">
      <w:start w:val="1"/>
      <w:numFmt w:val="decimal"/>
      <w:lvlText w:val="%1.%2.%3.%4.%5.%6.%7."/>
      <w:lvlJc w:val="left"/>
      <w:pPr>
        <w:ind w:left="3446" w:hanging="1080"/>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27" w15:restartNumberingAfterBreak="0">
    <w:nsid w:val="65E66933"/>
    <w:multiLevelType w:val="multilevel"/>
    <w:tmpl w:val="9800E494"/>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val="0"/>
        <w:bCs w:val="0"/>
      </w:rPr>
    </w:lvl>
    <w:lvl w:ilvl="2">
      <w:start w:val="1"/>
      <w:numFmt w:val="decimal"/>
      <w:suff w:val="space"/>
      <w:lvlText w:val="%3)"/>
      <w:lvlJc w:val="left"/>
      <w:pPr>
        <w:ind w:left="397" w:hanging="227"/>
      </w:pPr>
      <w:rPr>
        <w:rFonts w:hint="default"/>
        <w:b w:val="0"/>
        <w:bCs/>
      </w:rPr>
    </w:lvl>
    <w:lvl w:ilvl="3">
      <w:start w:val="1"/>
      <w:numFmt w:val="lowerLetter"/>
      <w:suff w:val="space"/>
      <w:lvlText w:val="%4)"/>
      <w:lvlJc w:val="left"/>
      <w:pPr>
        <w:ind w:left="567" w:hanging="227"/>
      </w:pPr>
      <w:rPr>
        <w:rFonts w:hint="default"/>
      </w:rPr>
    </w:lvl>
    <w:lvl w:ilvl="4">
      <w:start w:val="1"/>
      <w:numFmt w:val="bullet"/>
      <w:suff w:val="space"/>
      <w:lvlText w:val=""/>
      <w:lvlJc w:val="left"/>
      <w:pPr>
        <w:ind w:left="680" w:hanging="170"/>
      </w:pPr>
      <w:rPr>
        <w:rFonts w:ascii="Symbol" w:hAnsi="Symbol" w:hint="default"/>
      </w:rPr>
    </w:lvl>
    <w:lvl w:ilvl="5">
      <w:start w:val="1"/>
      <w:numFmt w:val="decimal"/>
      <w:lvlText w:val="%1.%2.%3.%4.%5.%6."/>
      <w:lvlJc w:val="left"/>
      <w:pPr>
        <w:ind w:left="2942" w:hanging="936"/>
      </w:pPr>
      <w:rPr>
        <w:rFonts w:hint="default"/>
      </w:rPr>
    </w:lvl>
    <w:lvl w:ilvl="6">
      <w:start w:val="1"/>
      <w:numFmt w:val="decimal"/>
      <w:lvlText w:val="%1.%2.%3.%4.%5.%6.%7."/>
      <w:lvlJc w:val="left"/>
      <w:pPr>
        <w:ind w:left="3446" w:hanging="1080"/>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28" w15:restartNumberingAfterBreak="0">
    <w:nsid w:val="667266DB"/>
    <w:multiLevelType w:val="multilevel"/>
    <w:tmpl w:val="50C8944E"/>
    <w:lvl w:ilvl="0">
      <w:start w:val="1"/>
      <w:numFmt w:val="decimal"/>
      <w:suff w:val="space"/>
      <w:lvlText w:val="%1."/>
      <w:lvlJc w:val="left"/>
      <w:pPr>
        <w:ind w:left="227" w:hanging="227"/>
      </w:pPr>
      <w:rPr>
        <w:b/>
      </w:rPr>
    </w:lvl>
    <w:lvl w:ilvl="1">
      <w:start w:val="1"/>
      <w:numFmt w:val="decimal"/>
      <w:suff w:val="space"/>
      <w:lvlText w:val="%1.%2."/>
      <w:lvlJc w:val="left"/>
      <w:pPr>
        <w:ind w:left="227" w:hanging="227"/>
      </w:pPr>
      <w:rPr>
        <w:b w:val="0"/>
        <w:bCs w:val="0"/>
      </w:rPr>
    </w:lvl>
    <w:lvl w:ilvl="2">
      <w:start w:val="1"/>
      <w:numFmt w:val="decimal"/>
      <w:suff w:val="space"/>
      <w:lvlText w:val="%1.%2.%3."/>
      <w:lvlJc w:val="left"/>
      <w:pPr>
        <w:ind w:left="227" w:hanging="227"/>
      </w:pPr>
      <w:rPr>
        <w:b/>
        <w:bCs/>
        <w:i w:val="0"/>
      </w:rPr>
    </w:lvl>
    <w:lvl w:ilvl="3">
      <w:start w:val="1"/>
      <w:numFmt w:val="decimal"/>
      <w:suff w:val="space"/>
      <w:lvlText w:val="%4)"/>
      <w:lvlJc w:val="left"/>
      <w:pPr>
        <w:ind w:left="454" w:hanging="227"/>
      </w:pPr>
      <w:rPr>
        <w:b w:val="0"/>
        <w:bCs w:val="0"/>
      </w:rPr>
    </w:lvl>
    <w:lvl w:ilvl="4">
      <w:start w:val="1"/>
      <w:numFmt w:val="lowerLetter"/>
      <w:suff w:val="space"/>
      <w:lvlText w:val="%5)"/>
      <w:lvlJc w:val="left"/>
      <w:pPr>
        <w:ind w:left="680" w:hanging="226"/>
      </w:pPr>
      <w:rPr>
        <w:b w:val="0"/>
        <w:bCs w:val="0"/>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lvl>
    <w:lvl w:ilvl="7">
      <w:start w:val="1"/>
      <w:numFmt w:val="decimal"/>
      <w:lvlText w:val="%1.%2.%3.%4.%5.%6.%7.%8."/>
      <w:lvlJc w:val="left"/>
      <w:pPr>
        <w:ind w:left="3950" w:hanging="1224"/>
      </w:pPr>
    </w:lvl>
    <w:lvl w:ilvl="8">
      <w:start w:val="1"/>
      <w:numFmt w:val="decimal"/>
      <w:lvlText w:val="%1.%2.%3.%4.%5.%6.%7.%8.%9."/>
      <w:lvlJc w:val="left"/>
      <w:pPr>
        <w:ind w:left="4526" w:hanging="1440"/>
      </w:pPr>
    </w:lvl>
  </w:abstractNum>
  <w:abstractNum w:abstractNumId="29" w15:restartNumberingAfterBreak="0">
    <w:nsid w:val="6AB73EF6"/>
    <w:multiLevelType w:val="multilevel"/>
    <w:tmpl w:val="9800E494"/>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val="0"/>
        <w:bCs w:val="0"/>
      </w:rPr>
    </w:lvl>
    <w:lvl w:ilvl="2">
      <w:start w:val="1"/>
      <w:numFmt w:val="decimal"/>
      <w:suff w:val="space"/>
      <w:lvlText w:val="%3)"/>
      <w:lvlJc w:val="left"/>
      <w:pPr>
        <w:ind w:left="397" w:hanging="227"/>
      </w:pPr>
      <w:rPr>
        <w:rFonts w:hint="default"/>
        <w:b w:val="0"/>
        <w:bCs/>
      </w:rPr>
    </w:lvl>
    <w:lvl w:ilvl="3">
      <w:start w:val="1"/>
      <w:numFmt w:val="lowerLetter"/>
      <w:suff w:val="space"/>
      <w:lvlText w:val="%4)"/>
      <w:lvlJc w:val="left"/>
      <w:pPr>
        <w:ind w:left="567" w:hanging="227"/>
      </w:pPr>
      <w:rPr>
        <w:rFonts w:hint="default"/>
      </w:rPr>
    </w:lvl>
    <w:lvl w:ilvl="4">
      <w:start w:val="1"/>
      <w:numFmt w:val="bullet"/>
      <w:suff w:val="space"/>
      <w:lvlText w:val=""/>
      <w:lvlJc w:val="left"/>
      <w:pPr>
        <w:ind w:left="680" w:hanging="170"/>
      </w:pPr>
      <w:rPr>
        <w:rFonts w:ascii="Symbol" w:hAnsi="Symbol" w:hint="default"/>
      </w:rPr>
    </w:lvl>
    <w:lvl w:ilvl="5">
      <w:start w:val="1"/>
      <w:numFmt w:val="decimal"/>
      <w:lvlText w:val="%1.%2.%3.%4.%5.%6."/>
      <w:lvlJc w:val="left"/>
      <w:pPr>
        <w:ind w:left="2942" w:hanging="936"/>
      </w:pPr>
      <w:rPr>
        <w:rFonts w:hint="default"/>
      </w:rPr>
    </w:lvl>
    <w:lvl w:ilvl="6">
      <w:start w:val="1"/>
      <w:numFmt w:val="decimal"/>
      <w:lvlText w:val="%1.%2.%3.%4.%5.%6.%7."/>
      <w:lvlJc w:val="left"/>
      <w:pPr>
        <w:ind w:left="3446" w:hanging="1080"/>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abstractNum w:abstractNumId="30" w15:restartNumberingAfterBreak="0">
    <w:nsid w:val="6BBE2BB6"/>
    <w:multiLevelType w:val="multilevel"/>
    <w:tmpl w:val="50C8944E"/>
    <w:lvl w:ilvl="0">
      <w:start w:val="1"/>
      <w:numFmt w:val="decimal"/>
      <w:suff w:val="space"/>
      <w:lvlText w:val="%1."/>
      <w:lvlJc w:val="left"/>
      <w:pPr>
        <w:ind w:left="227" w:hanging="227"/>
      </w:pPr>
      <w:rPr>
        <w:b/>
      </w:rPr>
    </w:lvl>
    <w:lvl w:ilvl="1">
      <w:start w:val="1"/>
      <w:numFmt w:val="decimal"/>
      <w:suff w:val="space"/>
      <w:lvlText w:val="%1.%2."/>
      <w:lvlJc w:val="left"/>
      <w:pPr>
        <w:ind w:left="227" w:hanging="227"/>
      </w:pPr>
      <w:rPr>
        <w:b w:val="0"/>
        <w:bCs w:val="0"/>
      </w:rPr>
    </w:lvl>
    <w:lvl w:ilvl="2">
      <w:start w:val="1"/>
      <w:numFmt w:val="decimal"/>
      <w:suff w:val="space"/>
      <w:lvlText w:val="%1.%2.%3."/>
      <w:lvlJc w:val="left"/>
      <w:pPr>
        <w:ind w:left="227" w:hanging="227"/>
      </w:pPr>
      <w:rPr>
        <w:b/>
        <w:bCs/>
        <w:i w:val="0"/>
      </w:rPr>
    </w:lvl>
    <w:lvl w:ilvl="3">
      <w:start w:val="1"/>
      <w:numFmt w:val="decimal"/>
      <w:suff w:val="space"/>
      <w:lvlText w:val="%4)"/>
      <w:lvlJc w:val="left"/>
      <w:pPr>
        <w:ind w:left="454" w:hanging="227"/>
      </w:pPr>
      <w:rPr>
        <w:b w:val="0"/>
        <w:bCs w:val="0"/>
      </w:rPr>
    </w:lvl>
    <w:lvl w:ilvl="4">
      <w:start w:val="1"/>
      <w:numFmt w:val="lowerLetter"/>
      <w:suff w:val="space"/>
      <w:lvlText w:val="%5)"/>
      <w:lvlJc w:val="left"/>
      <w:pPr>
        <w:ind w:left="680" w:hanging="226"/>
      </w:pPr>
      <w:rPr>
        <w:b w:val="0"/>
        <w:bCs w:val="0"/>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lvl>
    <w:lvl w:ilvl="7">
      <w:start w:val="1"/>
      <w:numFmt w:val="decimal"/>
      <w:lvlText w:val="%1.%2.%3.%4.%5.%6.%7.%8."/>
      <w:lvlJc w:val="left"/>
      <w:pPr>
        <w:ind w:left="3950" w:hanging="1224"/>
      </w:pPr>
    </w:lvl>
    <w:lvl w:ilvl="8">
      <w:start w:val="1"/>
      <w:numFmt w:val="decimal"/>
      <w:lvlText w:val="%1.%2.%3.%4.%5.%6.%7.%8.%9."/>
      <w:lvlJc w:val="left"/>
      <w:pPr>
        <w:ind w:left="4526" w:hanging="1440"/>
      </w:pPr>
    </w:lvl>
  </w:abstractNum>
  <w:abstractNum w:abstractNumId="31" w15:restartNumberingAfterBreak="0">
    <w:nsid w:val="6EDB1CFE"/>
    <w:multiLevelType w:val="multilevel"/>
    <w:tmpl w:val="50C8944E"/>
    <w:lvl w:ilvl="0">
      <w:start w:val="1"/>
      <w:numFmt w:val="decimal"/>
      <w:suff w:val="space"/>
      <w:lvlText w:val="%1."/>
      <w:lvlJc w:val="left"/>
      <w:pPr>
        <w:ind w:left="227" w:hanging="227"/>
      </w:pPr>
      <w:rPr>
        <w:b/>
      </w:rPr>
    </w:lvl>
    <w:lvl w:ilvl="1">
      <w:start w:val="1"/>
      <w:numFmt w:val="decimal"/>
      <w:suff w:val="space"/>
      <w:lvlText w:val="%1.%2."/>
      <w:lvlJc w:val="left"/>
      <w:pPr>
        <w:ind w:left="227" w:hanging="227"/>
      </w:pPr>
      <w:rPr>
        <w:b w:val="0"/>
        <w:bCs w:val="0"/>
      </w:rPr>
    </w:lvl>
    <w:lvl w:ilvl="2">
      <w:start w:val="1"/>
      <w:numFmt w:val="decimal"/>
      <w:suff w:val="space"/>
      <w:lvlText w:val="%1.%2.%3."/>
      <w:lvlJc w:val="left"/>
      <w:pPr>
        <w:ind w:left="227" w:hanging="227"/>
      </w:pPr>
      <w:rPr>
        <w:b/>
        <w:bCs/>
        <w:i w:val="0"/>
      </w:rPr>
    </w:lvl>
    <w:lvl w:ilvl="3">
      <w:start w:val="1"/>
      <w:numFmt w:val="decimal"/>
      <w:suff w:val="space"/>
      <w:lvlText w:val="%4)"/>
      <w:lvlJc w:val="left"/>
      <w:pPr>
        <w:ind w:left="454" w:hanging="227"/>
      </w:pPr>
      <w:rPr>
        <w:b w:val="0"/>
        <w:bCs w:val="0"/>
      </w:rPr>
    </w:lvl>
    <w:lvl w:ilvl="4">
      <w:start w:val="1"/>
      <w:numFmt w:val="lowerLetter"/>
      <w:suff w:val="space"/>
      <w:lvlText w:val="%5)"/>
      <w:lvlJc w:val="left"/>
      <w:pPr>
        <w:ind w:left="680" w:hanging="226"/>
      </w:pPr>
      <w:rPr>
        <w:b w:val="0"/>
        <w:bCs w:val="0"/>
      </w:rPr>
    </w:lvl>
    <w:lvl w:ilvl="5">
      <w:start w:val="1"/>
      <w:numFmt w:val="bullet"/>
      <w:lvlText w:val=""/>
      <w:lvlJc w:val="left"/>
      <w:pPr>
        <w:ind w:left="907" w:hanging="227"/>
      </w:pPr>
      <w:rPr>
        <w:rFonts w:ascii="Symbol" w:hAnsi="Symbol" w:hint="default"/>
      </w:rPr>
    </w:lvl>
    <w:lvl w:ilvl="6">
      <w:start w:val="1"/>
      <w:numFmt w:val="lowerRoman"/>
      <w:lvlText w:val="%7."/>
      <w:lvlJc w:val="left"/>
      <w:pPr>
        <w:ind w:left="1134" w:hanging="227"/>
      </w:pPr>
    </w:lvl>
    <w:lvl w:ilvl="7">
      <w:start w:val="1"/>
      <w:numFmt w:val="decimal"/>
      <w:lvlText w:val="%1.%2.%3.%4.%5.%6.%7.%8."/>
      <w:lvlJc w:val="left"/>
      <w:pPr>
        <w:ind w:left="3950" w:hanging="1224"/>
      </w:pPr>
    </w:lvl>
    <w:lvl w:ilvl="8">
      <w:start w:val="1"/>
      <w:numFmt w:val="decimal"/>
      <w:lvlText w:val="%1.%2.%3.%4.%5.%6.%7.%8.%9."/>
      <w:lvlJc w:val="left"/>
      <w:pPr>
        <w:ind w:left="4526" w:hanging="1440"/>
      </w:pPr>
    </w:lvl>
  </w:abstractNum>
  <w:abstractNum w:abstractNumId="32" w15:restartNumberingAfterBreak="0">
    <w:nsid w:val="72FA2FB7"/>
    <w:multiLevelType w:val="hybridMultilevel"/>
    <w:tmpl w:val="01D81884"/>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CFF0723"/>
    <w:multiLevelType w:val="multilevel"/>
    <w:tmpl w:val="9800E494"/>
    <w:lvl w:ilvl="0">
      <w:start w:val="1"/>
      <w:numFmt w:val="decimal"/>
      <w:suff w:val="space"/>
      <w:lvlText w:val="%1."/>
      <w:lvlJc w:val="left"/>
      <w:pPr>
        <w:ind w:left="227" w:hanging="227"/>
      </w:pPr>
      <w:rPr>
        <w:rFonts w:hint="default"/>
        <w:b/>
      </w:rPr>
    </w:lvl>
    <w:lvl w:ilvl="1">
      <w:start w:val="1"/>
      <w:numFmt w:val="decimal"/>
      <w:suff w:val="space"/>
      <w:lvlText w:val="%1.%2."/>
      <w:lvlJc w:val="left"/>
      <w:pPr>
        <w:ind w:left="227" w:hanging="227"/>
      </w:pPr>
      <w:rPr>
        <w:rFonts w:hint="default"/>
        <w:b w:val="0"/>
        <w:bCs w:val="0"/>
      </w:rPr>
    </w:lvl>
    <w:lvl w:ilvl="2">
      <w:start w:val="1"/>
      <w:numFmt w:val="decimal"/>
      <w:suff w:val="space"/>
      <w:lvlText w:val="%3)"/>
      <w:lvlJc w:val="left"/>
      <w:pPr>
        <w:ind w:left="397" w:hanging="227"/>
      </w:pPr>
      <w:rPr>
        <w:rFonts w:hint="default"/>
        <w:b w:val="0"/>
        <w:bCs/>
      </w:rPr>
    </w:lvl>
    <w:lvl w:ilvl="3">
      <w:start w:val="1"/>
      <w:numFmt w:val="lowerLetter"/>
      <w:suff w:val="space"/>
      <w:lvlText w:val="%4)"/>
      <w:lvlJc w:val="left"/>
      <w:pPr>
        <w:ind w:left="567" w:hanging="227"/>
      </w:pPr>
      <w:rPr>
        <w:rFonts w:hint="default"/>
      </w:rPr>
    </w:lvl>
    <w:lvl w:ilvl="4">
      <w:start w:val="1"/>
      <w:numFmt w:val="bullet"/>
      <w:suff w:val="space"/>
      <w:lvlText w:val=""/>
      <w:lvlJc w:val="left"/>
      <w:pPr>
        <w:ind w:left="680" w:hanging="170"/>
      </w:pPr>
      <w:rPr>
        <w:rFonts w:ascii="Symbol" w:hAnsi="Symbol" w:hint="default"/>
      </w:rPr>
    </w:lvl>
    <w:lvl w:ilvl="5">
      <w:start w:val="1"/>
      <w:numFmt w:val="decimal"/>
      <w:lvlText w:val="%1.%2.%3.%4.%5.%6."/>
      <w:lvlJc w:val="left"/>
      <w:pPr>
        <w:ind w:left="2942" w:hanging="936"/>
      </w:pPr>
      <w:rPr>
        <w:rFonts w:hint="default"/>
      </w:rPr>
    </w:lvl>
    <w:lvl w:ilvl="6">
      <w:start w:val="1"/>
      <w:numFmt w:val="decimal"/>
      <w:lvlText w:val="%1.%2.%3.%4.%5.%6.%7."/>
      <w:lvlJc w:val="left"/>
      <w:pPr>
        <w:ind w:left="3446" w:hanging="1080"/>
      </w:pPr>
      <w:rPr>
        <w:rFonts w:hint="default"/>
      </w:rPr>
    </w:lvl>
    <w:lvl w:ilvl="7">
      <w:start w:val="1"/>
      <w:numFmt w:val="decimal"/>
      <w:lvlText w:val="%1.%2.%3.%4.%5.%6.%7.%8."/>
      <w:lvlJc w:val="left"/>
      <w:pPr>
        <w:ind w:left="3950" w:hanging="1224"/>
      </w:pPr>
      <w:rPr>
        <w:rFonts w:hint="default"/>
      </w:rPr>
    </w:lvl>
    <w:lvl w:ilvl="8">
      <w:start w:val="1"/>
      <w:numFmt w:val="decimal"/>
      <w:lvlText w:val="%1.%2.%3.%4.%5.%6.%7.%8.%9."/>
      <w:lvlJc w:val="left"/>
      <w:pPr>
        <w:ind w:left="4526" w:hanging="1440"/>
      </w:pPr>
      <w:rPr>
        <w:rFonts w:hint="default"/>
      </w:rPr>
    </w:lvl>
  </w:abstractNum>
  <w:num w:numId="1" w16cid:durableId="1655523970">
    <w:abstractNumId w:val="1"/>
  </w:num>
  <w:num w:numId="2" w16cid:durableId="1090151962">
    <w:abstractNumId w:val="26"/>
  </w:num>
  <w:num w:numId="3" w16cid:durableId="994333008">
    <w:abstractNumId w:val="3"/>
  </w:num>
  <w:num w:numId="4" w16cid:durableId="1313825259">
    <w:abstractNumId w:val="4"/>
  </w:num>
  <w:num w:numId="5" w16cid:durableId="1399327778">
    <w:abstractNumId w:val="20"/>
  </w:num>
  <w:num w:numId="6" w16cid:durableId="639922633">
    <w:abstractNumId w:val="16"/>
  </w:num>
  <w:num w:numId="7" w16cid:durableId="817763480">
    <w:abstractNumId w:val="32"/>
  </w:num>
  <w:num w:numId="8" w16cid:durableId="1629163697">
    <w:abstractNumId w:val="14"/>
  </w:num>
  <w:num w:numId="9" w16cid:durableId="2085565041">
    <w:abstractNumId w:val="10"/>
  </w:num>
  <w:num w:numId="10" w16cid:durableId="1638949534">
    <w:abstractNumId w:val="12"/>
  </w:num>
  <w:num w:numId="11" w16cid:durableId="1508326741">
    <w:abstractNumId w:val="5"/>
  </w:num>
  <w:num w:numId="12" w16cid:durableId="1279918237">
    <w:abstractNumId w:val="29"/>
  </w:num>
  <w:num w:numId="13" w16cid:durableId="102264159">
    <w:abstractNumId w:val="27"/>
  </w:num>
  <w:num w:numId="14" w16cid:durableId="411976728">
    <w:abstractNumId w:val="22"/>
  </w:num>
  <w:num w:numId="15" w16cid:durableId="26613368">
    <w:abstractNumId w:val="33"/>
  </w:num>
  <w:num w:numId="16" w16cid:durableId="2001232530">
    <w:abstractNumId w:val="23"/>
  </w:num>
  <w:num w:numId="17" w16cid:durableId="900362568">
    <w:abstractNumId w:val="9"/>
  </w:num>
  <w:num w:numId="18" w16cid:durableId="295916124">
    <w:abstractNumId w:val="25"/>
  </w:num>
  <w:num w:numId="19" w16cid:durableId="1319306573">
    <w:abstractNumId w:val="8"/>
  </w:num>
  <w:num w:numId="20" w16cid:durableId="1971670436">
    <w:abstractNumId w:val="19"/>
  </w:num>
  <w:num w:numId="21" w16cid:durableId="791367999">
    <w:abstractNumId w:val="30"/>
  </w:num>
  <w:num w:numId="22" w16cid:durableId="1357578931">
    <w:abstractNumId w:val="13"/>
  </w:num>
  <w:num w:numId="23" w16cid:durableId="859971186">
    <w:abstractNumId w:val="11"/>
  </w:num>
  <w:num w:numId="24" w16cid:durableId="1195383180">
    <w:abstractNumId w:val="18"/>
  </w:num>
  <w:num w:numId="25" w16cid:durableId="862595967">
    <w:abstractNumId w:val="2"/>
  </w:num>
  <w:num w:numId="26" w16cid:durableId="606424366">
    <w:abstractNumId w:val="7"/>
  </w:num>
  <w:num w:numId="27" w16cid:durableId="383606491">
    <w:abstractNumId w:val="0"/>
  </w:num>
  <w:num w:numId="28" w16cid:durableId="1439982807">
    <w:abstractNumId w:val="17"/>
  </w:num>
  <w:num w:numId="29" w16cid:durableId="900216257">
    <w:abstractNumId w:val="28"/>
  </w:num>
  <w:num w:numId="30" w16cid:durableId="958878960">
    <w:abstractNumId w:val="15"/>
  </w:num>
  <w:num w:numId="31" w16cid:durableId="922835515">
    <w:abstractNumId w:val="6"/>
  </w:num>
  <w:num w:numId="32" w16cid:durableId="2116947211">
    <w:abstractNumId w:val="24"/>
  </w:num>
  <w:num w:numId="33" w16cid:durableId="1705712589">
    <w:abstractNumId w:val="31"/>
  </w:num>
  <w:num w:numId="34" w16cid:durableId="2042779468">
    <w:abstractNumId w:val="2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trackedChanges"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928"/>
    <w:rsid w:val="00000D86"/>
    <w:rsid w:val="000058E7"/>
    <w:rsid w:val="00013536"/>
    <w:rsid w:val="000161B7"/>
    <w:rsid w:val="000219B9"/>
    <w:rsid w:val="0002216B"/>
    <w:rsid w:val="00024A28"/>
    <w:rsid w:val="000258F8"/>
    <w:rsid w:val="00026AEE"/>
    <w:rsid w:val="00027398"/>
    <w:rsid w:val="00034E48"/>
    <w:rsid w:val="000357FD"/>
    <w:rsid w:val="0004021B"/>
    <w:rsid w:val="0004660E"/>
    <w:rsid w:val="00047865"/>
    <w:rsid w:val="000503A1"/>
    <w:rsid w:val="00057286"/>
    <w:rsid w:val="00061E15"/>
    <w:rsid w:val="00062A5E"/>
    <w:rsid w:val="00064773"/>
    <w:rsid w:val="00065C0C"/>
    <w:rsid w:val="00066C3F"/>
    <w:rsid w:val="00067F48"/>
    <w:rsid w:val="00070FB3"/>
    <w:rsid w:val="000717B4"/>
    <w:rsid w:val="000770C4"/>
    <w:rsid w:val="00087EB3"/>
    <w:rsid w:val="00096338"/>
    <w:rsid w:val="000A1224"/>
    <w:rsid w:val="000A3E98"/>
    <w:rsid w:val="000A785E"/>
    <w:rsid w:val="000B0258"/>
    <w:rsid w:val="000B0A18"/>
    <w:rsid w:val="000B6F95"/>
    <w:rsid w:val="000D02E3"/>
    <w:rsid w:val="000D3A45"/>
    <w:rsid w:val="000D78D7"/>
    <w:rsid w:val="000D7B59"/>
    <w:rsid w:val="000E4233"/>
    <w:rsid w:val="000E78D0"/>
    <w:rsid w:val="000F7868"/>
    <w:rsid w:val="00127ABF"/>
    <w:rsid w:val="00141EDA"/>
    <w:rsid w:val="00142A03"/>
    <w:rsid w:val="00154BF9"/>
    <w:rsid w:val="00161A61"/>
    <w:rsid w:val="00165F2C"/>
    <w:rsid w:val="001810EF"/>
    <w:rsid w:val="00192353"/>
    <w:rsid w:val="001A1A24"/>
    <w:rsid w:val="001A4D7C"/>
    <w:rsid w:val="001A6924"/>
    <w:rsid w:val="001B1928"/>
    <w:rsid w:val="001F280A"/>
    <w:rsid w:val="001F28D2"/>
    <w:rsid w:val="001F56D8"/>
    <w:rsid w:val="00202CFC"/>
    <w:rsid w:val="00204A53"/>
    <w:rsid w:val="00210416"/>
    <w:rsid w:val="0021270D"/>
    <w:rsid w:val="002140C4"/>
    <w:rsid w:val="00226BBD"/>
    <w:rsid w:val="0024099B"/>
    <w:rsid w:val="00247678"/>
    <w:rsid w:val="00251138"/>
    <w:rsid w:val="002550C4"/>
    <w:rsid w:val="002564A8"/>
    <w:rsid w:val="00257D3C"/>
    <w:rsid w:val="00261A82"/>
    <w:rsid w:val="002663F3"/>
    <w:rsid w:val="00267504"/>
    <w:rsid w:val="0029198D"/>
    <w:rsid w:val="00296619"/>
    <w:rsid w:val="002A0280"/>
    <w:rsid w:val="002A4AF0"/>
    <w:rsid w:val="002A565F"/>
    <w:rsid w:val="002A6ECB"/>
    <w:rsid w:val="002B253E"/>
    <w:rsid w:val="002C28DF"/>
    <w:rsid w:val="002C5EE9"/>
    <w:rsid w:val="002E4417"/>
    <w:rsid w:val="002F4704"/>
    <w:rsid w:val="002F4B92"/>
    <w:rsid w:val="00301909"/>
    <w:rsid w:val="00322658"/>
    <w:rsid w:val="003373F6"/>
    <w:rsid w:val="00342F2A"/>
    <w:rsid w:val="00344BD2"/>
    <w:rsid w:val="00350537"/>
    <w:rsid w:val="00353076"/>
    <w:rsid w:val="00357466"/>
    <w:rsid w:val="00367F48"/>
    <w:rsid w:val="00370A55"/>
    <w:rsid w:val="00370FD1"/>
    <w:rsid w:val="00390D64"/>
    <w:rsid w:val="003915A1"/>
    <w:rsid w:val="00392A9F"/>
    <w:rsid w:val="003A2ADC"/>
    <w:rsid w:val="003B636C"/>
    <w:rsid w:val="003D3739"/>
    <w:rsid w:val="003D7E27"/>
    <w:rsid w:val="003E5655"/>
    <w:rsid w:val="003F2552"/>
    <w:rsid w:val="003F40C9"/>
    <w:rsid w:val="00402AA1"/>
    <w:rsid w:val="004038D2"/>
    <w:rsid w:val="00405FB5"/>
    <w:rsid w:val="0041251A"/>
    <w:rsid w:val="004144A9"/>
    <w:rsid w:val="00417414"/>
    <w:rsid w:val="00427B21"/>
    <w:rsid w:val="0043742A"/>
    <w:rsid w:val="00437CEE"/>
    <w:rsid w:val="00462B7E"/>
    <w:rsid w:val="0048212E"/>
    <w:rsid w:val="00494A5E"/>
    <w:rsid w:val="00494CF1"/>
    <w:rsid w:val="004A101F"/>
    <w:rsid w:val="004A5FF5"/>
    <w:rsid w:val="004A6206"/>
    <w:rsid w:val="004C0083"/>
    <w:rsid w:val="004D2016"/>
    <w:rsid w:val="004D380C"/>
    <w:rsid w:val="004E4524"/>
    <w:rsid w:val="004F4BA8"/>
    <w:rsid w:val="004F7B25"/>
    <w:rsid w:val="00507204"/>
    <w:rsid w:val="0051058B"/>
    <w:rsid w:val="00521604"/>
    <w:rsid w:val="005249EB"/>
    <w:rsid w:val="00524C3B"/>
    <w:rsid w:val="0052643B"/>
    <w:rsid w:val="00527E22"/>
    <w:rsid w:val="00540335"/>
    <w:rsid w:val="00543F74"/>
    <w:rsid w:val="005441A9"/>
    <w:rsid w:val="00551DED"/>
    <w:rsid w:val="00556656"/>
    <w:rsid w:val="00561D8E"/>
    <w:rsid w:val="00571E74"/>
    <w:rsid w:val="00580569"/>
    <w:rsid w:val="005810F1"/>
    <w:rsid w:val="0058794E"/>
    <w:rsid w:val="005A3F21"/>
    <w:rsid w:val="005A5C84"/>
    <w:rsid w:val="005B4D28"/>
    <w:rsid w:val="005E1332"/>
    <w:rsid w:val="00604F32"/>
    <w:rsid w:val="0062454F"/>
    <w:rsid w:val="00630679"/>
    <w:rsid w:val="00654BCF"/>
    <w:rsid w:val="00664775"/>
    <w:rsid w:val="006675ED"/>
    <w:rsid w:val="00670191"/>
    <w:rsid w:val="00677DFF"/>
    <w:rsid w:val="0068170D"/>
    <w:rsid w:val="00682DB1"/>
    <w:rsid w:val="0068560B"/>
    <w:rsid w:val="00696524"/>
    <w:rsid w:val="006A7CEE"/>
    <w:rsid w:val="006B462E"/>
    <w:rsid w:val="006C0F6A"/>
    <w:rsid w:val="006C2ABD"/>
    <w:rsid w:val="006C3A73"/>
    <w:rsid w:val="006D087B"/>
    <w:rsid w:val="006E514E"/>
    <w:rsid w:val="007050E5"/>
    <w:rsid w:val="00727F3F"/>
    <w:rsid w:val="00732CF6"/>
    <w:rsid w:val="007419E8"/>
    <w:rsid w:val="00780321"/>
    <w:rsid w:val="00786F2C"/>
    <w:rsid w:val="0079148F"/>
    <w:rsid w:val="00795C23"/>
    <w:rsid w:val="00796C4D"/>
    <w:rsid w:val="00797D42"/>
    <w:rsid w:val="007B64CE"/>
    <w:rsid w:val="007C7543"/>
    <w:rsid w:val="007D77AD"/>
    <w:rsid w:val="007E04C3"/>
    <w:rsid w:val="007F17F1"/>
    <w:rsid w:val="007F271B"/>
    <w:rsid w:val="007F49A5"/>
    <w:rsid w:val="00801171"/>
    <w:rsid w:val="00813190"/>
    <w:rsid w:val="008163E9"/>
    <w:rsid w:val="00823F41"/>
    <w:rsid w:val="008245AD"/>
    <w:rsid w:val="008325C5"/>
    <w:rsid w:val="00843ABB"/>
    <w:rsid w:val="008444A0"/>
    <w:rsid w:val="00865C66"/>
    <w:rsid w:val="00875174"/>
    <w:rsid w:val="00876779"/>
    <w:rsid w:val="00892EB0"/>
    <w:rsid w:val="008939D6"/>
    <w:rsid w:val="008A07B8"/>
    <w:rsid w:val="008A20BD"/>
    <w:rsid w:val="008A3AAD"/>
    <w:rsid w:val="008B5670"/>
    <w:rsid w:val="008C0EA1"/>
    <w:rsid w:val="008C15AD"/>
    <w:rsid w:val="008C1C3E"/>
    <w:rsid w:val="008C29F7"/>
    <w:rsid w:val="008D1B73"/>
    <w:rsid w:val="008D3B38"/>
    <w:rsid w:val="008D4966"/>
    <w:rsid w:val="008D5639"/>
    <w:rsid w:val="008F3740"/>
    <w:rsid w:val="008F4D43"/>
    <w:rsid w:val="00904013"/>
    <w:rsid w:val="00906D15"/>
    <w:rsid w:val="00921C15"/>
    <w:rsid w:val="00933C37"/>
    <w:rsid w:val="00937C9C"/>
    <w:rsid w:val="00942CD3"/>
    <w:rsid w:val="00943508"/>
    <w:rsid w:val="00946409"/>
    <w:rsid w:val="00947B80"/>
    <w:rsid w:val="00947D88"/>
    <w:rsid w:val="00966003"/>
    <w:rsid w:val="00970FF7"/>
    <w:rsid w:val="009807A4"/>
    <w:rsid w:val="009842A2"/>
    <w:rsid w:val="00984622"/>
    <w:rsid w:val="0098464F"/>
    <w:rsid w:val="00984813"/>
    <w:rsid w:val="00985BEF"/>
    <w:rsid w:val="009905F1"/>
    <w:rsid w:val="009A019D"/>
    <w:rsid w:val="009C113F"/>
    <w:rsid w:val="009C5785"/>
    <w:rsid w:val="009C745B"/>
    <w:rsid w:val="009D2AF5"/>
    <w:rsid w:val="009D7AE1"/>
    <w:rsid w:val="009E4F75"/>
    <w:rsid w:val="009F08ED"/>
    <w:rsid w:val="009F35CF"/>
    <w:rsid w:val="00A0131A"/>
    <w:rsid w:val="00A05A8B"/>
    <w:rsid w:val="00A078B7"/>
    <w:rsid w:val="00A1439C"/>
    <w:rsid w:val="00A15999"/>
    <w:rsid w:val="00A30C1C"/>
    <w:rsid w:val="00A36956"/>
    <w:rsid w:val="00A36FED"/>
    <w:rsid w:val="00A37884"/>
    <w:rsid w:val="00A56095"/>
    <w:rsid w:val="00A60E43"/>
    <w:rsid w:val="00A72389"/>
    <w:rsid w:val="00A73D51"/>
    <w:rsid w:val="00A857A0"/>
    <w:rsid w:val="00A9000F"/>
    <w:rsid w:val="00A93F06"/>
    <w:rsid w:val="00AB1012"/>
    <w:rsid w:val="00AC25A8"/>
    <w:rsid w:val="00AF4063"/>
    <w:rsid w:val="00AF4C87"/>
    <w:rsid w:val="00AF7E09"/>
    <w:rsid w:val="00B26FC8"/>
    <w:rsid w:val="00B27143"/>
    <w:rsid w:val="00B37612"/>
    <w:rsid w:val="00B42909"/>
    <w:rsid w:val="00B53643"/>
    <w:rsid w:val="00B57721"/>
    <w:rsid w:val="00B701AB"/>
    <w:rsid w:val="00B73D05"/>
    <w:rsid w:val="00B817E6"/>
    <w:rsid w:val="00B85345"/>
    <w:rsid w:val="00B96557"/>
    <w:rsid w:val="00BB4625"/>
    <w:rsid w:val="00BC1BB0"/>
    <w:rsid w:val="00BC4FFC"/>
    <w:rsid w:val="00BD5DA4"/>
    <w:rsid w:val="00BD79BD"/>
    <w:rsid w:val="00BE0E1B"/>
    <w:rsid w:val="00BE41F7"/>
    <w:rsid w:val="00C0036F"/>
    <w:rsid w:val="00C10F7E"/>
    <w:rsid w:val="00C134CF"/>
    <w:rsid w:val="00C13F65"/>
    <w:rsid w:val="00C14552"/>
    <w:rsid w:val="00C15816"/>
    <w:rsid w:val="00C172F3"/>
    <w:rsid w:val="00C20548"/>
    <w:rsid w:val="00C247D7"/>
    <w:rsid w:val="00C32E4B"/>
    <w:rsid w:val="00C35B46"/>
    <w:rsid w:val="00C421A5"/>
    <w:rsid w:val="00C63D99"/>
    <w:rsid w:val="00C75EA1"/>
    <w:rsid w:val="00C957F1"/>
    <w:rsid w:val="00C96913"/>
    <w:rsid w:val="00CA0EC2"/>
    <w:rsid w:val="00CA55A9"/>
    <w:rsid w:val="00CA7829"/>
    <w:rsid w:val="00CA7FFE"/>
    <w:rsid w:val="00CB0468"/>
    <w:rsid w:val="00CB2AC0"/>
    <w:rsid w:val="00CB2BED"/>
    <w:rsid w:val="00CC1E78"/>
    <w:rsid w:val="00CC2624"/>
    <w:rsid w:val="00D04863"/>
    <w:rsid w:val="00D061B9"/>
    <w:rsid w:val="00D130F0"/>
    <w:rsid w:val="00D1437B"/>
    <w:rsid w:val="00D249CC"/>
    <w:rsid w:val="00D34207"/>
    <w:rsid w:val="00D41D26"/>
    <w:rsid w:val="00D423E2"/>
    <w:rsid w:val="00D43FFC"/>
    <w:rsid w:val="00D443F5"/>
    <w:rsid w:val="00D50502"/>
    <w:rsid w:val="00D54488"/>
    <w:rsid w:val="00D65BA7"/>
    <w:rsid w:val="00D74A84"/>
    <w:rsid w:val="00D76175"/>
    <w:rsid w:val="00D84FFB"/>
    <w:rsid w:val="00D92C20"/>
    <w:rsid w:val="00D95D33"/>
    <w:rsid w:val="00DB0E9C"/>
    <w:rsid w:val="00DB19BC"/>
    <w:rsid w:val="00DB7742"/>
    <w:rsid w:val="00DE0F1A"/>
    <w:rsid w:val="00DE4276"/>
    <w:rsid w:val="00DE7A19"/>
    <w:rsid w:val="00DF228D"/>
    <w:rsid w:val="00DF47D9"/>
    <w:rsid w:val="00E01974"/>
    <w:rsid w:val="00E04BA2"/>
    <w:rsid w:val="00E233C5"/>
    <w:rsid w:val="00E40AED"/>
    <w:rsid w:val="00E46108"/>
    <w:rsid w:val="00E4719C"/>
    <w:rsid w:val="00E5726E"/>
    <w:rsid w:val="00E64E8D"/>
    <w:rsid w:val="00E657CE"/>
    <w:rsid w:val="00E67627"/>
    <w:rsid w:val="00E71C43"/>
    <w:rsid w:val="00E73429"/>
    <w:rsid w:val="00E85D92"/>
    <w:rsid w:val="00E928F6"/>
    <w:rsid w:val="00E930A7"/>
    <w:rsid w:val="00EA4A2E"/>
    <w:rsid w:val="00EA6B9A"/>
    <w:rsid w:val="00EC0666"/>
    <w:rsid w:val="00EC7B60"/>
    <w:rsid w:val="00ED6B72"/>
    <w:rsid w:val="00F02D07"/>
    <w:rsid w:val="00F03CEB"/>
    <w:rsid w:val="00F16A59"/>
    <w:rsid w:val="00F36BF9"/>
    <w:rsid w:val="00F37E0B"/>
    <w:rsid w:val="00F438BE"/>
    <w:rsid w:val="00F442F5"/>
    <w:rsid w:val="00F569AE"/>
    <w:rsid w:val="00F6054E"/>
    <w:rsid w:val="00F630E3"/>
    <w:rsid w:val="00F650EC"/>
    <w:rsid w:val="00F907C9"/>
    <w:rsid w:val="00F924F7"/>
    <w:rsid w:val="00F943A7"/>
    <w:rsid w:val="00FA0590"/>
    <w:rsid w:val="00FC0580"/>
    <w:rsid w:val="00FC70C1"/>
    <w:rsid w:val="00FD2A37"/>
    <w:rsid w:val="00FE3490"/>
    <w:rsid w:val="00FE68ED"/>
    <w:rsid w:val="00FF0583"/>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7BABE"/>
  <w15:docId w15:val="{D7CEFEC3-99B5-4F45-B621-DF3AE844E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A7CEE"/>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9D7AE1"/>
    <w:pPr>
      <w:tabs>
        <w:tab w:val="center" w:pos="4536"/>
        <w:tab w:val="right" w:pos="9072"/>
      </w:tabs>
      <w:spacing w:after="0" w:line="240" w:lineRule="auto"/>
    </w:pPr>
    <w:rPr>
      <w:rFonts w:ascii="Calibri" w:eastAsia="Calibri" w:hAnsi="Calibri" w:cs="Times New Roman"/>
    </w:rPr>
  </w:style>
  <w:style w:type="character" w:customStyle="1" w:styleId="NagwekZnak">
    <w:name w:val="Nagłówek Znak"/>
    <w:basedOn w:val="Domylnaczcionkaakapitu"/>
    <w:link w:val="Nagwek"/>
    <w:uiPriority w:val="99"/>
    <w:rsid w:val="009D7AE1"/>
    <w:rPr>
      <w:rFonts w:ascii="Calibri" w:eastAsia="Calibri" w:hAnsi="Calibri" w:cs="Times New Roman"/>
    </w:rPr>
  </w:style>
  <w:style w:type="paragraph" w:styleId="Stopka">
    <w:name w:val="footer"/>
    <w:basedOn w:val="Normalny"/>
    <w:link w:val="StopkaZnak"/>
    <w:uiPriority w:val="99"/>
    <w:unhideWhenUsed/>
    <w:rsid w:val="009D7AE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D7AE1"/>
  </w:style>
  <w:style w:type="paragraph" w:styleId="Akapitzlist">
    <w:name w:val="List Paragraph"/>
    <w:aliases w:val="Styl moj,Akapit z listą11,podpunkt ankietyy,Bullet List,Table Legend"/>
    <w:basedOn w:val="Normalny"/>
    <w:link w:val="AkapitzlistZnak"/>
    <w:uiPriority w:val="34"/>
    <w:qFormat/>
    <w:rsid w:val="008939D6"/>
    <w:pPr>
      <w:ind w:left="720"/>
      <w:contextualSpacing/>
    </w:pPr>
  </w:style>
  <w:style w:type="paragraph" w:styleId="Tekstdymka">
    <w:name w:val="Balloon Text"/>
    <w:basedOn w:val="Normalny"/>
    <w:link w:val="TekstdymkaZnak"/>
    <w:uiPriority w:val="99"/>
    <w:semiHidden/>
    <w:unhideWhenUsed/>
    <w:rsid w:val="0068170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8170D"/>
    <w:rPr>
      <w:rFonts w:ascii="Tahoma" w:hAnsi="Tahoma" w:cs="Tahoma"/>
      <w:sz w:val="16"/>
      <w:szCs w:val="16"/>
    </w:rPr>
  </w:style>
  <w:style w:type="character" w:styleId="Odwoaniedokomentarza">
    <w:name w:val="annotation reference"/>
    <w:basedOn w:val="Domylnaczcionkaakapitu"/>
    <w:uiPriority w:val="99"/>
    <w:semiHidden/>
    <w:unhideWhenUsed/>
    <w:rsid w:val="001F56D8"/>
    <w:rPr>
      <w:sz w:val="16"/>
      <w:szCs w:val="16"/>
    </w:rPr>
  </w:style>
  <w:style w:type="paragraph" w:styleId="Tekstkomentarza">
    <w:name w:val="annotation text"/>
    <w:basedOn w:val="Normalny"/>
    <w:link w:val="TekstkomentarzaZnak"/>
    <w:uiPriority w:val="99"/>
    <w:unhideWhenUsed/>
    <w:rsid w:val="001F56D8"/>
    <w:pPr>
      <w:spacing w:line="240" w:lineRule="auto"/>
    </w:pPr>
    <w:rPr>
      <w:sz w:val="20"/>
      <w:szCs w:val="20"/>
    </w:rPr>
  </w:style>
  <w:style w:type="character" w:customStyle="1" w:styleId="TekstkomentarzaZnak">
    <w:name w:val="Tekst komentarza Znak"/>
    <w:basedOn w:val="Domylnaczcionkaakapitu"/>
    <w:link w:val="Tekstkomentarza"/>
    <w:uiPriority w:val="99"/>
    <w:rsid w:val="001F56D8"/>
    <w:rPr>
      <w:sz w:val="20"/>
      <w:szCs w:val="20"/>
    </w:rPr>
  </w:style>
  <w:style w:type="paragraph" w:styleId="Tematkomentarza">
    <w:name w:val="annotation subject"/>
    <w:basedOn w:val="Tekstkomentarza"/>
    <w:next w:val="Tekstkomentarza"/>
    <w:link w:val="TematkomentarzaZnak"/>
    <w:uiPriority w:val="99"/>
    <w:semiHidden/>
    <w:unhideWhenUsed/>
    <w:rsid w:val="001F56D8"/>
    <w:rPr>
      <w:b/>
      <w:bCs/>
    </w:rPr>
  </w:style>
  <w:style w:type="character" w:customStyle="1" w:styleId="TematkomentarzaZnak">
    <w:name w:val="Temat komentarza Znak"/>
    <w:basedOn w:val="TekstkomentarzaZnak"/>
    <w:link w:val="Tematkomentarza"/>
    <w:uiPriority w:val="99"/>
    <w:semiHidden/>
    <w:rsid w:val="001F56D8"/>
    <w:rPr>
      <w:b/>
      <w:bCs/>
      <w:sz w:val="20"/>
      <w:szCs w:val="20"/>
    </w:rPr>
  </w:style>
  <w:style w:type="paragraph" w:styleId="Poprawka">
    <w:name w:val="Revision"/>
    <w:hidden/>
    <w:uiPriority w:val="99"/>
    <w:semiHidden/>
    <w:rsid w:val="00C75EA1"/>
    <w:pPr>
      <w:spacing w:after="0" w:line="240" w:lineRule="auto"/>
    </w:pPr>
  </w:style>
  <w:style w:type="character" w:customStyle="1" w:styleId="AkapitzlistZnak">
    <w:name w:val="Akapit z listą Znak"/>
    <w:aliases w:val="Styl moj Znak,Akapit z listą11 Znak,podpunkt ankietyy Znak,Bullet List Znak,Table Legend Znak"/>
    <w:link w:val="Akapitzlist"/>
    <w:uiPriority w:val="34"/>
    <w:locked/>
    <w:rsid w:val="004F7B25"/>
  </w:style>
  <w:style w:type="paragraph" w:customStyle="1" w:styleId="Default">
    <w:name w:val="Default"/>
    <w:rsid w:val="000B025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63102-9ECC-4DAD-BBD3-662CCBF62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24</Pages>
  <Words>7114</Words>
  <Characters>42687</Characters>
  <Application>Microsoft Office Word</Application>
  <DocSecurity>0</DocSecurity>
  <Lines>355</Lines>
  <Paragraphs>99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Żmuda Katarzyna</dc:creator>
  <cp:lastModifiedBy>Wilk Justyna</cp:lastModifiedBy>
  <cp:revision>4</cp:revision>
  <dcterms:created xsi:type="dcterms:W3CDTF">2025-07-24T05:11:00Z</dcterms:created>
  <dcterms:modified xsi:type="dcterms:W3CDTF">2025-07-24T05:19:00Z</dcterms:modified>
</cp:coreProperties>
</file>